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DE0A7FEDEFC46609C4F17501505EE3F"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Les règles régissant les contributions financières du Fonds européen d’ajustement à la mondialisation (FEM) sont fixées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
      </w:r>
      <w:r>
        <w:rPr>
          <w:noProof/>
        </w:rPr>
        <w:t xml:space="preserve"> (ci-après le «règlement FEM»).</w:t>
      </w:r>
    </w:p>
    <w:p>
      <w:pPr>
        <w:rPr>
          <w:b/>
          <w:noProof/>
        </w:rPr>
      </w:pPr>
      <w:r>
        <w:rPr>
          <w:b/>
          <w:noProof/>
        </w:rPr>
        <w:t>RÉSUMÉ ET ANALYSE DE LA DEMANDE</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Données clés</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Numéro de référence FEM</w:t>
      </w:r>
      <w:r>
        <w:rPr>
          <w:noProof/>
        </w:rPr>
        <w:tab/>
        <w:t>EGF/2017/000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Commission européenne</w:t>
      </w:r>
      <w:r>
        <w:rPr>
          <w:noProof/>
        </w:rPr>
        <w:tab/>
        <w:t>Assistance technique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Dépenses administratives: budget (en EUR)</w:t>
      </w:r>
      <w:r>
        <w:rPr>
          <w:noProof/>
        </w:rPr>
        <w:tab/>
        <w:t>310 000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Pourcentage des dépenses administratives (plafond: 0,5 %)</w:t>
      </w:r>
      <w:r>
        <w:rPr>
          <w:noProof/>
        </w:rPr>
        <w:tab/>
        <w:t>0,18 %</w:t>
      </w:r>
    </w:p>
    <w:p>
      <w:pPr>
        <w:rPr>
          <w:noProof/>
        </w:rPr>
      </w:pPr>
      <w:r>
        <w:rPr>
          <w:noProof/>
        </w:rPr>
        <w:t>Conformément à l’article 11, paragraphe 1, du règlement FEM, 0,5 % tout au plus du montant annuel maximal alloué au FEM peut être affecté chaque année, sur l’initiative de la Commission, à l’assistance technique.</w:t>
      </w:r>
    </w:p>
    <w:p>
      <w:pPr>
        <w:rPr>
          <w:b/>
          <w:noProof/>
          <w:u w:val="single"/>
        </w:rPr>
      </w:pPr>
      <w:r>
        <w:rPr>
          <w:b/>
          <w:noProof/>
          <w:u w:val="single"/>
        </w:rPr>
        <w:t>Assistance technique à financer et ventilation de son coût estimatif</w:t>
      </w:r>
    </w:p>
    <w:p>
      <w:pPr>
        <w:pStyle w:val="ManualNumPar1"/>
        <w:rPr>
          <w:noProof/>
        </w:rPr>
      </w:pPr>
      <w:r>
        <w:rPr>
          <w:noProof/>
        </w:rPr>
        <w:t>1.</w:t>
      </w:r>
      <w:r>
        <w:rPr>
          <w:noProof/>
        </w:rPr>
        <w:tab/>
        <w:t>La contribution servira à financer les tâches visées à l’article 11, paragraphes 1 et 4, et à l’article 12, paragraphes 2, 3 et 4, du règlement FEM, selon les modalités exposées ci-dessous.</w:t>
      </w:r>
    </w:p>
    <w:p>
      <w:pPr>
        <w:pStyle w:val="ManualNumPar1"/>
        <w:rPr>
          <w:noProof/>
        </w:rPr>
      </w:pPr>
      <w:r>
        <w:rPr>
          <w:noProof/>
        </w:rPr>
        <w:t>2.</w:t>
      </w:r>
      <w:r>
        <w:rPr>
          <w:noProof/>
        </w:rPr>
        <w:tab/>
      </w:r>
      <w:r>
        <w:rPr>
          <w:noProof/>
          <w:u w:val="single"/>
        </w:rPr>
        <w:t>Suivi et collecte d’informations</w:t>
      </w:r>
      <w:r>
        <w:rPr>
          <w:noProof/>
        </w:rPr>
        <w:t>: La Commission recueillera des informations sur les demandes reçues, financées et closes, ainsi que sur les mesures proposées et mises en œuvre. Ces informations seront publiées sur le site internet et compilées sous une forme adaptée à leur présentation dans les rapports bisannuels de 2017 et 2019. Grâce aux travaux déjà effectués ces dernières années, le coût de cette activité sera de 20 000 EUR.</w:t>
      </w:r>
    </w:p>
    <w:p>
      <w:pPr>
        <w:pStyle w:val="ManualNumPar1"/>
        <w:rPr>
          <w:noProof/>
        </w:rPr>
      </w:pPr>
      <w:r>
        <w:rPr>
          <w:noProof/>
        </w:rPr>
        <w:t>3.</w:t>
      </w:r>
      <w:r>
        <w:rPr>
          <w:noProof/>
        </w:rPr>
        <w:tab/>
      </w:r>
      <w:r>
        <w:rPr>
          <w:noProof/>
          <w:u w:val="single"/>
        </w:rPr>
        <w:t>Information</w:t>
      </w:r>
      <w:r>
        <w:rPr>
          <w:noProof/>
        </w:rPr>
        <w:t>: Le site internet du FEM</w:t>
      </w:r>
      <w:r>
        <w:rPr>
          <w:rStyle w:val="FootnoteReference"/>
          <w:noProof/>
        </w:rPr>
        <w:footnoteReference w:id="3"/>
      </w:r>
      <w:r>
        <w:rPr>
          <w:noProof/>
        </w:rPr>
        <w:t>, que la Commission a installé sur le portail consacré à l’emploi, aux affaires sociales et à l’inclusion et dont la gestion lui incombe en vertu de l’article 12, paragraphe 2, du règlement FEM, sera régulièrement mis à jour et élargi et chacun des éléments ajoutés sera également traduit dans toutes les langues de l’UE. Des actions seront menées pour mieux faire connaître le FEM et accroître son rayonnement. En plus d’être publiée en ligne, l’évaluation à mi-parcours du FEM sera imprimée en un nombre limité d’exemplaires. Le FEM fera également l’objet de diverses publications et réalisations audiovisuelles de la Commission, conformément à l’article 11, paragraphe 4, du règlement FEM. Les dépenses afférentes à tous ces postes sont estimées à 20 000 EUR pour 2017.</w:t>
      </w:r>
    </w:p>
    <w:p>
      <w:pPr>
        <w:pStyle w:val="ManualNumPar1"/>
        <w:rPr>
          <w:noProof/>
        </w:rPr>
      </w:pPr>
      <w:r>
        <w:rPr>
          <w:noProof/>
        </w:rPr>
        <w:t>4.</w:t>
      </w:r>
      <w:r>
        <w:rPr>
          <w:noProof/>
        </w:rPr>
        <w:tab/>
      </w:r>
      <w:r>
        <w:rPr>
          <w:noProof/>
          <w:u w:val="single"/>
        </w:rPr>
        <w:t>Création d’une base de connaissances/d’une interface d’application</w:t>
      </w:r>
      <w:r>
        <w:rPr>
          <w:noProof/>
        </w:rPr>
        <w:t xml:space="preserve">: La Commission poursuit ses travaux de mise en place de procédures normalisées pour les demandes d’intervention du FEM et la gestion du Fonds, en s’appuyant sur les fonctionnalités du SFC 2014, dans lequel sont peu à peu intégrées ces procédures. Ces travaux </w:t>
      </w:r>
      <w:r>
        <w:rPr>
          <w:noProof/>
        </w:rPr>
        <w:lastRenderedPageBreak/>
        <w:t>permettent une simplification des demandes d’intervention au titre du règlement FEM et une accélération de leur traitement, ainsi qu’une extraction plus facile de rapports à diverses fins. Ils introduisent aussi des procédures de transmission de données. Un module de support joue le rôle d’interface entre le SFC, les services comptables de la Commission et le système d’information financier ABAC, facilitant les opérations financières du FEM. Puisque la plupart des travaux de développement ont été effectués ces dernières années, il suffit d’affiner sa configuration et de l’ajuster aux changements éventuels. Les coûts de développement étant moindres et les coûts de maintenance les mêmes, les besoins de fonds diminuent par rapport aux années précédentes. Les dépenses afférentes à ce poste sont estimées à 80 000 EUR et représentent la contribution du FEM aux ajustements et à la maintenance régulière du SFC.</w:t>
      </w:r>
    </w:p>
    <w:p>
      <w:pPr>
        <w:pStyle w:val="ManualNumPar1"/>
        <w:rPr>
          <w:noProof/>
        </w:rPr>
      </w:pPr>
      <w:r>
        <w:rPr>
          <w:noProof/>
        </w:rPr>
        <w:t>5.</w:t>
      </w:r>
      <w:r>
        <w:rPr>
          <w:noProof/>
        </w:rPr>
        <w:tab/>
      </w:r>
      <w:r>
        <w:rPr>
          <w:noProof/>
          <w:u w:val="single"/>
        </w:rPr>
        <w:t>Soutien administratif et technique</w:t>
      </w:r>
      <w:r>
        <w:rPr>
          <w:noProof/>
        </w:rPr>
        <w:t>: Le groupe d’experts des personnes de contact du FEM, qui compte un représentant par État membre, se réunira deux fois (au second semestre de 2017 et au premier semestre de 2018); le budget prévu est de 70 000 EUR pour les deux réunions.</w:t>
      </w:r>
    </w:p>
    <w:p>
      <w:pPr>
        <w:pStyle w:val="ManualNumPar1"/>
        <w:rPr>
          <w:noProof/>
        </w:rPr>
      </w:pPr>
      <w:r>
        <w:rPr>
          <w:noProof/>
        </w:rPr>
        <w:t>6.</w:t>
      </w:r>
      <w:r>
        <w:rPr>
          <w:noProof/>
        </w:rPr>
        <w:tab/>
        <w:t>En outre, dans le but de promouvoir la mise en réseau des États membres, la Commission organisera deux séminaires auxquels participeront les organismes chargés de la mise en œuvre du FEM et les partenaires sociaux. Dans la mesure du possible, ces séminaires seront programmés vers les mêmes dates que les réunions du groupe d’experts et porteront prioritairement sur les problèmes surgis lors de la mise en œuvre du règlement FEM sur le terrain. Le coût de ces séminaires est estimé à 120 000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560"/>
        <w:gridCol w:w="1800"/>
        <w:gridCol w:w="1621"/>
      </w:tblGrid>
      <w:tr>
        <w:tc>
          <w:tcPr>
            <w:tcW w:w="4308" w:type="dxa"/>
            <w:shd w:val="clear" w:color="auto" w:fill="auto"/>
          </w:tcPr>
          <w:p>
            <w:pPr>
              <w:pStyle w:val="Text1"/>
              <w:ind w:left="0"/>
              <w:rPr>
                <w:b/>
                <w:noProof/>
              </w:rPr>
            </w:pPr>
            <w:r>
              <w:rPr>
                <w:b/>
                <w:noProof/>
              </w:rPr>
              <w:t>Postes</w:t>
            </w:r>
          </w:p>
        </w:tc>
        <w:tc>
          <w:tcPr>
            <w:tcW w:w="1560" w:type="dxa"/>
            <w:shd w:val="clear" w:color="auto" w:fill="auto"/>
          </w:tcPr>
          <w:p>
            <w:pPr>
              <w:pStyle w:val="Text1"/>
              <w:ind w:left="0"/>
              <w:jc w:val="center"/>
              <w:rPr>
                <w:b/>
                <w:noProof/>
              </w:rPr>
            </w:pPr>
            <w:r>
              <w:rPr>
                <w:b/>
                <w:noProof/>
              </w:rPr>
              <w:t>Nombre estimé</w:t>
            </w:r>
          </w:p>
        </w:tc>
        <w:tc>
          <w:tcPr>
            <w:tcW w:w="1800" w:type="dxa"/>
            <w:shd w:val="clear" w:color="auto" w:fill="auto"/>
          </w:tcPr>
          <w:p>
            <w:pPr>
              <w:pStyle w:val="Text1"/>
              <w:ind w:left="0"/>
              <w:jc w:val="center"/>
              <w:rPr>
                <w:b/>
                <w:noProof/>
              </w:rPr>
            </w:pPr>
            <w:r>
              <w:rPr>
                <w:b/>
                <w:noProof/>
              </w:rPr>
              <w:t>Coût estimé par poste</w:t>
            </w:r>
            <w:r>
              <w:rPr>
                <w:b/>
                <w:noProof/>
              </w:rPr>
              <w:br/>
              <w:t>(en EUR)</w:t>
            </w:r>
          </w:p>
        </w:tc>
        <w:tc>
          <w:tcPr>
            <w:tcW w:w="1621" w:type="dxa"/>
            <w:shd w:val="clear" w:color="auto" w:fill="auto"/>
          </w:tcPr>
          <w:p>
            <w:pPr>
              <w:pStyle w:val="Text1"/>
              <w:ind w:left="0"/>
              <w:jc w:val="center"/>
              <w:rPr>
                <w:b/>
                <w:noProof/>
              </w:rPr>
            </w:pPr>
            <w:r>
              <w:rPr>
                <w:b/>
                <w:noProof/>
              </w:rPr>
              <w:t>Coût total</w:t>
            </w:r>
            <w:r>
              <w:rPr>
                <w:b/>
                <w:noProof/>
              </w:rPr>
              <w:br/>
              <w:t>(en EUR)</w:t>
            </w:r>
          </w:p>
        </w:tc>
      </w:tr>
      <w:tr>
        <w:tc>
          <w:tcPr>
            <w:tcW w:w="4308" w:type="dxa"/>
            <w:shd w:val="clear" w:color="auto" w:fill="auto"/>
          </w:tcPr>
          <w:p>
            <w:pPr>
              <w:pStyle w:val="Text1"/>
              <w:ind w:left="0"/>
              <w:jc w:val="left"/>
              <w:rPr>
                <w:noProof/>
              </w:rPr>
            </w:pPr>
            <w:r>
              <w:rPr>
                <w:noProof/>
              </w:rPr>
              <w:t>Suivi et collecte d’informations</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Actions d’information</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Création, mise à jour et maintenance d’une base de connaissances/d’une interface d’application dans le SFC</w:t>
            </w:r>
          </w:p>
        </w:tc>
        <w:tc>
          <w:tcPr>
            <w:tcW w:w="1560" w:type="dxa"/>
            <w:shd w:val="clear" w:color="auto" w:fill="auto"/>
          </w:tcPr>
          <w:p>
            <w:pPr>
              <w:pStyle w:val="Text1"/>
              <w:ind w:left="0"/>
              <w:jc w:val="right"/>
              <w:rPr>
                <w:noProof/>
              </w:rPr>
            </w:pPr>
            <w:r>
              <w:rPr>
                <w:noProof/>
              </w:rPr>
              <w:t>Divers</w:t>
            </w:r>
          </w:p>
        </w:tc>
        <w:tc>
          <w:tcPr>
            <w:tcW w:w="1800" w:type="dxa"/>
            <w:shd w:val="clear" w:color="auto" w:fill="auto"/>
          </w:tcPr>
          <w:p>
            <w:pPr>
              <w:pStyle w:val="Text1"/>
              <w:ind w:left="0"/>
              <w:jc w:val="right"/>
              <w:rPr>
                <w:noProof/>
              </w:rPr>
            </w:pPr>
            <w:r>
              <w:rPr>
                <w:noProof/>
              </w:rPr>
              <w:t>Divers</w:t>
            </w:r>
          </w:p>
        </w:tc>
        <w:tc>
          <w:tcPr>
            <w:tcW w:w="1621" w:type="dxa"/>
            <w:shd w:val="clear" w:color="auto" w:fill="auto"/>
          </w:tcPr>
          <w:p>
            <w:pPr>
              <w:pStyle w:val="Text1"/>
              <w:ind w:left="0"/>
              <w:jc w:val="right"/>
              <w:rPr>
                <w:noProof/>
              </w:rPr>
            </w:pPr>
            <w:r>
              <w:rPr>
                <w:noProof/>
              </w:rPr>
              <w:t>80 000</w:t>
            </w:r>
          </w:p>
        </w:tc>
      </w:tr>
      <w:tr>
        <w:tc>
          <w:tcPr>
            <w:tcW w:w="4308" w:type="dxa"/>
            <w:shd w:val="clear" w:color="auto" w:fill="auto"/>
          </w:tcPr>
          <w:p>
            <w:pPr>
              <w:pStyle w:val="Text1"/>
              <w:ind w:left="0"/>
              <w:jc w:val="left"/>
              <w:rPr>
                <w:noProof/>
              </w:rPr>
            </w:pPr>
            <w:r>
              <w:rPr>
                <w:noProof/>
              </w:rPr>
              <w:t>Soutien administratif et technique: réunions du groupe d’experts des personnes de contact du FEM</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35 000</w:t>
            </w:r>
          </w:p>
        </w:tc>
        <w:tc>
          <w:tcPr>
            <w:tcW w:w="1621" w:type="dxa"/>
            <w:shd w:val="clear" w:color="auto" w:fill="auto"/>
          </w:tcPr>
          <w:p>
            <w:pPr>
              <w:pStyle w:val="Text1"/>
              <w:ind w:left="0"/>
              <w:jc w:val="right"/>
              <w:rPr>
                <w:noProof/>
              </w:rPr>
            </w:pPr>
            <w:r>
              <w:rPr>
                <w:noProof/>
              </w:rPr>
              <w:t>70 000</w:t>
            </w:r>
          </w:p>
        </w:tc>
      </w:tr>
      <w:tr>
        <w:tc>
          <w:tcPr>
            <w:tcW w:w="4308" w:type="dxa"/>
            <w:shd w:val="clear" w:color="auto" w:fill="auto"/>
          </w:tcPr>
          <w:p>
            <w:pPr>
              <w:pStyle w:val="Text1"/>
              <w:ind w:left="0"/>
              <w:jc w:val="left"/>
              <w:rPr>
                <w:noProof/>
              </w:rPr>
            </w:pPr>
            <w:r>
              <w:rPr>
                <w:noProof/>
              </w:rPr>
              <w:t>Soutien administratif et technique: séminaires de mise en réseau sur la mise en œuvre du FEM</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60 000</w:t>
            </w:r>
          </w:p>
        </w:tc>
        <w:tc>
          <w:tcPr>
            <w:tcW w:w="1621" w:type="dxa"/>
            <w:shd w:val="clear" w:color="auto" w:fill="auto"/>
          </w:tcPr>
          <w:p>
            <w:pPr>
              <w:pStyle w:val="Text1"/>
              <w:ind w:left="0"/>
              <w:jc w:val="right"/>
              <w:rPr>
                <w:noProof/>
              </w:rPr>
            </w:pPr>
            <w:r>
              <w:rPr>
                <w:noProof/>
              </w:rPr>
              <w:t>120 000</w:t>
            </w:r>
          </w:p>
        </w:tc>
      </w:tr>
      <w:tr>
        <w:tc>
          <w:tcPr>
            <w:tcW w:w="4308" w:type="dxa"/>
            <w:shd w:val="clear" w:color="auto" w:fill="auto"/>
          </w:tcPr>
          <w:p>
            <w:pPr>
              <w:pStyle w:val="Text1"/>
              <w:ind w:left="0"/>
              <w:jc w:val="left"/>
              <w:rPr>
                <w:b/>
                <w:noProof/>
              </w:rPr>
            </w:pPr>
            <w:r>
              <w:rPr>
                <w:b/>
                <w:noProof/>
              </w:rPr>
              <w:t>Coût total estimé</w:t>
            </w:r>
          </w:p>
        </w:tc>
        <w:tc>
          <w:tcPr>
            <w:tcW w:w="3360" w:type="dxa"/>
            <w:gridSpan w:val="2"/>
            <w:shd w:val="clear" w:color="auto" w:fill="E0E0E0"/>
          </w:tcPr>
          <w:p>
            <w:pPr>
              <w:pStyle w:val="Text1"/>
              <w:ind w:left="0"/>
              <w:rPr>
                <w:b/>
                <w:noProof/>
              </w:rPr>
            </w:pPr>
          </w:p>
        </w:tc>
        <w:tc>
          <w:tcPr>
            <w:tcW w:w="1621" w:type="dxa"/>
            <w:shd w:val="clear" w:color="auto" w:fill="auto"/>
          </w:tcPr>
          <w:p>
            <w:pPr>
              <w:pStyle w:val="Text1"/>
              <w:ind w:left="0"/>
              <w:jc w:val="right"/>
              <w:rPr>
                <w:b/>
                <w:noProof/>
              </w:rPr>
            </w:pPr>
            <w:r>
              <w:rPr>
                <w:b/>
                <w:noProof/>
              </w:rPr>
              <w:t>310 000</w:t>
            </w:r>
          </w:p>
        </w:tc>
      </w:tr>
    </w:tbl>
    <w:p>
      <w:pPr>
        <w:rPr>
          <w:b/>
          <w:noProof/>
          <w:u w:val="single"/>
        </w:rPr>
      </w:pPr>
      <w:r>
        <w:rPr>
          <w:b/>
          <w:noProof/>
          <w:u w:val="single"/>
        </w:rPr>
        <w:t>Financement</w:t>
      </w:r>
    </w:p>
    <w:p>
      <w:pPr>
        <w:pStyle w:val="ManualNumPar1"/>
        <w:rPr>
          <w:noProof/>
        </w:rPr>
      </w:pPr>
      <w:r>
        <w:rPr>
          <w:noProof/>
        </w:rPr>
        <w:lastRenderedPageBreak/>
        <w:t>7.</w:t>
      </w:r>
      <w:r>
        <w:rPr>
          <w:noProof/>
        </w:rPr>
        <w:tab/>
        <w:t>Conformément à l’article 12 du règlement (UE, Euratom) nº 1311/2013 du Conseil du 2 décembre 2013 fixant le cadre financier pluriannuel pour la période 2014-2020, le montant maximal du budget annuel disponible pour le FEM en 2017 s’élève à 150 000 000 EUR (aux prix de 2011)</w:t>
      </w:r>
      <w:r>
        <w:rPr>
          <w:rStyle w:val="FootnoteReference"/>
          <w:noProof/>
        </w:rPr>
        <w:footnoteReference w:id="4"/>
      </w:r>
      <w:r>
        <w:rPr>
          <w:noProof/>
        </w:rPr>
        <w:t>.</w:t>
      </w:r>
    </w:p>
    <w:p>
      <w:pPr>
        <w:pStyle w:val="ManualNumPar1"/>
        <w:rPr>
          <w:noProof/>
        </w:rPr>
      </w:pPr>
      <w:r>
        <w:rPr>
          <w:noProof/>
        </w:rPr>
        <w:t>8.</w:t>
      </w:r>
      <w:r>
        <w:rPr>
          <w:noProof/>
        </w:rPr>
        <w:tab/>
        <w:t>L’article 11, paragraphe 1, du règlement FEM dispose que 0,5 % de ce montant (soit 844 620 EUR en 2017) peut servir à financer l’assistance technique, sur l’initiative de la Commission. La totalité de la somme pour 2017 est disponible; aucun montant n’a encore été affecté à l’assistance technique. La somme proposée correspond à environ 0,18 % du montant maximal du budget annuel disponible pour le FEM en 2017.</w:t>
      </w:r>
    </w:p>
    <w:p>
      <w:pPr>
        <w:pStyle w:val="ManualNumPar1"/>
        <w:rPr>
          <w:noProof/>
        </w:rPr>
      </w:pPr>
      <w:r>
        <w:rPr>
          <w:noProof/>
        </w:rPr>
        <w:t>9.</w:t>
      </w:r>
      <w:r>
        <w:rPr>
          <w:noProof/>
        </w:rPr>
        <w:tab/>
        <w:t>La décision proposée de mobilisation du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w:t>
      </w:r>
    </w:p>
    <w:p>
      <w:pPr>
        <w:rPr>
          <w:b/>
          <w:noProof/>
          <w:u w:val="single"/>
        </w:rPr>
      </w:pPr>
      <w:r>
        <w:rPr>
          <w:b/>
          <w:noProof/>
          <w:u w:val="single"/>
        </w:rPr>
        <w:t>Actes liés</w:t>
      </w:r>
    </w:p>
    <w:p>
      <w:pPr>
        <w:pStyle w:val="ManualNumPar1"/>
        <w:rPr>
          <w:noProof/>
        </w:rPr>
      </w:pPr>
      <w:r>
        <w:rPr>
          <w:noProof/>
        </w:rPr>
        <w:t>10.</w:t>
      </w:r>
      <w:r>
        <w:rPr>
          <w:noProof/>
        </w:rPr>
        <w:tab/>
        <w:t>En même temps que sa proposition de décision de mobilisation du FEM, la Commission présentera au Parlement européen et au Conseil une proposition de virement à la ligne budgétaire concernée d’un montant de 310 000 EUR.</w:t>
      </w:r>
    </w:p>
    <w:p>
      <w:pPr>
        <w:rPr>
          <w:noProof/>
        </w:rPr>
      </w:pPr>
      <w:r>
        <w:rPr>
          <w:b/>
          <w:noProof/>
          <w:u w:val="single"/>
        </w:rPr>
        <w:t>Source des crédits de paiement</w:t>
      </w:r>
    </w:p>
    <w:p>
      <w:pPr>
        <w:pStyle w:val="ManualNumPar1"/>
        <w:rPr>
          <w:noProof/>
        </w:rPr>
      </w:pPr>
      <w:r>
        <w:rPr>
          <w:noProof/>
        </w:rPr>
        <w:t>11.</w:t>
      </w:r>
      <w:r>
        <w:rPr>
          <w:noProof/>
        </w:rPr>
        <w:tab/>
        <w:t>Les crédits inscrits à la ligne budgétaire du FEM serviront à financer l’enveloppe de 310 000 EUR à mobiliser pour la présente demande.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(EGF/2017/000 TA 2017 – Assistance technique sur l’initiative de la Commission)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6"/>
      </w:r>
      <w:r>
        <w:rPr>
          <w:noProof/>
        </w:rPr>
        <w:t>, et notamment son article 11, paragraphe 2,</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7"/>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Fonds européen d’ajustement à la mondialisation (FEM) a été créé pour soutenir les salariés et travailleurs indépendants devenus inactifs en raison de modifications majeures de la structure du commerce international résultant de la mondialisation, de la persistance de la crise financière et économique mondiale [prise en compte dans le règlement (CE) nº 546/2009 du Parlement européen et du Conseil</w:t>
      </w:r>
      <w:r>
        <w:rPr>
          <w:rStyle w:val="FootnoteReference"/>
          <w:noProof/>
        </w:rPr>
        <w:footnoteReference w:id="8"/>
      </w:r>
      <w:r>
        <w:rPr>
          <w:noProof/>
        </w:rPr>
        <w:t>] ou de l’avènement d’une nouvelle crise financière et économique mondiale, ainsi que pour faciliter leur réinsertion professionnelle.</w:t>
      </w:r>
    </w:p>
    <w:p>
      <w:pPr>
        <w:pStyle w:val="ManualConsidrant"/>
        <w:rPr>
          <w:noProof/>
        </w:rPr>
      </w:pPr>
      <w:r>
        <w:rPr>
          <w:noProof/>
        </w:rPr>
        <w:t>(2)</w:t>
      </w:r>
      <w:r>
        <w:rPr>
          <w:noProof/>
        </w:rPr>
        <w:tab/>
        <w:t>La dotation annuelle du FEM n’excède pas 150 000 000 EUR (aux prix de 2011), comme le prévoit l’article 12 du règlement (UE, Euratom) nº 1311/2013 du Conseil</w:t>
      </w:r>
      <w:r>
        <w:rPr>
          <w:rStyle w:val="FootnoteReference"/>
          <w:noProof/>
        </w:rPr>
        <w:footnoteReference w:id="9"/>
      </w:r>
      <w:r>
        <w:rPr>
          <w:noProof/>
        </w:rPr>
        <w:t>.</w:t>
      </w:r>
    </w:p>
    <w:p>
      <w:pPr>
        <w:pStyle w:val="ManualConsidrant"/>
        <w:rPr>
          <w:noProof/>
        </w:rPr>
      </w:pPr>
      <w:r>
        <w:rPr>
          <w:noProof/>
        </w:rPr>
        <w:t xml:space="preserve"> (3)</w:t>
      </w:r>
      <w:r>
        <w:rPr>
          <w:noProof/>
        </w:rPr>
        <w:tab/>
        <w:t>Le règlement (UE) nº 1309/2013 dispose que, sur l’initiative de la Commission, 0,5 % tout au plus du montant annuel maximal peut être affecté chaque année à l’assistance technique.</w:t>
      </w:r>
    </w:p>
    <w:p>
      <w:pPr>
        <w:pStyle w:val="ManualConsidrant"/>
        <w:rPr>
          <w:noProof/>
        </w:rPr>
      </w:pPr>
      <w:r>
        <w:rPr>
          <w:noProof/>
        </w:rPr>
        <w:t>(4)</w:t>
      </w:r>
      <w:r>
        <w:rPr>
          <w:noProof/>
        </w:rPr>
        <w:tab/>
        <w:t>Il convient par conséquent que le FEM soit mobilisé de sorte qu’un montant de 310 000 EUR soit affecté à l’assistance technique sur l’initiative de la Commission,</w:t>
      </w:r>
    </w:p>
    <w:p>
      <w:pPr>
        <w:pStyle w:val="Formuledadoption"/>
        <w:rPr>
          <w:noProof/>
        </w:rPr>
      </w:pPr>
      <w:r>
        <w:rPr>
          <w:noProof/>
        </w:rPr>
        <w:lastRenderedPageBreak/>
        <w:t>ONT ADOPTÉ LA PRÉSENTE DÉCISION:</w:t>
      </w:r>
    </w:p>
    <w:p>
      <w:pPr>
        <w:pStyle w:val="Titrearticle"/>
        <w:rPr>
          <w:noProof/>
        </w:rPr>
      </w:pPr>
      <w:r>
        <w:rPr>
          <w:noProof/>
        </w:rPr>
        <w:t>Article premier</w:t>
      </w:r>
    </w:p>
    <w:p>
      <w:pPr>
        <w:rPr>
          <w:noProof/>
        </w:rPr>
      </w:pPr>
      <w:r>
        <w:rPr>
          <w:noProof/>
        </w:rPr>
        <w:t>Dans le cadre du budget général de l’Union européenne établi pour l’exercice 2017, une somme de 310 000 EUR en crédits d’engagement et de paiement est mobilisée au titre du Fonds européen d’ajustement à la mondialisation (FEM).</w:t>
      </w:r>
    </w:p>
    <w:p>
      <w:pPr>
        <w:pStyle w:val="Titrearticle"/>
        <w:rPr>
          <w:noProof/>
        </w:rPr>
      </w:pPr>
      <w:r>
        <w:rPr>
          <w:noProof/>
        </w:rPr>
        <w:t>Article 2</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b-NO"/>
        </w:rPr>
      </w:pPr>
      <w:r>
        <w:rPr>
          <w:rStyle w:val="FootnoteReference"/>
        </w:rPr>
        <w:footnoteRef/>
      </w:r>
      <w:r>
        <w:rPr>
          <w:lang w:val="nb-NO"/>
        </w:rPr>
        <w:tab/>
        <w:t>JO L 347 du 20.12.2013, p. 855.</w:t>
      </w:r>
    </w:p>
  </w:footnote>
  <w:footnote w:id="3">
    <w:p>
      <w:pPr>
        <w:pStyle w:val="FootnoteText"/>
        <w:rPr>
          <w:lang w:val="nb-NO"/>
        </w:rPr>
      </w:pPr>
      <w:r>
        <w:rPr>
          <w:rStyle w:val="FootnoteReference"/>
        </w:rPr>
        <w:footnoteRef/>
      </w:r>
      <w:r>
        <w:rPr>
          <w:lang w:val="nb-NO"/>
        </w:rPr>
        <w:tab/>
      </w:r>
      <w:hyperlink r:id="rId1">
        <w:r>
          <w:rPr>
            <w:rStyle w:val="Hyperlink"/>
            <w:lang w:val="nb-NO"/>
          </w:rPr>
          <w:t>http://ec.europa.eu/social/main.jsp?catId=326&amp;langId=fr</w:t>
        </w:r>
      </w:hyperlink>
      <w:r>
        <w:rPr>
          <w:lang w:val="nb-NO"/>
        </w:rPr>
        <w:t xml:space="preserve"> </w:t>
      </w:r>
    </w:p>
  </w:footnote>
  <w:footnote w:id="4">
    <w:p>
      <w:pPr>
        <w:pStyle w:val="FootnoteText"/>
        <w:rPr>
          <w:lang w:val="nb-NO"/>
        </w:rPr>
      </w:pPr>
      <w:r>
        <w:rPr>
          <w:rStyle w:val="FootnoteReference"/>
        </w:rPr>
        <w:footnoteRef/>
      </w:r>
      <w:r>
        <w:rPr>
          <w:lang w:val="nb-NO"/>
        </w:rPr>
        <w:tab/>
        <w:t>JO L 347 du 20.12.2013, p. 884.</w:t>
      </w:r>
    </w:p>
  </w:footnote>
  <w:footnote w:id="5">
    <w:p>
      <w:pPr>
        <w:pStyle w:val="FootnoteText"/>
        <w:rPr>
          <w:lang w:val="nb-NO"/>
        </w:rPr>
      </w:pPr>
      <w:r>
        <w:rPr>
          <w:rStyle w:val="FootnoteReference"/>
        </w:rPr>
        <w:footnoteRef/>
      </w:r>
      <w:r>
        <w:rPr>
          <w:lang w:val="nb-NO"/>
        </w:rPr>
        <w:tab/>
        <w:t>JO C 373 du 20.12.2013, p. 1.</w:t>
      </w:r>
    </w:p>
  </w:footnote>
  <w:footnote w:id="6">
    <w:p>
      <w:pPr>
        <w:pStyle w:val="FootnoteText"/>
      </w:pPr>
      <w:r>
        <w:rPr>
          <w:rStyle w:val="FootnoteReference"/>
        </w:rPr>
        <w:footnoteRef/>
      </w:r>
      <w:r>
        <w:tab/>
        <w:t>JO L 347 du 20.12.2013, p. 855.</w:t>
      </w:r>
    </w:p>
  </w:footnote>
  <w:footnote w:id="7">
    <w:p>
      <w:pPr>
        <w:pStyle w:val="FootnoteText"/>
      </w:pPr>
      <w:r>
        <w:rPr>
          <w:rStyle w:val="FootnoteReference"/>
        </w:rPr>
        <w:footnoteRef/>
      </w:r>
      <w:r>
        <w:tab/>
        <w:t>JO C 373 du 20.12.2013, p. 1.</w:t>
      </w:r>
    </w:p>
  </w:footnote>
  <w:footnote w:id="8">
    <w:p>
      <w:pPr>
        <w:pStyle w:val="FootnoteText"/>
      </w:pPr>
      <w:r>
        <w:rPr>
          <w:rStyle w:val="FootnoteReference"/>
        </w:rPr>
        <w:footnoteRef/>
      </w:r>
      <w:r>
        <w:tab/>
        <w:t>Règlement (CE) nº 546/2009 du Parlement européen et du Conseil du 18 juin 2009 modifiant le règlement (CE) nº 1927/2006 portant création du Fonds européen d’ajustement à la mondialisation (JO L 167 du 29.6.2009, p. 26).</w:t>
      </w:r>
    </w:p>
  </w:footnote>
  <w:footnote w:id="9">
    <w:p>
      <w:pPr>
        <w:pStyle w:val="FootnoteText"/>
        <w:rPr>
          <w:lang w:val="fr-BE"/>
        </w:rPr>
      </w:pPr>
      <w:r>
        <w:rPr>
          <w:rStyle w:val="FootnoteReference"/>
        </w:rPr>
        <w:footnoteRef/>
      </w:r>
      <w:r>
        <w:tab/>
        <w:t>Règlement (UE, Euratom) nº 1311/2013 du Conseil du 2 décembre 2013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508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67F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5E87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8043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D4F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23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52FAAC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15:28: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DE0A7FEDEFC46609C4F17501505EE3F"/>
    <w:docVar w:name="LW_CROSSREFERENCE" w:val="&lt;UNUSED&gt;"/>
    <w:docVar w:name="LW_DocType" w:val="COM"/>
    <w:docVar w:name="LW_EMISSION" w:val="28.2.2017"/>
    <w:docVar w:name="LW_EMISSION_ISODATE" w:val="2017-02-2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101"/>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EGF/2017/000 TA 2017 \u8211? Assistance technique sur l\u8217?initiative de la Commiss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326&amp;langId=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F0A5-3DF5-4D26-8E92-95FB86CA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1410</Words>
  <Characters>7448</Characters>
  <Application>Microsoft Office Word</Application>
  <DocSecurity>0</DocSecurity>
  <Lines>169</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2017-01-30T11:27:00Z</cp:lastPrinted>
  <dcterms:created xsi:type="dcterms:W3CDTF">2017-02-20T08:24:00Z</dcterms:created>
  <dcterms:modified xsi:type="dcterms:W3CDTF">2017-02-22T14:28:00Z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