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17" w:rsidRDefault="005423B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4FC5C8008D04CA98F5D7AFB7F60522E" style="width:450.75pt;height:362.25pt">
            <v:imagedata r:id="rId9" o:title=""/>
          </v:shape>
        </w:pict>
      </w:r>
    </w:p>
    <w:bookmarkEnd w:id="0"/>
    <w:p w:rsidR="004E3017" w:rsidRDefault="004E3017">
      <w:pPr>
        <w:rPr>
          <w:noProof/>
        </w:rPr>
        <w:sectPr w:rsidR="004E301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E3017" w:rsidRDefault="004E3017">
      <w:pPr>
        <w:spacing w:before="120" w:after="240" w:line="240" w:lineRule="auto"/>
        <w:jc w:val="center"/>
        <w:rPr>
          <w:rFonts w:ascii="Times New Roman" w:eastAsia="Times New Roman" w:hAnsi="Times New Roman"/>
          <w:b/>
          <w:noProof/>
          <w:sz w:val="28"/>
          <w:szCs w:val="24"/>
        </w:rPr>
      </w:pPr>
    </w:p>
    <w:p w:rsidR="004E3017" w:rsidRDefault="004E3017">
      <w:pPr>
        <w:pStyle w:val="TOCHeading"/>
        <w:jc w:val="left"/>
        <w:rPr>
          <w:b w:val="0"/>
          <w:noProof/>
        </w:rPr>
      </w:pPr>
    </w:p>
    <w:sdt>
      <w:sdtPr>
        <w:rPr>
          <w:rFonts w:asciiTheme="minorHAnsi" w:eastAsiaTheme="minorHAnsi" w:hAnsiTheme="minorHAnsi" w:cstheme="minorBidi"/>
          <w:b w:val="0"/>
          <w:noProof/>
          <w:sz w:val="22"/>
          <w:szCs w:val="22"/>
        </w:rPr>
        <w:id w:val="1172754776"/>
        <w:docPartObj>
          <w:docPartGallery w:val="Table of Contents"/>
          <w:docPartUnique/>
        </w:docPartObj>
      </w:sdtPr>
      <w:sdtEndPr>
        <w:rPr>
          <w:bCs/>
        </w:rPr>
      </w:sdtEndPr>
      <w:sdtContent>
        <w:p w:rsidR="004E3017" w:rsidRDefault="005423BE">
          <w:pPr>
            <w:pStyle w:val="TOCHeading"/>
            <w:rPr>
              <w:b w:val="0"/>
              <w:noProof/>
            </w:rPr>
          </w:pPr>
          <w:r>
            <w:rPr>
              <w:noProof/>
            </w:rPr>
            <w:t>Съдържание</w:t>
          </w:r>
        </w:p>
        <w:p w:rsidR="004E3017" w:rsidRDefault="005423BE">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75884678" w:history="1">
            <w:r>
              <w:rPr>
                <w:rStyle w:val="Hyperlink"/>
                <w:b/>
                <w:smallCaps/>
                <w:noProof/>
              </w:rPr>
              <w:t>1.</w:t>
            </w:r>
            <w:r>
              <w:rPr>
                <w:rFonts w:asciiTheme="minorHAnsi" w:eastAsiaTheme="minorEastAsia" w:hAnsiTheme="minorHAnsi" w:cstheme="minorBidi"/>
                <w:noProof/>
                <w:sz w:val="22"/>
                <w:szCs w:val="22"/>
                <w:lang w:val="en-GB" w:eastAsia="en-GB" w:bidi="ar-SA"/>
              </w:rPr>
              <w:tab/>
            </w:r>
            <w:r>
              <w:rPr>
                <w:rStyle w:val="Hyperlink"/>
                <w:b/>
                <w:smallCaps/>
                <w:noProof/>
              </w:rPr>
              <w:t>ВЪВЕДЕНИЕ</w:t>
            </w:r>
            <w:r>
              <w:rPr>
                <w:noProof/>
                <w:webHidden/>
              </w:rPr>
              <w:tab/>
            </w:r>
            <w:r>
              <w:rPr>
                <w:noProof/>
                <w:webHidden/>
              </w:rPr>
              <w:fldChar w:fldCharType="begin"/>
            </w:r>
            <w:r>
              <w:rPr>
                <w:noProof/>
                <w:webHidden/>
              </w:rPr>
              <w:instrText xml:space="preserve"> PAGEREF _Toc475884678 \h </w:instrText>
            </w:r>
            <w:r>
              <w:rPr>
                <w:noProof/>
                <w:webHidden/>
              </w:rPr>
            </w:r>
            <w:r>
              <w:rPr>
                <w:noProof/>
                <w:webHidden/>
              </w:rPr>
              <w:fldChar w:fldCharType="separate"/>
            </w:r>
            <w:r>
              <w:rPr>
                <w:noProof/>
                <w:webHidden/>
              </w:rPr>
              <w:t>3</w:t>
            </w:r>
            <w:r>
              <w:rPr>
                <w:noProof/>
                <w:webHidden/>
              </w:rPr>
              <w:fldChar w:fldCharType="end"/>
            </w:r>
          </w:hyperlink>
        </w:p>
        <w:p w:rsidR="004E3017" w:rsidRDefault="005423BE">
          <w:pPr>
            <w:pStyle w:val="TOC1"/>
            <w:rPr>
              <w:rFonts w:asciiTheme="minorHAnsi" w:eastAsiaTheme="minorEastAsia" w:hAnsiTheme="minorHAnsi" w:cstheme="minorBidi"/>
              <w:noProof/>
              <w:sz w:val="22"/>
              <w:szCs w:val="22"/>
              <w:lang w:val="en-GB" w:eastAsia="en-GB" w:bidi="ar-SA"/>
            </w:rPr>
          </w:pPr>
          <w:hyperlink w:anchor="_Toc475884679" w:history="1">
            <w:r>
              <w:rPr>
                <w:rStyle w:val="Hyperlink"/>
                <w:b/>
                <w:smallCaps/>
                <w:noProof/>
              </w:rPr>
              <w:t>2.</w:t>
            </w:r>
            <w:r>
              <w:rPr>
                <w:rFonts w:asciiTheme="minorHAnsi" w:eastAsiaTheme="minorEastAsia" w:hAnsiTheme="minorHAnsi" w:cstheme="minorBidi"/>
                <w:noProof/>
                <w:sz w:val="22"/>
                <w:szCs w:val="22"/>
                <w:lang w:val="en-GB" w:eastAsia="en-GB" w:bidi="ar-SA"/>
              </w:rPr>
              <w:tab/>
            </w:r>
            <w:r>
              <w:rPr>
                <w:rStyle w:val="Hyperlink"/>
                <w:b/>
                <w:smallCaps/>
                <w:noProof/>
              </w:rPr>
              <w:t>ДИРЕКТИВА 2000/30/ЕО</w:t>
            </w:r>
            <w:r>
              <w:rPr>
                <w:noProof/>
                <w:webHidden/>
              </w:rPr>
              <w:tab/>
            </w:r>
            <w:r>
              <w:rPr>
                <w:noProof/>
                <w:webHidden/>
              </w:rPr>
              <w:fldChar w:fldCharType="begin"/>
            </w:r>
            <w:r>
              <w:rPr>
                <w:noProof/>
                <w:webHidden/>
              </w:rPr>
              <w:instrText xml:space="preserve"> PAGEREF _Toc475884679 \h </w:instrText>
            </w:r>
            <w:r>
              <w:rPr>
                <w:noProof/>
                <w:webHidden/>
              </w:rPr>
            </w:r>
            <w:r>
              <w:rPr>
                <w:noProof/>
                <w:webHidden/>
              </w:rPr>
              <w:fldChar w:fldCharType="separate"/>
            </w:r>
            <w:r>
              <w:rPr>
                <w:noProof/>
                <w:webHidden/>
              </w:rPr>
              <w:t>4</w:t>
            </w:r>
            <w:r>
              <w:rPr>
                <w:noProof/>
                <w:webHidden/>
              </w:rPr>
              <w:fldChar w:fldCharType="end"/>
            </w:r>
          </w:hyperlink>
        </w:p>
        <w:p w:rsidR="004E3017" w:rsidRDefault="005423BE">
          <w:pPr>
            <w:pStyle w:val="TOC1"/>
            <w:rPr>
              <w:rFonts w:asciiTheme="minorHAnsi" w:eastAsiaTheme="minorEastAsia" w:hAnsiTheme="minorHAnsi" w:cstheme="minorBidi"/>
              <w:noProof/>
              <w:sz w:val="22"/>
              <w:szCs w:val="22"/>
              <w:lang w:val="en-GB" w:eastAsia="en-GB" w:bidi="ar-SA"/>
            </w:rPr>
          </w:pPr>
          <w:hyperlink w:anchor="_Toc475884680" w:history="1">
            <w:r>
              <w:rPr>
                <w:rStyle w:val="Hyperlink"/>
                <w:b/>
                <w:smallCaps/>
                <w:noProof/>
              </w:rPr>
              <w:t>3.</w:t>
            </w:r>
            <w:r>
              <w:rPr>
                <w:rFonts w:asciiTheme="minorHAnsi" w:eastAsiaTheme="minorEastAsia" w:hAnsiTheme="minorHAnsi" w:cstheme="minorBidi"/>
                <w:noProof/>
                <w:sz w:val="22"/>
                <w:szCs w:val="22"/>
                <w:lang w:val="en-GB" w:eastAsia="en-GB" w:bidi="ar-SA"/>
              </w:rPr>
              <w:tab/>
            </w:r>
            <w:r>
              <w:rPr>
                <w:rStyle w:val="Hyperlink"/>
                <w:b/>
                <w:smallCaps/>
                <w:noProof/>
              </w:rPr>
              <w:t>ДАННИ, СЪОБЩЕНИ ОТ ДЪРЖАВИТЕ ЧЛЕНКИ</w:t>
            </w:r>
            <w:r>
              <w:rPr>
                <w:noProof/>
                <w:webHidden/>
              </w:rPr>
              <w:tab/>
            </w:r>
            <w:r>
              <w:rPr>
                <w:noProof/>
                <w:webHidden/>
              </w:rPr>
              <w:fldChar w:fldCharType="begin"/>
            </w:r>
            <w:r>
              <w:rPr>
                <w:noProof/>
                <w:webHidden/>
              </w:rPr>
              <w:instrText xml:space="preserve"> PAGEREF _Toc475884680 \h </w:instrText>
            </w:r>
            <w:r>
              <w:rPr>
                <w:noProof/>
                <w:webHidden/>
              </w:rPr>
            </w:r>
            <w:r>
              <w:rPr>
                <w:noProof/>
                <w:webHidden/>
              </w:rPr>
              <w:fldChar w:fldCharType="separate"/>
            </w:r>
            <w:r>
              <w:rPr>
                <w:noProof/>
                <w:webHidden/>
              </w:rPr>
              <w:t>5</w:t>
            </w:r>
            <w:r>
              <w:rPr>
                <w:noProof/>
                <w:webHidden/>
              </w:rPr>
              <w:fldChar w:fldCharType="end"/>
            </w:r>
          </w:hyperlink>
        </w:p>
        <w:p w:rsidR="004E3017" w:rsidRDefault="005423BE">
          <w:pPr>
            <w:pStyle w:val="TOC1"/>
            <w:rPr>
              <w:rFonts w:asciiTheme="minorHAnsi" w:eastAsiaTheme="minorEastAsia" w:hAnsiTheme="minorHAnsi" w:cstheme="minorBidi"/>
              <w:noProof/>
              <w:sz w:val="22"/>
              <w:szCs w:val="22"/>
              <w:lang w:val="en-GB" w:eastAsia="en-GB" w:bidi="ar-SA"/>
            </w:rPr>
          </w:pPr>
          <w:hyperlink w:anchor="_Toc475884681" w:history="1">
            <w:r>
              <w:rPr>
                <w:rStyle w:val="Hyperlink"/>
                <w:b/>
                <w:smallCaps/>
                <w:noProof/>
              </w:rPr>
              <w:t>4.</w:t>
            </w:r>
            <w:r>
              <w:rPr>
                <w:rFonts w:asciiTheme="minorHAnsi" w:eastAsiaTheme="minorEastAsia" w:hAnsiTheme="minorHAnsi" w:cstheme="minorBidi"/>
                <w:noProof/>
                <w:sz w:val="22"/>
                <w:szCs w:val="22"/>
                <w:lang w:val="en-GB" w:eastAsia="en-GB" w:bidi="ar-SA"/>
              </w:rPr>
              <w:tab/>
            </w:r>
            <w:r>
              <w:rPr>
                <w:rStyle w:val="Hyperlink"/>
                <w:b/>
                <w:smallCaps/>
                <w:noProof/>
              </w:rPr>
              <w:t>СЪДЪРЖАНИЕ НА ПРОВЕРКАТА</w:t>
            </w:r>
            <w:r>
              <w:rPr>
                <w:noProof/>
                <w:webHidden/>
              </w:rPr>
              <w:tab/>
            </w:r>
            <w:r>
              <w:rPr>
                <w:noProof/>
                <w:webHidden/>
              </w:rPr>
              <w:fldChar w:fldCharType="begin"/>
            </w:r>
            <w:r>
              <w:rPr>
                <w:noProof/>
                <w:webHidden/>
              </w:rPr>
              <w:instrText xml:space="preserve"> PAGEREF _Toc475884681 \h </w:instrText>
            </w:r>
            <w:r>
              <w:rPr>
                <w:noProof/>
                <w:webHidden/>
              </w:rPr>
            </w:r>
            <w:r>
              <w:rPr>
                <w:noProof/>
                <w:webHidden/>
              </w:rPr>
              <w:fldChar w:fldCharType="separate"/>
            </w:r>
            <w:r>
              <w:rPr>
                <w:noProof/>
                <w:webHidden/>
              </w:rPr>
              <w:t>6</w:t>
            </w:r>
            <w:r>
              <w:rPr>
                <w:noProof/>
                <w:webHidden/>
              </w:rPr>
              <w:fldChar w:fldCharType="end"/>
            </w:r>
          </w:hyperlink>
        </w:p>
        <w:p w:rsidR="004E3017" w:rsidRDefault="005423BE">
          <w:pPr>
            <w:pStyle w:val="TOC1"/>
            <w:rPr>
              <w:rFonts w:asciiTheme="minorHAnsi" w:eastAsiaTheme="minorEastAsia" w:hAnsiTheme="minorHAnsi" w:cstheme="minorBidi"/>
              <w:noProof/>
              <w:sz w:val="22"/>
              <w:szCs w:val="22"/>
              <w:lang w:val="en-GB" w:eastAsia="en-GB" w:bidi="ar-SA"/>
            </w:rPr>
          </w:pPr>
          <w:hyperlink w:anchor="_Toc475884682" w:history="1">
            <w:r>
              <w:rPr>
                <w:rStyle w:val="Hyperlink"/>
                <w:b/>
                <w:smallCaps/>
                <w:noProof/>
              </w:rPr>
              <w:t>5.</w:t>
            </w:r>
            <w:r>
              <w:rPr>
                <w:rFonts w:asciiTheme="minorHAnsi" w:eastAsiaTheme="minorEastAsia" w:hAnsiTheme="minorHAnsi" w:cstheme="minorBidi"/>
                <w:noProof/>
                <w:sz w:val="22"/>
                <w:szCs w:val="22"/>
                <w:lang w:val="en-GB" w:eastAsia="en-GB" w:bidi="ar-SA"/>
              </w:rPr>
              <w:tab/>
            </w:r>
            <w:r>
              <w:rPr>
                <w:rStyle w:val="Hyperlink"/>
                <w:b/>
                <w:smallCaps/>
                <w:noProof/>
              </w:rPr>
              <w:t>СТАТИСТИЧЕСКИ ДАННИ</w:t>
            </w:r>
            <w:r>
              <w:rPr>
                <w:noProof/>
                <w:webHidden/>
              </w:rPr>
              <w:tab/>
            </w:r>
            <w:r>
              <w:rPr>
                <w:noProof/>
                <w:webHidden/>
              </w:rPr>
              <w:fldChar w:fldCharType="begin"/>
            </w:r>
            <w:r>
              <w:rPr>
                <w:noProof/>
                <w:webHidden/>
              </w:rPr>
              <w:instrText xml:space="preserve"> PAGEREF _Toc475884682 \h </w:instrText>
            </w:r>
            <w:r>
              <w:rPr>
                <w:noProof/>
                <w:webHidden/>
              </w:rPr>
            </w:r>
            <w:r>
              <w:rPr>
                <w:noProof/>
                <w:webHidden/>
              </w:rPr>
              <w:fldChar w:fldCharType="separate"/>
            </w:r>
            <w:r>
              <w:rPr>
                <w:noProof/>
                <w:webHidden/>
              </w:rPr>
              <w:t>7</w:t>
            </w:r>
            <w:r>
              <w:rPr>
                <w:noProof/>
                <w:webHidden/>
              </w:rPr>
              <w:fldChar w:fldCharType="end"/>
            </w:r>
          </w:hyperlink>
        </w:p>
        <w:p w:rsidR="004E3017" w:rsidRDefault="005423BE">
          <w:pPr>
            <w:pStyle w:val="TOC2"/>
            <w:rPr>
              <w:rFonts w:asciiTheme="minorHAnsi" w:eastAsiaTheme="minorEastAsia" w:hAnsiTheme="minorHAnsi" w:cstheme="minorBidi"/>
              <w:noProof/>
              <w:sz w:val="22"/>
              <w:szCs w:val="22"/>
              <w:lang w:val="en-GB" w:eastAsia="en-GB" w:bidi="ar-SA"/>
            </w:rPr>
          </w:pPr>
          <w:hyperlink w:anchor="_Toc475884683" w:history="1">
            <w:r>
              <w:rPr>
                <w:rStyle w:val="Hyperlink"/>
                <w:b/>
                <w:noProof/>
              </w:rPr>
              <w:t xml:space="preserve">5.1. </w:t>
            </w:r>
            <w:r>
              <w:rPr>
                <w:rFonts w:asciiTheme="minorHAnsi" w:eastAsiaTheme="minorEastAsia" w:hAnsiTheme="minorHAnsi" w:cstheme="minorBidi"/>
                <w:noProof/>
                <w:sz w:val="22"/>
                <w:szCs w:val="22"/>
                <w:lang w:val="en-GB" w:eastAsia="en-GB" w:bidi="ar-SA"/>
              </w:rPr>
              <w:tab/>
            </w:r>
            <w:r>
              <w:rPr>
                <w:rStyle w:val="Hyperlink"/>
                <w:b/>
                <w:noProof/>
              </w:rPr>
              <w:t>Общ брой на проверените МПС и техния произход</w:t>
            </w:r>
            <w:r>
              <w:rPr>
                <w:noProof/>
                <w:webHidden/>
              </w:rPr>
              <w:tab/>
            </w:r>
            <w:r>
              <w:rPr>
                <w:noProof/>
                <w:webHidden/>
              </w:rPr>
              <w:fldChar w:fldCharType="begin"/>
            </w:r>
            <w:r>
              <w:rPr>
                <w:noProof/>
                <w:webHidden/>
              </w:rPr>
              <w:instrText xml:space="preserve"> PAGEREF _Toc475884683 \h </w:instrText>
            </w:r>
            <w:r>
              <w:rPr>
                <w:noProof/>
                <w:webHidden/>
              </w:rPr>
            </w:r>
            <w:r>
              <w:rPr>
                <w:noProof/>
                <w:webHidden/>
              </w:rPr>
              <w:fldChar w:fldCharType="separate"/>
            </w:r>
            <w:r>
              <w:rPr>
                <w:noProof/>
                <w:webHidden/>
              </w:rPr>
              <w:t>7</w:t>
            </w:r>
            <w:r>
              <w:rPr>
                <w:noProof/>
                <w:webHidden/>
              </w:rPr>
              <w:fldChar w:fldCharType="end"/>
            </w:r>
          </w:hyperlink>
        </w:p>
        <w:p w:rsidR="004E3017" w:rsidRDefault="005423BE">
          <w:pPr>
            <w:pStyle w:val="TOC2"/>
            <w:rPr>
              <w:rFonts w:asciiTheme="minorHAnsi" w:eastAsiaTheme="minorEastAsia" w:hAnsiTheme="minorHAnsi" w:cstheme="minorBidi"/>
              <w:noProof/>
              <w:sz w:val="22"/>
              <w:szCs w:val="22"/>
              <w:lang w:val="en-GB" w:eastAsia="en-GB" w:bidi="ar-SA"/>
            </w:rPr>
          </w:pPr>
          <w:hyperlink w:anchor="_Toc475884684" w:history="1">
            <w:r>
              <w:rPr>
                <w:rStyle w:val="Hyperlink"/>
                <w:b/>
                <w:noProof/>
              </w:rPr>
              <w:t>5.2.</w:t>
            </w:r>
            <w:r>
              <w:rPr>
                <w:rFonts w:asciiTheme="minorHAnsi" w:eastAsiaTheme="minorEastAsia" w:hAnsiTheme="minorHAnsi" w:cstheme="minorBidi"/>
                <w:noProof/>
                <w:sz w:val="22"/>
                <w:szCs w:val="22"/>
                <w:lang w:val="en-GB" w:eastAsia="en-GB" w:bidi="ar-SA"/>
              </w:rPr>
              <w:tab/>
            </w:r>
            <w:r>
              <w:rPr>
                <w:rStyle w:val="Hyperlink"/>
                <w:b/>
                <w:noProof/>
              </w:rPr>
              <w:t>Спрени от движение МПС</w:t>
            </w:r>
            <w:r>
              <w:rPr>
                <w:noProof/>
                <w:webHidden/>
              </w:rPr>
              <w:tab/>
            </w:r>
            <w:r>
              <w:rPr>
                <w:noProof/>
                <w:webHidden/>
              </w:rPr>
              <w:fldChar w:fldCharType="begin"/>
            </w:r>
            <w:r>
              <w:rPr>
                <w:noProof/>
                <w:webHidden/>
              </w:rPr>
              <w:instrText xml:space="preserve"> PAGEREF _Toc475884684 \h </w:instrText>
            </w:r>
            <w:r>
              <w:rPr>
                <w:noProof/>
                <w:webHidden/>
              </w:rPr>
            </w:r>
            <w:r>
              <w:rPr>
                <w:noProof/>
                <w:webHidden/>
              </w:rPr>
              <w:fldChar w:fldCharType="separate"/>
            </w:r>
            <w:r>
              <w:rPr>
                <w:noProof/>
                <w:webHidden/>
              </w:rPr>
              <w:t>8</w:t>
            </w:r>
            <w:r>
              <w:rPr>
                <w:noProof/>
                <w:webHidden/>
              </w:rPr>
              <w:fldChar w:fldCharType="end"/>
            </w:r>
          </w:hyperlink>
        </w:p>
        <w:p w:rsidR="004E3017" w:rsidRDefault="005423BE">
          <w:pPr>
            <w:pStyle w:val="TOC2"/>
            <w:rPr>
              <w:rFonts w:asciiTheme="minorHAnsi" w:eastAsiaTheme="minorEastAsia" w:hAnsiTheme="minorHAnsi" w:cstheme="minorBidi"/>
              <w:noProof/>
              <w:sz w:val="22"/>
              <w:szCs w:val="22"/>
              <w:lang w:val="en-GB" w:eastAsia="en-GB" w:bidi="ar-SA"/>
            </w:rPr>
          </w:pPr>
          <w:hyperlink w:anchor="_Toc475884685" w:history="1">
            <w:r>
              <w:rPr>
                <w:rStyle w:val="Hyperlink"/>
                <w:b/>
                <w:noProof/>
              </w:rPr>
              <w:t>5.</w:t>
            </w:r>
            <w:r>
              <w:rPr>
                <w:rStyle w:val="Hyperlink"/>
                <w:b/>
                <w:noProof/>
              </w:rPr>
              <w:t>3.</w:t>
            </w:r>
            <w:r>
              <w:rPr>
                <w:rFonts w:asciiTheme="minorHAnsi" w:eastAsiaTheme="minorEastAsia" w:hAnsiTheme="minorHAnsi" w:cstheme="minorBidi"/>
                <w:noProof/>
                <w:sz w:val="22"/>
                <w:szCs w:val="22"/>
                <w:lang w:val="en-GB" w:eastAsia="en-GB" w:bidi="ar-SA"/>
              </w:rPr>
              <w:tab/>
            </w:r>
            <w:r>
              <w:rPr>
                <w:rStyle w:val="Hyperlink"/>
                <w:b/>
                <w:noProof/>
              </w:rPr>
              <w:t>Видове неизправности и данни по държави членки</w:t>
            </w:r>
            <w:r>
              <w:rPr>
                <w:noProof/>
                <w:webHidden/>
              </w:rPr>
              <w:tab/>
            </w:r>
            <w:r>
              <w:rPr>
                <w:noProof/>
                <w:webHidden/>
              </w:rPr>
              <w:fldChar w:fldCharType="begin"/>
            </w:r>
            <w:r>
              <w:rPr>
                <w:noProof/>
                <w:webHidden/>
              </w:rPr>
              <w:instrText xml:space="preserve"> PAGEREF _Toc475884685 \h </w:instrText>
            </w:r>
            <w:r>
              <w:rPr>
                <w:noProof/>
                <w:webHidden/>
              </w:rPr>
            </w:r>
            <w:r>
              <w:rPr>
                <w:noProof/>
                <w:webHidden/>
              </w:rPr>
              <w:fldChar w:fldCharType="separate"/>
            </w:r>
            <w:r>
              <w:rPr>
                <w:noProof/>
                <w:webHidden/>
              </w:rPr>
              <w:t>12</w:t>
            </w:r>
            <w:r>
              <w:rPr>
                <w:noProof/>
                <w:webHidden/>
              </w:rPr>
              <w:fldChar w:fldCharType="end"/>
            </w:r>
          </w:hyperlink>
        </w:p>
        <w:p w:rsidR="004E3017" w:rsidRDefault="005423BE">
          <w:pPr>
            <w:pStyle w:val="TOC2"/>
            <w:rPr>
              <w:rFonts w:asciiTheme="minorHAnsi" w:eastAsiaTheme="minorEastAsia" w:hAnsiTheme="minorHAnsi" w:cstheme="minorBidi"/>
              <w:noProof/>
              <w:sz w:val="22"/>
              <w:szCs w:val="22"/>
              <w:lang w:val="en-GB" w:eastAsia="en-GB" w:bidi="ar-SA"/>
            </w:rPr>
          </w:pPr>
          <w:hyperlink w:anchor="_Toc475884686" w:history="1">
            <w:r>
              <w:rPr>
                <w:rStyle w:val="Hyperlink"/>
                <w:b/>
                <w:noProof/>
              </w:rPr>
              <w:t xml:space="preserve">5.4. </w:t>
            </w:r>
            <w:r>
              <w:rPr>
                <w:rFonts w:asciiTheme="minorHAnsi" w:eastAsiaTheme="minorEastAsia" w:hAnsiTheme="minorHAnsi" w:cstheme="minorBidi"/>
                <w:noProof/>
                <w:sz w:val="22"/>
                <w:szCs w:val="22"/>
                <w:lang w:val="en-GB" w:eastAsia="en-GB" w:bidi="ar-SA"/>
              </w:rPr>
              <w:tab/>
            </w:r>
            <w:r>
              <w:rPr>
                <w:rStyle w:val="Hyperlink"/>
                <w:b/>
                <w:noProof/>
              </w:rPr>
              <w:t>Спрени от движение превозни средства по категория и по държава на реги</w:t>
            </w:r>
            <w:r>
              <w:rPr>
                <w:rStyle w:val="Hyperlink"/>
                <w:b/>
                <w:noProof/>
              </w:rPr>
              <w:t>страция</w:t>
            </w:r>
            <w:r>
              <w:rPr>
                <w:noProof/>
                <w:webHidden/>
              </w:rPr>
              <w:tab/>
            </w:r>
            <w:r>
              <w:rPr>
                <w:noProof/>
                <w:webHidden/>
              </w:rPr>
              <w:fldChar w:fldCharType="begin"/>
            </w:r>
            <w:r>
              <w:rPr>
                <w:noProof/>
                <w:webHidden/>
              </w:rPr>
              <w:instrText xml:space="preserve"> PAGEREF _Toc475884686 \h </w:instrText>
            </w:r>
            <w:r>
              <w:rPr>
                <w:noProof/>
                <w:webHidden/>
              </w:rPr>
            </w:r>
            <w:r>
              <w:rPr>
                <w:noProof/>
                <w:webHidden/>
              </w:rPr>
              <w:fldChar w:fldCharType="separate"/>
            </w:r>
            <w:r>
              <w:rPr>
                <w:noProof/>
                <w:webHidden/>
              </w:rPr>
              <w:t>13</w:t>
            </w:r>
            <w:r>
              <w:rPr>
                <w:noProof/>
                <w:webHidden/>
              </w:rPr>
              <w:fldChar w:fldCharType="end"/>
            </w:r>
          </w:hyperlink>
        </w:p>
        <w:p w:rsidR="004E3017" w:rsidRDefault="005423BE">
          <w:pPr>
            <w:pStyle w:val="TOC1"/>
            <w:rPr>
              <w:rFonts w:asciiTheme="minorHAnsi" w:eastAsiaTheme="minorEastAsia" w:hAnsiTheme="minorHAnsi" w:cstheme="minorBidi"/>
              <w:noProof/>
              <w:sz w:val="22"/>
              <w:szCs w:val="22"/>
            </w:rPr>
          </w:pPr>
          <w:r>
            <w:rPr>
              <w:b/>
              <w:bCs/>
              <w:noProof/>
            </w:rPr>
            <w:fldChar w:fldCharType="end"/>
          </w:r>
        </w:p>
      </w:sdtContent>
    </w:sdt>
    <w:p w:rsidR="004E3017" w:rsidRDefault="004E3017">
      <w:pPr>
        <w:rPr>
          <w:rFonts w:ascii="Times New Roman" w:eastAsia="Times New Roman" w:hAnsi="Times New Roman"/>
          <w:b/>
          <w:noProof/>
          <w:sz w:val="28"/>
          <w:szCs w:val="24"/>
        </w:rPr>
      </w:pPr>
    </w:p>
    <w:p w:rsidR="004E3017" w:rsidRDefault="004E3017">
      <w:pPr>
        <w:spacing w:before="120" w:after="120" w:line="240" w:lineRule="auto"/>
        <w:jc w:val="both"/>
        <w:rPr>
          <w:rFonts w:ascii="Times New Roman" w:eastAsia="Times New Roman" w:hAnsi="Times New Roman"/>
          <w:noProof/>
          <w:sz w:val="24"/>
          <w:szCs w:val="24"/>
        </w:rPr>
        <w:sectPr w:rsidR="004E3017">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rsidR="004E3017" w:rsidRDefault="005423BE">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1" w:name="_Toc353273650"/>
      <w:bookmarkStart w:id="2" w:name="_Toc467150072"/>
      <w:bookmarkStart w:id="3" w:name="_Toc475884678"/>
      <w:r>
        <w:rPr>
          <w:rFonts w:ascii="Times New Roman" w:hAnsi="Times New Roman"/>
          <w:b/>
          <w:smallCaps/>
          <w:noProof/>
          <w:sz w:val="24"/>
        </w:rPr>
        <w:lastRenderedPageBreak/>
        <w:t>1.</w:t>
      </w:r>
      <w:r>
        <w:rPr>
          <w:noProof/>
        </w:rPr>
        <w:tab/>
      </w:r>
      <w:r>
        <w:rPr>
          <w:rFonts w:ascii="Times New Roman" w:hAnsi="Times New Roman"/>
          <w:b/>
          <w:smallCaps/>
          <w:noProof/>
          <w:sz w:val="24"/>
        </w:rPr>
        <w:t>ВЪВЕДЕНИЕ</w:t>
      </w:r>
      <w:bookmarkEnd w:id="1"/>
      <w:bookmarkEnd w:id="2"/>
      <w:bookmarkEnd w:id="3"/>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интерес на пътната безопасност, опазването на околната среда и лоялната </w:t>
      </w:r>
      <w:r>
        <w:rPr>
          <w:rFonts w:ascii="Times New Roman" w:hAnsi="Times New Roman"/>
          <w:noProof/>
          <w:sz w:val="24"/>
        </w:rPr>
        <w:t>конкуренция, европейското законодателство предвижда набор от мерки, които гарантират, че търговските превозни средства по пътищата на Европа са в подходящо техническо състояние. Сред тях са:</w:t>
      </w:r>
    </w:p>
    <w:p w:rsidR="004E3017" w:rsidRDefault="005423BE">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rPr>
        <w:t xml:space="preserve">правила за достъп до професията, които изискват от превозвачите </w:t>
      </w:r>
      <w:r>
        <w:rPr>
          <w:rFonts w:ascii="Times New Roman" w:hAnsi="Times New Roman"/>
          <w:noProof/>
          <w:sz w:val="24"/>
        </w:rPr>
        <w:t>достатъчни финансови възможности за осигуряване на адекватна поддръжка на превозните средства (Регламент (ЕО) № 1072/2009</w:t>
      </w:r>
      <w:r>
        <w:rPr>
          <w:rStyle w:val="FootnoteReference"/>
          <w:noProof/>
        </w:rPr>
        <w:footnoteReference w:id="1"/>
      </w:r>
      <w:r>
        <w:rPr>
          <w:rFonts w:ascii="Times New Roman" w:hAnsi="Times New Roman"/>
          <w:noProof/>
          <w:sz w:val="24"/>
        </w:rPr>
        <w:t>);</w:t>
      </w:r>
    </w:p>
    <w:p w:rsidR="004E3017" w:rsidRDefault="005423BE">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rPr>
        <w:t>периодични прегледи за проверка на техническата изправност на превозните средства, извършвани в държавите членки на превозните сред</w:t>
      </w:r>
      <w:r>
        <w:rPr>
          <w:rFonts w:ascii="Times New Roman" w:hAnsi="Times New Roman"/>
          <w:noProof/>
          <w:sz w:val="24"/>
        </w:rPr>
        <w:t>ства, регистрирани на тяхната територия, с минимална честота, определена на европейско ниво (Директива 2009/40/ЕО</w:t>
      </w:r>
      <w:r>
        <w:rPr>
          <w:rStyle w:val="FootnoteReference"/>
          <w:noProof/>
        </w:rPr>
        <w:footnoteReference w:id="2"/>
      </w:r>
      <w:r>
        <w:rPr>
          <w:rFonts w:ascii="Times New Roman" w:hAnsi="Times New Roman"/>
          <w:noProof/>
          <w:sz w:val="24"/>
        </w:rPr>
        <w:t>);</w:t>
      </w:r>
    </w:p>
    <w:p w:rsidR="004E3017" w:rsidRDefault="005423BE">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rPr>
        <w:t xml:space="preserve">крайпътни технически проверки — предмет на настоящия доклад — които гарантират, че търговските превозни средства се използват, само ако се </w:t>
      </w:r>
      <w:r>
        <w:rPr>
          <w:rFonts w:ascii="Times New Roman" w:hAnsi="Times New Roman"/>
          <w:noProof/>
          <w:sz w:val="24"/>
        </w:rPr>
        <w:t>поддържат по начин, който осигурява висока степен на техническа изправност (Директива 2000/30/EО</w:t>
      </w:r>
      <w:r>
        <w:rPr>
          <w:rStyle w:val="FootnoteReference"/>
          <w:noProof/>
        </w:rPr>
        <w:footnoteReference w:id="3"/>
      </w:r>
      <w:r>
        <w:rPr>
          <w:rFonts w:ascii="Times New Roman" w:hAnsi="Times New Roman"/>
          <w:noProof/>
          <w:sz w:val="24"/>
        </w:rPr>
        <w:t>).</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По силата на Директива 2000/30/ЕО (наричана по-нататък „директивата“) търговските превозни средства и техните ремаркета и полуремаркета, движещи се на терит</w:t>
      </w:r>
      <w:r>
        <w:rPr>
          <w:rFonts w:ascii="Times New Roman" w:hAnsi="Times New Roman"/>
          <w:noProof/>
          <w:sz w:val="24"/>
        </w:rPr>
        <w:t>ориите на държавите членки, са обект на крайпътни технически проверки на тяхната техническа изправност с цел подобряване на пътната безопасност и опазване на околната среда.</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член 6 от директивата се предвижда, че на всеки две години държавите членки след</w:t>
      </w:r>
      <w:r>
        <w:rPr>
          <w:rFonts w:ascii="Times New Roman" w:hAnsi="Times New Roman"/>
          <w:noProof/>
          <w:sz w:val="24"/>
        </w:rPr>
        <w:t>ва да предоставят на Комисията събраните през предходните две години данни за:</w:t>
      </w:r>
    </w:p>
    <w:p w:rsidR="004E3017" w:rsidRDefault="005423BE">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броя на проверените търговски превозни средства, групирани в седем категории превозни средства и допълнително групирани по държава на регистрация; </w:t>
      </w:r>
    </w:p>
    <w:p w:rsidR="004E3017" w:rsidRDefault="005423BE">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проверените съгласно </w:t>
      </w:r>
      <w:r>
        <w:rPr>
          <w:rFonts w:ascii="Times New Roman" w:hAnsi="Times New Roman"/>
          <w:noProof/>
          <w:sz w:val="24"/>
        </w:rPr>
        <w:t>директивата елементи; и</w:t>
      </w:r>
    </w:p>
    <w:p w:rsidR="004E3017" w:rsidRDefault="005423BE">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откритите неизправности.</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директивата се изброяват девет различни елемента (вж. раздел 4 по-долу), които могат да бъдат проверени при крайпътна техническа проверка. Ако някои от проверените елементи не отговарят на съответните изис</w:t>
      </w:r>
      <w:r>
        <w:rPr>
          <w:rFonts w:ascii="Times New Roman" w:hAnsi="Times New Roman"/>
          <w:noProof/>
          <w:sz w:val="24"/>
        </w:rPr>
        <w:t>квания за безопасност по пътищата, използването на превозното средство може да бъде забранено. Всеки недостатък в изправността на проверяваното превозно средство трябва да бъде посочен в протокола от проверката, който трябва да бъде връчен на водача на пре</w:t>
      </w:r>
      <w:r>
        <w:rPr>
          <w:rFonts w:ascii="Times New Roman" w:hAnsi="Times New Roman"/>
          <w:noProof/>
          <w:sz w:val="24"/>
        </w:rPr>
        <w:t>возното средство. В директивата се изисква Комисията да представя на Съвета и Европейския парламент, въз основа на получените от държавите членки данни, доклад за прилагането на директивата, както и обобщение на постигнатите резултати.</w:t>
      </w:r>
    </w:p>
    <w:p w:rsidR="004E3017" w:rsidRDefault="005423BE">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2014 г. Европей</w:t>
      </w:r>
      <w:r>
        <w:rPr>
          <w:rFonts w:ascii="Times New Roman" w:hAnsi="Times New Roman"/>
          <w:noProof/>
          <w:sz w:val="24"/>
        </w:rPr>
        <w:t>ският парламент и Съветът преразгледаха правилата и процедурите за крайпътната техническа проверка на търговските превозни средства.  На 3 април 2014 г. беше приета Директива 2014/47/ЕС</w:t>
      </w:r>
      <w:r>
        <w:rPr>
          <w:rStyle w:val="FootnoteReference"/>
          <w:noProof/>
        </w:rPr>
        <w:footnoteReference w:id="4"/>
      </w:r>
      <w:r>
        <w:rPr>
          <w:rFonts w:ascii="Times New Roman" w:hAnsi="Times New Roman"/>
          <w:noProof/>
          <w:sz w:val="24"/>
        </w:rPr>
        <w:t>, която трябва да се прилага от държавите членки от 20 май 2018 г. В н</w:t>
      </w:r>
      <w:r>
        <w:rPr>
          <w:rFonts w:ascii="Times New Roman" w:hAnsi="Times New Roman"/>
          <w:noProof/>
          <w:sz w:val="24"/>
        </w:rPr>
        <w:t xml:space="preserve">овата директива се въвежда </w:t>
      </w:r>
      <w:r>
        <w:rPr>
          <w:rFonts w:ascii="Times New Roman" w:hAnsi="Times New Roman"/>
          <w:i/>
          <w:noProof/>
          <w:sz w:val="24"/>
        </w:rPr>
        <w:t>inter alia</w:t>
      </w:r>
      <w:r>
        <w:rPr>
          <w:rFonts w:ascii="Times New Roman" w:hAnsi="Times New Roman"/>
          <w:noProof/>
          <w:sz w:val="24"/>
        </w:rPr>
        <w:t xml:space="preserve"> изискването, че общият брой на първоначалните крайпътни проверки в ЕС трябва да съответства най-малко на 5 % от общия брой на превозните средства, регистрирани в държавите членки. Изпълняването на първото задължение за</w:t>
      </w:r>
      <w:r>
        <w:rPr>
          <w:rFonts w:ascii="Times New Roman" w:hAnsi="Times New Roman"/>
          <w:noProof/>
          <w:sz w:val="24"/>
        </w:rPr>
        <w:t xml:space="preserve"> докладване, когато тази цел ще трябва да бъдат взета под внимание, трябва да бъде до 31 март 2021 г за периода 2019—2020 г.</w:t>
      </w:r>
      <w:r>
        <w:rPr>
          <w:rFonts w:ascii="Times New Roman" w:hAnsi="Times New Roman"/>
          <w:noProof/>
          <w:color w:val="FF0000"/>
          <w:sz w:val="24"/>
        </w:rPr>
        <w:t xml:space="preserve">  </w:t>
      </w:r>
    </w:p>
    <w:p w:rsidR="004E3017" w:rsidRDefault="005423BE">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4" w:name="_Toc353273651"/>
      <w:bookmarkStart w:id="5" w:name="_Toc467150073"/>
      <w:bookmarkStart w:id="6" w:name="_Toc475884679"/>
      <w:r>
        <w:rPr>
          <w:rFonts w:ascii="Times New Roman" w:hAnsi="Times New Roman"/>
          <w:b/>
          <w:smallCaps/>
          <w:noProof/>
          <w:sz w:val="24"/>
        </w:rPr>
        <w:t>2.</w:t>
      </w:r>
      <w:r>
        <w:rPr>
          <w:noProof/>
        </w:rPr>
        <w:tab/>
      </w:r>
      <w:r>
        <w:rPr>
          <w:rFonts w:ascii="Times New Roman" w:hAnsi="Times New Roman"/>
          <w:b/>
          <w:smallCaps/>
          <w:noProof/>
          <w:sz w:val="24"/>
        </w:rPr>
        <w:t>ДИРЕКТИВА 2000/30/ЕО</w:t>
      </w:r>
      <w:bookmarkEnd w:id="4"/>
      <w:bookmarkEnd w:id="5"/>
      <w:bookmarkEnd w:id="6"/>
    </w:p>
    <w:p w:rsidR="004E3017" w:rsidRDefault="005423BE">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Съгласно Директива 2009/40/ЕО</w:t>
      </w:r>
      <w:r>
        <w:rPr>
          <w:rStyle w:val="FootnoteReference"/>
          <w:rFonts w:ascii="Times New Roman" w:hAnsi="Times New Roman"/>
          <w:noProof/>
          <w:sz w:val="24"/>
        </w:rPr>
        <w:footnoteReference w:id="5"/>
      </w:r>
      <w:r>
        <w:rPr>
          <w:rFonts w:ascii="Times New Roman" w:hAnsi="Times New Roman"/>
          <w:noProof/>
          <w:sz w:val="24"/>
        </w:rPr>
        <w:t xml:space="preserve"> относно прегледите за проверка на техническата изправност на моторните пре</w:t>
      </w:r>
      <w:r>
        <w:rPr>
          <w:rFonts w:ascii="Times New Roman" w:hAnsi="Times New Roman"/>
          <w:noProof/>
          <w:sz w:val="24"/>
        </w:rPr>
        <w:t xml:space="preserve">возни средства и техните ремаркета, превозните средства, използвани за търговски цели, трябва да се подлагат на преглед ежегодно. Тъй като обаче се смята, че ежегодният преглед не е достатъчен да се гарантира, че тези превозни средства остават в състояние </w:t>
      </w:r>
      <w:r>
        <w:rPr>
          <w:rFonts w:ascii="Times New Roman" w:hAnsi="Times New Roman"/>
          <w:noProof/>
          <w:sz w:val="24"/>
        </w:rPr>
        <w:t xml:space="preserve">на техническа изправност през цялата година, необходимо е като мярка за правоприлагане да се прилагат целенасочени допълнителни крайпътни технически проверки.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изменената директива</w:t>
      </w:r>
      <w:r>
        <w:rPr>
          <w:rStyle w:val="FootnoteReference"/>
          <w:noProof/>
        </w:rPr>
        <w:footnoteReference w:id="6"/>
      </w:r>
      <w:r>
        <w:rPr>
          <w:rFonts w:ascii="Times New Roman" w:hAnsi="Times New Roman"/>
          <w:noProof/>
          <w:sz w:val="24"/>
        </w:rPr>
        <w:t>, която ще се прилага до 19 май 2018 г., се определят редица условия за к</w:t>
      </w:r>
      <w:r>
        <w:rPr>
          <w:rFonts w:ascii="Times New Roman" w:hAnsi="Times New Roman"/>
          <w:noProof/>
          <w:sz w:val="24"/>
        </w:rPr>
        <w:t>райпътните технически проверки на търговски превозни средства, които се движат на територията на ЕС.</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 Директива 2010/47/ЕС, считано от 1 януари 2012 г. се изменят категориите превозни средства и списъкът на елементите от приложение I към директивата.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Преди изменението превозните средства в доклада за крайпътни проверки (приложение I) са били дефинирани чрез класове, например автовлак, което означава всяко моторно превозно средство, предназначено за превоз на стоки с максимална маса над 3,5 тона (катего</w:t>
      </w:r>
      <w:r>
        <w:rPr>
          <w:rFonts w:ascii="Times New Roman" w:hAnsi="Times New Roman"/>
          <w:noProof/>
          <w:sz w:val="24"/>
        </w:rPr>
        <w:t>рия N2 и N3), съчленено с ремарке (категории O3 и O4).  Същевременно, превозните средства от категория N2 трябва да се означават като „лекотоварно превозно средство“, тези от категория N3 — като „камион“, докато превозните средства от категории О3 и О4 тря</w:t>
      </w:r>
      <w:r>
        <w:rPr>
          <w:rFonts w:ascii="Times New Roman" w:hAnsi="Times New Roman"/>
          <w:noProof/>
          <w:sz w:val="24"/>
        </w:rPr>
        <w:t xml:space="preserve">бва да се означават като „ремарке“ или „полуремарке“. </w:t>
      </w:r>
    </w:p>
    <w:p w:rsidR="004E3017" w:rsidRDefault="005423BE">
      <w:pPr>
        <w:spacing w:before="120" w:after="120" w:line="240" w:lineRule="auto"/>
        <w:jc w:val="both"/>
        <w:rPr>
          <w:rFonts w:ascii="Times New Roman" w:eastAsia="Times New Roman" w:hAnsi="Times New Roman"/>
          <w:noProof/>
          <w:sz w:val="24"/>
          <w:szCs w:val="24"/>
          <w:highlight w:val="cyan"/>
        </w:rPr>
      </w:pPr>
      <w:r>
        <w:rPr>
          <w:rFonts w:ascii="Times New Roman" w:hAnsi="Times New Roman"/>
          <w:noProof/>
          <w:sz w:val="24"/>
        </w:rPr>
        <w:t>С изменението на Директива 2010/47/ЕС обаче беше въведен различен начин на групиране на превозните средства чрез обозначението за категория съгласно законодателството в областта на одобряването на типа</w:t>
      </w:r>
      <w:r>
        <w:rPr>
          <w:rFonts w:ascii="Times New Roman" w:hAnsi="Times New Roman"/>
          <w:noProof/>
          <w:sz w:val="24"/>
        </w:rPr>
        <w:t>. В резултат на това, превозно средство, което е могло да бъде посочено като спадащо към различни класове, вече може да бъде посочено, че принадлежи само към една категория превозни средства. Във връзка с това, теглещото превозно средство и ремаркето трябв</w:t>
      </w:r>
      <w:r>
        <w:rPr>
          <w:rFonts w:ascii="Times New Roman" w:hAnsi="Times New Roman"/>
          <w:noProof/>
          <w:sz w:val="24"/>
        </w:rPr>
        <w:t xml:space="preserve">а да се посочват поотделно. Като се има предвид, че теглещото превозно средство и ремаркето могат да бъдат регистрират в различни държави членки, това разделение осигурява по-точна информация и също така е важно за задължението за уведомяване на държавата </w:t>
      </w:r>
      <w:r>
        <w:rPr>
          <w:rFonts w:ascii="Times New Roman" w:hAnsi="Times New Roman"/>
          <w:noProof/>
          <w:sz w:val="24"/>
        </w:rPr>
        <w:t>членка на регистрация в случай, че на едно от превозните средства са установени сериозни неизправности.</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Крайпътна техническа проверка означава внезапна проверка на търговско превозно средство, движещо се на територията на дадена държава членка. Проверката </w:t>
      </w:r>
      <w:r>
        <w:rPr>
          <w:rFonts w:ascii="Times New Roman" w:hAnsi="Times New Roman"/>
          <w:noProof/>
          <w:sz w:val="24"/>
        </w:rPr>
        <w:t>се извършва предимно на обществени пътища от органите на тази държава членка или от друг орган, действащ под техен надзор.</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Всички крайпътни технически проверки трябва да се извършват без дискриминация на основата на националността на водача или държавата, </w:t>
      </w:r>
      <w:r>
        <w:rPr>
          <w:rFonts w:ascii="Times New Roman" w:hAnsi="Times New Roman"/>
          <w:noProof/>
          <w:sz w:val="24"/>
        </w:rPr>
        <w:t>в която търговското превозно средство е било регистрирано или въведено в експлоатация. Те също така трябва да се извършват по такъв начин, че да се сведат до минимум разходите и забавянето за водачи и превозвачи.</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Следва да се прилага целеви подход при подб</w:t>
      </w:r>
      <w:r>
        <w:rPr>
          <w:rFonts w:ascii="Times New Roman" w:hAnsi="Times New Roman"/>
          <w:noProof/>
          <w:sz w:val="24"/>
        </w:rPr>
        <w:t>ора на търговските превозни средства, подлагани на крайпътни технически проверки, като се отдава особена важност на разпознаването на превозните средства, за които изглежда най-вероятно да са обект на лоша поддръжка.</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Крайпътните проверки обикновено се извъ</w:t>
      </w:r>
      <w:r>
        <w:rPr>
          <w:rFonts w:ascii="Times New Roman" w:hAnsi="Times New Roman"/>
          <w:noProof/>
          <w:sz w:val="24"/>
        </w:rPr>
        <w:t>ршват, като се използва степенуван подход. Първо се предприема визуална проверка на състоянието на поддръжка на търговското превозно средство в спряло положение, придружена с проверка на документите за извършена крайпътна техническа проверка и за техническ</w:t>
      </w:r>
      <w:r>
        <w:rPr>
          <w:rFonts w:ascii="Times New Roman" w:hAnsi="Times New Roman"/>
          <w:noProof/>
          <w:sz w:val="24"/>
        </w:rPr>
        <w:t>и преглед. На място или в разположен в близост контролно-технически пункт може да бъде извършена подробна проверка за неизправности въз основа на списъка с елементи, посочени в директивата. В случай на подробна проверка, резултатите от крайпътната проверка</w:t>
      </w:r>
      <w:r>
        <w:rPr>
          <w:rFonts w:ascii="Times New Roman" w:hAnsi="Times New Roman"/>
          <w:noProof/>
          <w:sz w:val="24"/>
        </w:rPr>
        <w:t xml:space="preserve"> трябва да бъдат документирани в протокол за крайпътна техническа проверка, изготвен по модела, определен в директивата. Тези данни залягат в информацията, която държавите членки са длъжни да съобщават на Комисията.</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Ако дадено търговско превозно средство с</w:t>
      </w:r>
      <w:r>
        <w:rPr>
          <w:rFonts w:ascii="Times New Roman" w:hAnsi="Times New Roman"/>
          <w:noProof/>
          <w:sz w:val="24"/>
        </w:rPr>
        <w:t xml:space="preserve"> опасни неизправности представлява сериозен риск за пътната безопасност, то може да бъде спряно от движение до отстраняване на откритите неизправности. Чуждестранните превозни средства със сериозни неизправности трябва да бъдат докладвани на държавата член</w:t>
      </w:r>
      <w:r>
        <w:rPr>
          <w:rFonts w:ascii="Times New Roman" w:hAnsi="Times New Roman"/>
          <w:noProof/>
          <w:sz w:val="24"/>
        </w:rPr>
        <w:t>ка на регистрация с оглед предприемане на подходящи последващи мерки.</w:t>
      </w:r>
    </w:p>
    <w:p w:rsidR="004E3017" w:rsidRDefault="005423BE">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7" w:name="_Toc353273652"/>
      <w:bookmarkStart w:id="8" w:name="_Toc467150074"/>
      <w:bookmarkStart w:id="9" w:name="_Toc475884680"/>
      <w:r>
        <w:rPr>
          <w:rFonts w:ascii="Times New Roman" w:hAnsi="Times New Roman"/>
          <w:b/>
          <w:smallCaps/>
          <w:noProof/>
          <w:sz w:val="24"/>
        </w:rPr>
        <w:t>3.</w:t>
      </w:r>
      <w:r>
        <w:rPr>
          <w:noProof/>
        </w:rPr>
        <w:tab/>
      </w:r>
      <w:r>
        <w:rPr>
          <w:rFonts w:ascii="Times New Roman" w:hAnsi="Times New Roman"/>
          <w:b/>
          <w:smallCaps/>
          <w:noProof/>
          <w:sz w:val="24"/>
        </w:rPr>
        <w:t>ДАННИ, СЪОБЩЕНИ ОТ ДЪРЖАВИТЕ ЧЛЕНКИ</w:t>
      </w:r>
      <w:bookmarkEnd w:id="7"/>
      <w:bookmarkEnd w:id="8"/>
      <w:bookmarkEnd w:id="9"/>
    </w:p>
    <w:p w:rsidR="004E3017" w:rsidRDefault="005423BE">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Това е петият доклад относно начина, по който Директива 2000/30/ЕО се прилага в държавите членки и той обхваща периода 2013—2014 г. Данните, събран</w:t>
      </w:r>
      <w:r>
        <w:rPr>
          <w:rFonts w:ascii="Times New Roman" w:hAnsi="Times New Roman"/>
          <w:noProof/>
          <w:sz w:val="24"/>
        </w:rPr>
        <w:t>и от държавите членки за този период, трябваше да бъдат съобщени на Комисията най-късно до 31 март 2015 г.</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 цел да се улесни изпълнението на задължението на държавите членки за докладване, в началото на март 2015 г. Комисията изпрати уведомително писмо, к</w:t>
      </w:r>
      <w:r>
        <w:rPr>
          <w:rFonts w:ascii="Times New Roman" w:hAnsi="Times New Roman"/>
          <w:noProof/>
          <w:sz w:val="24"/>
        </w:rPr>
        <w:t>ъм което беше приложена таблица с образец. Образецът беше разработен съвместно от Комисията и държавите членки с цел да се улесни събирането и докладването на много сложен набор от данни; използването му обаче не е задължително. Всяка държава членка, която</w:t>
      </w:r>
      <w:r>
        <w:rPr>
          <w:rFonts w:ascii="Times New Roman" w:hAnsi="Times New Roman"/>
          <w:noProof/>
          <w:sz w:val="24"/>
        </w:rPr>
        <w:t xml:space="preserve"> е изпълнила задължението, е използвала образеца и е предоставила данните в електронна версия, което е направило последващия анализ значително по-лесен.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Данните обаче не винаги бяха представяни своевременно. 18 държави членки (Белгия, България, Хърва</w:t>
      </w:r>
      <w:r>
        <w:rPr>
          <w:rFonts w:ascii="Times New Roman" w:hAnsi="Times New Roman"/>
          <w:noProof/>
          <w:sz w:val="24"/>
        </w:rPr>
        <w:t xml:space="preserve">тия, Дания, Естония, Финландия, Гърция, Унгария, Латвия, Литва, Малта, Нидерландия, Полша, Румъния, Словения, Испания, Швеция, Обединеното кралство) са предоставили данни за броя на проверените превозни средства, класифицирани по категории и по държави на </w:t>
      </w:r>
      <w:r>
        <w:rPr>
          <w:rFonts w:ascii="Times New Roman" w:hAnsi="Times New Roman"/>
          <w:noProof/>
          <w:sz w:val="24"/>
        </w:rPr>
        <w:t>регистрация, както и данни за проверените елементи и установените дефекти. След дискусии между Комисията и останалите 10 държави членки, 8 от тях предоставиха необходимите данни. В хода на диалога с Франция и Германия обаче се изясни, че тези държави членк</w:t>
      </w:r>
      <w:r>
        <w:rPr>
          <w:rFonts w:ascii="Times New Roman" w:hAnsi="Times New Roman"/>
          <w:noProof/>
          <w:sz w:val="24"/>
        </w:rPr>
        <w:t xml:space="preserve">и не са в състояние да предоставят необходимите данни в съответствие с изискванията на директивата.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Франция предостави само сборни данни относно две категории тежкотоварни превозни средства (N2 и N3) и за двете категории автобуси (M2 и M3), вместо данни</w:t>
      </w:r>
      <w:r>
        <w:rPr>
          <w:rFonts w:ascii="Times New Roman" w:hAnsi="Times New Roman"/>
          <w:noProof/>
          <w:sz w:val="24"/>
        </w:rPr>
        <w:t xml:space="preserve"> поотделно за всяка категория. Освен това Франция не предостави никаква информация за ремаркета (категории O3 и O4). Вследствие на това в доклада бяха използвани само данните за общия брой и при сравнението на подробностите предоставените от Франция данни </w:t>
      </w:r>
      <w:r>
        <w:rPr>
          <w:rFonts w:ascii="Times New Roman" w:hAnsi="Times New Roman"/>
          <w:noProof/>
          <w:sz w:val="24"/>
        </w:rPr>
        <w:t xml:space="preserve">не бяха взети под внимание.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Същевременно Германия използва класовете на превозните средства в сила преди въвеждането на измененията на Директива 2010/47/ЕС и не беше в състояние да предостави данните за различните категории превозни средства, изисквани по силата на измененията. В рез</w:t>
      </w:r>
      <w:r>
        <w:rPr>
          <w:rFonts w:ascii="Times New Roman" w:hAnsi="Times New Roman"/>
          <w:noProof/>
          <w:sz w:val="24"/>
        </w:rPr>
        <w:t xml:space="preserve">ултат на това, подробните данни за категориите превозни средства не можеха да се идентифицират, поради което за настоящия доклад бяха използвани само данните за общия брой.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Държавите членки са предоставили данните с различна степен на пълнота. Австрия</w:t>
      </w:r>
      <w:r>
        <w:rPr>
          <w:rFonts w:ascii="Times New Roman" w:hAnsi="Times New Roman"/>
          <w:noProof/>
          <w:sz w:val="24"/>
        </w:rPr>
        <w:t>, Чешката република, Румъния, Нидерландия, Гърция, Люксембург, Полша и Хърватия предоставиха данни и за превозните средства, регистрирани извън ЕС, класифицирани по държава на регистрация, а Белгия и Италия предоставиха обобщени данни за държавите извън ЕС</w:t>
      </w:r>
      <w:r>
        <w:rPr>
          <w:rFonts w:ascii="Times New Roman" w:hAnsi="Times New Roman"/>
          <w:noProof/>
          <w:sz w:val="24"/>
        </w:rPr>
        <w:t xml:space="preserve">. </w:t>
      </w:r>
    </w:p>
    <w:p w:rsidR="004E3017" w:rsidRDefault="005423BE">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10" w:name="_Toc353273653"/>
      <w:bookmarkStart w:id="11" w:name="_Toc467150075"/>
      <w:bookmarkStart w:id="12" w:name="_Toc475884681"/>
      <w:r>
        <w:rPr>
          <w:rFonts w:ascii="Times New Roman" w:hAnsi="Times New Roman"/>
          <w:b/>
          <w:smallCaps/>
          <w:noProof/>
          <w:sz w:val="24"/>
        </w:rPr>
        <w:t>4.</w:t>
      </w:r>
      <w:r>
        <w:rPr>
          <w:noProof/>
        </w:rPr>
        <w:tab/>
      </w:r>
      <w:r>
        <w:rPr>
          <w:rFonts w:ascii="Times New Roman" w:hAnsi="Times New Roman"/>
          <w:b/>
          <w:smallCaps/>
          <w:noProof/>
          <w:sz w:val="24"/>
        </w:rPr>
        <w:t>СЪДЪРЖАНИЕ НА ПРОВЕРКАТА</w:t>
      </w:r>
      <w:bookmarkEnd w:id="10"/>
      <w:bookmarkEnd w:id="11"/>
      <w:bookmarkEnd w:id="12"/>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Елементите, които е най-вероятно да бъдат проверявани и включвани в данните, изпращани от държавите членки, са най-малкото изброените в точка 10 от образеца на протокол, посочен в приложение І към Директива 2000/30/ЕО. Такива</w:t>
      </w:r>
      <w:r>
        <w:rPr>
          <w:rFonts w:ascii="Times New Roman" w:hAnsi="Times New Roman"/>
          <w:noProof/>
          <w:sz w:val="24"/>
        </w:rPr>
        <w:t xml:space="preserve"> са:</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идентификация;</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спирачно оборудване;</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кормилно управление;</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видимост;</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осветително оборудване и електрическа система;</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оси, колела, гуми, окачване;</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шаси и приставки на шасито;</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друго оборудване, вкл. тахограф и устройства за ограничаване на скоростта;</w:t>
      </w:r>
    </w:p>
    <w:p w:rsidR="004E3017" w:rsidRDefault="005423BE">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вредн</w:t>
      </w:r>
      <w:r>
        <w:rPr>
          <w:rFonts w:ascii="Times New Roman" w:hAnsi="Times New Roman"/>
          <w:noProof/>
          <w:sz w:val="24"/>
        </w:rPr>
        <w:t>о въздействие, вкл. емисии и разлив на гориво и/или масло.</w:t>
      </w:r>
      <w:bookmarkStart w:id="13" w:name="_Toc353273654"/>
    </w:p>
    <w:p w:rsidR="004E3017" w:rsidRDefault="004E3017">
      <w:pPr>
        <w:spacing w:after="240" w:line="240" w:lineRule="auto"/>
        <w:jc w:val="both"/>
        <w:rPr>
          <w:rFonts w:ascii="Times New Roman" w:eastAsia="Times New Roman" w:hAnsi="Times New Roman"/>
          <w:noProof/>
          <w:sz w:val="24"/>
          <w:szCs w:val="20"/>
        </w:rPr>
      </w:pPr>
    </w:p>
    <w:p w:rsidR="004E3017" w:rsidRDefault="005423BE">
      <w:pPr>
        <w:keepNext/>
        <w:tabs>
          <w:tab w:val="left" w:pos="850"/>
        </w:tabs>
        <w:spacing w:before="360" w:after="120" w:line="240" w:lineRule="auto"/>
        <w:jc w:val="both"/>
        <w:outlineLvl w:val="0"/>
        <w:rPr>
          <w:rFonts w:ascii="Times New Roman" w:eastAsia="Times New Roman" w:hAnsi="Times New Roman"/>
          <w:b/>
          <w:smallCaps/>
          <w:noProof/>
          <w:sz w:val="24"/>
          <w:szCs w:val="24"/>
        </w:rPr>
      </w:pPr>
      <w:bookmarkStart w:id="14" w:name="_Toc467150076"/>
      <w:bookmarkStart w:id="15" w:name="_Toc475884682"/>
      <w:r>
        <w:rPr>
          <w:rFonts w:ascii="Times New Roman" w:hAnsi="Times New Roman"/>
          <w:b/>
          <w:smallCaps/>
          <w:noProof/>
          <w:sz w:val="24"/>
        </w:rPr>
        <w:t>5.</w:t>
      </w:r>
      <w:r>
        <w:rPr>
          <w:noProof/>
        </w:rPr>
        <w:tab/>
      </w:r>
      <w:r>
        <w:rPr>
          <w:rFonts w:ascii="Times New Roman" w:hAnsi="Times New Roman"/>
          <w:b/>
          <w:smallCaps/>
          <w:noProof/>
          <w:sz w:val="24"/>
        </w:rPr>
        <w:t>СТАТИСТИЧЕСКИ ДАННИ</w:t>
      </w:r>
      <w:bookmarkEnd w:id="13"/>
      <w:bookmarkEnd w:id="14"/>
      <w:bookmarkEnd w:id="15"/>
    </w:p>
    <w:p w:rsidR="004E3017" w:rsidRDefault="005423BE">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6" w:name="_Toc467150077"/>
      <w:bookmarkStart w:id="17" w:name="_Toc475884683"/>
      <w:r>
        <w:rPr>
          <w:rFonts w:ascii="Times New Roman" w:hAnsi="Times New Roman"/>
          <w:b/>
          <w:noProof/>
          <w:sz w:val="24"/>
        </w:rPr>
        <w:t xml:space="preserve">5.1. </w:t>
      </w:r>
      <w:r>
        <w:rPr>
          <w:noProof/>
        </w:rPr>
        <w:tab/>
      </w:r>
      <w:r>
        <w:rPr>
          <w:rFonts w:ascii="Times New Roman" w:hAnsi="Times New Roman"/>
          <w:b/>
          <w:noProof/>
          <w:sz w:val="24"/>
        </w:rPr>
        <w:t>Общ брой на проверените МПС и техния произход</w:t>
      </w:r>
      <w:bookmarkEnd w:id="16"/>
      <w:bookmarkEnd w:id="17"/>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Съгласно член 3 от Директива 2000/30/ЕО проверките трябва да се извършват без дискриминация на основата на националността на водача или държавата на регистрация.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сравнение с предходния период са направени </w:t>
      </w:r>
      <w:r>
        <w:rPr>
          <w:rFonts w:ascii="Times New Roman" w:hAnsi="Times New Roman"/>
          <w:b/>
          <w:noProof/>
          <w:sz w:val="24"/>
        </w:rPr>
        <w:t>2 561 820 по-малко проверки</w:t>
      </w:r>
      <w:r>
        <w:rPr>
          <w:rFonts w:ascii="Times New Roman" w:hAnsi="Times New Roman"/>
          <w:noProof/>
          <w:sz w:val="24"/>
        </w:rPr>
        <w:t xml:space="preserve"> през 2013—2014 г., </w:t>
      </w:r>
      <w:r>
        <w:rPr>
          <w:rFonts w:ascii="Times New Roman" w:hAnsi="Times New Roman"/>
          <w:b/>
          <w:noProof/>
          <w:sz w:val="24"/>
        </w:rPr>
        <w:t>което представлява намаление от 31,5 %.</w:t>
      </w:r>
      <w:r>
        <w:rPr>
          <w:rFonts w:ascii="Times New Roman" w:hAnsi="Times New Roman"/>
          <w:noProof/>
          <w:sz w:val="24"/>
        </w:rPr>
        <w:t xml:space="preserve">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Може да се наблюдава изключителна промяна в данните, съобщени от Финландия, които не включват проверки на превозни средства извън ЕС, в резултат на което общият брой на проверките е намалял наполовина в сравнение с </w:t>
      </w:r>
      <w:r>
        <w:rPr>
          <w:rFonts w:ascii="Times New Roman" w:hAnsi="Times New Roman"/>
          <w:noProof/>
          <w:sz w:val="24"/>
        </w:rPr>
        <w:t>предходния период, а делът на регистрираните във Финландия превозни средства се е увеличил с 30 %.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Въпреки че Полша също е отчела данни за превозни средства от държави извън ЕС, общият брой на проверките е два пъти по-нисък от този за предходния период. Съ</w:t>
      </w:r>
      <w:r>
        <w:rPr>
          <w:rFonts w:ascii="Times New Roman" w:hAnsi="Times New Roman"/>
          <w:noProof/>
          <w:sz w:val="24"/>
        </w:rPr>
        <w:t>щевременно делът на проверените полски превозни средства е намалял от 92,1 % на 47,3 %, което означава, че Полша е акцентирала предимно върху проверката на чуждестранните превозни средства, регистрирани по-специално в държави извън ЕС, като се има предвид,</w:t>
      </w:r>
      <w:r>
        <w:rPr>
          <w:rFonts w:ascii="Times New Roman" w:hAnsi="Times New Roman"/>
          <w:noProof/>
          <w:sz w:val="24"/>
        </w:rPr>
        <w:t xml:space="preserve"> че броят на тези проверки е пет пъти по-голям, отколкото през 2011—2012 г. </w:t>
      </w:r>
    </w:p>
    <w:p w:rsidR="004E3017" w:rsidRDefault="005423BE">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Белгия и Люксембург се отчели по-висок дял на подложените на крайпътни проверки чуждестранни превозни средства, какъвто е бил случаят в двата предходни периода (2011—2012 г. и 200</w:t>
      </w:r>
      <w:r>
        <w:rPr>
          <w:rFonts w:ascii="Times New Roman" w:hAnsi="Times New Roman"/>
          <w:noProof/>
          <w:sz w:val="24"/>
        </w:rPr>
        <w:t>9—2010 г.)</w:t>
      </w:r>
      <w:r>
        <w:rPr>
          <w:rStyle w:val="FootnoteReference"/>
          <w:noProof/>
        </w:rPr>
        <w:footnoteReference w:id="7"/>
      </w:r>
      <w:r>
        <w:rPr>
          <w:noProof/>
        </w:rPr>
        <w:t>.</w:t>
      </w:r>
      <w:r>
        <w:rPr>
          <w:rFonts w:ascii="Times New Roman" w:hAnsi="Times New Roman"/>
          <w:noProof/>
          <w:sz w:val="24"/>
        </w:rPr>
        <w:t xml:space="preserve"> Други държави членки със значителен транзитен трафик докладват по-балансирано съотношение между проверените местни и чуждестранни превозни средства. Поради географското си положение Кипър и Ирландия са докладвали само за превозни средства, рег</w:t>
      </w:r>
      <w:r>
        <w:rPr>
          <w:rFonts w:ascii="Times New Roman" w:hAnsi="Times New Roman"/>
          <w:noProof/>
          <w:sz w:val="24"/>
        </w:rPr>
        <w:t>истрирани в самите държави членки, а много висок дял от местни превозни средства може да се наблюдава и в Малта, Естония и Румъния.</w:t>
      </w:r>
      <w:r>
        <w:rPr>
          <w:rFonts w:ascii="Times New Roman" w:hAnsi="Times New Roman"/>
          <w:noProof/>
          <w:sz w:val="24"/>
          <w:highlight w:val="yellow"/>
        </w:rPr>
        <w:t xml:space="preserve">    </w:t>
      </w:r>
    </w:p>
    <w:p w:rsidR="004E3017" w:rsidRDefault="004E3017">
      <w:pPr>
        <w:spacing w:before="120" w:after="120" w:line="240" w:lineRule="auto"/>
        <w:jc w:val="both"/>
        <w:rPr>
          <w:rFonts w:ascii="Times New Roman" w:eastAsia="Times New Roman" w:hAnsi="Times New Roman"/>
          <w:noProof/>
          <w:sz w:val="24"/>
          <w:szCs w:val="24"/>
          <w:highlight w:val="yellow"/>
        </w:rPr>
      </w:pPr>
    </w:p>
    <w:p w:rsidR="004E3017" w:rsidRDefault="005423BE">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Таблица 2: Произход на проверените превозни средства</w:t>
      </w:r>
    </w:p>
    <w:tbl>
      <w:tblPr>
        <w:tblW w:w="0" w:type="auto"/>
        <w:tblInd w:w="93" w:type="dxa"/>
        <w:tblLayout w:type="fixed"/>
        <w:tblLook w:val="04A0" w:firstRow="1" w:lastRow="0" w:firstColumn="1" w:lastColumn="0" w:noHBand="0" w:noVBand="1"/>
      </w:tblPr>
      <w:tblGrid>
        <w:gridCol w:w="1744"/>
        <w:gridCol w:w="1335"/>
        <w:gridCol w:w="1406"/>
        <w:gridCol w:w="1406"/>
        <w:gridCol w:w="1380"/>
        <w:gridCol w:w="1469"/>
      </w:tblGrid>
      <w:tr w:rsidR="004E3017">
        <w:trPr>
          <w:cantSplit/>
          <w:trHeight w:val="690"/>
          <w:tblHeader/>
        </w:trPr>
        <w:tc>
          <w:tcPr>
            <w:tcW w:w="17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E3017" w:rsidRDefault="005423B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Докладваща държава членка</w:t>
            </w:r>
          </w:p>
        </w:tc>
        <w:tc>
          <w:tcPr>
            <w:tcW w:w="1335" w:type="dxa"/>
            <w:tcBorders>
              <w:top w:val="single" w:sz="4" w:space="0" w:color="auto"/>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Регистрирани в държавата членка</w:t>
            </w:r>
          </w:p>
        </w:tc>
        <w:tc>
          <w:tcPr>
            <w:tcW w:w="1406" w:type="dxa"/>
            <w:tcBorders>
              <w:top w:val="single" w:sz="4" w:space="0" w:color="auto"/>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Регистри</w:t>
            </w:r>
            <w:r>
              <w:rPr>
                <w:rFonts w:ascii="Times New Roman" w:hAnsi="Times New Roman"/>
                <w:b/>
                <w:noProof/>
                <w:color w:val="000000"/>
                <w:sz w:val="20"/>
              </w:rPr>
              <w:t>рани в друга държава членка</w:t>
            </w:r>
          </w:p>
        </w:tc>
        <w:tc>
          <w:tcPr>
            <w:tcW w:w="1406" w:type="dxa"/>
            <w:tcBorders>
              <w:top w:val="single" w:sz="4" w:space="0" w:color="auto"/>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Регистрирани извън ЕС</w:t>
            </w:r>
          </w:p>
        </w:tc>
        <w:tc>
          <w:tcPr>
            <w:tcW w:w="1380" w:type="dxa"/>
            <w:tcBorders>
              <w:top w:val="single" w:sz="4" w:space="0" w:color="auto"/>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Общо</w:t>
            </w:r>
          </w:p>
        </w:tc>
        <w:tc>
          <w:tcPr>
            <w:tcW w:w="1469" w:type="dxa"/>
            <w:tcBorders>
              <w:top w:val="single" w:sz="4" w:space="0" w:color="auto"/>
              <w:left w:val="nil"/>
              <w:bottom w:val="single" w:sz="4" w:space="0" w:color="auto"/>
              <w:right w:val="single" w:sz="4" w:space="0" w:color="auto"/>
            </w:tcBorders>
            <w:shd w:val="clear" w:color="000000" w:fill="BFBFBF"/>
            <w:vAlign w:val="center"/>
            <w:hideMark/>
          </w:tcPr>
          <w:p w:rsidR="004E3017" w:rsidRDefault="005423BE">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Превозни средства от държавите членки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Белгия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6203</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11 287</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583</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18 073</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34,3 %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България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254 651</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65 752</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922</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321 325</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79,3 %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Чешка република</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81 711</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51 945</w:t>
            </w:r>
          </w:p>
        </w:tc>
        <w:tc>
          <w:tcPr>
            <w:tcW w:w="1406"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3325</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136 981</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59,7 %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Дания</w:t>
            </w:r>
          </w:p>
        </w:tc>
        <w:tc>
          <w:tcPr>
            <w:tcW w:w="1335"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1748</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333</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2081</w:t>
            </w:r>
          </w:p>
        </w:tc>
        <w:tc>
          <w:tcPr>
            <w:tcW w:w="146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84,0 %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Германия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989 524</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541 168</w:t>
            </w:r>
          </w:p>
        </w:tc>
        <w:tc>
          <w:tcPr>
            <w:tcW w:w="1406"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70 036</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1 600 728</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61,8 %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Естония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1669</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20</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1689</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98,8 %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Ирландия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12 939</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100,0 %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Гърция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14 922</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1424</w:t>
            </w:r>
          </w:p>
        </w:tc>
        <w:tc>
          <w:tcPr>
            <w:tcW w:w="1406"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470</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16 816</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88,7 %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Испания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652 259</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70 991</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723 250</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90,2 %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Франция*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460 918</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572 841</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19 933</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1 053 692</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43,7 %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Италия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10 153</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4576</w:t>
            </w:r>
          </w:p>
        </w:tc>
        <w:tc>
          <w:tcPr>
            <w:tcW w:w="1406"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414</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15 143</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67,0 %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Кипър</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1174</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1174</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100,0 %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Латвия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4196</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1711</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194</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6 101</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68,8 %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Литва</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64 531</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15 329</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79 860</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80,8 %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Люксембург</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125</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584</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726</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17,2 %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Унгария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164 307</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52 197</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216 504</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75,9 %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Малта</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3968</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4012</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98,9 %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Нидерландия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4373</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4256</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231</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8860</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49,4 %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Австрия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23 416</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23 932</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1536</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48 884</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47,9 %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Полша</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420 147</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74 007</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393 957</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888 111</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47,3 %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Португалия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602</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631</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95,4 %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Румъния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7 404</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516</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215</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8135</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91,0 %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Словения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3948</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1165</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5113</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77,2 %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Словакия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11 135</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5076</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16 211</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68,7 %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Финландия</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9 250</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1902</w:t>
            </w:r>
          </w:p>
        </w:tc>
        <w:tc>
          <w:tcPr>
            <w:tcW w:w="1406"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11 152</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82,9 %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Швеция</w:t>
            </w:r>
          </w:p>
        </w:tc>
        <w:tc>
          <w:tcPr>
            <w:tcW w:w="1335"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46 059</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7468</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53 527</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86,0 %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4E3017" w:rsidRDefault="005423BE">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Обединеното кралство</w:t>
            </w:r>
          </w:p>
        </w:tc>
        <w:tc>
          <w:tcPr>
            <w:tcW w:w="1335"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174 678</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118 160</w:t>
            </w:r>
          </w:p>
        </w:tc>
        <w:tc>
          <w:tcPr>
            <w:tcW w:w="14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292 838</w:t>
            </w:r>
          </w:p>
        </w:tc>
        <w:tc>
          <w:tcPr>
            <w:tcW w:w="1469" w:type="dxa"/>
            <w:tcBorders>
              <w:top w:val="nil"/>
              <w:left w:val="nil"/>
              <w:bottom w:val="single" w:sz="4" w:space="0" w:color="auto"/>
              <w:right w:val="single" w:sz="4" w:space="0" w:color="auto"/>
            </w:tcBorders>
            <w:shd w:val="clear" w:color="FF0000" w:fill="auto"/>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59,7 %</w:t>
            </w:r>
          </w:p>
        </w:tc>
      </w:tr>
      <w:tr w:rsidR="004E3017">
        <w:trPr>
          <w:trHeight w:val="300"/>
        </w:trPr>
        <w:tc>
          <w:tcPr>
            <w:tcW w:w="1744" w:type="dxa"/>
            <w:tcBorders>
              <w:top w:val="nil"/>
              <w:left w:val="single" w:sz="4" w:space="0" w:color="auto"/>
              <w:bottom w:val="single" w:sz="4" w:space="0" w:color="auto"/>
              <w:right w:val="single" w:sz="4" w:space="0" w:color="auto"/>
            </w:tcBorders>
            <w:shd w:val="clear" w:color="FF0000" w:fill="BFBFBF"/>
            <w:noWrap/>
            <w:vAlign w:val="center"/>
            <w:hideMark/>
          </w:tcPr>
          <w:p w:rsidR="004E3017" w:rsidRDefault="005423BE">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1335" w:type="dxa"/>
            <w:tcBorders>
              <w:top w:val="nil"/>
              <w:left w:val="nil"/>
              <w:bottom w:val="single" w:sz="4" w:space="0" w:color="auto"/>
              <w:right w:val="single" w:sz="4" w:space="0" w:color="auto"/>
            </w:tcBorders>
            <w:shd w:val="clear" w:color="FF0000" w:fill="BFBFBF"/>
            <w:noWrap/>
            <w:vAlign w:val="center"/>
            <w:hideMark/>
          </w:tcPr>
          <w:p w:rsidR="004E3017" w:rsidRDefault="005423B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3 455 127</w:t>
            </w:r>
          </w:p>
        </w:tc>
        <w:tc>
          <w:tcPr>
            <w:tcW w:w="1406" w:type="dxa"/>
            <w:tcBorders>
              <w:top w:val="nil"/>
              <w:left w:val="nil"/>
              <w:bottom w:val="single" w:sz="4" w:space="0" w:color="auto"/>
              <w:right w:val="single" w:sz="4" w:space="0" w:color="auto"/>
            </w:tcBorders>
            <w:shd w:val="clear" w:color="FF0000" w:fill="BFBFBF"/>
            <w:noWrap/>
            <w:vAlign w:val="center"/>
            <w:hideMark/>
          </w:tcPr>
          <w:p w:rsidR="004E3017" w:rsidRDefault="005423B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1 629 421</w:t>
            </w:r>
          </w:p>
        </w:tc>
        <w:tc>
          <w:tcPr>
            <w:tcW w:w="1406" w:type="dxa"/>
            <w:tcBorders>
              <w:top w:val="nil"/>
              <w:left w:val="nil"/>
              <w:bottom w:val="single" w:sz="4" w:space="0" w:color="auto"/>
              <w:right w:val="single" w:sz="4" w:space="0" w:color="auto"/>
            </w:tcBorders>
            <w:shd w:val="clear" w:color="FF0000" w:fill="BFBFBF"/>
            <w:noWrap/>
            <w:vAlign w:val="center"/>
            <w:hideMark/>
          </w:tcPr>
          <w:p w:rsidR="004E3017" w:rsidRDefault="005423B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499 616</w:t>
            </w:r>
          </w:p>
        </w:tc>
        <w:tc>
          <w:tcPr>
            <w:tcW w:w="1380" w:type="dxa"/>
            <w:tcBorders>
              <w:top w:val="nil"/>
              <w:left w:val="nil"/>
              <w:bottom w:val="single" w:sz="4" w:space="0" w:color="auto"/>
              <w:right w:val="single" w:sz="4" w:space="0" w:color="auto"/>
            </w:tcBorders>
            <w:shd w:val="clear" w:color="FF0000" w:fill="BFBFBF"/>
            <w:noWrap/>
            <w:vAlign w:val="center"/>
            <w:hideMark/>
          </w:tcPr>
          <w:p w:rsidR="004E3017" w:rsidRDefault="005423B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5 584 164</w:t>
            </w:r>
          </w:p>
        </w:tc>
        <w:tc>
          <w:tcPr>
            <w:tcW w:w="1469" w:type="dxa"/>
            <w:tcBorders>
              <w:top w:val="nil"/>
              <w:left w:val="nil"/>
              <w:bottom w:val="single" w:sz="4" w:space="0" w:color="auto"/>
              <w:right w:val="single" w:sz="4" w:space="0" w:color="auto"/>
            </w:tcBorders>
            <w:shd w:val="clear" w:color="FF0000" w:fill="BFBFBF"/>
            <w:noWrap/>
            <w:vAlign w:val="center"/>
            <w:hideMark/>
          </w:tcPr>
          <w:p w:rsidR="004E3017" w:rsidRDefault="005423BE">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61,9 %</w:t>
            </w:r>
          </w:p>
        </w:tc>
      </w:tr>
    </w:tbl>
    <w:p w:rsidR="004E3017" w:rsidRDefault="005423BE">
      <w:pPr>
        <w:spacing w:before="120" w:after="120" w:line="240" w:lineRule="auto"/>
        <w:rPr>
          <w:rFonts w:ascii="Times New Roman" w:eastAsia="Times New Roman" w:hAnsi="Times New Roman"/>
          <w:noProof/>
          <w:sz w:val="20"/>
          <w:szCs w:val="24"/>
        </w:rPr>
      </w:pPr>
      <w:r>
        <w:rPr>
          <w:rFonts w:ascii="Times New Roman" w:hAnsi="Times New Roman"/>
          <w:noProof/>
          <w:sz w:val="20"/>
        </w:rPr>
        <w:t>* Франция не е докладвала данни за ремаркетата от категории O3 и O4</w:t>
      </w:r>
    </w:p>
    <w:p w:rsidR="004E3017" w:rsidRDefault="004E3017">
      <w:pPr>
        <w:spacing w:before="120" w:after="120" w:line="240" w:lineRule="auto"/>
        <w:rPr>
          <w:rFonts w:ascii="Times New Roman" w:eastAsia="Times New Roman" w:hAnsi="Times New Roman"/>
          <w:noProof/>
          <w:sz w:val="20"/>
          <w:szCs w:val="24"/>
        </w:rPr>
      </w:pPr>
    </w:p>
    <w:p w:rsidR="004E3017" w:rsidRDefault="005423BE">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8" w:name="_Toc353273656"/>
      <w:bookmarkStart w:id="19" w:name="_Toc467150078"/>
      <w:bookmarkStart w:id="20" w:name="_Toc475884684"/>
      <w:r>
        <w:rPr>
          <w:rFonts w:ascii="Times New Roman" w:hAnsi="Times New Roman"/>
          <w:b/>
          <w:noProof/>
          <w:sz w:val="24"/>
        </w:rPr>
        <w:t>5.2.</w:t>
      </w:r>
      <w:r>
        <w:rPr>
          <w:noProof/>
        </w:rPr>
        <w:tab/>
      </w:r>
      <w:r>
        <w:rPr>
          <w:rFonts w:ascii="Times New Roman" w:hAnsi="Times New Roman"/>
          <w:b/>
          <w:noProof/>
          <w:sz w:val="24"/>
        </w:rPr>
        <w:t>Спрени от движение МПС</w:t>
      </w:r>
      <w:bookmarkEnd w:id="18"/>
      <w:bookmarkEnd w:id="19"/>
      <w:bookmarkEnd w:id="20"/>
    </w:p>
    <w:p w:rsidR="004E3017" w:rsidRDefault="005423BE">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Превозни средства с опасни неизправности, които представляват сериозен риск за пътуващите в тях или за другите участници в пътното движение, могат да бъдат спрени от движение до отстраняване на тези неизправности. Съгласно информация</w:t>
      </w:r>
      <w:r>
        <w:rPr>
          <w:rFonts w:ascii="Times New Roman" w:hAnsi="Times New Roman"/>
          <w:noProof/>
          <w:sz w:val="24"/>
        </w:rPr>
        <w:t xml:space="preserve">та, изпратена от държавите членки, отношението на спрените от движение превозни средства спрямо общия брой на проверените превозни средства варира значително между отделните държави членки — от високите </w:t>
      </w:r>
      <w:r>
        <w:rPr>
          <w:rFonts w:ascii="Times New Roman" w:hAnsi="Times New Roman"/>
          <w:b/>
          <w:noProof/>
          <w:sz w:val="24"/>
        </w:rPr>
        <w:t>90,1 % в Естония</w:t>
      </w:r>
      <w:r>
        <w:rPr>
          <w:rFonts w:ascii="Times New Roman" w:hAnsi="Times New Roman"/>
          <w:noProof/>
          <w:sz w:val="24"/>
        </w:rPr>
        <w:t xml:space="preserve"> до само </w:t>
      </w:r>
      <w:r>
        <w:rPr>
          <w:rFonts w:ascii="Times New Roman" w:hAnsi="Times New Roman"/>
          <w:b/>
          <w:noProof/>
          <w:sz w:val="24"/>
        </w:rPr>
        <w:t xml:space="preserve">0,2 % в Чешката република и </w:t>
      </w:r>
      <w:r>
        <w:rPr>
          <w:rFonts w:ascii="Times New Roman" w:hAnsi="Times New Roman"/>
          <w:b/>
          <w:noProof/>
          <w:sz w:val="24"/>
        </w:rPr>
        <w:t xml:space="preserve">дори 0 % в Португалия.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Съотношението на броя на спрените от движение превозни средства, регистрирани в съответната държава членка, спрямо този на спрените от движение превозни средства, регистрирани в друга държава членка, показва, че е вероятно местните </w:t>
      </w:r>
      <w:r>
        <w:rPr>
          <w:rFonts w:ascii="Times New Roman" w:hAnsi="Times New Roman"/>
          <w:noProof/>
          <w:sz w:val="24"/>
        </w:rPr>
        <w:t xml:space="preserve">превозни средства да са по-лошо поддържани от онези, които се изпращат в чужбина и се поддържат в по-добро състояние. Значителни разлики се наблюдават в </w:t>
      </w:r>
      <w:r>
        <w:rPr>
          <w:rFonts w:ascii="Times New Roman" w:hAnsi="Times New Roman"/>
          <w:b/>
          <w:noProof/>
          <w:sz w:val="24"/>
        </w:rPr>
        <w:t>Естония с 90,1 % спрени от движение местни превозни средства</w:t>
      </w:r>
      <w:r>
        <w:rPr>
          <w:rFonts w:ascii="Times New Roman" w:hAnsi="Times New Roman"/>
          <w:noProof/>
          <w:sz w:val="24"/>
        </w:rPr>
        <w:t xml:space="preserve"> и </w:t>
      </w:r>
      <w:r>
        <w:rPr>
          <w:rFonts w:ascii="Times New Roman" w:hAnsi="Times New Roman"/>
          <w:b/>
          <w:noProof/>
          <w:sz w:val="24"/>
        </w:rPr>
        <w:t>45 % спрени от движение превозни средств</w:t>
      </w:r>
      <w:r>
        <w:rPr>
          <w:rFonts w:ascii="Times New Roman" w:hAnsi="Times New Roman"/>
          <w:b/>
          <w:noProof/>
          <w:sz w:val="24"/>
        </w:rPr>
        <w:t>а от други държави членки</w:t>
      </w:r>
      <w:r>
        <w:rPr>
          <w:rFonts w:ascii="Times New Roman" w:hAnsi="Times New Roman"/>
          <w:noProof/>
          <w:sz w:val="24"/>
        </w:rPr>
        <w:t xml:space="preserve">. Същото съотношение в </w:t>
      </w:r>
      <w:r>
        <w:rPr>
          <w:rFonts w:ascii="Times New Roman" w:hAnsi="Times New Roman"/>
          <w:b/>
          <w:noProof/>
          <w:sz w:val="24"/>
        </w:rPr>
        <w:t>Швеция</w:t>
      </w:r>
      <w:r>
        <w:rPr>
          <w:rFonts w:ascii="Times New Roman" w:hAnsi="Times New Roman"/>
          <w:noProof/>
          <w:sz w:val="24"/>
        </w:rPr>
        <w:t xml:space="preserve"> е </w:t>
      </w:r>
      <w:r>
        <w:rPr>
          <w:rFonts w:ascii="Times New Roman" w:hAnsi="Times New Roman"/>
          <w:b/>
          <w:noProof/>
          <w:sz w:val="24"/>
        </w:rPr>
        <w:t xml:space="preserve">82,3 % към 39,6 %, </w:t>
      </w:r>
      <w:r>
        <w:rPr>
          <w:rFonts w:ascii="Times New Roman" w:hAnsi="Times New Roman"/>
          <w:noProof/>
          <w:sz w:val="24"/>
        </w:rPr>
        <w:t xml:space="preserve">в </w:t>
      </w:r>
      <w:r>
        <w:rPr>
          <w:rFonts w:ascii="Times New Roman" w:hAnsi="Times New Roman"/>
          <w:b/>
          <w:noProof/>
          <w:sz w:val="24"/>
        </w:rPr>
        <w:t xml:space="preserve"> Малта — 48,7 % към 13,6 %, </w:t>
      </w:r>
      <w:r>
        <w:rPr>
          <w:rFonts w:ascii="Times New Roman" w:hAnsi="Times New Roman"/>
          <w:noProof/>
          <w:sz w:val="24"/>
        </w:rPr>
        <w:t xml:space="preserve">докато в </w:t>
      </w:r>
      <w:r>
        <w:rPr>
          <w:rFonts w:ascii="Times New Roman" w:hAnsi="Times New Roman"/>
          <w:b/>
          <w:noProof/>
          <w:sz w:val="24"/>
        </w:rPr>
        <w:t>Италия то е 44,6 % към 26,1 %.</w:t>
      </w:r>
      <w:r>
        <w:rPr>
          <w:rFonts w:ascii="Times New Roman" w:hAnsi="Times New Roman"/>
          <w:noProof/>
          <w:sz w:val="24"/>
        </w:rPr>
        <w:t xml:space="preserve">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Австрия </w:t>
      </w:r>
      <w:r>
        <w:rPr>
          <w:rFonts w:ascii="Times New Roman" w:hAnsi="Times New Roman"/>
          <w:noProof/>
          <w:sz w:val="24"/>
        </w:rPr>
        <w:t xml:space="preserve"> е докладвала относително високи, но в същото време балансирани дялове на </w:t>
      </w:r>
      <w:r>
        <w:rPr>
          <w:rFonts w:ascii="Times New Roman" w:hAnsi="Times New Roman"/>
          <w:b/>
          <w:noProof/>
          <w:sz w:val="24"/>
        </w:rPr>
        <w:t>местни — 55,9 % — и ч</w:t>
      </w:r>
      <w:r>
        <w:rPr>
          <w:rFonts w:ascii="Times New Roman" w:hAnsi="Times New Roman"/>
          <w:b/>
          <w:noProof/>
          <w:sz w:val="24"/>
        </w:rPr>
        <w:t>уждестранни — 58,7 % — превозни средства, спрени от движение.</w:t>
      </w:r>
      <w:r>
        <w:rPr>
          <w:rFonts w:ascii="Times New Roman" w:hAnsi="Times New Roman"/>
          <w:noProof/>
          <w:sz w:val="24"/>
        </w:rPr>
        <w:t xml:space="preserve"> Тези цифри сочат, че в Австрия целевото откриване на зле поддържаните превозни средства се извършва с по-висок успех, което повишава оперативната ефективност и намалява административната тежест.</w:t>
      </w:r>
      <w:r>
        <w:rPr>
          <w:rFonts w:ascii="Times New Roman" w:hAnsi="Times New Roman"/>
          <w:noProof/>
          <w:sz w:val="24"/>
        </w:rPr>
        <w:t xml:space="preserve">  Някои държави членки, като </w:t>
      </w:r>
      <w:r>
        <w:rPr>
          <w:rFonts w:ascii="Times New Roman" w:hAnsi="Times New Roman"/>
          <w:b/>
          <w:noProof/>
          <w:sz w:val="24"/>
        </w:rPr>
        <w:t>Естония (от 90,1 % към 45 %), Финландия (56 % към 34,9 %) или Италия (44,6 към 26,1 %),</w:t>
      </w:r>
      <w:r>
        <w:rPr>
          <w:rFonts w:ascii="Times New Roman" w:hAnsi="Times New Roman"/>
          <w:noProof/>
          <w:sz w:val="24"/>
        </w:rPr>
        <w:t xml:space="preserve"> постигат по-големи успехи в откриването на местни превозни средства, докато делът на спрените от движение превозни средства, регистрирани в</w:t>
      </w:r>
      <w:r>
        <w:rPr>
          <w:rFonts w:ascii="Times New Roman" w:hAnsi="Times New Roman"/>
          <w:noProof/>
          <w:sz w:val="24"/>
        </w:rPr>
        <w:t xml:space="preserve"> други държави членки, сочи, че е по-малко вероятно зле поддържаните превозни средства да станат обект на крайпътна проверка. Забележително ниските дялове на спиране от движение както на местни, така и на чуждестранните превозни средства, наблюдавани в </w:t>
      </w:r>
      <w:r>
        <w:rPr>
          <w:rFonts w:ascii="Times New Roman" w:hAnsi="Times New Roman"/>
          <w:b/>
          <w:noProof/>
          <w:sz w:val="24"/>
        </w:rPr>
        <w:t>Чеш</w:t>
      </w:r>
      <w:r>
        <w:rPr>
          <w:rFonts w:ascii="Times New Roman" w:hAnsi="Times New Roman"/>
          <w:b/>
          <w:noProof/>
          <w:sz w:val="24"/>
        </w:rPr>
        <w:t>ката република — 0,5 % към 0,2 %, България — 1,7 % към 2,3 %, Латвия — 0,7 % към 1,1 %, Литва — 1 % към 2 % или Нидерландия — 1,2 % към 1,3 %</w:t>
      </w:r>
      <w:r>
        <w:rPr>
          <w:rFonts w:ascii="Times New Roman" w:hAnsi="Times New Roman"/>
          <w:noProof/>
          <w:sz w:val="24"/>
        </w:rPr>
        <w:t xml:space="preserve">, сочат, че методът за откриване на неизправни търговски превозни средства е доста слабо развит.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сравнение с </w:t>
      </w:r>
      <w:r>
        <w:rPr>
          <w:rFonts w:ascii="Times New Roman" w:hAnsi="Times New Roman"/>
          <w:noProof/>
          <w:sz w:val="24"/>
        </w:rPr>
        <w:t xml:space="preserve">равнищата на спиране от движение за предходния период, резултатите показват впечатляващото развитие в методите за откриване в някои държави членки. Общият </w:t>
      </w:r>
      <w:r>
        <w:rPr>
          <w:rFonts w:ascii="Times New Roman" w:hAnsi="Times New Roman"/>
          <w:b/>
          <w:noProof/>
          <w:sz w:val="24"/>
        </w:rPr>
        <w:t xml:space="preserve">дял на спрените от движение превозни средства </w:t>
      </w:r>
      <w:r>
        <w:rPr>
          <w:rFonts w:ascii="Times New Roman" w:hAnsi="Times New Roman"/>
          <w:noProof/>
          <w:sz w:val="24"/>
        </w:rPr>
        <w:t xml:space="preserve"> от ЕС </w:t>
      </w:r>
      <w:r>
        <w:rPr>
          <w:rFonts w:ascii="Times New Roman" w:hAnsi="Times New Roman"/>
          <w:b/>
          <w:noProof/>
          <w:sz w:val="24"/>
        </w:rPr>
        <w:t xml:space="preserve"> в Швеция</w:t>
      </w:r>
      <w:r>
        <w:rPr>
          <w:rFonts w:ascii="Times New Roman" w:hAnsi="Times New Roman"/>
          <w:noProof/>
          <w:sz w:val="24"/>
        </w:rPr>
        <w:t xml:space="preserve"> за периода </w:t>
      </w:r>
      <w:r>
        <w:rPr>
          <w:rFonts w:ascii="Times New Roman" w:hAnsi="Times New Roman"/>
          <w:b/>
          <w:noProof/>
          <w:sz w:val="24"/>
        </w:rPr>
        <w:t xml:space="preserve">2011—2012 г. е бил 17,8 %, </w:t>
      </w:r>
      <w:r>
        <w:rPr>
          <w:rFonts w:ascii="Times New Roman" w:hAnsi="Times New Roman"/>
          <w:noProof/>
          <w:sz w:val="24"/>
        </w:rPr>
        <w:t xml:space="preserve"> докато за </w:t>
      </w:r>
      <w:r>
        <w:rPr>
          <w:rFonts w:ascii="Times New Roman" w:hAnsi="Times New Roman"/>
          <w:b/>
          <w:noProof/>
          <w:sz w:val="24"/>
        </w:rPr>
        <w:t>текущия период той е 76,4 %.</w:t>
      </w:r>
      <w:r>
        <w:rPr>
          <w:rFonts w:ascii="Times New Roman" w:hAnsi="Times New Roman"/>
          <w:noProof/>
          <w:sz w:val="24"/>
        </w:rPr>
        <w:t xml:space="preserve"> </w:t>
      </w:r>
      <w:r>
        <w:rPr>
          <w:rFonts w:ascii="Times New Roman" w:hAnsi="Times New Roman"/>
          <w:b/>
          <w:noProof/>
          <w:sz w:val="24"/>
        </w:rPr>
        <w:t xml:space="preserve">Италия </w:t>
      </w:r>
      <w:r>
        <w:rPr>
          <w:rFonts w:ascii="Times New Roman" w:hAnsi="Times New Roman"/>
          <w:noProof/>
          <w:sz w:val="24"/>
        </w:rPr>
        <w:t xml:space="preserve"> също е докладвала за значително подобрение с едва </w:t>
      </w:r>
      <w:r>
        <w:rPr>
          <w:rFonts w:ascii="Times New Roman" w:hAnsi="Times New Roman"/>
          <w:b/>
          <w:noProof/>
          <w:sz w:val="24"/>
        </w:rPr>
        <w:t>12,9 %</w:t>
      </w:r>
      <w:r>
        <w:rPr>
          <w:rFonts w:ascii="Times New Roman" w:hAnsi="Times New Roman"/>
          <w:noProof/>
          <w:sz w:val="24"/>
        </w:rPr>
        <w:t xml:space="preserve"> за предходния и с </w:t>
      </w:r>
      <w:r>
        <w:rPr>
          <w:rFonts w:ascii="Times New Roman" w:hAnsi="Times New Roman"/>
          <w:b/>
          <w:noProof/>
          <w:sz w:val="24"/>
        </w:rPr>
        <w:t>38,9 %</w:t>
      </w:r>
      <w:r>
        <w:rPr>
          <w:rFonts w:ascii="Times New Roman" w:hAnsi="Times New Roman"/>
          <w:noProof/>
          <w:sz w:val="24"/>
        </w:rPr>
        <w:t xml:space="preserve"> за настоящия период, докато цифрите за </w:t>
      </w:r>
      <w:r>
        <w:rPr>
          <w:rFonts w:ascii="Times New Roman" w:hAnsi="Times New Roman"/>
          <w:b/>
          <w:noProof/>
          <w:sz w:val="24"/>
        </w:rPr>
        <w:t>Словакия са 22,6 % и 38 %</w:t>
      </w:r>
      <w:r>
        <w:rPr>
          <w:rFonts w:ascii="Times New Roman" w:hAnsi="Times New Roman"/>
          <w:noProof/>
          <w:sz w:val="24"/>
        </w:rPr>
        <w:t xml:space="preserve">. Независимо от това, данните сочат значително </w:t>
      </w:r>
      <w:r>
        <w:rPr>
          <w:rFonts w:ascii="Times New Roman" w:hAnsi="Times New Roman"/>
          <w:b/>
          <w:noProof/>
          <w:sz w:val="24"/>
        </w:rPr>
        <w:t>влошаване на по</w:t>
      </w:r>
      <w:r>
        <w:rPr>
          <w:rFonts w:ascii="Times New Roman" w:hAnsi="Times New Roman"/>
          <w:b/>
          <w:noProof/>
          <w:sz w:val="24"/>
        </w:rPr>
        <w:t>казателите в Румъния,</w:t>
      </w:r>
      <w:r>
        <w:rPr>
          <w:rFonts w:ascii="Times New Roman" w:hAnsi="Times New Roman"/>
          <w:noProof/>
          <w:sz w:val="24"/>
        </w:rPr>
        <w:t xml:space="preserve"> където делът на спрените от движение превозни средства </w:t>
      </w:r>
      <w:r>
        <w:rPr>
          <w:rFonts w:ascii="Times New Roman" w:hAnsi="Times New Roman"/>
          <w:b/>
          <w:noProof/>
          <w:sz w:val="24"/>
        </w:rPr>
        <w:t xml:space="preserve"> е намалял от 39,9 % на 4,3 %,</w:t>
      </w:r>
      <w:r>
        <w:rPr>
          <w:rFonts w:ascii="Times New Roman" w:hAnsi="Times New Roman"/>
          <w:noProof/>
          <w:sz w:val="24"/>
        </w:rPr>
        <w:t xml:space="preserve"> а в </w:t>
      </w:r>
      <w:r>
        <w:rPr>
          <w:rFonts w:ascii="Times New Roman" w:hAnsi="Times New Roman"/>
          <w:b/>
          <w:noProof/>
          <w:sz w:val="24"/>
        </w:rPr>
        <w:t>Люксембург — от 58,9 % на 4,4 %.</w:t>
      </w:r>
      <w:r>
        <w:rPr>
          <w:rFonts w:ascii="Times New Roman" w:hAnsi="Times New Roman"/>
          <w:noProof/>
          <w:sz w:val="24"/>
        </w:rPr>
        <w:t xml:space="preserve"> В </w:t>
      </w:r>
      <w:r>
        <w:rPr>
          <w:rFonts w:ascii="Times New Roman" w:hAnsi="Times New Roman"/>
          <w:b/>
          <w:noProof/>
          <w:sz w:val="24"/>
        </w:rPr>
        <w:t>Ирландия</w:t>
      </w:r>
      <w:r>
        <w:rPr>
          <w:rFonts w:ascii="Times New Roman" w:hAnsi="Times New Roman"/>
          <w:noProof/>
          <w:sz w:val="24"/>
        </w:rPr>
        <w:t xml:space="preserve"> намаляването е </w:t>
      </w:r>
      <w:r>
        <w:rPr>
          <w:rFonts w:ascii="Times New Roman" w:hAnsi="Times New Roman"/>
          <w:b/>
          <w:noProof/>
          <w:sz w:val="24"/>
        </w:rPr>
        <w:t>37,</w:t>
      </w:r>
      <w:r>
        <w:rPr>
          <w:rFonts w:ascii="Times New Roman" w:hAnsi="Times New Roman"/>
          <w:b/>
          <w:noProof/>
          <w:sz w:val="24"/>
          <w:lang w:val="ru-RU"/>
        </w:rPr>
        <w:t>4</w:t>
      </w:r>
      <w:r>
        <w:rPr>
          <w:rFonts w:ascii="Times New Roman" w:hAnsi="Times New Roman"/>
          <w:b/>
          <w:noProof/>
          <w:sz w:val="24"/>
        </w:rPr>
        <w:t> %</w:t>
      </w:r>
      <w:r>
        <w:rPr>
          <w:rFonts w:ascii="Times New Roman" w:hAnsi="Times New Roman"/>
          <w:noProof/>
          <w:sz w:val="24"/>
        </w:rPr>
        <w:t xml:space="preserve">, като делът на спрените от движение превозни средства е </w:t>
      </w:r>
      <w:r>
        <w:rPr>
          <w:rFonts w:ascii="Times New Roman" w:hAnsi="Times New Roman"/>
          <w:b/>
          <w:noProof/>
          <w:sz w:val="24"/>
        </w:rPr>
        <w:t>43,4 % за предходния и</w:t>
      </w:r>
      <w:r>
        <w:rPr>
          <w:rFonts w:ascii="Times New Roman" w:hAnsi="Times New Roman"/>
          <w:b/>
          <w:noProof/>
          <w:sz w:val="24"/>
        </w:rPr>
        <w:t xml:space="preserve"> 6 % за текущия период,</w:t>
      </w:r>
      <w:r>
        <w:rPr>
          <w:rFonts w:ascii="Times New Roman" w:hAnsi="Times New Roman"/>
          <w:noProof/>
          <w:sz w:val="24"/>
        </w:rPr>
        <w:t xml:space="preserve"> като се отчита и фактът, че Ирландия е докладвала изключително само за проверки на местни превозни средства и за двата периода. Причините за намаляването на дела на спрените от движение превозни средства са неизвестни за Комисията.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Делът на спрените от движение превозни средства в Естония (90,1 %), Швеция (82,3 %) и в Кипър (146,4 %) сочи възможното наличие на разлики не само в методите за проверка и оценка на неизправностите, но също и в метода за съставянето на доклада в държавите</w:t>
      </w:r>
      <w:r>
        <w:rPr>
          <w:rFonts w:ascii="Times New Roman" w:hAnsi="Times New Roman"/>
          <w:noProof/>
          <w:sz w:val="24"/>
        </w:rPr>
        <w:t xml:space="preserve"> членки. В Кипър, където докладваните случаи на спиране от движение на превозни средства са повече от броя на проверените превозни средства, вероятно става дума за различни неизправности, водещи до спиране от движение, които са регистрирани на едно превозн</w:t>
      </w:r>
      <w:r>
        <w:rPr>
          <w:rFonts w:ascii="Times New Roman" w:hAnsi="Times New Roman"/>
          <w:noProof/>
          <w:sz w:val="24"/>
        </w:rPr>
        <w:t>о средство, като отделните неизправности са отчетени като отделни случаи на спиране от движение. Трябва също да се отбележи, че независимо от задължението съгласно директивата да се съобщава „броят на проверените търговски превозни средства“, едно и също п</w:t>
      </w:r>
      <w:r>
        <w:rPr>
          <w:rFonts w:ascii="Times New Roman" w:hAnsi="Times New Roman"/>
          <w:noProof/>
          <w:sz w:val="24"/>
        </w:rPr>
        <w:t>ревозно средство може да бъде проверено от една и съща държава членка повече от веднъж през обхванатия период, което да се прояви в доклада като „брой на извършените проверки“.</w:t>
      </w:r>
    </w:p>
    <w:p w:rsidR="004E3017" w:rsidRDefault="004E3017">
      <w:pPr>
        <w:spacing w:before="120" w:after="120" w:line="240" w:lineRule="auto"/>
        <w:jc w:val="both"/>
        <w:rPr>
          <w:rFonts w:ascii="Times New Roman" w:eastAsia="Times New Roman" w:hAnsi="Times New Roman"/>
          <w:b/>
          <w:noProof/>
          <w:sz w:val="24"/>
          <w:szCs w:val="24"/>
        </w:rPr>
      </w:pPr>
    </w:p>
    <w:p w:rsidR="005423BE" w:rsidRDefault="005423BE">
      <w:pPr>
        <w:rPr>
          <w:rFonts w:ascii="Times New Roman" w:hAnsi="Times New Roman"/>
          <w:b/>
          <w:noProof/>
          <w:sz w:val="24"/>
        </w:rPr>
      </w:pPr>
      <w:r>
        <w:rPr>
          <w:rFonts w:ascii="Times New Roman" w:hAnsi="Times New Roman"/>
          <w:b/>
          <w:noProof/>
          <w:sz w:val="24"/>
        </w:rPr>
        <w:br w:type="page"/>
      </w:r>
    </w:p>
    <w:p w:rsidR="004E3017" w:rsidRDefault="005423BE">
      <w:pPr>
        <w:spacing w:before="120" w:after="120" w:line="240" w:lineRule="auto"/>
        <w:jc w:val="center"/>
        <w:rPr>
          <w:rFonts w:ascii="Times New Roman" w:eastAsia="Times New Roman" w:hAnsi="Times New Roman"/>
          <w:b/>
          <w:noProof/>
          <w:sz w:val="24"/>
          <w:szCs w:val="24"/>
        </w:rPr>
      </w:pPr>
      <w:bookmarkStart w:id="21" w:name="_GoBack"/>
      <w:bookmarkEnd w:id="21"/>
      <w:r>
        <w:rPr>
          <w:rFonts w:ascii="Times New Roman" w:hAnsi="Times New Roman"/>
          <w:b/>
          <w:noProof/>
          <w:sz w:val="24"/>
        </w:rPr>
        <w:t xml:space="preserve">Таблица 3: Дял на спрените от движение превозни средства спрямо общия брой на </w:t>
      </w:r>
      <w:r>
        <w:rPr>
          <w:rFonts w:ascii="Times New Roman" w:hAnsi="Times New Roman"/>
          <w:b/>
          <w:noProof/>
          <w:sz w:val="24"/>
        </w:rPr>
        <w:t>проверените превозни средства от ЕС</w:t>
      </w:r>
    </w:p>
    <w:tbl>
      <w:tblPr>
        <w:tblW w:w="9938" w:type="dxa"/>
        <w:tblInd w:w="93" w:type="dxa"/>
        <w:tblLayout w:type="fixed"/>
        <w:tblLook w:val="04A0" w:firstRow="1" w:lastRow="0" w:firstColumn="1" w:lastColumn="0" w:noHBand="0" w:noVBand="1"/>
      </w:tblPr>
      <w:tblGrid>
        <w:gridCol w:w="1456"/>
        <w:gridCol w:w="1253"/>
        <w:gridCol w:w="1470"/>
        <w:gridCol w:w="1506"/>
        <w:gridCol w:w="1176"/>
        <w:gridCol w:w="1518"/>
        <w:gridCol w:w="1559"/>
      </w:tblGrid>
      <w:tr w:rsidR="004E3017">
        <w:trPr>
          <w:trHeight w:val="300"/>
        </w:trPr>
        <w:tc>
          <w:tcPr>
            <w:tcW w:w="1456" w:type="dxa"/>
            <w:vMerge w:val="restart"/>
            <w:tcBorders>
              <w:top w:val="single" w:sz="4" w:space="0" w:color="auto"/>
              <w:left w:val="single" w:sz="4" w:space="0" w:color="auto"/>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Докладваща </w:t>
            </w:r>
            <w:r>
              <w:rPr>
                <w:rFonts w:ascii="Times New Roman" w:eastAsia="Times New Roman" w:hAnsi="Times New Roman"/>
                <w:b/>
                <w:bCs/>
                <w:noProof/>
                <w:color w:val="000000"/>
              </w:rPr>
              <w:br/>
            </w:r>
            <w:r>
              <w:rPr>
                <w:rFonts w:ascii="Times New Roman" w:hAnsi="Times New Roman"/>
                <w:b/>
                <w:noProof/>
                <w:color w:val="000000"/>
              </w:rPr>
              <w:t xml:space="preserve">държава </w:t>
            </w:r>
            <w:r>
              <w:rPr>
                <w:rFonts w:ascii="Times New Roman" w:eastAsia="Times New Roman" w:hAnsi="Times New Roman"/>
                <w:b/>
                <w:bCs/>
                <w:noProof/>
                <w:color w:val="000000"/>
              </w:rPr>
              <w:br/>
            </w:r>
            <w:r>
              <w:rPr>
                <w:rFonts w:ascii="Times New Roman" w:hAnsi="Times New Roman"/>
                <w:b/>
                <w:noProof/>
                <w:color w:val="000000"/>
              </w:rPr>
              <w:t>членка</w:t>
            </w:r>
          </w:p>
        </w:tc>
        <w:tc>
          <w:tcPr>
            <w:tcW w:w="422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center"/>
              <w:rPr>
                <w:rFonts w:ascii="Times New Roman" w:eastAsia="Times New Roman" w:hAnsi="Times New Roman"/>
                <w:b/>
                <w:bCs/>
                <w:noProof/>
              </w:rPr>
            </w:pPr>
            <w:r>
              <w:rPr>
                <w:rFonts w:ascii="Times New Roman" w:hAnsi="Times New Roman"/>
                <w:b/>
                <w:noProof/>
              </w:rPr>
              <w:t>Превозни средства, регистрирани в докладващата държава членка</w:t>
            </w:r>
          </w:p>
        </w:tc>
        <w:tc>
          <w:tcPr>
            <w:tcW w:w="4253"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center"/>
              <w:rPr>
                <w:rFonts w:ascii="Times New Roman" w:eastAsia="Times New Roman" w:hAnsi="Times New Roman"/>
                <w:b/>
                <w:bCs/>
                <w:noProof/>
              </w:rPr>
            </w:pPr>
            <w:r>
              <w:rPr>
                <w:rFonts w:ascii="Times New Roman" w:hAnsi="Times New Roman"/>
                <w:b/>
                <w:noProof/>
              </w:rPr>
              <w:t>Превозни средства, регистрирани в ЕС (включително докладващата държава членка)</w:t>
            </w:r>
          </w:p>
        </w:tc>
      </w:tr>
      <w:tr w:rsidR="004E3017">
        <w:trPr>
          <w:trHeight w:val="885"/>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4E3017" w:rsidRDefault="004E3017">
            <w:pPr>
              <w:spacing w:after="0" w:line="240" w:lineRule="auto"/>
              <w:jc w:val="center"/>
              <w:rPr>
                <w:rFonts w:ascii="Times New Roman" w:eastAsia="Times New Roman" w:hAnsi="Times New Roman"/>
                <w:b/>
                <w:bCs/>
                <w:noProof/>
                <w:color w:val="000000"/>
              </w:rPr>
            </w:pPr>
          </w:p>
        </w:tc>
        <w:tc>
          <w:tcPr>
            <w:tcW w:w="1253"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w:t>
            </w:r>
            <w:r>
              <w:rPr>
                <w:rFonts w:ascii="Times New Roman" w:eastAsia="Times New Roman" w:hAnsi="Times New Roman"/>
                <w:b/>
                <w:bCs/>
                <w:noProof/>
                <w:color w:val="000000"/>
              </w:rPr>
              <w:br/>
            </w:r>
            <w:r>
              <w:rPr>
                <w:rFonts w:ascii="Times New Roman" w:hAnsi="Times New Roman"/>
                <w:b/>
                <w:noProof/>
                <w:color w:val="000000"/>
              </w:rPr>
              <w:t xml:space="preserve">на проверените  </w:t>
            </w:r>
            <w:r>
              <w:rPr>
                <w:rFonts w:ascii="Times New Roman" w:eastAsia="Times New Roman" w:hAnsi="Times New Roman"/>
                <w:b/>
                <w:bCs/>
                <w:noProof/>
                <w:color w:val="000000"/>
              </w:rPr>
              <w:br/>
            </w:r>
            <w:r>
              <w:rPr>
                <w:rFonts w:ascii="Times New Roman" w:hAnsi="Times New Roman"/>
                <w:b/>
                <w:noProof/>
                <w:color w:val="000000"/>
              </w:rPr>
              <w:t>превозни средства</w:t>
            </w:r>
          </w:p>
        </w:tc>
        <w:tc>
          <w:tcPr>
            <w:tcW w:w="1470"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w:t>
            </w:r>
          </w:p>
        </w:tc>
        <w:tc>
          <w:tcPr>
            <w:tcW w:w="1506"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Дял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 (%)</w:t>
            </w:r>
          </w:p>
        </w:tc>
        <w:tc>
          <w:tcPr>
            <w:tcW w:w="1176"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w:t>
            </w:r>
            <w:r>
              <w:rPr>
                <w:rFonts w:ascii="Times New Roman" w:eastAsia="Times New Roman" w:hAnsi="Times New Roman"/>
                <w:b/>
                <w:bCs/>
                <w:noProof/>
                <w:color w:val="000000"/>
              </w:rPr>
              <w:br/>
            </w:r>
            <w:r>
              <w:rPr>
                <w:rFonts w:ascii="Times New Roman" w:hAnsi="Times New Roman"/>
                <w:b/>
                <w:noProof/>
                <w:color w:val="000000"/>
              </w:rPr>
              <w:t xml:space="preserve">на проверените </w:t>
            </w:r>
            <w:r>
              <w:rPr>
                <w:rFonts w:ascii="Times New Roman" w:eastAsia="Times New Roman" w:hAnsi="Times New Roman"/>
                <w:b/>
                <w:bCs/>
                <w:noProof/>
                <w:color w:val="000000"/>
              </w:rPr>
              <w:br/>
            </w:r>
            <w:r>
              <w:rPr>
                <w:rFonts w:ascii="Times New Roman" w:hAnsi="Times New Roman"/>
                <w:b/>
                <w:noProof/>
                <w:color w:val="000000"/>
              </w:rPr>
              <w:t>превозни средства</w:t>
            </w:r>
          </w:p>
        </w:tc>
        <w:tc>
          <w:tcPr>
            <w:tcW w:w="1518"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w:t>
            </w:r>
          </w:p>
        </w:tc>
        <w:tc>
          <w:tcPr>
            <w:tcW w:w="1559"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Дял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Белгия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6203</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7,3 %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17 490</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972</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5,6 %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България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254 651</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4319</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320 403</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5804</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Чешка република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81 711</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402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0,5 %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133 656</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507</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0,4 %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Дания</w:t>
            </w:r>
          </w:p>
        </w:tc>
        <w:tc>
          <w:tcPr>
            <w:tcW w:w="1253"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1748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color w:val="FFFFFF"/>
                <w:sz w:val="20"/>
                <w:szCs w:val="20"/>
              </w:rPr>
            </w:pPr>
            <w:r>
              <w:rPr>
                <w:rFonts w:ascii="Times New Roman" w:hAnsi="Times New Roman"/>
                <w:noProof/>
                <w:sz w:val="20"/>
              </w:rPr>
              <w:t>24,7 %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2081</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532</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25,6 %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Германия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989 524</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13 628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1 530 962</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32 125</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2,1 %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Естония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1669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1504</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90,1 %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1689</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1513</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89,6 %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Ирландия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779</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779</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Гърция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14 922</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202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16 346</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228</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Испания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652 259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79 872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12,2 %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723 250</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83 280</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11,5 %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Франция</w:t>
            </w:r>
            <w:r>
              <w:rPr>
                <w:rFonts w:ascii="Times New Roman" w:hAnsi="Times New Roman"/>
                <w:b/>
                <w:noProof/>
                <w:color w:val="000000"/>
                <w:sz w:val="2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460 918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77 327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16,7 %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1 033 759</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165 465</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16,0 %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Италия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10 153</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4533</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44,6 %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14 729</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5728</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38,9 %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Кипър</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1174</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1719</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146,4 %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1174</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1719</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146,4 %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Латвия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4196</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0,7 %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5907</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47</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0,8 %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Литва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64 531</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625</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79 860</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933</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Люксембург</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125</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6,4 %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709</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31</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Унгария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164 307</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2955</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216 504</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5651</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2,6 %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Малта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3968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1931</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48,7 %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4012</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1937</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48,3 %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Нидерландия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4373</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8629</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107</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Австрия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23 416</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13 078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55,9 %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47 348</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27 123</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57,3 %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Полша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420 147</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28 697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6,8 %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494 154</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29 740</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Португалия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602</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631</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Румъния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7404</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326</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7920</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342</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Словения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3948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386</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9,8 %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5113</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477</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9,3 %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Словакия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11 135</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4738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42,6 %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16 211</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6154</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38,0 %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Финландия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9250</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5177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56,0 %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11 152</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5840</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52,4 %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Швеция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46 059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37 917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82,3 %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53 527</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40 871</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76,4 %</w:t>
            </w:r>
          </w:p>
        </w:tc>
      </w:tr>
      <w:tr w:rsidR="004E3017">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Обединеното кралство</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174 678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37 310</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21,4 %</w:t>
            </w:r>
          </w:p>
        </w:tc>
        <w:tc>
          <w:tcPr>
            <w:tcW w:w="117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292 838</w:t>
            </w:r>
          </w:p>
        </w:tc>
        <w:tc>
          <w:tcPr>
            <w:tcW w:w="1518"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80 283</w:t>
            </w:r>
          </w:p>
        </w:tc>
        <w:tc>
          <w:tcPr>
            <w:tcW w:w="1559"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27,4 %</w:t>
            </w:r>
          </w:p>
        </w:tc>
      </w:tr>
      <w:tr w:rsidR="004E3017">
        <w:trPr>
          <w:trHeight w:val="315"/>
        </w:trPr>
        <w:tc>
          <w:tcPr>
            <w:tcW w:w="1456" w:type="dxa"/>
            <w:tcBorders>
              <w:top w:val="nil"/>
              <w:left w:val="single" w:sz="4" w:space="0" w:color="auto"/>
              <w:bottom w:val="single" w:sz="4" w:space="0" w:color="auto"/>
              <w:right w:val="single" w:sz="4" w:space="0" w:color="auto"/>
            </w:tcBorders>
            <w:shd w:val="clear" w:color="000000" w:fill="BFBFBF"/>
            <w:noWrap/>
            <w:vAlign w:val="bottom"/>
            <w:hideMark/>
          </w:tcPr>
          <w:p w:rsidR="004E3017" w:rsidRDefault="005423BE">
            <w:pPr>
              <w:spacing w:after="0" w:line="240" w:lineRule="auto"/>
              <w:rPr>
                <w:rFonts w:ascii="Times New Roman" w:eastAsia="Times New Roman" w:hAnsi="Times New Roman"/>
                <w:b/>
                <w:bCs/>
                <w:noProof/>
                <w:sz w:val="20"/>
                <w:szCs w:val="20"/>
              </w:rPr>
            </w:pPr>
            <w:r>
              <w:rPr>
                <w:rFonts w:ascii="Times New Roman" w:hAnsi="Times New Roman"/>
                <w:b/>
                <w:noProof/>
                <w:sz w:val="20"/>
              </w:rPr>
              <w:t>Общо</w:t>
            </w:r>
          </w:p>
        </w:tc>
        <w:tc>
          <w:tcPr>
            <w:tcW w:w="1253"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3 455 127</w:t>
            </w:r>
          </w:p>
        </w:tc>
        <w:tc>
          <w:tcPr>
            <w:tcW w:w="1470"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319 420</w:t>
            </w:r>
          </w:p>
        </w:tc>
        <w:tc>
          <w:tcPr>
            <w:tcW w:w="1506"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9,2 %</w:t>
            </w:r>
          </w:p>
        </w:tc>
        <w:tc>
          <w:tcPr>
            <w:tcW w:w="1176"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5 084 818</w:t>
            </w:r>
          </w:p>
        </w:tc>
        <w:tc>
          <w:tcPr>
            <w:tcW w:w="1518"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499 837</w:t>
            </w:r>
          </w:p>
        </w:tc>
        <w:tc>
          <w:tcPr>
            <w:tcW w:w="1559"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9,8 %</w:t>
            </w:r>
          </w:p>
        </w:tc>
      </w:tr>
    </w:tbl>
    <w:p w:rsidR="004E3017" w:rsidRDefault="005423BE">
      <w:pPr>
        <w:spacing w:before="120" w:after="120" w:line="240" w:lineRule="auto"/>
        <w:rPr>
          <w:rFonts w:ascii="Times New Roman" w:eastAsia="Times New Roman" w:hAnsi="Times New Roman"/>
          <w:noProof/>
          <w:sz w:val="20"/>
          <w:szCs w:val="24"/>
        </w:rPr>
      </w:pPr>
      <w:bookmarkStart w:id="22" w:name="_Toc353273657"/>
      <w:r>
        <w:rPr>
          <w:rFonts w:ascii="Times New Roman" w:hAnsi="Times New Roman"/>
          <w:b/>
          <w:noProof/>
          <w:color w:val="000000"/>
          <w:sz w:val="20"/>
        </w:rPr>
        <w:t>*</w:t>
      </w:r>
      <w:r>
        <w:rPr>
          <w:noProof/>
        </w:rPr>
        <w:t xml:space="preserve"> </w:t>
      </w:r>
      <w:r>
        <w:rPr>
          <w:rFonts w:ascii="Times New Roman" w:hAnsi="Times New Roman"/>
          <w:noProof/>
          <w:sz w:val="20"/>
        </w:rPr>
        <w:t>Франция не е докладвала данни за ремаркетата от категории O3 и O4</w:t>
      </w:r>
    </w:p>
    <w:p w:rsidR="004E3017" w:rsidRDefault="004E3017">
      <w:pPr>
        <w:spacing w:before="120" w:after="120" w:line="240" w:lineRule="auto"/>
        <w:jc w:val="both"/>
        <w:rPr>
          <w:rFonts w:ascii="Times New Roman" w:eastAsia="Times New Roman" w:hAnsi="Times New Roman"/>
          <w:noProof/>
          <w:sz w:val="24"/>
          <w:szCs w:val="24"/>
        </w:rPr>
      </w:pPr>
    </w:p>
    <w:p w:rsidR="004E3017" w:rsidRDefault="004E3017">
      <w:pPr>
        <w:spacing w:before="120" w:after="120" w:line="240" w:lineRule="auto"/>
        <w:jc w:val="both"/>
        <w:rPr>
          <w:rFonts w:ascii="Times New Roman" w:eastAsia="Times New Roman" w:hAnsi="Times New Roman"/>
          <w:noProof/>
          <w:sz w:val="24"/>
          <w:szCs w:val="24"/>
        </w:rPr>
      </w:pPr>
    </w:p>
    <w:p w:rsidR="004E3017" w:rsidRDefault="004E3017">
      <w:pPr>
        <w:spacing w:before="120" w:after="120" w:line="240" w:lineRule="auto"/>
        <w:jc w:val="both"/>
        <w:rPr>
          <w:rFonts w:ascii="Times New Roman" w:eastAsia="Times New Roman" w:hAnsi="Times New Roman"/>
          <w:noProof/>
          <w:sz w:val="24"/>
          <w:szCs w:val="24"/>
        </w:rPr>
      </w:pPr>
    </w:p>
    <w:p w:rsidR="004E3017" w:rsidRDefault="005423BE">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Таблица 4: Дял на спрените от движение местни превозни средства спрямо проверените превозни средства от други държави на ЕС</w:t>
      </w:r>
    </w:p>
    <w:tbl>
      <w:tblPr>
        <w:tblW w:w="9356" w:type="dxa"/>
        <w:tblInd w:w="-34" w:type="dxa"/>
        <w:tblLayout w:type="fixed"/>
        <w:tblLook w:val="04A0" w:firstRow="1" w:lastRow="0" w:firstColumn="1" w:lastColumn="0" w:noHBand="0" w:noVBand="1"/>
      </w:tblPr>
      <w:tblGrid>
        <w:gridCol w:w="1583"/>
        <w:gridCol w:w="1253"/>
        <w:gridCol w:w="1470"/>
        <w:gridCol w:w="1506"/>
        <w:gridCol w:w="1176"/>
        <w:gridCol w:w="1234"/>
        <w:gridCol w:w="1134"/>
      </w:tblGrid>
      <w:tr w:rsidR="004E3017">
        <w:trPr>
          <w:trHeight w:val="300"/>
        </w:trPr>
        <w:tc>
          <w:tcPr>
            <w:tcW w:w="1583" w:type="dxa"/>
            <w:vMerge w:val="restart"/>
            <w:tcBorders>
              <w:top w:val="single" w:sz="4" w:space="0" w:color="auto"/>
              <w:left w:val="single" w:sz="4" w:space="0" w:color="auto"/>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Докладваща </w:t>
            </w:r>
            <w:r>
              <w:rPr>
                <w:rFonts w:ascii="Times New Roman" w:eastAsia="Times New Roman" w:hAnsi="Times New Roman"/>
                <w:b/>
                <w:bCs/>
                <w:noProof/>
                <w:color w:val="000000"/>
              </w:rPr>
              <w:br/>
            </w:r>
            <w:r>
              <w:rPr>
                <w:rFonts w:ascii="Times New Roman" w:hAnsi="Times New Roman"/>
                <w:b/>
                <w:noProof/>
                <w:color w:val="000000"/>
              </w:rPr>
              <w:t xml:space="preserve">държава </w:t>
            </w:r>
            <w:r>
              <w:rPr>
                <w:rFonts w:ascii="Times New Roman" w:eastAsia="Times New Roman" w:hAnsi="Times New Roman"/>
                <w:b/>
                <w:bCs/>
                <w:noProof/>
                <w:color w:val="000000"/>
              </w:rPr>
              <w:br/>
            </w:r>
            <w:r>
              <w:rPr>
                <w:rFonts w:ascii="Times New Roman" w:hAnsi="Times New Roman"/>
                <w:b/>
                <w:noProof/>
                <w:color w:val="000000"/>
              </w:rPr>
              <w:t>членка</w:t>
            </w:r>
          </w:p>
        </w:tc>
        <w:tc>
          <w:tcPr>
            <w:tcW w:w="422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center"/>
              <w:rPr>
                <w:rFonts w:ascii="Times New Roman" w:eastAsia="Times New Roman" w:hAnsi="Times New Roman"/>
                <w:b/>
                <w:bCs/>
                <w:noProof/>
              </w:rPr>
            </w:pPr>
            <w:r>
              <w:rPr>
                <w:rFonts w:ascii="Times New Roman" w:hAnsi="Times New Roman"/>
                <w:b/>
                <w:noProof/>
              </w:rPr>
              <w:t>Превозни средства, регистрирани в</w:t>
            </w:r>
            <w:r>
              <w:rPr>
                <w:rFonts w:ascii="Times New Roman" w:hAnsi="Times New Roman"/>
                <w:b/>
                <w:noProof/>
              </w:rPr>
              <w:t xml:space="preserve"> докладващата държава членка</w:t>
            </w:r>
          </w:p>
        </w:tc>
        <w:tc>
          <w:tcPr>
            <w:tcW w:w="3544"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center"/>
              <w:rPr>
                <w:rFonts w:ascii="Times New Roman" w:eastAsia="Times New Roman" w:hAnsi="Times New Roman"/>
                <w:b/>
                <w:bCs/>
                <w:noProof/>
              </w:rPr>
            </w:pPr>
            <w:r>
              <w:rPr>
                <w:rFonts w:ascii="Times New Roman" w:hAnsi="Times New Roman"/>
                <w:b/>
                <w:noProof/>
              </w:rPr>
              <w:t>Превозни средства, регистрирани в ЕС (в държава членка, различна докладващата)</w:t>
            </w:r>
          </w:p>
        </w:tc>
      </w:tr>
      <w:tr w:rsidR="004E3017">
        <w:trPr>
          <w:trHeight w:val="885"/>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4E3017" w:rsidRDefault="004E3017">
            <w:pPr>
              <w:spacing w:after="0" w:line="240" w:lineRule="auto"/>
              <w:jc w:val="center"/>
              <w:rPr>
                <w:rFonts w:ascii="Times New Roman" w:eastAsia="Times New Roman" w:hAnsi="Times New Roman"/>
                <w:b/>
                <w:bCs/>
                <w:noProof/>
                <w:color w:val="000000"/>
              </w:rPr>
            </w:pPr>
          </w:p>
        </w:tc>
        <w:tc>
          <w:tcPr>
            <w:tcW w:w="1253"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w:t>
            </w:r>
            <w:r>
              <w:rPr>
                <w:rFonts w:ascii="Times New Roman" w:eastAsia="Times New Roman" w:hAnsi="Times New Roman"/>
                <w:b/>
                <w:bCs/>
                <w:noProof/>
                <w:color w:val="000000"/>
              </w:rPr>
              <w:br/>
            </w:r>
            <w:r>
              <w:rPr>
                <w:rFonts w:ascii="Times New Roman" w:hAnsi="Times New Roman"/>
                <w:b/>
                <w:noProof/>
                <w:color w:val="000000"/>
              </w:rPr>
              <w:t xml:space="preserve">на проверените </w:t>
            </w:r>
            <w:r>
              <w:rPr>
                <w:rFonts w:ascii="Times New Roman" w:eastAsia="Times New Roman" w:hAnsi="Times New Roman"/>
                <w:b/>
                <w:bCs/>
                <w:noProof/>
                <w:color w:val="000000"/>
              </w:rPr>
              <w:br/>
            </w:r>
            <w:r>
              <w:rPr>
                <w:rFonts w:ascii="Times New Roman" w:hAnsi="Times New Roman"/>
                <w:b/>
                <w:noProof/>
                <w:color w:val="000000"/>
              </w:rPr>
              <w:t>превозни средства</w:t>
            </w:r>
          </w:p>
        </w:tc>
        <w:tc>
          <w:tcPr>
            <w:tcW w:w="1470"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w:t>
            </w:r>
          </w:p>
        </w:tc>
        <w:tc>
          <w:tcPr>
            <w:tcW w:w="1506"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Дял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 (%)</w:t>
            </w:r>
          </w:p>
        </w:tc>
        <w:tc>
          <w:tcPr>
            <w:tcW w:w="1176"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w:t>
            </w:r>
            <w:r>
              <w:rPr>
                <w:rFonts w:ascii="Times New Roman" w:eastAsia="Times New Roman" w:hAnsi="Times New Roman"/>
                <w:b/>
                <w:bCs/>
                <w:noProof/>
                <w:color w:val="000000"/>
              </w:rPr>
              <w:br/>
            </w:r>
            <w:r>
              <w:rPr>
                <w:rFonts w:ascii="Times New Roman" w:hAnsi="Times New Roman"/>
                <w:b/>
                <w:noProof/>
                <w:color w:val="000000"/>
              </w:rPr>
              <w:t>н</w:t>
            </w:r>
            <w:r>
              <w:rPr>
                <w:rFonts w:ascii="Times New Roman" w:hAnsi="Times New Roman"/>
                <w:b/>
                <w:noProof/>
                <w:color w:val="000000"/>
              </w:rPr>
              <w:t xml:space="preserve">а проверените </w:t>
            </w:r>
            <w:r>
              <w:rPr>
                <w:rFonts w:ascii="Times New Roman" w:eastAsia="Times New Roman" w:hAnsi="Times New Roman"/>
                <w:b/>
                <w:bCs/>
                <w:noProof/>
                <w:color w:val="000000"/>
              </w:rPr>
              <w:br/>
            </w:r>
            <w:r>
              <w:rPr>
                <w:rFonts w:ascii="Times New Roman" w:hAnsi="Times New Roman"/>
                <w:b/>
                <w:noProof/>
                <w:color w:val="000000"/>
              </w:rPr>
              <w:t>превозни средства</w:t>
            </w:r>
          </w:p>
        </w:tc>
        <w:tc>
          <w:tcPr>
            <w:tcW w:w="1234"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Брой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w:t>
            </w:r>
          </w:p>
        </w:tc>
        <w:tc>
          <w:tcPr>
            <w:tcW w:w="1134" w:type="dxa"/>
            <w:tcBorders>
              <w:top w:val="nil"/>
              <w:left w:val="nil"/>
              <w:bottom w:val="single" w:sz="4" w:space="0" w:color="auto"/>
              <w:right w:val="single" w:sz="4" w:space="0" w:color="auto"/>
            </w:tcBorders>
            <w:shd w:val="clear" w:color="FF0000" w:fill="BFBFBF"/>
            <w:vAlign w:val="center"/>
            <w:hideMark/>
          </w:tcPr>
          <w:p w:rsidR="004E3017" w:rsidRDefault="005423BE">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 xml:space="preserve">Дял на </w:t>
            </w:r>
            <w:r>
              <w:rPr>
                <w:rFonts w:ascii="Times New Roman" w:eastAsia="Times New Roman" w:hAnsi="Times New Roman"/>
                <w:b/>
                <w:bCs/>
                <w:noProof/>
                <w:color w:val="000000"/>
              </w:rPr>
              <w:br/>
            </w:r>
            <w:r>
              <w:rPr>
                <w:rFonts w:ascii="Times New Roman" w:hAnsi="Times New Roman"/>
                <w:b/>
                <w:noProof/>
                <w:color w:val="000000"/>
              </w:rPr>
              <w:t>спрените от движение превозни средства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Белгия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6203</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7,3 %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11 287</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520</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България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254 651</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4319</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65 752</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1485</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Чешка република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81 711</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402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0,5 %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51 945</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0,2 %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Дания</w:t>
            </w:r>
          </w:p>
        </w:tc>
        <w:tc>
          <w:tcPr>
            <w:tcW w:w="1253"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1748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color w:val="FFFFFF"/>
                <w:sz w:val="20"/>
                <w:szCs w:val="20"/>
              </w:rPr>
            </w:pPr>
            <w:r>
              <w:rPr>
                <w:rFonts w:ascii="Times New Roman" w:hAnsi="Times New Roman"/>
                <w:noProof/>
                <w:sz w:val="20"/>
              </w:rPr>
              <w:t>24,7 %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333</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color w:val="FFFFFF"/>
                <w:sz w:val="20"/>
                <w:szCs w:val="20"/>
              </w:rPr>
            </w:pPr>
            <w:r>
              <w:rPr>
                <w:rFonts w:ascii="Times New Roman" w:hAnsi="Times New Roman"/>
                <w:noProof/>
                <w:sz w:val="20"/>
              </w:rPr>
              <w:t>30,0 %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Германия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989 524</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13 628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541 438</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18 497</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3,4 %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Естония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1669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1504</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90,1 %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20</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45,0 %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Ирландия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779</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няма данни</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Гърция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14 922</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202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1424</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26</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Испания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652 259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79 872</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12,2 %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70 991</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3408</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4,8 %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Франция*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460 918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77 327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16,7 %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572 841</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88 138</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15,4 %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Италия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10 153</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4533</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44,6 %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4576</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1195</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26,1 %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Кипър</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1174</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1719</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146,4 %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няма данни</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Латвия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4196</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0,7 %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1711</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Литва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64 531</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625</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15 329</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308</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2,0 %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Люксембург</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125</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6,4 %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584</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Унгария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164 307</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2955</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52 197</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2696</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5,2 %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Малта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3968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1931</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48,7 %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13,6 %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Нидерландия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4373</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1,2 %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4256</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Австрия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23 416</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13 078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55,9 %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23 932</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14 045</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58,7 %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Полша</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420 147</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28 697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6,8 %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74 007</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1043</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Португалия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602</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0,0 %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Румъния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7404</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326</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4,4 %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516</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16</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3,1 %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Словения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3948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386</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9,8 %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1165</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91</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7,8 %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Словакия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11 135</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4738</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42,6 %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5076</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1416</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27,9 %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Финландия</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9250</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5177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56,0 %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1902</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663</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34,9 %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Швеция</w:t>
            </w:r>
          </w:p>
        </w:tc>
        <w:tc>
          <w:tcPr>
            <w:tcW w:w="1253" w:type="dxa"/>
            <w:tcBorders>
              <w:top w:val="nil"/>
              <w:left w:val="nil"/>
              <w:bottom w:val="single" w:sz="4" w:space="0" w:color="auto"/>
              <w:right w:val="single" w:sz="4" w:space="0" w:color="auto"/>
            </w:tcBorders>
            <w:shd w:val="clear" w:color="0000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46 059</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37 917</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82,3 %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7468</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2954</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39,6 %</w:t>
            </w:r>
          </w:p>
        </w:tc>
      </w:tr>
      <w:tr w:rsidR="004E3017">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4E3017" w:rsidRDefault="005423BE">
            <w:pPr>
              <w:spacing w:after="0" w:line="240" w:lineRule="auto"/>
              <w:rPr>
                <w:rFonts w:ascii="Times New Roman" w:eastAsia="Times New Roman" w:hAnsi="Times New Roman"/>
                <w:noProof/>
                <w:sz w:val="20"/>
                <w:szCs w:val="20"/>
              </w:rPr>
            </w:pPr>
            <w:r>
              <w:rPr>
                <w:rFonts w:ascii="Times New Roman" w:hAnsi="Times New Roman"/>
                <w:noProof/>
                <w:sz w:val="20"/>
              </w:rPr>
              <w:t>Обединеното кралство</w:t>
            </w:r>
          </w:p>
        </w:tc>
        <w:tc>
          <w:tcPr>
            <w:tcW w:w="1253" w:type="dxa"/>
            <w:tcBorders>
              <w:top w:val="nil"/>
              <w:left w:val="nil"/>
              <w:bottom w:val="single" w:sz="4" w:space="0" w:color="auto"/>
              <w:right w:val="single" w:sz="4" w:space="0" w:color="auto"/>
            </w:tcBorders>
            <w:shd w:val="clear" w:color="00FF00" w:fill="FFFFFF"/>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174 678</w:t>
            </w:r>
          </w:p>
        </w:tc>
        <w:tc>
          <w:tcPr>
            <w:tcW w:w="1470"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37 310</w:t>
            </w:r>
          </w:p>
        </w:tc>
        <w:tc>
          <w:tcPr>
            <w:tcW w:w="1506" w:type="dxa"/>
            <w:tcBorders>
              <w:top w:val="nil"/>
              <w:left w:val="nil"/>
              <w:bottom w:val="single" w:sz="4" w:space="0" w:color="auto"/>
              <w:right w:val="single" w:sz="4" w:space="0" w:color="auto"/>
            </w:tcBorders>
            <w:shd w:val="clear" w:color="auto" w:fill="auto"/>
            <w:noWrap/>
            <w:vAlign w:val="center"/>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21,4 %</w:t>
            </w:r>
          </w:p>
        </w:tc>
        <w:tc>
          <w:tcPr>
            <w:tcW w:w="1176"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118 160</w:t>
            </w:r>
          </w:p>
        </w:tc>
        <w:tc>
          <w:tcPr>
            <w:tcW w:w="12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42 973</w:t>
            </w:r>
          </w:p>
        </w:tc>
        <w:tc>
          <w:tcPr>
            <w:tcW w:w="1134" w:type="dxa"/>
            <w:tcBorders>
              <w:top w:val="nil"/>
              <w:left w:val="nil"/>
              <w:bottom w:val="single" w:sz="4" w:space="0" w:color="auto"/>
              <w:right w:val="single" w:sz="4" w:space="0" w:color="auto"/>
            </w:tcBorders>
            <w:shd w:val="clear" w:color="auto" w:fill="auto"/>
            <w:noWrap/>
            <w:vAlign w:val="bottom"/>
            <w:hideMark/>
          </w:tcPr>
          <w:p w:rsidR="004E3017" w:rsidRDefault="005423BE">
            <w:pPr>
              <w:spacing w:after="0" w:line="240" w:lineRule="auto"/>
              <w:jc w:val="right"/>
              <w:rPr>
                <w:rFonts w:ascii="Times New Roman" w:hAnsi="Times New Roman"/>
                <w:noProof/>
                <w:sz w:val="20"/>
                <w:szCs w:val="20"/>
              </w:rPr>
            </w:pPr>
            <w:r>
              <w:rPr>
                <w:rFonts w:ascii="Times New Roman" w:hAnsi="Times New Roman"/>
                <w:noProof/>
                <w:sz w:val="20"/>
              </w:rPr>
              <w:t>36,4 %</w:t>
            </w:r>
          </w:p>
        </w:tc>
      </w:tr>
      <w:tr w:rsidR="004E3017">
        <w:trPr>
          <w:trHeight w:val="315"/>
        </w:trPr>
        <w:tc>
          <w:tcPr>
            <w:tcW w:w="1583" w:type="dxa"/>
            <w:tcBorders>
              <w:top w:val="nil"/>
              <w:left w:val="single" w:sz="4" w:space="0" w:color="auto"/>
              <w:bottom w:val="single" w:sz="4" w:space="0" w:color="auto"/>
              <w:right w:val="single" w:sz="4" w:space="0" w:color="auto"/>
            </w:tcBorders>
            <w:shd w:val="clear" w:color="000000" w:fill="BFBFBF"/>
            <w:noWrap/>
            <w:vAlign w:val="bottom"/>
            <w:hideMark/>
          </w:tcPr>
          <w:p w:rsidR="004E3017" w:rsidRDefault="005423BE">
            <w:pPr>
              <w:spacing w:after="0" w:line="240" w:lineRule="auto"/>
              <w:rPr>
                <w:rFonts w:ascii="Times New Roman" w:eastAsia="Times New Roman" w:hAnsi="Times New Roman"/>
                <w:b/>
                <w:bCs/>
                <w:noProof/>
                <w:sz w:val="20"/>
                <w:szCs w:val="20"/>
                <w:highlight w:val="yellow"/>
              </w:rPr>
            </w:pPr>
            <w:r>
              <w:rPr>
                <w:rFonts w:ascii="Times New Roman" w:hAnsi="Times New Roman"/>
                <w:b/>
                <w:noProof/>
                <w:sz w:val="20"/>
              </w:rPr>
              <w:t>Общо</w:t>
            </w:r>
          </w:p>
        </w:tc>
        <w:tc>
          <w:tcPr>
            <w:tcW w:w="1253"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3 455 127</w:t>
            </w:r>
          </w:p>
        </w:tc>
        <w:tc>
          <w:tcPr>
            <w:tcW w:w="1470"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319 420</w:t>
            </w:r>
          </w:p>
        </w:tc>
        <w:tc>
          <w:tcPr>
            <w:tcW w:w="1506" w:type="dxa"/>
            <w:tcBorders>
              <w:top w:val="nil"/>
              <w:left w:val="nil"/>
              <w:bottom w:val="single" w:sz="4" w:space="0" w:color="auto"/>
              <w:right w:val="single" w:sz="4" w:space="0" w:color="auto"/>
            </w:tcBorders>
            <w:shd w:val="clear" w:color="000000" w:fill="BFBFBF"/>
            <w:noWrap/>
            <w:vAlign w:val="center"/>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9,2 %</w:t>
            </w:r>
          </w:p>
        </w:tc>
        <w:tc>
          <w:tcPr>
            <w:tcW w:w="1176" w:type="dxa"/>
            <w:tcBorders>
              <w:top w:val="nil"/>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2 743 970</w:t>
            </w:r>
          </w:p>
        </w:tc>
        <w:tc>
          <w:tcPr>
            <w:tcW w:w="1234" w:type="dxa"/>
            <w:tcBorders>
              <w:top w:val="nil"/>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286 642</w:t>
            </w:r>
          </w:p>
        </w:tc>
        <w:tc>
          <w:tcPr>
            <w:tcW w:w="1134" w:type="dxa"/>
            <w:tcBorders>
              <w:top w:val="nil"/>
              <w:left w:val="nil"/>
              <w:bottom w:val="single" w:sz="4" w:space="0" w:color="auto"/>
              <w:right w:val="single" w:sz="4" w:space="0" w:color="auto"/>
            </w:tcBorders>
            <w:shd w:val="clear" w:color="000000" w:fill="BFBFBF"/>
            <w:noWrap/>
            <w:vAlign w:val="bottom"/>
            <w:hideMark/>
          </w:tcPr>
          <w:p w:rsidR="004E3017" w:rsidRDefault="005423BE">
            <w:pPr>
              <w:spacing w:after="0" w:line="240" w:lineRule="auto"/>
              <w:jc w:val="right"/>
              <w:rPr>
                <w:rFonts w:ascii="Times New Roman" w:hAnsi="Times New Roman"/>
                <w:b/>
                <w:bCs/>
                <w:noProof/>
                <w:sz w:val="20"/>
                <w:szCs w:val="20"/>
              </w:rPr>
            </w:pPr>
            <w:r>
              <w:rPr>
                <w:rFonts w:ascii="Times New Roman" w:hAnsi="Times New Roman"/>
                <w:b/>
                <w:noProof/>
                <w:sz w:val="20"/>
              </w:rPr>
              <w:t>10,4 %</w:t>
            </w:r>
          </w:p>
        </w:tc>
      </w:tr>
    </w:tbl>
    <w:p w:rsidR="004E3017" w:rsidRDefault="005423BE">
      <w:pPr>
        <w:spacing w:before="120" w:after="120" w:line="240" w:lineRule="auto"/>
        <w:rPr>
          <w:rFonts w:ascii="Times New Roman" w:eastAsia="Times New Roman" w:hAnsi="Times New Roman"/>
          <w:noProof/>
          <w:sz w:val="20"/>
          <w:szCs w:val="24"/>
        </w:rPr>
      </w:pPr>
      <w:r>
        <w:rPr>
          <w:rFonts w:ascii="Times New Roman" w:hAnsi="Times New Roman"/>
          <w:noProof/>
          <w:sz w:val="20"/>
        </w:rPr>
        <w:t>* Франция не е докладвала данни за ремаркетата от категории O3 и O4</w:t>
      </w:r>
    </w:p>
    <w:p w:rsidR="004E3017" w:rsidRDefault="005423BE">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r>
        <w:rPr>
          <w:noProof/>
        </w:rPr>
        <w:br w:type="page"/>
      </w:r>
      <w:bookmarkStart w:id="23" w:name="_Toc467150079"/>
      <w:bookmarkStart w:id="24" w:name="_Toc475884685"/>
      <w:r>
        <w:rPr>
          <w:rFonts w:ascii="Times New Roman" w:hAnsi="Times New Roman"/>
          <w:b/>
          <w:noProof/>
          <w:sz w:val="24"/>
        </w:rPr>
        <w:t>5.3.</w:t>
      </w:r>
      <w:r>
        <w:rPr>
          <w:noProof/>
        </w:rPr>
        <w:tab/>
      </w:r>
      <w:r>
        <w:rPr>
          <w:rFonts w:ascii="Times New Roman" w:hAnsi="Times New Roman"/>
          <w:b/>
          <w:noProof/>
          <w:sz w:val="24"/>
        </w:rPr>
        <w:t>Видове неизправности и данни по държави членки</w:t>
      </w:r>
      <w:bookmarkEnd w:id="22"/>
      <w:bookmarkEnd w:id="23"/>
      <w:bookmarkEnd w:id="24"/>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приложение I са показани процентните дялове на неизправностите, открити в превозните средства при проведените проверки от съответната държава членка.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Най-често срещаните неизправности, установени по време на проверки, се отнасят до техническата изправно</w:t>
      </w:r>
      <w:r>
        <w:rPr>
          <w:rFonts w:ascii="Times New Roman" w:hAnsi="Times New Roman"/>
          <w:noProof/>
          <w:sz w:val="24"/>
        </w:rPr>
        <w:t>ст на:</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осветително оборудване и електрическа система (20,9 %);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оси, колела, гуми, окачване </w:t>
      </w:r>
      <w:r>
        <w:rPr>
          <w:rFonts w:ascii="Times New Roman" w:hAnsi="Times New Roman"/>
          <w:b/>
          <w:noProof/>
          <w:sz w:val="24"/>
        </w:rPr>
        <w:t xml:space="preserve">  </w:t>
      </w:r>
      <w:r>
        <w:rPr>
          <w:rFonts w:ascii="Times New Roman" w:hAnsi="Times New Roman"/>
          <w:noProof/>
          <w:sz w:val="24"/>
        </w:rPr>
        <w:t>(20,6 %);</w:t>
      </w:r>
      <w:r>
        <w:rPr>
          <w:rFonts w:ascii="Times New Roman" w:hAnsi="Times New Roman"/>
          <w:b/>
          <w:noProof/>
          <w:sz w:val="24"/>
        </w:rPr>
        <w:t xml:space="preserve">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спирачно оборудване (18,8 %); и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друго оборудване, вкл. тахограф и устройства за ограничаване на скоростта (17,4 %).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При различните подлаган</w:t>
      </w:r>
      <w:r>
        <w:rPr>
          <w:rFonts w:ascii="Times New Roman" w:hAnsi="Times New Roman"/>
          <w:noProof/>
          <w:sz w:val="24"/>
        </w:rPr>
        <w:t>и на проверка елементи бяха докладвани значителни разлики в процентните дялове на неизправностите. Причината за това могат да бъдат различните методи за проверка, прилагани от държавите членки, а също и акцентът, поставян върху проверяването на конкретни е</w:t>
      </w:r>
      <w:r>
        <w:rPr>
          <w:rFonts w:ascii="Times New Roman" w:hAnsi="Times New Roman"/>
          <w:noProof/>
          <w:sz w:val="24"/>
        </w:rPr>
        <w:t>лементи по време на проверката. Когато започне да се прилага, Директива 2014/47/ЕС ще повиши хармонизацията в методите за проверка, оценката на неизправностите и използването на оборудване за по-подробни крайпътни технически проверки.</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При сравняване на дан</w:t>
      </w:r>
      <w:r>
        <w:rPr>
          <w:rFonts w:ascii="Times New Roman" w:hAnsi="Times New Roman"/>
          <w:noProof/>
          <w:sz w:val="24"/>
        </w:rPr>
        <w:t xml:space="preserve">ните с тези от предишния период се установява забележимо намаляване на неизправностите, установени в </w:t>
      </w:r>
      <w:r>
        <w:rPr>
          <w:rFonts w:ascii="Times New Roman" w:hAnsi="Times New Roman"/>
          <w:b/>
          <w:noProof/>
          <w:sz w:val="24"/>
        </w:rPr>
        <w:t>осветителното оборудване и електрическа система</w:t>
      </w:r>
      <w:r>
        <w:rPr>
          <w:rFonts w:ascii="Times New Roman" w:hAnsi="Times New Roman"/>
          <w:noProof/>
          <w:sz w:val="24"/>
        </w:rPr>
        <w:t xml:space="preserve"> (от 47 % до 20,9 %). Въпреки това, при по-внимателно разглеждане на цифрите могат да се отбележат някои впе</w:t>
      </w:r>
      <w:r>
        <w:rPr>
          <w:rFonts w:ascii="Times New Roman" w:hAnsi="Times New Roman"/>
          <w:noProof/>
          <w:sz w:val="24"/>
        </w:rPr>
        <w:t>чатляващи резултати. В 47,3 % от проверките в Швеция и 45,4 % от проверките в Португалия установените неизправности са в осветителното оборудване и електрическата система.  В предходния период в тези държави членки е установен почти същият дял неизправност</w:t>
      </w:r>
      <w:r>
        <w:rPr>
          <w:rFonts w:ascii="Times New Roman" w:hAnsi="Times New Roman"/>
          <w:noProof/>
          <w:sz w:val="24"/>
        </w:rPr>
        <w:t xml:space="preserve">и (Швеция — 49 %, Португалия — 50,7 %).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Дефектно </w:t>
      </w:r>
      <w:r>
        <w:rPr>
          <w:rFonts w:ascii="Times New Roman" w:hAnsi="Times New Roman"/>
          <w:b/>
          <w:noProof/>
          <w:sz w:val="24"/>
        </w:rPr>
        <w:t>спирачно оборудване</w:t>
      </w:r>
      <w:r>
        <w:rPr>
          <w:rFonts w:ascii="Times New Roman" w:hAnsi="Times New Roman"/>
          <w:noProof/>
          <w:sz w:val="24"/>
        </w:rPr>
        <w:t xml:space="preserve"> се регистрира от съответните органи най-често в Дания (46,7 %), Обединеното кралство (34,3 %) и в Полша (31,8 %). Същевременно в Гърция неизправните в това отношение превозни средства са</w:t>
      </w:r>
      <w:r>
        <w:rPr>
          <w:rFonts w:ascii="Times New Roman" w:hAnsi="Times New Roman"/>
          <w:noProof/>
          <w:sz w:val="24"/>
        </w:rPr>
        <w:t xml:space="preserve"> 1,6 %, докато в Естония и Люксембург те са 2,9 %, а в Испания — 0 %.  </w:t>
      </w:r>
    </w:p>
    <w:p w:rsidR="004E3017" w:rsidRDefault="005423BE">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 xml:space="preserve">При неизправностите във връзка с </w:t>
      </w:r>
      <w:r>
        <w:rPr>
          <w:rFonts w:ascii="Times New Roman" w:hAnsi="Times New Roman"/>
          <w:b/>
          <w:noProof/>
          <w:sz w:val="24"/>
        </w:rPr>
        <w:t>емисии и течове</w:t>
      </w:r>
      <w:r>
        <w:rPr>
          <w:rFonts w:ascii="Times New Roman" w:hAnsi="Times New Roman"/>
          <w:noProof/>
          <w:sz w:val="24"/>
        </w:rPr>
        <w:t>, които, освен че пораждат риск за безопасност на движението по пътищата, могат и да въздействат върху околната среда — след спад през предходния период от 3,1 % (от 4,1 % на 1,0 %), се наблюдава увеличение от 3,2 % (4,2 %). Превозни средства с тази неизпр</w:t>
      </w:r>
      <w:r>
        <w:rPr>
          <w:rFonts w:ascii="Times New Roman" w:hAnsi="Times New Roman"/>
          <w:noProof/>
          <w:sz w:val="24"/>
        </w:rPr>
        <w:t xml:space="preserve">авност са установени най-често в Литва (14,6 %) и в Кипър (10,6 %). Необходимо е да се спомене, че в Кипър през този период са проверявани само местни превозни средства.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приложение I са показани по-подробно резултатите от проверките, както и неизпра</w:t>
      </w:r>
      <w:r>
        <w:rPr>
          <w:rFonts w:ascii="Times New Roman" w:hAnsi="Times New Roman"/>
          <w:noProof/>
          <w:sz w:val="24"/>
        </w:rPr>
        <w:t xml:space="preserve">вности, установените от държавите членки, които са извършили тези проверки.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Данните, представени от държавите членки относно броя на извършените проверки на превозни средства, регистрирани в държави извън ЕС, са все още недостатъчни, за да се направят съ</w:t>
      </w:r>
      <w:r>
        <w:rPr>
          <w:rFonts w:ascii="Times New Roman" w:hAnsi="Times New Roman"/>
          <w:noProof/>
          <w:sz w:val="24"/>
        </w:rPr>
        <w:t>ществени заключения относно тяхната техническа изправност.</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приложение IV към настоящия доклад е представен обзор на броя на превозните средства, проверени от държавите членки, групирани по държава на регистрация, и на дела на наложените спирания от движе</w:t>
      </w:r>
      <w:r>
        <w:rPr>
          <w:rFonts w:ascii="Times New Roman" w:hAnsi="Times New Roman"/>
          <w:noProof/>
          <w:sz w:val="24"/>
        </w:rPr>
        <w:t>ние.</w:t>
      </w:r>
    </w:p>
    <w:p w:rsidR="004E3017" w:rsidRDefault="004E3017">
      <w:pPr>
        <w:spacing w:before="120" w:after="120" w:line="240" w:lineRule="auto"/>
        <w:jc w:val="both"/>
        <w:rPr>
          <w:rFonts w:ascii="Times New Roman" w:eastAsia="Times New Roman" w:hAnsi="Times New Roman"/>
          <w:noProof/>
          <w:sz w:val="24"/>
          <w:szCs w:val="24"/>
        </w:rPr>
      </w:pPr>
    </w:p>
    <w:p w:rsidR="004E3017" w:rsidRDefault="004E3017">
      <w:pPr>
        <w:spacing w:before="120" w:after="120" w:line="240" w:lineRule="auto"/>
        <w:jc w:val="both"/>
        <w:rPr>
          <w:rFonts w:ascii="Times New Roman" w:eastAsia="Times New Roman" w:hAnsi="Times New Roman"/>
          <w:noProof/>
          <w:sz w:val="24"/>
          <w:szCs w:val="24"/>
        </w:rPr>
      </w:pPr>
    </w:p>
    <w:p w:rsidR="004E3017" w:rsidRDefault="004E3017">
      <w:pPr>
        <w:spacing w:before="120" w:after="120" w:line="240" w:lineRule="auto"/>
        <w:jc w:val="both"/>
        <w:rPr>
          <w:rFonts w:ascii="Times New Roman" w:eastAsia="Times New Roman" w:hAnsi="Times New Roman"/>
          <w:noProof/>
          <w:sz w:val="24"/>
          <w:szCs w:val="24"/>
        </w:rPr>
      </w:pPr>
    </w:p>
    <w:p w:rsidR="004E3017" w:rsidRDefault="005423BE">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25" w:name="_Toc467150080"/>
      <w:bookmarkStart w:id="26" w:name="_Toc475884686"/>
      <w:r>
        <w:rPr>
          <w:rFonts w:ascii="Times New Roman" w:hAnsi="Times New Roman"/>
          <w:b/>
          <w:noProof/>
          <w:sz w:val="24"/>
        </w:rPr>
        <w:t xml:space="preserve">5.4. </w:t>
      </w:r>
      <w:r>
        <w:rPr>
          <w:noProof/>
        </w:rPr>
        <w:tab/>
      </w:r>
      <w:r>
        <w:rPr>
          <w:rFonts w:ascii="Times New Roman" w:hAnsi="Times New Roman"/>
          <w:b/>
          <w:noProof/>
          <w:sz w:val="24"/>
        </w:rPr>
        <w:t>Спрени от движение превозни средства по категория и по държава на регистрация</w:t>
      </w:r>
      <w:bookmarkEnd w:id="25"/>
      <w:bookmarkEnd w:id="26"/>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 приложение II става ясно колко често в превозните средства от дадена държава членка са установявани неизправности, които са довели до спиране от движение. По отн</w:t>
      </w:r>
      <w:r>
        <w:rPr>
          <w:rFonts w:ascii="Times New Roman" w:hAnsi="Times New Roman"/>
          <w:noProof/>
          <w:sz w:val="24"/>
        </w:rPr>
        <w:t>ошение на класификацията на превозните средства по категория, тежките товарни автомобили (категория N3) са били най-често спирани от движение — при 13,6 % от общия брой проверки. Ремаркетата от категория O3 са показвали дефекти в по-малък брой случаи (6,8 </w:t>
      </w:r>
      <w:r>
        <w:rPr>
          <w:rFonts w:ascii="Times New Roman" w:hAnsi="Times New Roman"/>
          <w:noProof/>
          <w:sz w:val="24"/>
        </w:rPr>
        <w:t>%). Необходимо е да се подчертае, че при превозните средства, които спадат към категорията „други“, която не се уточнява допълнително, в 22,2 % от случаите са установени сериозни неизправности, довели до спирането им от движение. Превозните средства, прове</w:t>
      </w:r>
      <w:r>
        <w:rPr>
          <w:rFonts w:ascii="Times New Roman" w:hAnsi="Times New Roman"/>
          <w:noProof/>
          <w:sz w:val="24"/>
        </w:rPr>
        <w:t>рявани в рамките на тази категория, обикновено се селскостопански превозни средства, леки ремаркета (O1, О2) или лекотоварни превозни средства (N1). С Директива 2014/47/ЕС проверката на високоскоростни трактори (T5) ще стане задължителна в случаите, когато</w:t>
      </w:r>
      <w:r>
        <w:rPr>
          <w:rFonts w:ascii="Times New Roman" w:hAnsi="Times New Roman"/>
          <w:noProof/>
          <w:sz w:val="24"/>
        </w:rPr>
        <w:t xml:space="preserve"> те се използват главно по обществените пътища за търговски превоз на товари. </w:t>
      </w:r>
    </w:p>
    <w:p w:rsidR="004E3017" w:rsidRDefault="005423BE">
      <w:pPr>
        <w:spacing w:before="120" w:after="120" w:line="240" w:lineRule="auto"/>
        <w:jc w:val="both"/>
        <w:rPr>
          <w:rFonts w:ascii="Times New Roman" w:hAnsi="Times New Roman"/>
          <w:noProof/>
          <w:sz w:val="24"/>
          <w:szCs w:val="24"/>
        </w:rPr>
      </w:pPr>
      <w:r>
        <w:rPr>
          <w:rFonts w:ascii="Times New Roman" w:hAnsi="Times New Roman"/>
          <w:noProof/>
          <w:sz w:val="24"/>
        </w:rPr>
        <w:t>Общият брой на спрените от движение превозни средства по държави членки показва, че най-често сериозни дефекти са установявани в превозните средства в Швеция (80,9 %) и Финланди</w:t>
      </w:r>
      <w:r>
        <w:rPr>
          <w:rFonts w:ascii="Times New Roman" w:hAnsi="Times New Roman"/>
          <w:noProof/>
          <w:sz w:val="24"/>
        </w:rPr>
        <w:t>я (53,2 %), докато в тези в Гърция (2,2 % ) и Латвия (2,8 %) сериозни неизправности се установяват много по-рядко. Необходимо е да се вземе предвид, че от 47 046 проверки на шведски превозни средства 46 059 (97,9 %) са извършени от шведските органи, а от 1</w:t>
      </w:r>
      <w:r>
        <w:rPr>
          <w:rFonts w:ascii="Times New Roman" w:hAnsi="Times New Roman"/>
          <w:noProof/>
          <w:sz w:val="24"/>
        </w:rPr>
        <w:t>0 573 проверки на финландски превозни средства 9520 (90 %) са извършени във Финландия. От друга страна, в цяла Европа са проверени 29 360 гръцки превозни средства, като 50,8 % (14 922) от тях са били подложени на проверка извън Гърция, докато същото сравне</w:t>
      </w:r>
      <w:r>
        <w:rPr>
          <w:rFonts w:ascii="Times New Roman" w:hAnsi="Times New Roman"/>
          <w:noProof/>
          <w:sz w:val="24"/>
        </w:rPr>
        <w:t xml:space="preserve">ние за Латвия показва, че латвийските превозни средства в 80 % от случаите са проверявани от други държави членки (20 955 проверени превозни средства, от които 4196 — в Латвия).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 една страна, цифрите в приложение II, интерпретирани в таблица 4, показват</w:t>
      </w:r>
      <w:r>
        <w:rPr>
          <w:rFonts w:ascii="Times New Roman" w:hAnsi="Times New Roman"/>
          <w:noProof/>
          <w:sz w:val="24"/>
        </w:rPr>
        <w:t xml:space="preserve"> превозните средства на кои държави членки се използват по-често и поради това се проверяват по-често в други държави членки. От друга страна, особено високият дял на спрените от движение местни превозни средства може да се дължи на различните методи за пр</w:t>
      </w:r>
      <w:r>
        <w:rPr>
          <w:rFonts w:ascii="Times New Roman" w:hAnsi="Times New Roman"/>
          <w:noProof/>
          <w:sz w:val="24"/>
        </w:rPr>
        <w:t>оверка и на разликата при оценката на дефектите. Във връзка с това, с Директива 2014/47/ЕС ще се въведе по-добра хармонизация не само на методите за проверка, но и на оценката на неизправностите и на използването на оборудване за проверка за по-подробни кр</w:t>
      </w:r>
      <w:r>
        <w:rPr>
          <w:rFonts w:ascii="Times New Roman" w:hAnsi="Times New Roman"/>
          <w:noProof/>
          <w:sz w:val="24"/>
        </w:rPr>
        <w:t xml:space="preserve">айпътни технически проверки.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Допълнителни подробности относно класификациите по държава членка на регистрация се съдържат в приложение II. В приложение III се представят подробности за класификацията по категория превозно средство по държава членка н</w:t>
      </w:r>
      <w:r>
        <w:rPr>
          <w:rFonts w:ascii="Times New Roman" w:hAnsi="Times New Roman"/>
          <w:noProof/>
          <w:sz w:val="24"/>
        </w:rPr>
        <w:t xml:space="preserve">а проверката. </w:t>
      </w:r>
      <w:bookmarkStart w:id="27" w:name="_Toc353273658"/>
    </w:p>
    <w:p w:rsidR="004E3017" w:rsidRDefault="005423BE">
      <w:pPr>
        <w:spacing w:before="360" w:after="120" w:line="240" w:lineRule="auto"/>
        <w:jc w:val="both"/>
        <w:rPr>
          <w:rFonts w:ascii="Times New Roman" w:eastAsia="Times New Roman" w:hAnsi="Times New Roman"/>
          <w:noProof/>
          <w:sz w:val="24"/>
          <w:szCs w:val="24"/>
        </w:rPr>
      </w:pPr>
      <w:r>
        <w:rPr>
          <w:rFonts w:ascii="Times New Roman" w:hAnsi="Times New Roman"/>
          <w:b/>
          <w:smallCaps/>
          <w:noProof/>
          <w:sz w:val="24"/>
        </w:rPr>
        <w:t>6.</w:t>
      </w:r>
      <w:r>
        <w:rPr>
          <w:noProof/>
        </w:rPr>
        <w:tab/>
      </w:r>
      <w:r>
        <w:rPr>
          <w:rFonts w:ascii="Times New Roman" w:hAnsi="Times New Roman"/>
          <w:b/>
          <w:smallCaps/>
          <w:noProof/>
          <w:sz w:val="24"/>
        </w:rPr>
        <w:t>ВИДОВЕ САНКЦИИ</w:t>
      </w:r>
      <w:bookmarkEnd w:id="27"/>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директивата не се предвижда режим на санкции за никое от констатираните нарушения. Санкциите се определят от държавите членки без да се прилага дискриминация на основата на националността на водача или държавата на </w:t>
      </w:r>
      <w:r>
        <w:rPr>
          <w:rFonts w:ascii="Times New Roman" w:hAnsi="Times New Roman"/>
          <w:noProof/>
          <w:sz w:val="24"/>
        </w:rPr>
        <w:t>регистрация или пускане в експлоатация на превозното средство.</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 Директива 2000/30/ЕО се упълномощава органът или инспекторът, който извършва проверката, да спре от движение дадено превозно средство до отстраняване на откритите опасни неизправности, ако се</w:t>
      </w:r>
      <w:r>
        <w:rPr>
          <w:rFonts w:ascii="Times New Roman" w:hAnsi="Times New Roman"/>
          <w:noProof/>
          <w:sz w:val="24"/>
        </w:rPr>
        <w:t xml:space="preserve"> установи, че търговското превозно средство представлява сериозен риск за пътниците или за другите участници в пътното движение.</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Сериозните неизправности на търговско превозно средство, собственост на лице, което не пребивава в съответната държава, и по-сп</w:t>
      </w:r>
      <w:r>
        <w:rPr>
          <w:rFonts w:ascii="Times New Roman" w:hAnsi="Times New Roman"/>
          <w:noProof/>
          <w:sz w:val="24"/>
        </w:rPr>
        <w:t>ециално неизправностите, водещи до спиране от движение на превозното средство, трябва да бъдат докладвани на компетентните органи на държавата членка, в която превозното средство е регистрирано.</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Компетентните органи на държавата членка, които са установили</w:t>
      </w:r>
      <w:r>
        <w:rPr>
          <w:rFonts w:ascii="Times New Roman" w:hAnsi="Times New Roman"/>
          <w:noProof/>
          <w:sz w:val="24"/>
        </w:rPr>
        <w:t xml:space="preserve"> сериозната неизправност, могат да поискат от компетентните органи на държавата членка, в която превозното средство е регистрирано, да предприемат подходящи мерки, като например да подложат превозното средство на нов технически преглед. По такива случаи об</w:t>
      </w:r>
      <w:r>
        <w:rPr>
          <w:rFonts w:ascii="Times New Roman" w:hAnsi="Times New Roman"/>
          <w:noProof/>
          <w:sz w:val="24"/>
        </w:rPr>
        <w:t>аче не се изисква докладване.</w:t>
      </w:r>
      <w:bookmarkStart w:id="28" w:name="_Toc353273659"/>
    </w:p>
    <w:p w:rsidR="004E3017" w:rsidRDefault="005423BE">
      <w:pPr>
        <w:spacing w:before="360" w:after="120" w:line="240" w:lineRule="auto"/>
        <w:jc w:val="both"/>
        <w:rPr>
          <w:rFonts w:ascii="Times New Roman" w:eastAsia="Times New Roman" w:hAnsi="Times New Roman"/>
          <w:noProof/>
          <w:sz w:val="24"/>
          <w:szCs w:val="24"/>
        </w:rPr>
      </w:pPr>
      <w:r>
        <w:rPr>
          <w:rFonts w:ascii="Times New Roman" w:hAnsi="Times New Roman"/>
          <w:b/>
          <w:smallCaps/>
          <w:noProof/>
          <w:sz w:val="24"/>
        </w:rPr>
        <w:t>7.</w:t>
      </w:r>
      <w:r>
        <w:rPr>
          <w:noProof/>
        </w:rPr>
        <w:tab/>
      </w:r>
      <w:r>
        <w:rPr>
          <w:rFonts w:ascii="Times New Roman" w:hAnsi="Times New Roman"/>
          <w:b/>
          <w:smallCaps/>
          <w:noProof/>
          <w:sz w:val="24"/>
        </w:rPr>
        <w:t>РЕЗЮМЕ НА ЗАКЛЮЧЕНИЯТА</w:t>
      </w:r>
      <w:bookmarkEnd w:id="28"/>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Изпълняването от страна на държавите членки на задължението за докладване се е подобрило, въпреки че в много случаи не е спазен крайният срок, независимо от изпращането на уведомително писмо от страна</w:t>
      </w:r>
      <w:r>
        <w:rPr>
          <w:rFonts w:ascii="Times New Roman" w:hAnsi="Times New Roman"/>
          <w:noProof/>
          <w:sz w:val="24"/>
        </w:rPr>
        <w:t xml:space="preserve"> на Комисията в началото на март 2015 г. В някои случаи докладът е предоставен едва след дискусии между Комисията и компетентните органи на държавите членки. В повечето случаи за представянето на своя доклад държавите членки са използвали стандартизирания </w:t>
      </w:r>
      <w:r>
        <w:rPr>
          <w:rFonts w:ascii="Times New Roman" w:hAnsi="Times New Roman"/>
          <w:noProof/>
          <w:sz w:val="24"/>
        </w:rPr>
        <w:t>електронен формат, препоръчан от Комисията. В случая на Франция и Германия опитите за разяснения показаха, че докладите не могат да бъдат предоставени, тъй като държавите членки не бяха осигурили пълно съответствие с директивата.</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От настоящия доклад могат </w:t>
      </w:r>
      <w:r>
        <w:rPr>
          <w:rFonts w:ascii="Times New Roman" w:hAnsi="Times New Roman"/>
          <w:noProof/>
          <w:sz w:val="24"/>
        </w:rPr>
        <w:t>да бъдат направени редица заключения относно крайпътните технически проверки на търговските превозни средства, движещи се на територията на ЕС.</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Осезателна промяна в сравнение с предходния период е това, че през 2013—2014 г. са направени </w:t>
      </w:r>
      <w:r>
        <w:rPr>
          <w:rFonts w:ascii="Times New Roman" w:hAnsi="Times New Roman"/>
          <w:b/>
          <w:noProof/>
          <w:sz w:val="24"/>
        </w:rPr>
        <w:t xml:space="preserve">2 561 820 по-малко </w:t>
      </w:r>
      <w:r>
        <w:rPr>
          <w:rFonts w:ascii="Times New Roman" w:hAnsi="Times New Roman"/>
          <w:b/>
          <w:noProof/>
          <w:sz w:val="24"/>
        </w:rPr>
        <w:t>проверки</w:t>
      </w:r>
      <w:r>
        <w:rPr>
          <w:rFonts w:ascii="Times New Roman" w:hAnsi="Times New Roman"/>
          <w:noProof/>
          <w:sz w:val="24"/>
        </w:rPr>
        <w:t xml:space="preserve">, </w:t>
      </w:r>
      <w:r>
        <w:rPr>
          <w:rFonts w:ascii="Times New Roman" w:hAnsi="Times New Roman"/>
          <w:b/>
          <w:noProof/>
          <w:sz w:val="24"/>
        </w:rPr>
        <w:t xml:space="preserve">което представлява намаление от 31,5 %. </w:t>
      </w:r>
      <w:r>
        <w:rPr>
          <w:rFonts w:ascii="Times New Roman" w:hAnsi="Times New Roman"/>
          <w:noProof/>
          <w:sz w:val="24"/>
        </w:rPr>
        <w:t xml:space="preserve">Това може да се дължи на по-ефикасно определяне на потенциално неизправните превозни средства или на намаляване на ресурсите за крайпътни проверки в държавите членки. </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Делът на местните превозни средства сп</w:t>
      </w:r>
      <w:r>
        <w:rPr>
          <w:rFonts w:ascii="Times New Roman" w:hAnsi="Times New Roman"/>
          <w:noProof/>
          <w:sz w:val="24"/>
        </w:rPr>
        <w:t>рямо общия брой на проверените превозни средства също варира значително в различните държави членки. Следва да се положат допълнителни усилия, за да се осигури по-балансирано съотношение на проверките. Например в Белгия и Люксембург местните превозни средс</w:t>
      </w:r>
      <w:r>
        <w:rPr>
          <w:rFonts w:ascii="Times New Roman" w:hAnsi="Times New Roman"/>
          <w:noProof/>
          <w:sz w:val="24"/>
        </w:rPr>
        <w:t>тва са били проверявани в по-малко от 40 % от случаите, докато в други транзитни държави членки делът е по-балансиран.</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Делът на спрените от движение превозни средства спрямо всички проверени превозни средства показва значителни вариации —  от 0,4 % в Чешка</w:t>
      </w:r>
      <w:r>
        <w:rPr>
          <w:rFonts w:ascii="Times New Roman" w:hAnsi="Times New Roman"/>
          <w:noProof/>
          <w:sz w:val="24"/>
        </w:rPr>
        <w:t>та република и 0,8 % в Латвия до над 89,6 % в Естония и 76,4 % в Швеция. Докладваните цифри показват, че ефективността на крайпътните технически проверки може да бъде повишена чрез по-добро насочване на извършваните проверки. Времето, загубено от транспорт</w:t>
      </w:r>
      <w:r>
        <w:rPr>
          <w:rFonts w:ascii="Times New Roman" w:hAnsi="Times New Roman"/>
          <w:noProof/>
          <w:sz w:val="24"/>
        </w:rPr>
        <w:t>ните оператори, и административната тежест за тях и за правоприлагащите органи също могат да се намалят чрез по-добър подбор на проверяваните превозни средства. Считано от 2018 г. с новата Директива 2014/47/ЕС относно крайпътните проверки ще се изисква дър</w:t>
      </w:r>
      <w:r>
        <w:rPr>
          <w:rFonts w:ascii="Times New Roman" w:hAnsi="Times New Roman"/>
          <w:noProof/>
          <w:sz w:val="24"/>
        </w:rPr>
        <w:t>жавите членки да коригират системите си за проверка, като преминат от извършване на случайни проверки към по-целенасочен подход.</w:t>
      </w:r>
    </w:p>
    <w:p w:rsidR="004E3017" w:rsidRDefault="005423BE">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Най-често срещаните неизправности, установени по време на проверки, се отнасят до техническата изправност на осветителното обор</w:t>
      </w:r>
      <w:r>
        <w:rPr>
          <w:rFonts w:ascii="Times New Roman" w:hAnsi="Times New Roman"/>
          <w:noProof/>
          <w:sz w:val="24"/>
        </w:rPr>
        <w:t>удване, колелата, гумите и спирачките. Въпреки това, значителни различия в дела на тези неизправности могат да се наблюдават при всички държави членки. Европейската комисия насърчава държавите членки да обърнат особено внимание на категориите неизправности</w:t>
      </w:r>
      <w:r>
        <w:rPr>
          <w:rFonts w:ascii="Times New Roman" w:hAnsi="Times New Roman"/>
          <w:noProof/>
          <w:sz w:val="24"/>
        </w:rPr>
        <w:t>, които продължават да бъдат най-проблемни, и да адаптират съответно използваните методи за проверка.</w:t>
      </w:r>
    </w:p>
    <w:p w:rsidR="004E3017" w:rsidRDefault="004E3017">
      <w:pPr>
        <w:keepNext/>
        <w:tabs>
          <w:tab w:val="left" w:pos="850"/>
        </w:tabs>
        <w:spacing w:before="360" w:after="120" w:line="240" w:lineRule="auto"/>
        <w:outlineLvl w:val="0"/>
        <w:rPr>
          <w:rFonts w:ascii="Times New Roman" w:eastAsia="Times New Roman" w:hAnsi="Times New Roman"/>
          <w:noProof/>
          <w:sz w:val="24"/>
          <w:szCs w:val="24"/>
        </w:rPr>
      </w:pPr>
    </w:p>
    <w:sectPr w:rsidR="004E3017">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17" w:rsidRDefault="005423BE">
      <w:pPr>
        <w:spacing w:after="0" w:line="240" w:lineRule="auto"/>
      </w:pPr>
      <w:r>
        <w:separator/>
      </w:r>
    </w:p>
  </w:endnote>
  <w:endnote w:type="continuationSeparator" w:id="0">
    <w:p w:rsidR="004E3017" w:rsidRDefault="0054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5423BE">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41002"/>
      <w:docPartObj>
        <w:docPartGallery w:val="Page Numbers (Bottom of Page)"/>
        <w:docPartUnique/>
      </w:docPartObj>
    </w:sdtPr>
    <w:sdtEndPr>
      <w:rPr>
        <w:noProof/>
      </w:rPr>
    </w:sdtEndPr>
    <w:sdtContent>
      <w:p w:rsidR="004E3017" w:rsidRDefault="00542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3017" w:rsidRDefault="004E3017">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463"/>
      <w:docPartObj>
        <w:docPartGallery w:val="Page Numbers (Bottom of Page)"/>
        <w:docPartUnique/>
      </w:docPartObj>
    </w:sdtPr>
    <w:sdtEndPr>
      <w:rPr>
        <w:noProof/>
      </w:rPr>
    </w:sdtEndPr>
    <w:sdtContent>
      <w:p w:rsidR="004E3017" w:rsidRDefault="005423B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4E3017" w:rsidRDefault="004E3017">
    <w:pPr>
      <w:pStyle w:val="FooterLandscap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17" w:rsidRDefault="005423BE">
      <w:pPr>
        <w:spacing w:after="0" w:line="240" w:lineRule="auto"/>
      </w:pPr>
      <w:r>
        <w:separator/>
      </w:r>
    </w:p>
  </w:footnote>
  <w:footnote w:type="continuationSeparator" w:id="0">
    <w:p w:rsidR="004E3017" w:rsidRDefault="005423BE">
      <w:pPr>
        <w:spacing w:after="0" w:line="240" w:lineRule="auto"/>
      </w:pPr>
      <w:r>
        <w:continuationSeparator/>
      </w:r>
    </w:p>
  </w:footnote>
  <w:footnote w:id="1">
    <w:p w:rsidR="004E3017" w:rsidRDefault="005423BE">
      <w:pPr>
        <w:pStyle w:val="FootnoteText"/>
        <w:jc w:val="left"/>
      </w:pPr>
      <w:r>
        <w:rPr>
          <w:rStyle w:val="FootnoteReference"/>
        </w:rPr>
        <w:footnoteRef/>
      </w:r>
      <w:r>
        <w:tab/>
        <w:t xml:space="preserve">Регламент (ЕО) № 1072/2009 на Европейския парламент и на Съвета от 21 октомври 2009 г. относно общите правила </w:t>
      </w:r>
      <w:r>
        <w:t>за достъп до пазара на международни автомобилни превози на товари (преработен), OВ L 300, 14.11.2009 г., стр. 72.</w:t>
      </w:r>
    </w:p>
  </w:footnote>
  <w:footnote w:id="2">
    <w:p w:rsidR="004E3017" w:rsidRDefault="005423BE">
      <w:pPr>
        <w:pStyle w:val="FootnoteText"/>
        <w:jc w:val="left"/>
      </w:pPr>
      <w:r>
        <w:rPr>
          <w:rStyle w:val="FootnoteReference"/>
        </w:rPr>
        <w:footnoteRef/>
      </w:r>
      <w:r>
        <w:tab/>
        <w:t xml:space="preserve">Директива 2009/40/ЕО на Европейския парламент и на Съвета от 6 май 2009 г. относно прегледите за проверка на техническата изправност на </w:t>
      </w:r>
      <w:r>
        <w:t>моторните превозни средства и техните ремаркета (преработена) (ОВ L 141, 6.6.2009 г., стр. 12).</w:t>
      </w:r>
    </w:p>
  </w:footnote>
  <w:footnote w:id="3">
    <w:p w:rsidR="004E3017" w:rsidRDefault="005423BE">
      <w:pPr>
        <w:pStyle w:val="FootnoteText"/>
        <w:jc w:val="left"/>
      </w:pPr>
      <w:r>
        <w:rPr>
          <w:rStyle w:val="FootnoteReference"/>
        </w:rPr>
        <w:footnoteRef/>
      </w:r>
      <w:r>
        <w:tab/>
        <w:t>Директива 2000/30/ЕО на Европейския парламент и на Съвета от 6 юни 2000 г. относно крайпътните технически проверки на движещите се на територията на Общността</w:t>
      </w:r>
      <w:r>
        <w:t xml:space="preserve"> търговски превозни средства, ОВ L 203, 10.8.2000 г., стр. 1.</w:t>
      </w:r>
    </w:p>
  </w:footnote>
  <w:footnote w:id="4">
    <w:p w:rsidR="004E3017" w:rsidRDefault="005423BE">
      <w:pPr>
        <w:pStyle w:val="FootnoteText"/>
        <w:jc w:val="left"/>
      </w:pPr>
      <w:r>
        <w:rPr>
          <w:rStyle w:val="FootnoteReference"/>
        </w:rPr>
        <w:footnoteRef/>
      </w:r>
      <w:r>
        <w:t xml:space="preserve"> </w:t>
      </w:r>
      <w:r>
        <w:tab/>
        <w:t>Директива 2014/47/ЕС на Европейския парламент и на Съвета от 3 април 2014 г. относно крайпътната техническа проверка на изправността на търговски превозни средства, които се движат на територ</w:t>
      </w:r>
      <w:r>
        <w:t>ията на Съюза, ОВ L 127, 29.4.2014 г., стр. 134.</w:t>
      </w:r>
    </w:p>
  </w:footnote>
  <w:footnote w:id="5">
    <w:p w:rsidR="004E3017" w:rsidRDefault="005423BE">
      <w:pPr>
        <w:pStyle w:val="FootnoteText"/>
        <w:rPr>
          <w:lang w:val="hu-HU"/>
        </w:rPr>
      </w:pPr>
      <w:r>
        <w:rPr>
          <w:rStyle w:val="FootnoteReference"/>
        </w:rPr>
        <w:footnoteRef/>
      </w:r>
      <w:r>
        <w:t xml:space="preserve"> </w:t>
      </w:r>
      <w:r>
        <w:tab/>
        <w:t>Директива 2009/40/ЕО на Европейския парламент и на Съвета от 6 май 2009 г.</w:t>
      </w:r>
      <w:r>
        <w:rPr>
          <w:rStyle w:val="FootnoteReference"/>
        </w:rPr>
        <w:footnoteRef/>
      </w:r>
      <w:r>
        <w:t xml:space="preserve"> относно прегледите за проверка на техническата изправност на моторните превозни средства и техните ремаркета (ОВ L 141, 6.6.2009</w:t>
      </w:r>
      <w:r>
        <w:t xml:space="preserve"> г., стр. 12).</w:t>
      </w:r>
    </w:p>
  </w:footnote>
  <w:footnote w:id="6">
    <w:p w:rsidR="004E3017" w:rsidRDefault="005423BE">
      <w:pPr>
        <w:pStyle w:val="FootnoteText"/>
      </w:pPr>
      <w:r>
        <w:rPr>
          <w:rStyle w:val="FootnoteReference"/>
        </w:rPr>
        <w:footnoteRef/>
      </w:r>
      <w:r>
        <w:tab/>
        <w:t>Директива 2010/47/ЕС на Комисията от 5 юли 2010 г. за привеждане в съответствие с техническия прогрес на Директива 2000/30/ЕО на Европейския парламент и на Съвета относно крайпътните технически проверки на движещите се на територията на Об</w:t>
      </w:r>
      <w:r>
        <w:t>щността търговски превозни средства, ОВ L 173, 8.7.2010 г., стр. 33.</w:t>
      </w:r>
    </w:p>
  </w:footnote>
  <w:footnote w:id="7">
    <w:p w:rsidR="004E3017" w:rsidRDefault="005423BE">
      <w:pPr>
        <w:pStyle w:val="FootnoteText"/>
      </w:pPr>
      <w:r>
        <w:rPr>
          <w:rStyle w:val="FootnoteReference"/>
        </w:rPr>
        <w:footnoteRef/>
      </w:r>
      <w:r>
        <w:rPr>
          <w:color w:val="000000"/>
        </w:rPr>
        <w:t>COM(2013) 303; COM(2014) 569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17" w:rsidRDefault="004E3017">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3">
    <w:nsid w:val="118841AB"/>
    <w:multiLevelType w:val="hybridMultilevel"/>
    <w:tmpl w:val="F2C0779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8"/>
  </w:num>
  <w:num w:numId="2">
    <w:abstractNumId w:val="29"/>
  </w:num>
  <w:num w:numId="3">
    <w:abstractNumId w:val="19"/>
  </w:num>
  <w:num w:numId="4">
    <w:abstractNumId w:val="35"/>
  </w:num>
  <w:num w:numId="5">
    <w:abstractNumId w:val="12"/>
  </w:num>
  <w:num w:numId="6">
    <w:abstractNumId w:val="20"/>
  </w:num>
  <w:num w:numId="7">
    <w:abstractNumId w:val="8"/>
  </w:num>
  <w:num w:numId="8">
    <w:abstractNumId w:val="34"/>
  </w:num>
  <w:num w:numId="9">
    <w:abstractNumId w:val="5"/>
  </w:num>
  <w:num w:numId="10">
    <w:abstractNumId w:val="21"/>
  </w:num>
  <w:num w:numId="11">
    <w:abstractNumId w:val="27"/>
  </w:num>
  <w:num w:numId="12">
    <w:abstractNumId w:val="28"/>
  </w:num>
  <w:num w:numId="13">
    <w:abstractNumId w:val="11"/>
  </w:num>
  <w:num w:numId="14">
    <w:abstractNumId w:val="26"/>
  </w:num>
  <w:num w:numId="15">
    <w:abstractNumId w:val="41"/>
  </w:num>
  <w:num w:numId="16">
    <w:abstractNumId w:val="6"/>
  </w:num>
  <w:num w:numId="17">
    <w:abstractNumId w:val="9"/>
  </w:num>
  <w:num w:numId="18">
    <w:abstractNumId w:val="33"/>
  </w:num>
  <w:num w:numId="19">
    <w:abstractNumId w:val="13"/>
  </w:num>
  <w:num w:numId="20">
    <w:abstractNumId w:val="31"/>
  </w:num>
  <w:num w:numId="21">
    <w:abstractNumId w:val="22"/>
  </w:num>
  <w:num w:numId="22">
    <w:abstractNumId w:val="14"/>
  </w:num>
  <w:num w:numId="23">
    <w:abstractNumId w:val="2"/>
  </w:num>
  <w:num w:numId="24">
    <w:abstractNumId w:val="17"/>
  </w:num>
  <w:num w:numId="25">
    <w:abstractNumId w:val="1"/>
  </w:num>
  <w:num w:numId="26">
    <w:abstractNumId w:val="0"/>
  </w:num>
  <w:num w:numId="27">
    <w:abstractNumId w:val="18"/>
  </w:num>
  <w:num w:numId="28">
    <w:abstractNumId w:val="16"/>
  </w:num>
  <w:num w:numId="29">
    <w:abstractNumId w:val="36"/>
  </w:num>
  <w:num w:numId="30">
    <w:abstractNumId w:val="30"/>
  </w:num>
  <w:num w:numId="31">
    <w:abstractNumId w:val="25"/>
  </w:num>
  <w:num w:numId="32">
    <w:abstractNumId w:val="7"/>
  </w:num>
  <w:num w:numId="33">
    <w:abstractNumId w:val="4"/>
  </w:num>
  <w:num w:numId="34">
    <w:abstractNumId w:val="10"/>
  </w:num>
  <w:num w:numId="35">
    <w:abstractNumId w:val="37"/>
  </w:num>
  <w:num w:numId="36">
    <w:abstractNumId w:val="40"/>
  </w:num>
  <w:num w:numId="37">
    <w:abstractNumId w:val="15"/>
  </w:num>
  <w:num w:numId="38">
    <w:abstractNumId w:val="23"/>
  </w:num>
  <w:num w:numId="39">
    <w:abstractNumId w:val="3"/>
  </w:num>
  <w:num w:numId="40">
    <w:abstractNumId w:val="39"/>
  </w:num>
  <w:num w:numId="41">
    <w:abstractNumId w:val="2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4FC5C8008D04CA98F5D7AFB7F60522E"/>
    <w:docVar w:name="LW_CROSSREFERENCE" w:val="&lt;UNUSED&gt;"/>
    <w:docVar w:name="LW_DocType" w:val="NORMAL"/>
    <w:docVar w:name="LW_EMISSION" w:val="28.2.2017"/>
    <w:docVar w:name="LW_EMISSION_ISODATE" w:val="2017-02-2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99"/>
    <w:docVar w:name="LW_REF.INTERNE" w:val="&lt;UNUSED&gt;"/>
    <w:docVar w:name="LW_SOUS.TITRE.OBJ.CP" w:val="&lt;UNUSED&gt;"/>
    <w:docVar w:name="LW_SUPERTITRE" w:val="&lt;UNUSED&gt;"/>
    <w:docVar w:name="LW_TITRE.OBJ.CP" w:val="\u1079?\u1072? \u1087?\u1088?\u1080?\u1083?\u1072?\u1075?\u1072?\u1085?\u1077?\u1090?\u1086? \u1086?\u1090? \u1089?\u1090?\u1088?\u1072?\u1085?\u1072? \u1085?\u1072? \u1076?\u1098?\u1088?\u1078?\u1072?\u1074?\u1080?\u1090?\u1077? \u1095?\u1083?\u1077?\u1085?\u1082?\u1080? \u1085?\u1072? \u1044?\u1080?\u1088?\u1077?\u1082?\u1090?\u1080?\u1074?\u1072? 2000/30/\u1045?\u1054? \u1085?\u1072? \u1045?\u1074?\u1088?\u1086?\u1087?\u1077?\u1081?\u1089?\u1082?\u1080?\u1103? \u1087?\u1072?\u1088?\u1083?\u1072?\u1084?\u1077?\u1085?\u1090? \u1080? \u1085?\u1072? \u1057?\u1098?\u1074?\u1077?\u1090?\u1072? \u1086?\u1090? 6 \u1102?\u1085?\u1080? 2000 \u1075?. \u1086?\u1090?\u1085?\u1086?\u1089?\u1085?\u1086? \u1082?\u1088?\u1072?\u1081?\u1087?\u1098?\u1090?\u1085?\u1080?\u1090?\u1077? \u1090?\u1077?\u1093?\u1085?\u1080?\u1095?\u1077?\u1089?\u1082?\u1080? \u1087?\u1088?\u1086?\u1074?\u1077?\u1088?\u1082?\u1080? \u1085?\u1072? \u1076?\u1074?\u1080?\u1078?\u1077?\u1097?\u1080?\u1090?\u1077? \u1089?\u1077? \u1085?\u1072? \u1090?\u1077?\u1088?\u1080?\u1090?\u1086?\u1088?\u1080?\u1103?\u1090?\u1072? \u1085?\u1072? \u1054?\u1073?\u1097?\u1085?\u1086?\u1089?\u1090?\u1090?\u1072? \u1090?\u1098?\u1088?\u1075?\u1086?\u1074?\u1089?\u1082?\u1080? \u1087?\u1088?\u1077?\u1074?\u1086?\u1079?\u1085?\u1080? \u1089?\u1088?\u1077?\u1076?\u1089?\u1090?\u1074?\u1072? _x000b__x000b_\u1055?\u1077?\u1088?\u1080?\u1086?\u1076? \u1085?\u1072? \u1076?\u1086?\u1082?\u1083?\u1072?\u1076?\u1074?\u1072?\u1085?\u1077? 2013\u8212?2014 \u1075?.   "/>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4E3017"/>
    <w:rsid w:val="004E3017"/>
    <w:rsid w:val="005423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9" w:uiPriority="3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6"/>
      </w:numPr>
      <w:tabs>
        <w:tab w:val="clear" w:pos="480"/>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6"/>
      </w:numPr>
      <w:tabs>
        <w:tab w:val="clear" w:pos="1200"/>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9" w:uiPriority="3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6"/>
      </w:numPr>
      <w:tabs>
        <w:tab w:val="clear" w:pos="480"/>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6"/>
      </w:numPr>
      <w:tabs>
        <w:tab w:val="clear" w:pos="1200"/>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6CE3-7A27-49FD-9902-54DF65A7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33</cp:revision>
  <cp:lastPrinted>2017-01-20T10:27:00Z</cp:lastPrinted>
  <dcterms:created xsi:type="dcterms:W3CDTF">2017-01-19T13:15:00Z</dcterms:created>
  <dcterms:modified xsi:type="dcterms:W3CDTF">2017-02-27T10:06:00Z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