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2C7CBF569154AAD9036497872D44724" style="width:450.75pt;height:307.2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spacing w:before="0" w:after="200"/>
        <w:rPr>
          <w:noProof/>
          <w:szCs w:val="24"/>
        </w:rPr>
      </w:pPr>
      <w:bookmarkStart w:id="1" w:name="_Toc445287964"/>
      <w:bookmarkStart w:id="2" w:name="_GoBack"/>
      <w:bookmarkEnd w:id="2"/>
      <w:r>
        <w:rPr>
          <w:noProof/>
        </w:rPr>
        <w:lastRenderedPageBreak/>
        <w:t>Въведение</w:t>
      </w:r>
      <w:bookmarkEnd w:id="1"/>
    </w:p>
    <w:p>
      <w:pPr>
        <w:spacing w:line="240" w:lineRule="auto"/>
        <w:jc w:val="both"/>
        <w:rPr>
          <w:rFonts w:ascii="Times New Roman" w:hAnsi="Times New Roman" w:cs="Times New Roman"/>
          <w:noProof/>
          <w:sz w:val="24"/>
          <w:szCs w:val="24"/>
        </w:rPr>
      </w:pPr>
      <w:r>
        <w:rPr>
          <w:rFonts w:ascii="Times New Roman" w:hAnsi="Times New Roman"/>
          <w:noProof/>
          <w:sz w:val="24"/>
        </w:rPr>
        <w:t>Успехът на Плана за инвестиции за Европа в насочването на финансиране към проекти с добавена стойност за европейската икономика зависи отчасти от способността на ЕС и на държавите членки да преодолеят пречките пред трансграничните инвестиции. Поради това, като част от третия стълб на Плана за инвестиции за Европа, насочен към премахването на пречките пред инвестициите, Комисията пое ангажимент за ускоряване на процеса по изграждане на съюз на капиталовите пазари (СКП).</w:t>
      </w:r>
    </w:p>
    <w:p>
      <w:pPr>
        <w:spacing w:line="240" w:lineRule="auto"/>
        <w:jc w:val="both"/>
        <w:rPr>
          <w:rFonts w:ascii="Times New Roman" w:hAnsi="Times New Roman" w:cs="Times New Roman"/>
          <w:noProof/>
          <w:sz w:val="24"/>
          <w:szCs w:val="24"/>
        </w:rPr>
      </w:pPr>
      <w:r>
        <w:rPr>
          <w:rFonts w:ascii="Times New Roman" w:hAnsi="Times New Roman"/>
          <w:noProof/>
          <w:sz w:val="24"/>
        </w:rPr>
        <w:t>Изграждането на интегрирани финансови пазари в рамките на СКП изисква вземането на важни решения на европейско равнище, както и твърд ангажимент от всяка държава членка за преодоляване на пречките на национално равнище. Действията на национално равнище са необходими, за да се създаде ясна, предвидима и стабилна среда, предлагаща повече инвестиции и по-ефективно разпределение на капитала, което на свой ред ще стимулира финансирането на бизнеса и инфраструктурата.</w:t>
      </w:r>
    </w:p>
    <w:p>
      <w:pPr>
        <w:spacing w:line="240" w:lineRule="auto"/>
        <w:jc w:val="both"/>
        <w:rPr>
          <w:rFonts w:ascii="Times New Roman" w:hAnsi="Times New Roman" w:cs="Times New Roman"/>
          <w:noProof/>
          <w:sz w:val="24"/>
          <w:szCs w:val="24"/>
        </w:rPr>
      </w:pPr>
      <w:r>
        <w:rPr>
          <w:rFonts w:ascii="Times New Roman" w:hAnsi="Times New Roman"/>
          <w:noProof/>
          <w:sz w:val="24"/>
        </w:rPr>
        <w:t>Предвид призива на Съвета ЕКОФИН от юни 2015 г. Комисията и експертна група от представители на държавите членки започнаха съвместна работа, в която Европейският парламент участва като наблюдател, за установяване на националните пречки пред трансграничните капиталови потоци и откриване на най-добрите начини за преодоляването на онези от тях, които не са свързани с обществения интерес или са непропорционални. В резултат следва да бъде изготвена съвместна пътна карта за премахването на тези пречки, която да допълни останалите инициативи относно съществуващите пречки пред инвестициите, установени от Комисията в контекста на европейския семестър, както и работата по СКП за развитие на капиталовите пазари, по която съдейства Службата за подкрепа на структурните реформи (СПСР)</w:t>
      </w:r>
      <w:r>
        <w:rPr>
          <w:rStyle w:val="FootnoteReference"/>
          <w:rFonts w:ascii="Times New Roman" w:hAnsi="Times New Roman"/>
          <w:noProof/>
          <w:sz w:val="24"/>
        </w:rPr>
        <w:footnoteReference w:id="1"/>
      </w:r>
      <w:r>
        <w:rPr>
          <w:noProof/>
        </w:rPr>
        <w:t>.</w:t>
      </w:r>
    </w:p>
    <w:p>
      <w:pPr>
        <w:spacing w:line="240" w:lineRule="auto"/>
        <w:jc w:val="both"/>
        <w:rPr>
          <w:rFonts w:ascii="Times New Roman" w:hAnsi="Times New Roman" w:cs="Times New Roman"/>
          <w:noProof/>
          <w:sz w:val="24"/>
          <w:szCs w:val="24"/>
        </w:rPr>
      </w:pPr>
      <w:r>
        <w:rPr>
          <w:rFonts w:ascii="Times New Roman" w:hAnsi="Times New Roman"/>
          <w:noProof/>
          <w:sz w:val="24"/>
        </w:rPr>
        <w:t>Комисията смята, че този метод на сътрудничество с държавите членки въз основа на взаимна оценка на националните изисквания, партньорски проверки и обмен на най-добри практики, може да донесе значителни ползи. В този дух експертната група започна работа във връзка с редица пречки, предимно от сферата на националната компетентност, които бяха подбрани въз основа на предоставената от държавите членки информация и отговорите на заинтересованите страни на различните консултации, свързани със СКП</w:t>
      </w:r>
      <w:r>
        <w:rPr>
          <w:rStyle w:val="FootnoteReference"/>
          <w:rFonts w:ascii="Times New Roman" w:hAnsi="Times New Roman"/>
          <w:noProof/>
          <w:sz w:val="24"/>
        </w:rPr>
        <w:footnoteReference w:id="2"/>
      </w:r>
      <w:r>
        <w:rPr>
          <w:noProof/>
        </w:rPr>
        <w:t>.</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Първият набор от пречки, установени от експертната група, включва такива, които възпрепятстват трансграничните операции на инвеститорите в рамките на инвестиционния цикъл. В настоящия доклад се прави разграничение между пречки </w:t>
      </w:r>
      <w:r>
        <w:rPr>
          <w:rFonts w:ascii="Times New Roman" w:hAnsi="Times New Roman"/>
          <w:i/>
          <w:noProof/>
          <w:sz w:val="24"/>
        </w:rPr>
        <w:t>ex ante</w:t>
      </w:r>
      <w:r>
        <w:rPr>
          <w:rFonts w:ascii="Times New Roman" w:hAnsi="Times New Roman"/>
          <w:noProof/>
          <w:sz w:val="24"/>
        </w:rPr>
        <w:t xml:space="preserve"> (непосредствен проблем за инвеститорите, които възнамеряват да упражняват дейност в трансграничен план), пречки </w:t>
      </w:r>
      <w:r>
        <w:rPr>
          <w:rFonts w:ascii="Times New Roman" w:hAnsi="Times New Roman"/>
          <w:i/>
          <w:noProof/>
          <w:sz w:val="24"/>
        </w:rPr>
        <w:t>in itinere</w:t>
      </w:r>
      <w:r>
        <w:rPr>
          <w:rFonts w:ascii="Times New Roman" w:hAnsi="Times New Roman"/>
          <w:noProof/>
          <w:sz w:val="24"/>
        </w:rPr>
        <w:t xml:space="preserve"> (затрудняват инвеститорите при поддържане или увеличаване на трансграничната им експозиция) и пречки </w:t>
      </w:r>
      <w:r>
        <w:rPr>
          <w:rFonts w:ascii="Times New Roman" w:hAnsi="Times New Roman"/>
          <w:i/>
          <w:noProof/>
          <w:sz w:val="24"/>
        </w:rPr>
        <w:t>ex post</w:t>
      </w:r>
      <w:r>
        <w:rPr>
          <w:rFonts w:ascii="Times New Roman" w:hAnsi="Times New Roman"/>
          <w:noProof/>
          <w:sz w:val="24"/>
        </w:rPr>
        <w:t xml:space="preserve"> (ще доведат до затруднения в края на инвестиционния процес).</w:t>
      </w:r>
    </w:p>
    <w:p>
      <w:pPr>
        <w:spacing w:line="240" w:lineRule="auto"/>
        <w:jc w:val="both"/>
        <w:rPr>
          <w:rFonts w:ascii="Times New Roman" w:hAnsi="Times New Roman" w:cs="Times New Roman"/>
          <w:noProof/>
          <w:sz w:val="24"/>
          <w:szCs w:val="24"/>
        </w:rPr>
      </w:pPr>
      <w:r>
        <w:rPr>
          <w:rFonts w:ascii="Times New Roman" w:hAnsi="Times New Roman"/>
          <w:noProof/>
          <w:sz w:val="24"/>
        </w:rPr>
        <w:t>За всяка от посочените по-горе категории настоящият доклад се опира на обсъжданията в рамките на експертната група; предлагат се и следващи стъпки. Комисията очаква държавите членки да постигнат съгласие по предложената пътна карта и да предприемат съответни действия. Тя възнамерява да следи изпълнението на пътната карта и приканва експертната група да установи пречките и в останалите области на СКП. Пътната карта се разглежда като динамичен документ, който трябва да се актуализира с допълнителните действия, които трябва да се предприемат преди 2019 г., във връзка с пречките, които могат да бъдат установени впоследствие.</w:t>
      </w:r>
    </w:p>
    <w:p>
      <w:pPr>
        <w:pStyle w:val="Heading1"/>
        <w:spacing w:before="0" w:after="200"/>
        <w:rPr>
          <w:noProof/>
          <w:szCs w:val="24"/>
        </w:rPr>
      </w:pPr>
      <w:r>
        <w:rPr>
          <w:noProof/>
        </w:rPr>
        <w:t xml:space="preserve">Пречки </w:t>
      </w:r>
      <w:r>
        <w:rPr>
          <w:i/>
          <w:noProof/>
        </w:rPr>
        <w:t>ex ante</w:t>
      </w:r>
    </w:p>
    <w:p>
      <w:pPr>
        <w:pStyle w:val="Heading2"/>
        <w:spacing w:after="200"/>
        <w:rPr>
          <w:noProof/>
          <w:szCs w:val="24"/>
        </w:rPr>
      </w:pPr>
      <w:r>
        <w:rPr>
          <w:noProof/>
        </w:rPr>
        <w:t>Пречки пред трансграничното предлагане на инвестиционни фондове</w:t>
      </w:r>
    </w:p>
    <w:p>
      <w:pPr>
        <w:spacing w:line="240" w:lineRule="auto"/>
        <w:jc w:val="both"/>
        <w:rPr>
          <w:rFonts w:ascii="Times New Roman" w:hAnsi="Times New Roman" w:cs="Times New Roman"/>
          <w:noProof/>
          <w:sz w:val="24"/>
          <w:szCs w:val="24"/>
        </w:rPr>
      </w:pPr>
      <w:r>
        <w:rPr>
          <w:rFonts w:ascii="Times New Roman" w:hAnsi="Times New Roman"/>
          <w:noProof/>
          <w:sz w:val="24"/>
        </w:rPr>
        <w:t>Паспортът на ЕС за предлагане на ценни книжа допринесе за изграждането на успешен трансграничен пазар на инвестиционни фондове — 80 % от фондовете на предприятията за колективно инвестиране в прехвърлими ценни книжа (ПКИПЦК) и 40 % от алтернативните инвестиционни фондове (АИФ) се предлагат  трансгранично. Предлагането на фондовете обаче продължава да бъде териториално ограничено. Една трета от трансгранично предлаганите фондове се продават само в една държава членка и още една трета в не повече от четири други държави членки. Това може да се дължи на концентрирани канали за предлагане на фондове в някои държави членки, на културни предпочитания или на липса на стимули за конкуренция в трансграничен мащаб. От друга страна, предоставените при различните консултации отговори се отнасят и до допълнителните национални изисквания, приети от държавите членки при транспонирането на Директивата за ЛУАИФ</w:t>
      </w:r>
      <w:r>
        <w:rPr>
          <w:rStyle w:val="FootnoteReference"/>
          <w:rFonts w:ascii="Times New Roman" w:hAnsi="Times New Roman"/>
          <w:noProof/>
          <w:sz w:val="24"/>
        </w:rPr>
        <w:footnoteReference w:id="3"/>
      </w:r>
      <w:r>
        <w:rPr>
          <w:rFonts w:ascii="Times New Roman" w:hAnsi="Times New Roman"/>
          <w:noProof/>
          <w:sz w:val="24"/>
        </w:rPr>
        <w:t xml:space="preserve"> и Директивата за ПКИПЦК</w:t>
      </w:r>
      <w:r>
        <w:rPr>
          <w:rStyle w:val="FootnoteReference"/>
          <w:rFonts w:ascii="Times New Roman" w:hAnsi="Times New Roman"/>
          <w:noProof/>
          <w:sz w:val="24"/>
        </w:rPr>
        <w:footnoteReference w:id="4"/>
      </w:r>
      <w:r>
        <w:rPr>
          <w:rFonts w:ascii="Times New Roman" w:hAnsi="Times New Roman"/>
          <w:noProof/>
          <w:sz w:val="24"/>
        </w:rPr>
        <w:t>.</w:t>
      </w:r>
    </w:p>
    <w:p>
      <w:pPr>
        <w:spacing w:line="240" w:lineRule="auto"/>
        <w:jc w:val="both"/>
        <w:rPr>
          <w:rFonts w:ascii="Times New Roman" w:hAnsi="Times New Roman" w:cs="Times New Roman"/>
          <w:noProof/>
          <w:sz w:val="24"/>
          <w:szCs w:val="24"/>
        </w:rPr>
      </w:pPr>
      <w:r>
        <w:rPr>
          <w:rFonts w:ascii="Times New Roman" w:hAnsi="Times New Roman"/>
          <w:noProof/>
          <w:color w:val="000000"/>
          <w:sz w:val="24"/>
        </w:rPr>
        <w:t>Работата на експертната група в тази област беше насочена към установяването и преодоляването на пречките, произтичащи от националните разпоредби или практики. В допълнение към това и с оглед на необходимостта от действия на равнище ЕС, Комисията започна обществена консултация относно пречките пред трансграничното предлагане на инвестиционни фондове, в която тези теми също са засегнати</w:t>
      </w:r>
      <w:r>
        <w:rPr>
          <w:rStyle w:val="FootnoteReference"/>
          <w:rFonts w:ascii="Times New Roman" w:hAnsi="Times New Roman"/>
          <w:noProof/>
          <w:color w:val="000000"/>
          <w:sz w:val="24"/>
        </w:rPr>
        <w:footnoteReference w:id="5"/>
      </w:r>
      <w:r>
        <w:rPr>
          <w:noProof/>
        </w:rPr>
        <w:t>.</w:t>
      </w:r>
      <w:r>
        <w:rPr>
          <w:rFonts w:ascii="Times New Roman" w:hAnsi="Times New Roman"/>
          <w:noProof/>
          <w:color w:val="000000"/>
          <w:sz w:val="24"/>
        </w:rPr>
        <w:t xml:space="preserve"> По-нататъшната работа в резултат на консултацията на Комисията, в която ще се вземе под внимание настоящият доклад, ще бъдат оповестена своевременно.</w:t>
      </w:r>
    </w:p>
    <w:p>
      <w:pPr>
        <w:pStyle w:val="Heading3"/>
        <w:spacing w:after="200"/>
        <w:rPr>
          <w:b/>
          <w:noProof/>
        </w:rPr>
      </w:pPr>
      <w:r>
        <w:rPr>
          <w:b/>
          <w:noProof/>
        </w:rPr>
        <w:t>Изисквания за предлагане на пазара</w:t>
      </w:r>
    </w:p>
    <w:p>
      <w:pPr>
        <w:spacing w:line="240" w:lineRule="auto"/>
        <w:jc w:val="both"/>
        <w:rPr>
          <w:rFonts w:ascii="Times New Roman" w:hAnsi="Times New Roman" w:cs="Times New Roman"/>
          <w:noProof/>
          <w:sz w:val="24"/>
          <w:szCs w:val="24"/>
        </w:rPr>
      </w:pPr>
      <w:r>
        <w:rPr>
          <w:rFonts w:ascii="Times New Roman" w:hAnsi="Times New Roman"/>
          <w:noProof/>
          <w:sz w:val="24"/>
        </w:rPr>
        <w:t>Няколко държави членки посочиха, че значителните различия между националните норми и разнородните надзорни подходи се оказват съществена пречка за ефективното въвеждане на паспорта на ЕС при управлението на активи.</w:t>
      </w:r>
    </w:p>
    <w:p>
      <w:pPr>
        <w:spacing w:after="120" w:line="240" w:lineRule="auto"/>
        <w:jc w:val="both"/>
        <w:rPr>
          <w:rFonts w:ascii="Times New Roman" w:hAnsi="Times New Roman" w:cs="Times New Roman"/>
          <w:noProof/>
          <w:sz w:val="24"/>
          <w:szCs w:val="24"/>
        </w:rPr>
      </w:pPr>
      <w:r>
        <w:rPr>
          <w:rFonts w:ascii="Times New Roman" w:hAnsi="Times New Roman"/>
          <w:noProof/>
          <w:sz w:val="24"/>
        </w:rPr>
        <w:t>Правната несигурност е особено висока:</w:t>
      </w:r>
    </w:p>
    <w:p>
      <w:pPr>
        <w:spacing w:after="120" w:line="240" w:lineRule="auto"/>
        <w:ind w:left="709" w:hanging="425"/>
        <w:jc w:val="both"/>
        <w:rPr>
          <w:rFonts w:ascii="Times New Roman" w:hAnsi="Times New Roman" w:cs="Times New Roman"/>
          <w:noProof/>
          <w:sz w:val="24"/>
          <w:szCs w:val="24"/>
        </w:rPr>
      </w:pPr>
      <w:r>
        <w:rPr>
          <w:rFonts w:ascii="Times New Roman" w:hAnsi="Times New Roman"/>
          <w:noProof/>
          <w:sz w:val="24"/>
        </w:rPr>
        <w:t xml:space="preserve">i) </w:t>
      </w:r>
      <w:r>
        <w:rPr>
          <w:noProof/>
        </w:rPr>
        <w:tab/>
      </w:r>
      <w:r>
        <w:rPr>
          <w:rFonts w:ascii="Times New Roman" w:hAnsi="Times New Roman"/>
          <w:noProof/>
          <w:sz w:val="24"/>
        </w:rPr>
        <w:t>през най-ранните етапи на жизнения цикъл на даден фонд като например фазата преди комерсиализацията му, когато може да е необходимо управителите на активи да проверят привлекателността му за потенциалните инвеститори; както и</w:t>
      </w:r>
    </w:p>
    <w:p>
      <w:pPr>
        <w:spacing w:line="240" w:lineRule="auto"/>
        <w:ind w:left="709" w:hanging="425"/>
        <w:jc w:val="both"/>
        <w:rPr>
          <w:rFonts w:ascii="Times New Roman" w:hAnsi="Times New Roman" w:cs="Times New Roman"/>
          <w:noProof/>
          <w:sz w:val="24"/>
          <w:szCs w:val="24"/>
        </w:rPr>
      </w:pPr>
      <w:r>
        <w:rPr>
          <w:rFonts w:ascii="Times New Roman" w:hAnsi="Times New Roman"/>
          <w:noProof/>
          <w:sz w:val="24"/>
        </w:rPr>
        <w:t xml:space="preserve">ii) </w:t>
      </w:r>
      <w:r>
        <w:rPr>
          <w:noProof/>
        </w:rPr>
        <w:tab/>
      </w:r>
      <w:r>
        <w:rPr>
          <w:rFonts w:ascii="Times New Roman" w:hAnsi="Times New Roman"/>
          <w:noProof/>
          <w:sz w:val="24"/>
        </w:rPr>
        <w:t>след комерсиализацията на фонда, когато управителите на фондове могат да бъдат потърсени от потенциални клиенти.</w:t>
      </w:r>
    </w:p>
    <w:p>
      <w:pPr>
        <w:spacing w:line="240" w:lineRule="auto"/>
        <w:jc w:val="both"/>
        <w:rPr>
          <w:rFonts w:ascii="Times New Roman" w:hAnsi="Times New Roman" w:cs="Times New Roman"/>
          <w:noProof/>
          <w:sz w:val="24"/>
          <w:szCs w:val="24"/>
        </w:rPr>
      </w:pPr>
      <w:r>
        <w:rPr>
          <w:rFonts w:ascii="Times New Roman" w:hAnsi="Times New Roman"/>
          <w:noProof/>
          <w:sz w:val="24"/>
        </w:rPr>
        <w:t>Управляващите дружества трябва да правят разходи за проучване и спазване на различни национални пазарни режими, режими за финансово стимулиране и за защита на потребителите, в т.ч. времеемки преводи и изисквания за промени в материалите им във връзка с пазарното предлагане.</w:t>
      </w:r>
    </w:p>
    <w:p>
      <w:pPr>
        <w:shd w:val="clear" w:color="auto" w:fill="FFFFFF" w:themeFill="background1"/>
        <w:spacing w:line="240" w:lineRule="auto"/>
        <w:jc w:val="both"/>
        <w:rPr>
          <w:rFonts w:ascii="Times New Roman" w:hAnsi="Times New Roman" w:cs="Times New Roman"/>
          <w:noProof/>
          <w:sz w:val="24"/>
          <w:szCs w:val="24"/>
        </w:rPr>
      </w:pPr>
      <w:r>
        <w:rPr>
          <w:rFonts w:ascii="Times New Roman" w:hAnsi="Times New Roman"/>
          <w:noProof/>
          <w:sz w:val="24"/>
        </w:rPr>
        <w:t xml:space="preserve">В стремежа си да постигнат повече яснота държавите членки в експертната група обсъдиха въпроса дали </w:t>
      </w:r>
      <w:r>
        <w:rPr>
          <w:rFonts w:ascii="Times New Roman" w:hAnsi="Times New Roman"/>
          <w:i/>
          <w:noProof/>
          <w:sz w:val="24"/>
        </w:rPr>
        <w:t>предпазарното предлагане</w:t>
      </w:r>
      <w:r>
        <w:rPr>
          <w:rFonts w:ascii="Times New Roman" w:hAnsi="Times New Roman"/>
          <w:noProof/>
          <w:sz w:val="24"/>
        </w:rPr>
        <w:t xml:space="preserve"> на потенциални професионални клиенти и </w:t>
      </w:r>
      <w:r>
        <w:rPr>
          <w:rFonts w:ascii="Times New Roman" w:hAnsi="Times New Roman"/>
          <w:i/>
          <w:noProof/>
          <w:sz w:val="24"/>
        </w:rPr>
        <w:t>проявяването на инвеститорски интерес</w:t>
      </w:r>
      <w:r>
        <w:rPr>
          <w:rFonts w:ascii="Times New Roman" w:hAnsi="Times New Roman"/>
          <w:noProof/>
          <w:sz w:val="24"/>
        </w:rPr>
        <w:t xml:space="preserve"> от тях би могло да не се счита за „пазарно предлагане“ на дялове или акции от даден фонд и да не подлежи на националните изисквания за пазарно предлагане.</w:t>
      </w:r>
    </w:p>
    <w:p>
      <w:pPr>
        <w:shd w:val="clear" w:color="auto" w:fill="FFFFFF" w:themeFill="background1"/>
        <w:spacing w:line="240" w:lineRule="auto"/>
        <w:jc w:val="both"/>
        <w:rPr>
          <w:rFonts w:ascii="Times New Roman" w:hAnsi="Times New Roman" w:cs="Times New Roman"/>
          <w:noProof/>
          <w:sz w:val="24"/>
          <w:szCs w:val="24"/>
        </w:rPr>
      </w:pPr>
      <w:r>
        <w:rPr>
          <w:rFonts w:ascii="Times New Roman" w:hAnsi="Times New Roman"/>
          <w:noProof/>
          <w:sz w:val="24"/>
        </w:rPr>
        <w:t xml:space="preserve">Експертната група прецени, че </w:t>
      </w:r>
      <w:r>
        <w:rPr>
          <w:rFonts w:ascii="Times New Roman" w:hAnsi="Times New Roman"/>
          <w:i/>
          <w:noProof/>
          <w:sz w:val="24"/>
        </w:rPr>
        <w:t>предпазарното предлагане</w:t>
      </w:r>
      <w:r>
        <w:rPr>
          <w:rFonts w:ascii="Times New Roman" w:hAnsi="Times New Roman"/>
          <w:noProof/>
          <w:sz w:val="24"/>
        </w:rPr>
        <w:t xml:space="preserve"> следва да представлява предоставяне на ограничен брой потенциални професионални клиенти на проектодокументацията на фонда, която обаче не съдържа документи за записване, без да им се предоставя възможност за записване.</w:t>
      </w:r>
    </w:p>
    <w:p>
      <w:pPr>
        <w:shd w:val="clear" w:color="auto" w:fill="FFFFFF" w:themeFill="background1"/>
        <w:spacing w:line="240" w:lineRule="auto"/>
        <w:jc w:val="both"/>
        <w:rPr>
          <w:rFonts w:ascii="Times New Roman" w:hAnsi="Times New Roman" w:cs="Times New Roman"/>
          <w:noProof/>
          <w:sz w:val="24"/>
          <w:szCs w:val="24"/>
        </w:rPr>
      </w:pPr>
      <w:r>
        <w:rPr>
          <w:rFonts w:ascii="Times New Roman" w:hAnsi="Times New Roman"/>
          <w:i/>
          <w:noProof/>
          <w:sz w:val="24"/>
        </w:rPr>
        <w:t>Проявяването на инвеститорски интерес</w:t>
      </w:r>
      <w:r>
        <w:rPr>
          <w:rStyle w:val="FootnoteReference"/>
          <w:rFonts w:ascii="Times New Roman" w:hAnsi="Times New Roman"/>
          <w:noProof/>
          <w:sz w:val="24"/>
        </w:rPr>
        <w:footnoteReference w:id="6"/>
      </w:r>
      <w:r>
        <w:rPr>
          <w:rFonts w:ascii="Times New Roman" w:hAnsi="Times New Roman"/>
          <w:noProof/>
          <w:sz w:val="24"/>
        </w:rPr>
        <w:t xml:space="preserve"> беше формулирано като заявен от професионален клиент интерес във връзка с дялове или акции на специално определен съществуващ фонд, без преди това да е имало пряко или косвено предлагане или пласиране от страна на управляващото дружество или от негово име. Следователно контактът следва да е установен само по инициатива на инвеститора и не може да бъде в отговор на оферта или пласиране.</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ascii="Times New Roman" w:hAnsi="Times New Roman" w:cs="Times New Roman"/>
          <w:noProof/>
          <w:sz w:val="24"/>
          <w:szCs w:val="24"/>
        </w:rPr>
      </w:pPr>
      <w:r>
        <w:rPr>
          <w:rFonts w:ascii="Times New Roman" w:hAnsi="Times New Roman"/>
          <w:noProof/>
          <w:sz w:val="24"/>
        </w:rPr>
        <w:t xml:space="preserve">Комисията приветства работата на държавите членки чрез експертната група, насочена към постигане на </w:t>
      </w:r>
      <w:r>
        <w:rPr>
          <w:rFonts w:ascii="Times New Roman" w:hAnsi="Times New Roman"/>
          <w:b/>
          <w:noProof/>
          <w:sz w:val="24"/>
        </w:rPr>
        <w:t>общо разбиране за предпазарното предлагане и проявяването на инвеститорски интерес</w:t>
      </w:r>
      <w:r>
        <w:rPr>
          <w:rFonts w:ascii="Times New Roman" w:hAnsi="Times New Roman"/>
          <w:noProof/>
          <w:sz w:val="24"/>
        </w:rPr>
        <w:t xml:space="preserve"> и ги приканва да продължат да преразглеждат националните си норми с оглед на </w:t>
      </w:r>
      <w:r>
        <w:rPr>
          <w:rFonts w:ascii="Times New Roman" w:hAnsi="Times New Roman"/>
          <w:b/>
          <w:noProof/>
          <w:sz w:val="24"/>
        </w:rPr>
        <w:t>сближаването в тази област</w:t>
      </w:r>
      <w:r>
        <w:rPr>
          <w:rFonts w:ascii="Times New Roman" w:hAnsi="Times New Roman"/>
          <w:noProof/>
          <w:sz w:val="24"/>
        </w:rPr>
        <w:t>. Комисията също така приканва държавите членки да продължат да работят с Европейския орган за ценни книжа и пазари (ЕОЦКП) за сближаване на надзорните практики в тази област.</w:t>
      </w:r>
    </w:p>
    <w:p>
      <w:pPr>
        <w:pStyle w:val="Heading3"/>
        <w:spacing w:after="200"/>
        <w:rPr>
          <w:b/>
          <w:noProof/>
        </w:rPr>
      </w:pPr>
      <w:r>
        <w:rPr>
          <w:b/>
          <w:noProof/>
        </w:rPr>
        <w:t>Административни условия</w:t>
      </w:r>
    </w:p>
    <w:p>
      <w:pPr>
        <w:tabs>
          <w:tab w:val="left" w:pos="2272"/>
        </w:tabs>
        <w:spacing w:line="240" w:lineRule="auto"/>
        <w:jc w:val="both"/>
        <w:rPr>
          <w:rFonts w:ascii="Times New Roman" w:hAnsi="Times New Roman" w:cs="Times New Roman"/>
          <w:noProof/>
          <w:sz w:val="24"/>
          <w:szCs w:val="24"/>
        </w:rPr>
      </w:pPr>
      <w:r>
        <w:rPr>
          <w:rFonts w:ascii="Times New Roman" w:hAnsi="Times New Roman"/>
          <w:noProof/>
          <w:sz w:val="24"/>
        </w:rPr>
        <w:t>Въпреки че директивата за ПКИПЦК допуска приемащите държави членки да налагат различни национални административни условия, това би могло да се разглежда като пречка пред трансграничното предлагане на фондове и не винаги е оправдано от гледна точка на ползата за местните инвеститори, особено с оглед на развитието на новите технологии.</w:t>
      </w:r>
    </w:p>
    <w:p>
      <w:pPr>
        <w:tabs>
          <w:tab w:val="left" w:pos="2272"/>
        </w:tabs>
        <w:spacing w:line="240" w:lineRule="auto"/>
        <w:jc w:val="both"/>
        <w:rPr>
          <w:rFonts w:ascii="Times New Roman" w:hAnsi="Times New Roman" w:cs="Times New Roman"/>
          <w:noProof/>
          <w:sz w:val="24"/>
          <w:szCs w:val="24"/>
        </w:rPr>
      </w:pPr>
      <w:r>
        <w:rPr>
          <w:rFonts w:ascii="Times New Roman" w:hAnsi="Times New Roman"/>
          <w:noProof/>
          <w:sz w:val="24"/>
        </w:rPr>
        <w:t>Повечето държави членки изискват средствата, позволяващи обратното изкупуване, записването и получаването на плащане, да се намират на тяхна територия. Няколко държави (като Белгия, Германия, Хърватия, Австрия и Полша) прилагат едно и също изискване за АИФ, предлагани на непрофесионални инвеститори, или изискват функциите на платежния посредник да се извършват от местна кредитна институция. Други (като Чешката република, Естония и Кипър) изискват от своя страна, след като ПКИПЦК или АИФ започнат да бъдат предлагани на непрофесионални инвеститори, да бъде назначен местен дистрибутор.</w:t>
      </w:r>
    </w:p>
    <w:p>
      <w:pPr>
        <w:pBdr>
          <w:top w:val="single" w:sz="4" w:space="1" w:color="auto"/>
          <w:left w:val="single" w:sz="4" w:space="4" w:color="auto"/>
          <w:bottom w:val="single" w:sz="4" w:space="1" w:color="auto"/>
          <w:right w:val="single" w:sz="4" w:space="4" w:color="auto"/>
        </w:pBdr>
        <w:shd w:val="pct15" w:color="auto" w:fill="auto"/>
        <w:tabs>
          <w:tab w:val="left" w:pos="2272"/>
        </w:tabs>
        <w:spacing w:line="240" w:lineRule="auto"/>
        <w:jc w:val="both"/>
        <w:rPr>
          <w:rFonts w:ascii="Times New Roman" w:hAnsi="Times New Roman" w:cs="Times New Roman"/>
          <w:noProof/>
          <w:sz w:val="24"/>
          <w:szCs w:val="24"/>
        </w:rPr>
      </w:pPr>
      <w:r>
        <w:rPr>
          <w:rFonts w:ascii="Times New Roman" w:hAnsi="Times New Roman"/>
          <w:noProof/>
          <w:sz w:val="24"/>
        </w:rPr>
        <w:t>Без да се засягат бъдещите инициативи, Комисията приканва държавите членки да продължат да набелязват административните условия, прилагани понастоящем в тяхното национално законодателство, с цел ненужните административни тежести да бъдат премахнати до 2019 г.</w:t>
      </w:r>
    </w:p>
    <w:p>
      <w:pPr>
        <w:pStyle w:val="Heading3"/>
        <w:spacing w:after="200"/>
        <w:rPr>
          <w:b/>
          <w:noProof/>
        </w:rPr>
      </w:pPr>
      <w:r>
        <w:rPr>
          <w:b/>
          <w:noProof/>
        </w:rPr>
        <w:t>Регулаторни такси за трансгранично предлагане</w:t>
      </w:r>
    </w:p>
    <w:p>
      <w:pPr>
        <w:shd w:val="clear" w:color="auto" w:fill="FFFFFF" w:themeFill="background1"/>
        <w:spacing w:line="240" w:lineRule="auto"/>
        <w:jc w:val="both"/>
        <w:rPr>
          <w:rFonts w:ascii="Times New Roman" w:hAnsi="Times New Roman" w:cs="Times New Roman"/>
          <w:noProof/>
          <w:sz w:val="24"/>
          <w:szCs w:val="24"/>
        </w:rPr>
      </w:pPr>
      <w:r>
        <w:rPr>
          <w:rFonts w:ascii="Times New Roman" w:hAnsi="Times New Roman"/>
          <w:noProof/>
          <w:sz w:val="24"/>
        </w:rPr>
        <w:t>При лицензирането на инвестиционен фонд в ЕС е необходима процедура за официално уведомяване, за която в редица случаи националните компетентни органи (НКО) изискват такса.</w:t>
      </w:r>
    </w:p>
    <w:p>
      <w:pPr>
        <w:shd w:val="clear" w:color="auto" w:fill="FFFFFF" w:themeFill="background1"/>
        <w:spacing w:line="240" w:lineRule="auto"/>
        <w:jc w:val="both"/>
        <w:rPr>
          <w:rFonts w:ascii="Times New Roman" w:hAnsi="Times New Roman" w:cs="Times New Roman"/>
          <w:noProof/>
          <w:color w:val="000000" w:themeColor="text1"/>
          <w:sz w:val="24"/>
          <w:szCs w:val="24"/>
        </w:rPr>
      </w:pPr>
      <w:r>
        <w:rPr>
          <w:rFonts w:ascii="Times New Roman" w:hAnsi="Times New Roman"/>
          <w:noProof/>
          <w:sz w:val="24"/>
        </w:rPr>
        <w:t>Условията варират значително, както по отношение на размера на таксите, така и на начина, по който се изчисляват, и зависят от фактори като: регулаторната форма на фонда, целевия пазар (професионални или непрофесионални инвеститори), броя на подфондовете и на управляваните активи.</w:t>
      </w:r>
      <w:r>
        <w:rPr>
          <w:rFonts w:ascii="Times New Roman" w:hAnsi="Times New Roman"/>
          <w:noProof/>
          <w:color w:val="000000" w:themeColor="text1"/>
          <w:sz w:val="24"/>
        </w:rPr>
        <w:t xml:space="preserve"> Така например еднократната такса за регистрация на самостоятелен ПКИПЦК може да варира от 115 евро до 1 100 евро, а за регистрация на самостоятелен АИФ  — от 200 евро до 2 520 евро. Годишните такси за самостоятелни ПКИПЦК и АИФ могат да варират от 200 евро до над 4 000 евро.</w:t>
      </w:r>
    </w:p>
    <w:p>
      <w:pPr>
        <w:shd w:val="clear" w:color="auto" w:fill="FFFFFF" w:themeFill="background1"/>
        <w:spacing w:line="240" w:lineRule="auto"/>
        <w:jc w:val="both"/>
        <w:rPr>
          <w:rFonts w:ascii="Times New Roman" w:hAnsi="Times New Roman" w:cs="Times New Roman"/>
          <w:noProof/>
          <w:sz w:val="24"/>
          <w:szCs w:val="24"/>
        </w:rPr>
      </w:pPr>
      <w:r>
        <w:rPr>
          <w:rFonts w:ascii="Times New Roman" w:hAnsi="Times New Roman"/>
          <w:noProof/>
          <w:sz w:val="24"/>
        </w:rPr>
        <w:t>Различните регулаторни такси, начислявани от приемащите държави членки, както и липсата на прозрачност относно методите за изчисляването им или приложимата нормативна уредба, спъват трансграничното предлагане на фондове в ЕС. Понастоящем в процедурите за уведомяване, включени в различните законодателни актове, уреждащи фондовете, регулаторни такси не се споменават. В някои случаи, например при европейските фондове за рисков капитал и за социално предприемачество</w:t>
      </w:r>
      <w:r>
        <w:rPr>
          <w:rStyle w:val="FootnoteReference"/>
          <w:rFonts w:ascii="Times New Roman" w:hAnsi="Times New Roman"/>
          <w:noProof/>
          <w:sz w:val="24"/>
        </w:rPr>
        <w:t xml:space="preserve"> </w:t>
      </w:r>
      <w:r>
        <w:rPr>
          <w:rStyle w:val="FootnoteReference"/>
          <w:rFonts w:ascii="Times New Roman" w:hAnsi="Times New Roman"/>
          <w:noProof/>
          <w:sz w:val="24"/>
        </w:rPr>
        <w:footnoteReference w:id="7"/>
      </w:r>
      <w:r>
        <w:rPr>
          <w:rFonts w:ascii="Times New Roman" w:hAnsi="Times New Roman"/>
          <w:noProof/>
          <w:sz w:val="24"/>
        </w:rPr>
        <w:t>, всички надзорни правомощия са поети от компетентните органи на държавата по произход, а на органите в приемащата държава изрично е забранено да налагат изисквания или административни процедури във връзка с предлагането на пазара. В предложенията си за изменение на регламентите за европейските фондове за рисков капитал и европейските фондове за социално предприемачество Комисията вече предложи разходите на управителите да бъдат намалени посредством изрична забрана за налагане на такси от приемащите НКО.</w:t>
      </w:r>
    </w:p>
    <w:p>
      <w:pPr>
        <w:shd w:val="clear" w:color="auto" w:fill="FFFFFF" w:themeFill="background1"/>
        <w:spacing w:line="240" w:lineRule="auto"/>
        <w:jc w:val="both"/>
        <w:rPr>
          <w:rFonts w:ascii="Times New Roman" w:hAnsi="Times New Roman" w:cs="Times New Roman"/>
          <w:noProof/>
        </w:rPr>
      </w:pPr>
      <w:r>
        <w:rPr>
          <w:rFonts w:ascii="Times New Roman" w:hAnsi="Times New Roman"/>
          <w:noProof/>
          <w:sz w:val="24"/>
        </w:rPr>
        <w:t>Участниците в експертната група подчертаха различията в националните надзорни разпоредби в контекста на директивите за ПКИПЦК и ЛУАИФ и отбелязаха, че таксите могат да се разглеждат като покриващи надзорните и административните разходи на НКО по уведомяването и/или като начин за създаване на равнопоставени условия за местните и чуждестранните участници и за избягване на регулаторния арбитраж.</w:t>
      </w:r>
    </w:p>
    <w:p>
      <w:pPr>
        <w:shd w:val="clear" w:color="auto" w:fill="FFFFFF" w:themeFill="background1"/>
        <w:spacing w:line="240" w:lineRule="auto"/>
        <w:jc w:val="both"/>
        <w:rPr>
          <w:rFonts w:ascii="Times New Roman" w:hAnsi="Times New Roman" w:cs="Times New Roman"/>
          <w:noProof/>
          <w:sz w:val="24"/>
          <w:szCs w:val="24"/>
        </w:rPr>
      </w:pPr>
      <w:r>
        <w:rPr>
          <w:rFonts w:ascii="Times New Roman" w:hAnsi="Times New Roman"/>
          <w:noProof/>
          <w:sz w:val="24"/>
        </w:rPr>
        <w:t>Въпреки че административните такси не биха могли да бъдат значителна пречка в абсолютно изражение, в комбинация с правните и консултантските разходи, свързани с извършването на дейност на различни национални пазари, те представляват значителна тежест, особено за по-малките фондове. Затова държавите членки признаха необходимостта от подобряване на яснотата, прозрачността и предвидимостта на националните такси.</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ascii="Times New Roman" w:hAnsi="Times New Roman" w:cs="Times New Roman"/>
          <w:noProof/>
          <w:sz w:val="24"/>
          <w:szCs w:val="24"/>
        </w:rPr>
      </w:pPr>
      <w:r>
        <w:rPr>
          <w:rFonts w:ascii="Times New Roman" w:hAnsi="Times New Roman"/>
          <w:noProof/>
          <w:sz w:val="24"/>
        </w:rPr>
        <w:t xml:space="preserve">Без да се засягат другите инициативи в тази област, Комисията приканва държавите членки да вземат под внимание обсъжданията в рамките на експертната група и да </w:t>
      </w:r>
      <w:r>
        <w:rPr>
          <w:rFonts w:ascii="Times New Roman" w:hAnsi="Times New Roman"/>
          <w:b/>
          <w:noProof/>
          <w:sz w:val="24"/>
        </w:rPr>
        <w:t>поемат ангажимент за осигуряване на яснота и прозрачност при уреждането на техните регулаторни такси</w:t>
      </w:r>
      <w:r>
        <w:rPr>
          <w:rFonts w:ascii="Times New Roman" w:hAnsi="Times New Roman"/>
          <w:noProof/>
          <w:sz w:val="24"/>
        </w:rPr>
        <w:t>. Държавите членки следва да предоставят и публикуват на един-единствен национален публичен уебсайт обстойна и разбираема за ползвателите информация за всички такси, свързани с уведомяванията при фондовете, независимо дали тези такси са еднократни или годишни.</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jc w:val="both"/>
        <w:rPr>
          <w:rFonts w:ascii="Times New Roman" w:hAnsi="Times New Roman" w:cs="Times New Roman"/>
          <w:noProof/>
          <w:sz w:val="24"/>
          <w:szCs w:val="24"/>
        </w:rPr>
      </w:pPr>
      <w:r>
        <w:rPr>
          <w:rFonts w:ascii="Times New Roman" w:hAnsi="Times New Roman"/>
          <w:noProof/>
          <w:sz w:val="24"/>
        </w:rPr>
        <w:t xml:space="preserve">Като част от консултациите по трансграничното предлагане на фондове Комисията понастоящем извършва оценка на това доколко таксите за уведомяване са съвместими с една ефикасна процедура за уведомяване и с предвидените в законодателството права на упражняване на дейност, и ако таксите бъдат позволени, как да се гарантира, че те са пропорционални и не са прекомерни. Доколкото таксите са позволени, Комисията възнамерява </w:t>
      </w:r>
      <w:r>
        <w:rPr>
          <w:rFonts w:ascii="Times New Roman" w:hAnsi="Times New Roman"/>
          <w:b/>
          <w:noProof/>
          <w:sz w:val="24"/>
        </w:rPr>
        <w:t>заедно с държавите членки и ЕОЦКП да продължи да обмисля предимствата на единен публичен достъп до информацията за таксите</w:t>
      </w:r>
      <w:r>
        <w:rPr>
          <w:rFonts w:ascii="Times New Roman" w:hAnsi="Times New Roman"/>
          <w:noProof/>
          <w:sz w:val="24"/>
        </w:rPr>
        <w:t>, под формата на сравнителен уебсайт или централна база данни.</w:t>
      </w:r>
    </w:p>
    <w:p>
      <w:pPr>
        <w:pStyle w:val="Heading2"/>
        <w:spacing w:after="200"/>
        <w:rPr>
          <w:noProof/>
          <w:szCs w:val="24"/>
        </w:rPr>
      </w:pPr>
      <w:r>
        <w:rPr>
          <w:noProof/>
        </w:rPr>
        <w:t>Изисквания за инвестициите на пенсионните фондове</w:t>
      </w:r>
    </w:p>
    <w:p>
      <w:pPr>
        <w:spacing w:line="240" w:lineRule="auto"/>
        <w:jc w:val="both"/>
        <w:rPr>
          <w:rFonts w:ascii="Times New Roman" w:hAnsi="Times New Roman" w:cs="Times New Roman"/>
          <w:noProof/>
          <w:sz w:val="24"/>
          <w:szCs w:val="24"/>
        </w:rPr>
      </w:pPr>
      <w:r>
        <w:rPr>
          <w:rFonts w:ascii="Times New Roman" w:hAnsi="Times New Roman"/>
          <w:noProof/>
          <w:sz w:val="24"/>
        </w:rPr>
        <w:t>Експертната група обсъди въпроса за евентуалните национални предпочитания при избора на инвестиции в резултат на националните ограничения на инвестициите на пенсионните фондове. Това би могло да е от значение за фондовете в т.нар. „стълб 1а“ (в областта на социалната сигурност, но управлявани частно) и „стълб 2“ (схеми за професионално пенсионно осигуряване). „Стълб 3“ (лични пенсионни схеми) е обхванат основно от разпоредбите в областта на застраховането и е по-малко вероятно да бъде засегнат от този вид ограничение. Работата до момента потвърждава, че много държави членки ограничават инвестициите в различни класове активи, в акции, търгувани на нерегламентирани пазари, или в некотирани акции. По-голямата част от географските ограничения се отнасят само за инвестиции извън ЕС, ЕИП и/или ОИСР. Всички те изглеждат основателни от гледна точка на общите пруденциални правила</w:t>
      </w:r>
      <w:r>
        <w:rPr>
          <w:rStyle w:val="FootnoteReference"/>
          <w:rFonts w:ascii="Times New Roman" w:hAnsi="Times New Roman"/>
          <w:noProof/>
          <w:sz w:val="24"/>
        </w:rPr>
        <w:footnoteReference w:id="8"/>
      </w:r>
      <w:r>
        <w:rPr>
          <w:rFonts w:ascii="Times New Roman" w:hAnsi="Times New Roman"/>
          <w:noProof/>
          <w:sz w:val="24"/>
        </w:rPr>
        <w:t xml:space="preserve"> и не са основният фактор, ограничаващ трансграничните инвестиции в ЕС.</w:t>
      </w:r>
    </w:p>
    <w:p>
      <w:pPr>
        <w:spacing w:line="240" w:lineRule="auto"/>
        <w:jc w:val="both"/>
        <w:rPr>
          <w:rFonts w:ascii="Times New Roman" w:hAnsi="Times New Roman" w:cs="Times New Roman"/>
          <w:noProof/>
          <w:sz w:val="24"/>
          <w:szCs w:val="24"/>
        </w:rPr>
      </w:pPr>
      <w:r>
        <w:rPr>
          <w:rFonts w:ascii="Times New Roman" w:hAnsi="Times New Roman"/>
          <w:noProof/>
          <w:sz w:val="24"/>
        </w:rPr>
        <w:t>При някои пенсионни фондове може би е налице известно национално предпочитание, което може да се обясни не толкова с националните регулаторни ограничения, колкото с други фактори, засягащи инвестиционните им решения, като например стопанската среда, свързаните с проектите гаранции, както и административните и данъчните пречки</w:t>
      </w:r>
      <w:r>
        <w:rPr>
          <w:rStyle w:val="FootnoteReference"/>
          <w:rFonts w:ascii="Times New Roman" w:hAnsi="Times New Roman"/>
          <w:noProof/>
          <w:sz w:val="24"/>
        </w:rPr>
        <w:footnoteReference w:id="9"/>
      </w:r>
      <w:r>
        <w:rPr>
          <w:noProof/>
        </w:rPr>
        <w:t>.</w:t>
      </w:r>
      <w:r>
        <w:rPr>
          <w:rFonts w:ascii="Times New Roman" w:hAnsi="Times New Roman"/>
          <w:noProof/>
          <w:sz w:val="24"/>
        </w:rPr>
        <w:t xml:space="preserve"> Някои пенсионни фондове инвестират зад граница, но изглежда до голяма степен извън ЕС.</w:t>
      </w:r>
    </w:p>
    <w:p>
      <w:pPr>
        <w:pStyle w:val="PlainText"/>
        <w:jc w:val="both"/>
        <w:rPr>
          <w:noProof/>
        </w:rPr>
      </w:pPr>
      <w:r>
        <w:rPr>
          <w:rFonts w:ascii="Times New Roman" w:hAnsi="Times New Roman"/>
          <w:noProof/>
          <w:sz w:val="24"/>
        </w:rPr>
        <w:t>Планът за инвестиции за Европа, посредством Европейския инвестиционен фонд и Европейския фонд за стратегически инвестиции (ЕФСИ), дава възможност за увеличаване на трансграничните инвестиции в ЕС на пенсионните фондове. Копенхаген — Инфраструктура II</w:t>
      </w:r>
      <w:r>
        <w:rPr>
          <w:rStyle w:val="FootnoteReference"/>
          <w:rFonts w:ascii="Times New Roman" w:hAnsi="Times New Roman"/>
          <w:noProof/>
          <w:sz w:val="24"/>
        </w:rPr>
        <w:footnoteReference w:id="10"/>
      </w:r>
      <w:r>
        <w:rPr>
          <w:rFonts w:ascii="Times New Roman" w:hAnsi="Times New Roman"/>
          <w:noProof/>
          <w:sz w:val="24"/>
        </w:rPr>
        <w:t xml:space="preserve"> е един от примерите за съвместни инвестиции на пенсионни фондове в проекти за възобновяема енергия в Германия и Обединеното кралство с подкрепата на ЕФСИ. Неотдавна Комисията стартира общоевропейска инициатива за фондове за рисков капитал с цел привличане на повече частни институционални инвестиции, включително от пенсионни фондове.</w:t>
      </w:r>
      <w:r>
        <w:rPr>
          <w:noProof/>
        </w:rPr>
        <w:t xml:space="preserve"> </w:t>
      </w:r>
    </w:p>
    <w:p>
      <w:pPr>
        <w:pStyle w:val="PlainText"/>
        <w:jc w:val="both"/>
        <w:rPr>
          <w:noProof/>
        </w:rPr>
      </w:pP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Комисията приканва държавите членки </w:t>
      </w:r>
      <w:r>
        <w:rPr>
          <w:rFonts w:ascii="Times New Roman" w:hAnsi="Times New Roman"/>
          <w:b/>
          <w:noProof/>
          <w:sz w:val="24"/>
        </w:rPr>
        <w:t>да се съсредоточат върху успешните примери за трансгранични инвестиции в ЕС с участието на пенсионните фондове</w:t>
      </w:r>
      <w:r>
        <w:rPr>
          <w:rFonts w:ascii="Times New Roman" w:hAnsi="Times New Roman"/>
          <w:noProof/>
          <w:sz w:val="24"/>
        </w:rPr>
        <w:t>, за да:</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426" w:hanging="426"/>
        <w:jc w:val="both"/>
        <w:rPr>
          <w:rFonts w:ascii="Times New Roman" w:hAnsi="Times New Roman" w:cs="Times New Roman"/>
          <w:noProof/>
          <w:sz w:val="24"/>
          <w:szCs w:val="24"/>
        </w:rPr>
      </w:pPr>
      <w:r>
        <w:rPr>
          <w:rFonts w:ascii="Times New Roman" w:hAnsi="Times New Roman"/>
          <w:noProof/>
          <w:sz w:val="24"/>
        </w:rPr>
        <w:t xml:space="preserve">i) </w:t>
      </w:r>
      <w:r>
        <w:rPr>
          <w:noProof/>
        </w:rPr>
        <w:tab/>
      </w:r>
      <w:r>
        <w:rPr>
          <w:rFonts w:ascii="Times New Roman" w:hAnsi="Times New Roman"/>
          <w:noProof/>
          <w:sz w:val="24"/>
        </w:rPr>
        <w:t>определят кои са основните фактори, мотивиращи инвестиционните решения на пенсионните фондове и да насърчат най-добрите практики; както и</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line="240" w:lineRule="auto"/>
        <w:ind w:left="426" w:hanging="426"/>
        <w:jc w:val="both"/>
        <w:rPr>
          <w:rFonts w:ascii="Times New Roman" w:hAnsi="Times New Roman" w:cs="Times New Roman"/>
          <w:noProof/>
          <w:sz w:val="24"/>
          <w:szCs w:val="24"/>
        </w:rPr>
      </w:pPr>
      <w:r>
        <w:rPr>
          <w:rFonts w:ascii="Times New Roman" w:hAnsi="Times New Roman"/>
          <w:noProof/>
          <w:sz w:val="24"/>
        </w:rPr>
        <w:t xml:space="preserve">ii) </w:t>
      </w:r>
      <w:r>
        <w:rPr>
          <w:noProof/>
        </w:rPr>
        <w:tab/>
      </w:r>
      <w:r>
        <w:rPr>
          <w:rFonts w:ascii="Times New Roman" w:hAnsi="Times New Roman"/>
          <w:noProof/>
          <w:sz w:val="24"/>
        </w:rPr>
        <w:t>да  повишат осведомеността относно новите възможности, които Планът за инвестиции предлага, за да направи инфраструктурните инвестиции по-привлекателни и по-достъпни за институционалните инвеститори.</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rFonts w:ascii="Times New Roman" w:hAnsi="Times New Roman" w:cs="Times New Roman"/>
          <w:noProof/>
          <w:sz w:val="24"/>
          <w:szCs w:val="24"/>
        </w:rPr>
      </w:pPr>
      <w:r>
        <w:rPr>
          <w:rFonts w:ascii="Times New Roman" w:hAnsi="Times New Roman"/>
          <w:noProof/>
          <w:sz w:val="24"/>
        </w:rPr>
        <w:t>Комисията приканва държавите членки:</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426" w:hanging="426"/>
        <w:jc w:val="both"/>
        <w:rPr>
          <w:rFonts w:ascii="Times New Roman" w:hAnsi="Times New Roman" w:cs="Times New Roman"/>
          <w:noProof/>
          <w:sz w:val="24"/>
          <w:szCs w:val="24"/>
        </w:rPr>
      </w:pPr>
      <w:r>
        <w:rPr>
          <w:rFonts w:ascii="Times New Roman" w:hAnsi="Times New Roman"/>
          <w:noProof/>
          <w:sz w:val="24"/>
        </w:rPr>
        <w:t xml:space="preserve">i) </w:t>
      </w:r>
      <w:r>
        <w:rPr>
          <w:noProof/>
        </w:rPr>
        <w:tab/>
      </w:r>
      <w:r>
        <w:rPr>
          <w:rFonts w:ascii="Times New Roman" w:hAnsi="Times New Roman"/>
          <w:noProof/>
          <w:sz w:val="24"/>
        </w:rPr>
        <w:t>да популяризират възможностите, предоставяни от Европейския консултантски център по инвестиционни въпроси и Европейския портал за инвестиционни проекти;</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ind w:left="426" w:hanging="426"/>
        <w:jc w:val="both"/>
        <w:rPr>
          <w:rFonts w:ascii="Times New Roman" w:hAnsi="Times New Roman" w:cs="Times New Roman"/>
          <w:noProof/>
          <w:sz w:val="24"/>
          <w:szCs w:val="24"/>
        </w:rPr>
      </w:pPr>
      <w:r>
        <w:rPr>
          <w:rFonts w:ascii="Times New Roman" w:hAnsi="Times New Roman"/>
          <w:noProof/>
          <w:sz w:val="24"/>
        </w:rPr>
        <w:t xml:space="preserve">ii) </w:t>
      </w:r>
      <w:r>
        <w:rPr>
          <w:noProof/>
        </w:rPr>
        <w:tab/>
      </w:r>
      <w:r>
        <w:rPr>
          <w:rFonts w:ascii="Times New Roman" w:hAnsi="Times New Roman"/>
          <w:noProof/>
          <w:sz w:val="24"/>
        </w:rPr>
        <w:t>да засилят ролята на националните насърчителни банки (ННБ) и взаимното допълване на публични и частни фондове; както и</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200" w:after="120" w:line="240" w:lineRule="auto"/>
        <w:ind w:left="426" w:hanging="426"/>
        <w:jc w:val="both"/>
        <w:rPr>
          <w:rFonts w:ascii="Times New Roman" w:hAnsi="Times New Roman" w:cs="Times New Roman"/>
          <w:noProof/>
          <w:sz w:val="24"/>
          <w:szCs w:val="24"/>
        </w:rPr>
      </w:pPr>
      <w:r>
        <w:rPr>
          <w:rFonts w:ascii="Times New Roman" w:hAnsi="Times New Roman"/>
          <w:noProof/>
          <w:sz w:val="24"/>
        </w:rPr>
        <w:t>iii)</w:t>
      </w:r>
      <w:r>
        <w:rPr>
          <w:noProof/>
        </w:rPr>
        <w:tab/>
      </w:r>
      <w:r>
        <w:rPr>
          <w:rFonts w:ascii="Times New Roman" w:hAnsi="Times New Roman"/>
          <w:noProof/>
          <w:sz w:val="24"/>
        </w:rPr>
        <w:t>да подкрепят създаването на мрежа от ННБ, в координация с Европейската инвестиционна банка</w:t>
      </w:r>
      <w:r>
        <w:rPr>
          <w:rStyle w:val="FootnoteReference"/>
          <w:rFonts w:ascii="Times New Roman" w:hAnsi="Times New Roman"/>
          <w:noProof/>
          <w:sz w:val="24"/>
        </w:rPr>
        <w:footnoteReference w:id="11"/>
      </w:r>
      <w:r>
        <w:rPr>
          <w:rFonts w:ascii="Times New Roman" w:hAnsi="Times New Roman"/>
          <w:noProof/>
          <w:sz w:val="24"/>
        </w:rPr>
        <w:t>, за съгласуване на усилията в подкрепа на собствения и рисковия капитал и за цялостното постигане на целите на ЕФСИ 2.0</w:t>
      </w:r>
      <w:r>
        <w:rPr>
          <w:rStyle w:val="FootnoteReference"/>
          <w:noProof/>
        </w:rPr>
        <w:footnoteReference w:id="12"/>
      </w:r>
      <w:r>
        <w:rPr>
          <w:noProof/>
        </w:rPr>
        <w:t>.</w:t>
      </w:r>
    </w:p>
    <w:p>
      <w:pPr>
        <w:pBdr>
          <w:top w:val="single" w:sz="4" w:space="1" w:color="auto"/>
          <w:left w:val="single" w:sz="4" w:space="4" w:color="auto"/>
          <w:bottom w:val="single" w:sz="4" w:space="1" w:color="auto"/>
          <w:right w:val="single" w:sz="4" w:space="4" w:color="auto"/>
        </w:pBdr>
        <w:shd w:val="clear" w:color="auto" w:fill="D9D9D9" w:themeFill="background1" w:themeFillShade="D9"/>
        <w:spacing w:before="200" w:after="120" w:line="240" w:lineRule="auto"/>
        <w:ind w:left="426" w:hanging="426"/>
        <w:jc w:val="both"/>
        <w:rPr>
          <w:rFonts w:ascii="Times New Roman" w:hAnsi="Times New Roman" w:cs="Times New Roman"/>
          <w:noProof/>
          <w:sz w:val="24"/>
          <w:szCs w:val="24"/>
        </w:rPr>
      </w:pPr>
    </w:p>
    <w:p>
      <w:pPr>
        <w:pStyle w:val="Heading2"/>
        <w:spacing w:after="200"/>
        <w:rPr>
          <w:noProof/>
          <w:szCs w:val="24"/>
        </w:rPr>
      </w:pPr>
      <w:r>
        <w:rPr>
          <w:noProof/>
        </w:rPr>
        <w:t>Различни национални подходи към колективното финансиране</w:t>
      </w:r>
    </w:p>
    <w:p>
      <w:pPr>
        <w:spacing w:line="240" w:lineRule="auto"/>
        <w:jc w:val="both"/>
        <w:rPr>
          <w:rFonts w:ascii="Times New Roman" w:hAnsi="Times New Roman" w:cs="Times New Roman"/>
          <w:noProof/>
          <w:sz w:val="24"/>
          <w:szCs w:val="24"/>
        </w:rPr>
      </w:pPr>
      <w:r>
        <w:rPr>
          <w:rFonts w:ascii="Times New Roman" w:hAnsi="Times New Roman"/>
          <w:noProof/>
          <w:sz w:val="24"/>
        </w:rPr>
        <w:t>Понастоящем Комисията наблюдава</w:t>
      </w:r>
      <w:r>
        <w:rPr>
          <w:rStyle w:val="FootnoteReference"/>
          <w:rFonts w:ascii="Times New Roman" w:hAnsi="Times New Roman"/>
          <w:noProof/>
          <w:sz w:val="24"/>
        </w:rPr>
        <w:footnoteReference w:id="13"/>
      </w:r>
      <w:r>
        <w:rPr>
          <w:rFonts w:ascii="Times New Roman" w:hAnsi="Times New Roman"/>
          <w:noProof/>
          <w:sz w:val="24"/>
        </w:rPr>
        <w:t xml:space="preserve"> тенденциите в колективното финансиране на основата на инвестиции и заеми и установи, че според наличните проучвания трансграничното измерение все още е слабо</w:t>
      </w:r>
      <w:r>
        <w:rPr>
          <w:rStyle w:val="FootnoteReference"/>
          <w:rFonts w:ascii="Times New Roman" w:hAnsi="Times New Roman"/>
          <w:noProof/>
          <w:sz w:val="24"/>
        </w:rPr>
        <w:footnoteReference w:id="14"/>
      </w:r>
      <w:r>
        <w:rPr>
          <w:noProof/>
        </w:rPr>
        <w:t>.</w:t>
      </w:r>
    </w:p>
    <w:p>
      <w:pPr>
        <w:spacing w:line="240" w:lineRule="auto"/>
        <w:jc w:val="both"/>
        <w:rPr>
          <w:rFonts w:ascii="Times New Roman" w:hAnsi="Times New Roman" w:cs="Times New Roman"/>
          <w:noProof/>
          <w:sz w:val="24"/>
          <w:szCs w:val="24"/>
        </w:rPr>
      </w:pPr>
      <w:r>
        <w:rPr>
          <w:rFonts w:ascii="Times New Roman" w:hAnsi="Times New Roman"/>
          <w:noProof/>
          <w:sz w:val="24"/>
        </w:rPr>
        <w:t>Различните правила за защита на потребителите или инвеститорите, наред с други фактори, изглежда принуждават редица платформи да отказват услуги на чуждестранни лица, като по този начин единствената възможност за разширяване към нови пазари е чрез нови предприятия.</w:t>
      </w:r>
    </w:p>
    <w:p>
      <w:pPr>
        <w:spacing w:after="120" w:line="240" w:lineRule="auto"/>
        <w:jc w:val="both"/>
        <w:rPr>
          <w:rFonts w:ascii="Times New Roman" w:hAnsi="Times New Roman" w:cs="Times New Roman"/>
          <w:noProof/>
          <w:sz w:val="24"/>
          <w:szCs w:val="24"/>
        </w:rPr>
      </w:pPr>
      <w:r>
        <w:rPr>
          <w:rFonts w:ascii="Times New Roman" w:hAnsi="Times New Roman"/>
          <w:noProof/>
          <w:sz w:val="24"/>
        </w:rPr>
        <w:t>Други потенциални пречки на национално равнище пред трансграничната дейност включват следните различия:</w:t>
      </w:r>
    </w:p>
    <w:p>
      <w:pPr>
        <w:pStyle w:val="ListParagraph"/>
        <w:numPr>
          <w:ilvl w:val="0"/>
          <w:numId w:val="2"/>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rPr>
        <w:t>определенията за колективно финансиране и обхвата на дейностите при моделите на инвестиране;</w:t>
      </w:r>
    </w:p>
    <w:p>
      <w:pPr>
        <w:pStyle w:val="ListParagraph"/>
        <w:numPr>
          <w:ilvl w:val="0"/>
          <w:numId w:val="2"/>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rPr>
        <w:t>националните разпоредби в областта на кредитното посредничество при моделите на кредитиране (като например забраната за кредитиране между физически лица в Белгия, банковия монопол при кредитните услуги в Германия);</w:t>
      </w:r>
    </w:p>
    <w:p>
      <w:pPr>
        <w:pStyle w:val="ListParagraph"/>
        <w:numPr>
          <w:ilvl w:val="0"/>
          <w:numId w:val="2"/>
        </w:numPr>
        <w:spacing w:after="120" w:line="240" w:lineRule="auto"/>
        <w:ind w:left="714" w:hanging="357"/>
        <w:contextualSpacing w:val="0"/>
        <w:jc w:val="both"/>
        <w:rPr>
          <w:rFonts w:ascii="Times New Roman" w:hAnsi="Times New Roman" w:cs="Times New Roman"/>
          <w:noProof/>
          <w:sz w:val="24"/>
          <w:szCs w:val="24"/>
        </w:rPr>
      </w:pPr>
      <w:r>
        <w:rPr>
          <w:rFonts w:ascii="Times New Roman" w:hAnsi="Times New Roman"/>
          <w:noProof/>
          <w:sz w:val="24"/>
        </w:rPr>
        <w:t>условията за лицензиране (например капиталови изисквания); както и</w:t>
      </w:r>
    </w:p>
    <w:p>
      <w:pPr>
        <w:pStyle w:val="ListParagraph"/>
        <w:numPr>
          <w:ilvl w:val="0"/>
          <w:numId w:val="2"/>
        </w:numPr>
        <w:spacing w:line="240" w:lineRule="auto"/>
        <w:jc w:val="both"/>
        <w:rPr>
          <w:rFonts w:ascii="Times New Roman" w:hAnsi="Times New Roman" w:cs="Times New Roman"/>
          <w:noProof/>
          <w:sz w:val="24"/>
          <w:szCs w:val="24"/>
        </w:rPr>
      </w:pPr>
      <w:r>
        <w:rPr>
          <w:rFonts w:ascii="Times New Roman" w:hAnsi="Times New Roman"/>
          <w:noProof/>
          <w:sz w:val="24"/>
        </w:rPr>
        <w:t>изисквания към съответните дружества (като професионални квалификации, информация и предупреждения относно риска, надлежна проверка, конфликти на интереси, ограничения на инвестициите).</w:t>
      </w:r>
    </w:p>
    <w:p>
      <w:pPr>
        <w:spacing w:line="240" w:lineRule="auto"/>
        <w:jc w:val="both"/>
        <w:rPr>
          <w:rFonts w:ascii="Times New Roman" w:hAnsi="Times New Roman" w:cs="Times New Roman"/>
          <w:noProof/>
          <w:sz w:val="24"/>
          <w:szCs w:val="24"/>
        </w:rPr>
      </w:pPr>
      <w:r>
        <w:rPr>
          <w:rFonts w:ascii="Times New Roman" w:hAnsi="Times New Roman"/>
          <w:noProof/>
          <w:sz w:val="24"/>
        </w:rPr>
        <w:t>Това многообразие от правила повдига опасения дали платформите могат да имат достъп до националните пазари на други държави, без да се налага да се установяват там, как потребителите са защитени при временни трансгранични услуги и дали органите могат да вземат под внимание спазването на изискванията в други държави членки (например за минималния капитал или организационните структури).</w:t>
      </w:r>
    </w:p>
    <w:p>
      <w:pPr>
        <w:spacing w:line="240" w:lineRule="auto"/>
        <w:jc w:val="both"/>
        <w:rPr>
          <w:rFonts w:ascii="Times New Roman" w:hAnsi="Times New Roman" w:cs="Times New Roman"/>
          <w:noProof/>
          <w:sz w:val="24"/>
          <w:szCs w:val="24"/>
        </w:rPr>
      </w:pPr>
      <w:r>
        <w:rPr>
          <w:rFonts w:ascii="Times New Roman" w:hAnsi="Times New Roman"/>
          <w:noProof/>
          <w:sz w:val="24"/>
        </w:rPr>
        <w:t>Бяха изразени опасения и относно изискването в някои държави членки за лицензиране на инвестиционните плаформи съгласно националните режими, независимо от факта че те следва да могат да предоставят трансгранични инвестиционни услуги във връзка с финансовите инструменти по ДПФИ въз основа на паспорта си по ДПФИ. Комисията ще наблюдава отблизо процесите в тази област.</w:t>
      </w:r>
    </w:p>
    <w:p>
      <w:pPr>
        <w:pBdr>
          <w:top w:val="single" w:sz="4" w:space="1" w:color="auto"/>
          <w:left w:val="single" w:sz="4" w:space="4" w:color="auto"/>
          <w:bottom w:val="single" w:sz="4" w:space="1" w:color="auto"/>
          <w:right w:val="single" w:sz="4" w:space="4" w:color="auto"/>
        </w:pBdr>
        <w:shd w:val="pct10" w:color="auto" w:fill="auto"/>
        <w:spacing w:line="240" w:lineRule="auto"/>
        <w:jc w:val="both"/>
        <w:rPr>
          <w:rFonts w:ascii="Times New Roman" w:hAnsi="Times New Roman" w:cs="Times New Roman"/>
          <w:noProof/>
          <w:sz w:val="24"/>
          <w:szCs w:val="24"/>
        </w:rPr>
      </w:pPr>
      <w:r>
        <w:rPr>
          <w:rFonts w:ascii="Times New Roman" w:hAnsi="Times New Roman"/>
          <w:b/>
          <w:noProof/>
          <w:sz w:val="24"/>
        </w:rPr>
        <w:t>Комисията ще разгледа тези въпроси</w:t>
      </w:r>
      <w:r>
        <w:rPr>
          <w:rFonts w:ascii="Times New Roman" w:hAnsi="Times New Roman"/>
          <w:noProof/>
          <w:sz w:val="24"/>
        </w:rPr>
        <w:t xml:space="preserve">и ще ги обсъди с платформите за колективно финансиране, европейските надзорни органи и държавите членки. </w:t>
      </w:r>
    </w:p>
    <w:p>
      <w:pPr>
        <w:pBdr>
          <w:top w:val="single" w:sz="4" w:space="1" w:color="auto"/>
          <w:left w:val="single" w:sz="4" w:space="4" w:color="auto"/>
          <w:bottom w:val="single" w:sz="4" w:space="1" w:color="auto"/>
          <w:right w:val="single" w:sz="4" w:space="4" w:color="auto"/>
        </w:pBdr>
        <w:shd w:val="pct10" w:color="auto" w:fill="auto"/>
        <w:spacing w:line="240" w:lineRule="auto"/>
        <w:jc w:val="both"/>
        <w:rPr>
          <w:rFonts w:ascii="Times New Roman" w:hAnsi="Times New Roman"/>
          <w:b/>
          <w:noProof/>
          <w:sz w:val="24"/>
        </w:rPr>
      </w:pPr>
      <w:r>
        <w:rPr>
          <w:rFonts w:ascii="Times New Roman" w:hAnsi="Times New Roman"/>
          <w:noProof/>
          <w:sz w:val="24"/>
        </w:rPr>
        <w:t xml:space="preserve">Комисията приканва държавите членки да обмислят </w:t>
      </w:r>
      <w:r>
        <w:rPr>
          <w:rFonts w:ascii="Times New Roman" w:hAnsi="Times New Roman"/>
          <w:b/>
          <w:noProof/>
          <w:sz w:val="24"/>
        </w:rPr>
        <w:t>дали националното законодателство в областта на колективното финансиране осигурява ефективно и пропорционално равнище на защита на инвеститорите и потребителите, като същевременно дава възможност за трансгранична дейност</w:t>
      </w:r>
      <w:r>
        <w:rPr>
          <w:rFonts w:ascii="Times New Roman" w:hAnsi="Times New Roman"/>
          <w:noProof/>
          <w:sz w:val="24"/>
        </w:rPr>
        <w:t>.</w:t>
      </w:r>
      <w:r>
        <w:rPr>
          <w:rFonts w:ascii="Times New Roman" w:hAnsi="Times New Roman"/>
          <w:b/>
          <w:noProof/>
          <w:sz w:val="24"/>
        </w:rPr>
        <w:t xml:space="preserve"> </w:t>
      </w:r>
    </w:p>
    <w:p>
      <w:pPr>
        <w:pStyle w:val="Heading1"/>
        <w:spacing w:before="0" w:after="200"/>
        <w:rPr>
          <w:noProof/>
          <w:szCs w:val="24"/>
        </w:rPr>
      </w:pPr>
      <w:r>
        <w:rPr>
          <w:noProof/>
        </w:rPr>
        <w:t xml:space="preserve">Пречки </w:t>
      </w:r>
      <w:r>
        <w:rPr>
          <w:i/>
          <w:noProof/>
        </w:rPr>
        <w:t>in itinere</w:t>
      </w:r>
    </w:p>
    <w:p>
      <w:pPr>
        <w:pStyle w:val="Heading2"/>
        <w:spacing w:after="200"/>
        <w:rPr>
          <w:noProof/>
          <w:szCs w:val="24"/>
        </w:rPr>
      </w:pPr>
      <w:r>
        <w:rPr>
          <w:noProof/>
        </w:rPr>
        <w:t>Изисквания за пребиваване, налагани на управителите на финансови пазарни участници</w:t>
      </w:r>
    </w:p>
    <w:p>
      <w:pPr>
        <w:spacing w:line="240" w:lineRule="auto"/>
        <w:jc w:val="both"/>
        <w:rPr>
          <w:rFonts w:ascii="Times New Roman" w:hAnsi="Times New Roman" w:cs="Times New Roman"/>
          <w:noProof/>
          <w:sz w:val="24"/>
          <w:szCs w:val="24"/>
        </w:rPr>
      </w:pPr>
      <w:r>
        <w:rPr>
          <w:rFonts w:ascii="Times New Roman" w:hAnsi="Times New Roman"/>
          <w:noProof/>
          <w:sz w:val="24"/>
        </w:rPr>
        <w:t>Изискването за пребиваване в държавата като условие за заемане на определени длъжности ощетява местните дружества, стремящи се да привлекат чуждестранни експерти. Това засяга и чуждестранните дружества, които желаят техни служители да участват в управлението на дадено дъщерно дружество.</w:t>
      </w:r>
    </w:p>
    <w:p>
      <w:pPr>
        <w:spacing w:line="240" w:lineRule="auto"/>
        <w:jc w:val="both"/>
        <w:rPr>
          <w:rFonts w:ascii="Times New Roman" w:hAnsi="Times New Roman" w:cs="Times New Roman"/>
          <w:noProof/>
          <w:sz w:val="24"/>
          <w:szCs w:val="24"/>
        </w:rPr>
      </w:pPr>
      <w:r>
        <w:rPr>
          <w:rFonts w:ascii="Times New Roman" w:hAnsi="Times New Roman"/>
          <w:noProof/>
          <w:sz w:val="24"/>
        </w:rPr>
        <w:t>Според информацията, с която разполага Комисията, такива изисквания се налагат от ограничен брой държави членки. Те могат да засягат по-голямата част от членовете на управителните съвети (например в Ирландия и Кипър) или само някои от тях (например в Литва, Унгария и Малта). Те също така могат да се отнасят за всички видове финансови услуги (Малта) или само за част от тях като например застраховане, банкова дейност или управление на фондове. Няколко държави членки (например</w:t>
      </w:r>
      <w:r>
        <w:rPr>
          <w:noProof/>
        </w:rPr>
        <w:t xml:space="preserve"> </w:t>
      </w:r>
      <w:r>
        <w:rPr>
          <w:rFonts w:ascii="Times New Roman" w:hAnsi="Times New Roman"/>
          <w:noProof/>
          <w:sz w:val="24"/>
        </w:rPr>
        <w:t xml:space="preserve"> Люксембург) изискват от висшите ръководители, отговарящи за ежедневното управление, да присъстват постоянно в разположените на националната територия помещения на дружеството.</w:t>
      </w:r>
    </w:p>
    <w:p>
      <w:pPr>
        <w:spacing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 xml:space="preserve">Въпреки че за големите банки или застрахователни дружества тези изисквания може да не пораждат сериозни проблеми, тяхната целесъобразност е под съмнение, тъй като те могат да повлияят отрицателно върху по-малките доставчици на финансови услуги и върху личната свобода на съответните лица. </w:t>
      </w:r>
    </w:p>
    <w:p>
      <w:pPr>
        <w:spacing w:line="240" w:lineRule="auto"/>
        <w:jc w:val="both"/>
        <w:rPr>
          <w:rFonts w:ascii="Times New Roman" w:hAnsi="Times New Roman" w:cs="Times New Roman"/>
          <w:noProof/>
          <w:sz w:val="24"/>
          <w:szCs w:val="24"/>
        </w:rPr>
      </w:pPr>
      <w:r>
        <w:rPr>
          <w:rFonts w:ascii="Times New Roman" w:hAnsi="Times New Roman"/>
          <w:noProof/>
          <w:sz w:val="24"/>
        </w:rPr>
        <w:t>Държавите членки изтъкват разнообразни причини за тези изисквания като например облекчаване на надзора, гарантиране на ефективното управление и предотвратяване на измамите. Тези дискриминационни ограничения на основни свободи на единния пазар обаче изглежда не се основават на никакво императивно съображение от обществен интерес, изглеждат нецелесъобразни и във всеки случай не са пропорционални. Съвременните комуникационни методи в повечето случаи могат да се считат като достатъчни за постигането на някои от тези цели.</w:t>
      </w:r>
    </w:p>
    <w:p>
      <w:pPr>
        <w:spacing w:line="240" w:lineRule="auto"/>
        <w:jc w:val="both"/>
        <w:rPr>
          <w:rFonts w:ascii="Times New Roman" w:hAnsi="Times New Roman" w:cs="Times New Roman"/>
          <w:noProof/>
          <w:sz w:val="24"/>
          <w:szCs w:val="24"/>
        </w:rPr>
      </w:pPr>
      <w:r>
        <w:rPr>
          <w:rFonts w:ascii="Times New Roman" w:hAnsi="Times New Roman"/>
          <w:noProof/>
          <w:sz w:val="24"/>
        </w:rPr>
        <w:t>НКО ще могат да изискват от ръководителите да посвещават достатъчно време на своя мандат, да присъстват при необходимост, както и да притежават необходимите знания, умения и опит за длъжността. Макар само по себе си да не е определящо, изискването за пребиваване би могло да бъде един от анализираните в тази връзка елементи.</w:t>
      </w:r>
    </w:p>
    <w:p>
      <w:pPr>
        <w:pBdr>
          <w:top w:val="single" w:sz="4" w:space="1" w:color="auto"/>
          <w:left w:val="single" w:sz="4" w:space="4" w:color="auto"/>
          <w:bottom w:val="single" w:sz="4" w:space="1" w:color="auto"/>
          <w:right w:val="single" w:sz="4" w:space="4" w:color="auto"/>
        </w:pBdr>
        <w:shd w:val="pct10" w:color="auto" w:fill="auto"/>
        <w:spacing w:line="240" w:lineRule="auto"/>
        <w:jc w:val="both"/>
        <w:rPr>
          <w:rFonts w:ascii="Times New Roman" w:hAnsi="Times New Roman" w:cs="Times New Roman"/>
          <w:noProof/>
          <w:sz w:val="24"/>
          <w:szCs w:val="24"/>
        </w:rPr>
      </w:pPr>
      <w:r>
        <w:rPr>
          <w:rFonts w:ascii="Times New Roman" w:hAnsi="Times New Roman"/>
          <w:noProof/>
          <w:sz w:val="24"/>
        </w:rPr>
        <w:t xml:space="preserve">Комисията приканва държавите членки да </w:t>
      </w:r>
      <w:r>
        <w:rPr>
          <w:rFonts w:ascii="Times New Roman" w:hAnsi="Times New Roman"/>
          <w:b/>
          <w:noProof/>
          <w:sz w:val="24"/>
        </w:rPr>
        <w:t>премахнат</w:t>
      </w:r>
      <w:r>
        <w:rPr>
          <w:rFonts w:ascii="Times New Roman" w:hAnsi="Times New Roman"/>
          <w:noProof/>
          <w:sz w:val="24"/>
        </w:rPr>
        <w:t xml:space="preserve"> изискванията за пребиваване за управителите на дружества от финансовия сектор, чието местожителство е в ЕС, когато тези изисквания са необосновани, нецелесъобразни или непропорционални.</w:t>
      </w:r>
    </w:p>
    <w:p>
      <w:pPr>
        <w:pStyle w:val="Heading2"/>
        <w:spacing w:after="200"/>
        <w:rPr>
          <w:noProof/>
          <w:szCs w:val="24"/>
        </w:rPr>
      </w:pPr>
      <w:r>
        <w:rPr>
          <w:noProof/>
        </w:rPr>
        <w:t>Недостатъчнa финансова грамотност</w:t>
      </w:r>
    </w:p>
    <w:p>
      <w:pPr>
        <w:spacing w:line="240" w:lineRule="auto"/>
        <w:jc w:val="both"/>
        <w:rPr>
          <w:rFonts w:ascii="Times New Roman" w:hAnsi="Times New Roman" w:cs="Times New Roman"/>
          <w:noProof/>
          <w:sz w:val="24"/>
          <w:szCs w:val="24"/>
        </w:rPr>
      </w:pPr>
      <w:r>
        <w:rPr>
          <w:rFonts w:ascii="Times New Roman" w:hAnsi="Times New Roman"/>
          <w:noProof/>
          <w:sz w:val="24"/>
        </w:rPr>
        <w:t>Изправени пред все по-сложни финансови продукти, потребителите и МСП могат да взимат неподходящи финансови решения, тъй като нямат правилна представа за риска, или да пропускат оптимални възможности за инвестиции или финансиране, по-специално с трансграничен характер.</w:t>
      </w:r>
    </w:p>
    <w:p>
      <w:pPr>
        <w:spacing w:line="240" w:lineRule="auto"/>
        <w:jc w:val="both"/>
        <w:rPr>
          <w:rFonts w:ascii="Times New Roman" w:hAnsi="Times New Roman" w:cs="Times New Roman"/>
          <w:noProof/>
          <w:sz w:val="24"/>
          <w:szCs w:val="24"/>
        </w:rPr>
      </w:pPr>
      <w:r>
        <w:rPr>
          <w:rFonts w:ascii="Times New Roman" w:hAnsi="Times New Roman"/>
          <w:noProof/>
          <w:sz w:val="24"/>
        </w:rPr>
        <w:t>Държавите членки приеха различни програми за насърчаване на финансовата грамотност</w:t>
      </w:r>
      <w:r>
        <w:rPr>
          <w:rStyle w:val="FootnoteReference"/>
          <w:rFonts w:ascii="Times New Roman" w:hAnsi="Times New Roman"/>
          <w:noProof/>
          <w:sz w:val="24"/>
        </w:rPr>
        <w:footnoteReference w:id="15"/>
      </w:r>
      <w:r>
        <w:rPr>
          <w:rFonts w:ascii="Times New Roman" w:hAnsi="Times New Roman"/>
          <w:noProof/>
          <w:sz w:val="24"/>
        </w:rPr>
        <w:t>. Повечето действия са съсредоточени върху обучение по основи на финансите на основни социални групи (като например младите хора или пенсионерите) и уязвими групи (например имигранти и млади майки), без непременно да се споменават трансграничните възможности, познаването на които сред обществеността е в различна степен и е непълно.</w:t>
      </w:r>
    </w:p>
    <w:p>
      <w:pPr>
        <w:spacing w:line="240" w:lineRule="auto"/>
        <w:jc w:val="both"/>
        <w:rPr>
          <w:rFonts w:ascii="Times New Roman" w:hAnsi="Times New Roman" w:cs="Times New Roman"/>
          <w:noProof/>
          <w:sz w:val="24"/>
          <w:szCs w:val="24"/>
        </w:rPr>
      </w:pPr>
      <w:r>
        <w:rPr>
          <w:rFonts w:ascii="Times New Roman" w:hAnsi="Times New Roman"/>
          <w:noProof/>
          <w:sz w:val="24"/>
        </w:rPr>
        <w:t>В повечето държави членки са предприети конкретни инициативи за подпомагане на МСП. Сред ключовите области на действие за насърчаване на СКП е допълване на финансирането за МСП от страна на ЕС</w:t>
      </w:r>
      <w:r>
        <w:rPr>
          <w:rStyle w:val="FootnoteReference"/>
          <w:rFonts w:ascii="Times New Roman" w:hAnsi="Times New Roman"/>
          <w:noProof/>
          <w:color w:val="000000"/>
          <w:sz w:val="24"/>
        </w:rPr>
        <w:footnoteReference w:id="16"/>
      </w:r>
      <w:r>
        <w:rPr>
          <w:rFonts w:ascii="Times New Roman" w:hAnsi="Times New Roman"/>
          <w:noProof/>
          <w:sz w:val="24"/>
        </w:rPr>
        <w:t xml:space="preserve"> с ефективна подкрепа за търсещите финансиране от пазара, включително в други държави членки, чрез установяване и обмен на иновативни решения (най-вече в електронна среда). В този контекст мрежата „Enterprise Europe Network“ предоставя на европейските МСП възможно най-детайлни консултантски услуги по различни теми, като съдейства за финансовото им ограмотяване.</w:t>
      </w:r>
    </w:p>
    <w:p>
      <w:pPr>
        <w:spacing w:line="240" w:lineRule="auto"/>
        <w:jc w:val="both"/>
        <w:rPr>
          <w:rFonts w:ascii="Times New Roman" w:hAnsi="Times New Roman" w:cs="Times New Roman"/>
          <w:noProof/>
          <w:sz w:val="24"/>
          <w:szCs w:val="24"/>
        </w:rPr>
      </w:pPr>
      <w:r>
        <w:rPr>
          <w:rFonts w:ascii="Times New Roman" w:hAnsi="Times New Roman"/>
          <w:noProof/>
          <w:sz w:val="24"/>
        </w:rPr>
        <w:t>При всички такива решения следва да се вземат предвид големите различия в нивата на финансова грамотност вътре в самите държави членки и между тях</w:t>
      </w:r>
      <w:r>
        <w:rPr>
          <w:rStyle w:val="FootnoteReference"/>
          <w:rFonts w:ascii="Times New Roman" w:hAnsi="Times New Roman"/>
          <w:noProof/>
          <w:sz w:val="24"/>
        </w:rPr>
        <w:footnoteReference w:id="17"/>
      </w:r>
      <w:r>
        <w:rPr>
          <w:rFonts w:ascii="Times New Roman" w:hAnsi="Times New Roman"/>
          <w:noProof/>
          <w:sz w:val="24"/>
        </w:rPr>
        <w:t>. При тях следва да се проучат решения извън академичното образование и да се даде възможност за новаторски форми на практически опит.</w:t>
      </w:r>
    </w:p>
    <w:p>
      <w:pPr>
        <w:pBdr>
          <w:top w:val="single" w:sz="4" w:space="1" w:color="auto"/>
          <w:left w:val="single" w:sz="4" w:space="4" w:color="auto"/>
          <w:bottom w:val="single" w:sz="4" w:space="1" w:color="auto"/>
          <w:right w:val="single" w:sz="4" w:space="4" w:color="auto"/>
        </w:pBdr>
        <w:shd w:val="pct10" w:color="auto" w:fill="auto"/>
        <w:spacing w:line="240" w:lineRule="auto"/>
        <w:jc w:val="both"/>
        <w:rPr>
          <w:rFonts w:ascii="Times New Roman" w:hAnsi="Times New Roman" w:cs="Times New Roman"/>
          <w:noProof/>
          <w:sz w:val="24"/>
          <w:szCs w:val="24"/>
        </w:rPr>
      </w:pPr>
      <w:r>
        <w:rPr>
          <w:rFonts w:ascii="Times New Roman" w:hAnsi="Times New Roman"/>
          <w:b/>
          <w:noProof/>
          <w:sz w:val="24"/>
        </w:rPr>
        <w:t>Комисията приветства съгласието на държавите членки да продължат усилията за финансово ограмотяване</w:t>
      </w:r>
      <w:r>
        <w:rPr>
          <w:rStyle w:val="FootnoteReference"/>
          <w:rFonts w:ascii="Times New Roman" w:hAnsi="Times New Roman"/>
          <w:b/>
          <w:noProof/>
          <w:sz w:val="24"/>
        </w:rPr>
        <w:footnoteReference w:id="18"/>
      </w:r>
      <w:r>
        <w:rPr>
          <w:rFonts w:ascii="Times New Roman" w:hAnsi="Times New Roman"/>
          <w:b/>
          <w:noProof/>
          <w:sz w:val="24"/>
        </w:rPr>
        <w:t xml:space="preserve"> </w:t>
      </w:r>
      <w:r>
        <w:rPr>
          <w:rFonts w:ascii="Times New Roman" w:hAnsi="Times New Roman"/>
          <w:noProof/>
          <w:sz w:val="24"/>
        </w:rPr>
        <w:t xml:space="preserve"> чрез обмен на най-добрите практики за разработване, прилагане и оценяване на програмите за финансово ограмотяване на конкретни целеви групи и по отношение на дадени финансови продукти при отчитане на трансграничното измерение.</w:t>
      </w:r>
    </w:p>
    <w:p>
      <w:pPr>
        <w:pBdr>
          <w:top w:val="single" w:sz="4" w:space="1" w:color="auto"/>
          <w:left w:val="single" w:sz="4" w:space="4" w:color="auto"/>
          <w:bottom w:val="single" w:sz="4" w:space="1" w:color="auto"/>
          <w:right w:val="single" w:sz="4" w:space="4" w:color="auto"/>
        </w:pBdr>
        <w:shd w:val="pct10" w:color="auto" w:fill="auto"/>
        <w:spacing w:line="240" w:lineRule="auto"/>
        <w:jc w:val="both"/>
        <w:rPr>
          <w:rFonts w:ascii="Times New Roman" w:hAnsi="Times New Roman" w:cs="Times New Roman"/>
          <w:noProof/>
          <w:sz w:val="24"/>
          <w:szCs w:val="24"/>
        </w:rPr>
      </w:pPr>
      <w:r>
        <w:rPr>
          <w:rFonts w:ascii="Times New Roman" w:hAnsi="Times New Roman"/>
          <w:noProof/>
          <w:sz w:val="24"/>
        </w:rPr>
        <w:t xml:space="preserve">Експертната група може да подпомогне евентуални инициативи във връзка със СКП за </w:t>
      </w:r>
      <w:r>
        <w:rPr>
          <w:rFonts w:ascii="Times New Roman" w:hAnsi="Times New Roman"/>
          <w:b/>
          <w:noProof/>
          <w:sz w:val="24"/>
        </w:rPr>
        <w:t>разработване на иновативни решения за подобряване на познанията на МСП</w:t>
      </w:r>
      <w:r>
        <w:rPr>
          <w:rFonts w:ascii="Times New Roman" w:hAnsi="Times New Roman"/>
          <w:noProof/>
          <w:sz w:val="24"/>
        </w:rPr>
        <w:t xml:space="preserve"> и за подкрепа на достъпа на МСП до финансиране от капиталовия пазар.</w:t>
      </w:r>
    </w:p>
    <w:p>
      <w:pPr>
        <w:pStyle w:val="Heading2"/>
        <w:spacing w:after="200"/>
        <w:rPr>
          <w:noProof/>
          <w:szCs w:val="24"/>
        </w:rPr>
      </w:pPr>
      <w:r>
        <w:rPr>
          <w:noProof/>
        </w:rPr>
        <w:t>Други въпроси</w:t>
      </w:r>
    </w:p>
    <w:p>
      <w:pPr>
        <w:spacing w:line="240" w:lineRule="auto"/>
        <w:jc w:val="both"/>
        <w:rPr>
          <w:rFonts w:ascii="Times New Roman" w:hAnsi="Times New Roman" w:cs="Times New Roman"/>
          <w:noProof/>
          <w:sz w:val="24"/>
          <w:szCs w:val="24"/>
        </w:rPr>
      </w:pPr>
      <w:r>
        <w:rPr>
          <w:rFonts w:ascii="Times New Roman" w:hAnsi="Times New Roman"/>
          <w:noProof/>
          <w:sz w:val="24"/>
        </w:rPr>
        <w:t>Комисията отбелязва, че някои държави членки посочват пречки при банковите услуги, сред които — евентуални пречки пред движението на ликвидни средства в рамките на трансграничните банкови групи, наложени от НКО като допълнение към съществуващите пруденциални изисквания. Тези проблеми следва да изчезнат най-късно до 1 януари 2018 г. с пълното въвеждане на отношението на ликвидно покритие в размер на 100 %, обект на редовно наблюдение от Европейския банков орган</w:t>
      </w:r>
      <w:r>
        <w:rPr>
          <w:rStyle w:val="FootnoteReference"/>
          <w:rFonts w:ascii="Times New Roman" w:hAnsi="Times New Roman"/>
          <w:noProof/>
          <w:sz w:val="24"/>
        </w:rPr>
        <w:footnoteReference w:id="19"/>
      </w:r>
      <w:r>
        <w:rPr>
          <w:noProof/>
        </w:rPr>
        <w:t>.</w:t>
      </w:r>
      <w:r>
        <w:rPr>
          <w:rFonts w:ascii="Times New Roman" w:hAnsi="Times New Roman"/>
          <w:noProof/>
          <w:sz w:val="24"/>
        </w:rPr>
        <w:t xml:space="preserve"> Някои държави членки споменават затрудненията на националните надзорни органи да предоставят на институция и нейните дъщерни дружества в ЕС трансгранично освобождаване от изискванията във връзка с ликвидността и да упражняват надзор върху тях като обособена ликвидна подгрупа. </w:t>
      </w:r>
    </w:p>
    <w:p>
      <w:pPr>
        <w:pStyle w:val="Heading1"/>
        <w:spacing w:before="0" w:after="200"/>
        <w:rPr>
          <w:noProof/>
          <w:szCs w:val="24"/>
        </w:rPr>
      </w:pPr>
      <w:r>
        <w:rPr>
          <w:noProof/>
        </w:rPr>
        <w:t xml:space="preserve">Пречки </w:t>
      </w:r>
      <w:r>
        <w:rPr>
          <w:i/>
          <w:noProof/>
        </w:rPr>
        <w:t>ex post</w:t>
      </w:r>
    </w:p>
    <w:p>
      <w:pPr>
        <w:pStyle w:val="Heading2"/>
        <w:spacing w:after="200"/>
        <w:rPr>
          <w:noProof/>
          <w:szCs w:val="24"/>
        </w:rPr>
      </w:pPr>
      <w:r>
        <w:rPr>
          <w:noProof/>
        </w:rPr>
        <w:t>Различни национални уредби на несъстоятелността</w:t>
      </w:r>
    </w:p>
    <w:p>
      <w:pPr>
        <w:spacing w:line="240" w:lineRule="auto"/>
        <w:jc w:val="both"/>
        <w:rPr>
          <w:rFonts w:ascii="Times New Roman" w:hAnsi="Times New Roman" w:cs="Times New Roman"/>
          <w:noProof/>
          <w:sz w:val="24"/>
          <w:szCs w:val="24"/>
        </w:rPr>
      </w:pPr>
      <w:r>
        <w:rPr>
          <w:rFonts w:ascii="Times New Roman" w:hAnsi="Times New Roman"/>
          <w:noProof/>
          <w:sz w:val="24"/>
        </w:rPr>
        <w:t>В последното съобщение относно СКП</w:t>
      </w:r>
      <w:r>
        <w:rPr>
          <w:rStyle w:val="FootnoteReference"/>
          <w:rFonts w:ascii="Times New Roman" w:hAnsi="Times New Roman"/>
          <w:noProof/>
          <w:sz w:val="24"/>
        </w:rPr>
        <w:footnoteReference w:id="20"/>
      </w:r>
      <w:r>
        <w:rPr>
          <w:rFonts w:ascii="Times New Roman" w:hAnsi="Times New Roman"/>
          <w:noProof/>
          <w:sz w:val="24"/>
        </w:rPr>
        <w:t xml:space="preserve"> бе подчертано неблагоприятното въздействие, което различията и неефективността на някои национални уредби на несъстоятелността, имат върху трансграничните инвестиции и кредитиране. Те създават правна несигурност и допълнителни разходи, както и пречки за ефективното преструктуриране на жизнеспособните дружества в ЕС, в т.ч. трансграничните групи.</w:t>
      </w:r>
    </w:p>
    <w:p>
      <w:pPr>
        <w:pBdr>
          <w:top w:val="single" w:sz="4" w:space="1" w:color="auto"/>
          <w:left w:val="single" w:sz="4" w:space="4" w:color="auto"/>
          <w:bottom w:val="single" w:sz="4" w:space="1" w:color="auto"/>
          <w:right w:val="single" w:sz="4" w:space="4" w:color="auto"/>
        </w:pBdr>
        <w:shd w:val="pct10" w:color="auto" w:fill="auto"/>
        <w:spacing w:line="240" w:lineRule="auto"/>
        <w:jc w:val="both"/>
        <w:rPr>
          <w:rFonts w:ascii="Times New Roman" w:hAnsi="Times New Roman" w:cs="Times New Roman"/>
          <w:noProof/>
          <w:sz w:val="24"/>
          <w:szCs w:val="24"/>
        </w:rPr>
      </w:pPr>
      <w:r>
        <w:rPr>
          <w:rFonts w:ascii="Times New Roman" w:hAnsi="Times New Roman"/>
          <w:noProof/>
          <w:sz w:val="24"/>
        </w:rPr>
        <w:t xml:space="preserve">Комисията приканва държавите членки и Европейския парламент да </w:t>
      </w:r>
      <w:r>
        <w:rPr>
          <w:rFonts w:ascii="Times New Roman" w:hAnsi="Times New Roman"/>
          <w:b/>
          <w:noProof/>
          <w:sz w:val="24"/>
        </w:rPr>
        <w:t>подкрепят неотдавнашното предложение на Комисията относно преструктурирането и втория шанс</w:t>
      </w:r>
      <w:r>
        <w:rPr>
          <w:rStyle w:val="FootnoteReference"/>
          <w:rFonts w:ascii="Times New Roman" w:hAnsi="Times New Roman"/>
          <w:b/>
          <w:noProof/>
          <w:sz w:val="24"/>
        </w:rPr>
        <w:footnoteReference w:id="21"/>
      </w:r>
      <w:r>
        <w:rPr>
          <w:rFonts w:ascii="Times New Roman" w:hAnsi="Times New Roman"/>
          <w:b/>
          <w:noProof/>
          <w:sz w:val="24"/>
        </w:rPr>
        <w:t xml:space="preserve"> </w:t>
      </w:r>
      <w:r>
        <w:rPr>
          <w:rFonts w:ascii="Times New Roman" w:hAnsi="Times New Roman"/>
          <w:noProof/>
          <w:sz w:val="24"/>
        </w:rPr>
        <w:t>и да разгледат неговите разпоредби в светлината на договорените цели за задълбочаване на вътрешния пазар.</w:t>
      </w:r>
    </w:p>
    <w:p>
      <w:pPr>
        <w:spacing w:line="240" w:lineRule="auto"/>
        <w:jc w:val="both"/>
        <w:rPr>
          <w:rFonts w:ascii="Times New Roman" w:hAnsi="Times New Roman" w:cs="Times New Roman"/>
          <w:noProof/>
          <w:sz w:val="24"/>
          <w:szCs w:val="24"/>
        </w:rPr>
      </w:pPr>
      <w:r>
        <w:rPr>
          <w:rFonts w:ascii="Times New Roman" w:hAnsi="Times New Roman"/>
          <w:noProof/>
          <w:sz w:val="24"/>
        </w:rPr>
        <w:t>Тези национални различия освен това въздействат върху банковото кредитиране, тъй като банките са изправени пред различни ситуации по отношение на закъснения, разходи и възстановяване на стойност. С цел да състави подробна и надеждна картина Комисията лансира сравнителен анализ на националните уредби на погасяване на отпуснатите заеми, в т.ч. при неплатежоспособност.</w:t>
      </w:r>
    </w:p>
    <w:p>
      <w:pPr>
        <w:pBdr>
          <w:top w:val="single" w:sz="4" w:space="1" w:color="auto"/>
          <w:left w:val="single" w:sz="4" w:space="4" w:color="auto"/>
          <w:bottom w:val="single" w:sz="4" w:space="1" w:color="auto"/>
          <w:right w:val="single" w:sz="4" w:space="4" w:color="auto"/>
        </w:pBdr>
        <w:shd w:val="pct10" w:color="auto" w:fill="auto"/>
        <w:spacing w:line="240" w:lineRule="auto"/>
        <w:jc w:val="both"/>
        <w:rPr>
          <w:rFonts w:ascii="Times New Roman" w:hAnsi="Times New Roman" w:cs="Times New Roman"/>
          <w:noProof/>
          <w:sz w:val="24"/>
          <w:szCs w:val="24"/>
        </w:rPr>
      </w:pPr>
      <w:r>
        <w:rPr>
          <w:rFonts w:ascii="Times New Roman" w:hAnsi="Times New Roman"/>
          <w:b/>
          <w:noProof/>
          <w:sz w:val="24"/>
        </w:rPr>
        <w:t>Сравнителният анализ</w:t>
      </w:r>
      <w:r>
        <w:rPr>
          <w:rFonts w:ascii="Times New Roman" w:hAnsi="Times New Roman"/>
          <w:noProof/>
          <w:sz w:val="24"/>
        </w:rPr>
        <w:t>, чиито резултати се очакват през лятото на 2017 г., ще бъде от полза за държавите членки, които желаят да увеличат ефикасността и прозрачността на своите уредби на несъстоятелността и на погасяване на отпуснатите заеми.</w:t>
      </w:r>
    </w:p>
    <w:p>
      <w:pPr>
        <w:pStyle w:val="Heading2"/>
        <w:spacing w:after="200"/>
        <w:rPr>
          <w:noProof/>
          <w:szCs w:val="24"/>
        </w:rPr>
      </w:pPr>
      <w:r>
        <w:rPr>
          <w:noProof/>
        </w:rPr>
        <w:t>Дискриминационни и сложни процедури за възстановяване на данъка, удържан при източника</w:t>
      </w:r>
    </w:p>
    <w:p>
      <w:pPr>
        <w:spacing w:after="240" w:line="240" w:lineRule="auto"/>
        <w:jc w:val="both"/>
        <w:rPr>
          <w:rFonts w:ascii="Times New Roman" w:hAnsi="Times New Roman" w:cs="Times New Roman"/>
          <w:noProof/>
          <w:color w:val="000000"/>
          <w:sz w:val="24"/>
          <w:szCs w:val="24"/>
        </w:rPr>
      </w:pPr>
      <w:r>
        <w:rPr>
          <w:rFonts w:ascii="Times New Roman" w:hAnsi="Times New Roman"/>
          <w:noProof/>
          <w:sz w:val="24"/>
        </w:rPr>
        <w:t>Инвеститорите на капиталовия пазар и държавите членки многократно установяваха, че процедурите за възстановяване на данъка, удържан при източника, са основен възпиращ фактор за трансграничните инвестиции. Съветът ECOFIN от ноември 2015 г. посочи в подкрепа на инициативите във връзка със СКП, че съществува необходимост от „прагматични решения на закостенелите данъчни пречки като двойното данъчно облагане, свързано с действащите споразумения за удържане на данък при източника“.</w:t>
      </w:r>
    </w:p>
    <w:p>
      <w:pPr>
        <w:spacing w:after="240" w:line="240" w:lineRule="auto"/>
        <w:jc w:val="both"/>
        <w:rPr>
          <w:rFonts w:ascii="Times New Roman" w:hAnsi="Times New Roman" w:cs="Times New Roman"/>
          <w:noProof/>
          <w:sz w:val="24"/>
          <w:szCs w:val="24"/>
        </w:rPr>
      </w:pPr>
      <w:r>
        <w:rPr>
          <w:rFonts w:ascii="Times New Roman" w:hAnsi="Times New Roman"/>
          <w:noProof/>
          <w:sz w:val="24"/>
        </w:rPr>
        <w:t>В рамките на настоящия политически мандат експертната група обсъди естеството на проблема и съществуващите най-добри практики. Тя отбеляза, че един добре функциониращ СКП трябва да се справи с този въпрос, като същевременно призна, че всички стъпки отвъд установяване на съответните пречки и на най-добрите практики следва да бъдат предприети в съответните работни групи в областта на данъчното облагане.</w:t>
      </w:r>
    </w:p>
    <w:p>
      <w:pPr>
        <w:spacing w:after="240" w:line="240" w:lineRule="auto"/>
        <w:jc w:val="both"/>
        <w:rPr>
          <w:rFonts w:ascii="TimesNewRoman" w:eastAsia="Times New Roman" w:hAnsi="TimesNewRoman" w:cs="TimesNewRoman"/>
          <w:noProof/>
          <w:sz w:val="24"/>
          <w:szCs w:val="24"/>
        </w:rPr>
      </w:pPr>
      <w:r>
        <w:rPr>
          <w:rFonts w:ascii="Times New Roman" w:hAnsi="Times New Roman"/>
          <w:noProof/>
          <w:sz w:val="24"/>
        </w:rPr>
        <w:t>С цел избягване на двойното данъчно облагане на трансграничните инвестиции повечето двустранни данъчни спогодби предвиждат възстановяване на данъка, удържан при източника. На практика обаче инвеститорите са изправени пред комплексни, строги, ресурсоемки и скъпи процедури.</w:t>
      </w:r>
    </w:p>
    <w:p>
      <w:pPr>
        <w:spacing w:after="240" w:line="240" w:lineRule="auto"/>
        <w:jc w:val="both"/>
        <w:rPr>
          <w:rFonts w:ascii="Times New Roman" w:hAnsi="Times New Roman" w:cs="Times New Roman"/>
          <w:noProof/>
          <w:sz w:val="24"/>
          <w:szCs w:val="24"/>
        </w:rPr>
      </w:pPr>
      <w:r>
        <w:rPr>
          <w:rFonts w:ascii="Times New Roman" w:hAnsi="Times New Roman"/>
          <w:noProof/>
          <w:sz w:val="24"/>
        </w:rPr>
        <w:t>В допълнение към сложните документи, с които от инвеститорите с дейност в ЕС се изисква да доказват местопребиваването си, те трябва да попълват и до 56 отделни национални формуляра. В много от държавите членки процедурата не е в електронна среда. Освен това инвеститорите редовно трябва да обработват исковете чрез местен агент, като националните практики им пречат да получават помощ от своята финансова институция в своята държава.</w:t>
      </w:r>
    </w:p>
    <w:p>
      <w:pPr>
        <w:spacing w:after="240" w:line="240" w:lineRule="auto"/>
        <w:jc w:val="both"/>
        <w:rPr>
          <w:rFonts w:ascii="Times New Roman" w:hAnsi="Times New Roman" w:cs="Times New Roman"/>
          <w:noProof/>
          <w:sz w:val="24"/>
          <w:szCs w:val="24"/>
        </w:rPr>
      </w:pPr>
      <w:r>
        <w:rPr>
          <w:rFonts w:ascii="TimesNewRoman" w:hAnsi="TimesNewRoman"/>
          <w:noProof/>
          <w:sz w:val="24"/>
        </w:rPr>
        <w:t>В резултат на това в някои държави членки могат да минат години, докато бъдат възстановени исканите суми, което е неприемливо, като се има предвид, че в други държави членки сумите се възстановяват в рамките на няколко седмици.</w:t>
      </w:r>
      <w:r>
        <w:rPr>
          <w:rStyle w:val="FootnoteReference"/>
          <w:noProof/>
        </w:rPr>
        <w:footnoteReference w:id="22"/>
      </w:r>
      <w:r>
        <w:rPr>
          <w:noProof/>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Премахването на сложните процедури за възстановяване на данъка, удържан при източника, е належащо, тъй като те засягат всички видове финансови инструменти (облигации, акции и деривати) и заинтересовани страни. Прекомерните разходи за спазване на нормативната уредба пречат на индивидуалните инвеститори да подават искания, а при институционалните инвеститори водят до значителни административни разходи. През януари 2016 г. общите разходи за процедурите за възстановяване на данъка, удържан при източника, се изчисляват на 8,4 млрд. евро годишно, което представлява пропуснатите данъчни облекчения (поради сложни нормативни процедури и скъпоструващи експертни становища) плюс разходите за процедурите за възстановяване и алтернативните разходи (забавените възстановявания означават, че средствата няма да могат да бъдат използвани за други цели)</w:t>
      </w:r>
      <w:r>
        <w:rPr>
          <w:rStyle w:val="FootnoteReference"/>
          <w:rFonts w:ascii="Times New Roman" w:hAnsi="Times New Roman"/>
          <w:noProof/>
          <w:sz w:val="24"/>
        </w:rPr>
        <w:footnoteReference w:id="23"/>
      </w:r>
      <w:r>
        <w:rPr>
          <w:noProof/>
        </w:rPr>
        <w:t>.</w:t>
      </w:r>
    </w:p>
    <w:p>
      <w:pPr>
        <w:spacing w:after="240" w:line="240" w:lineRule="auto"/>
        <w:jc w:val="both"/>
        <w:rPr>
          <w:rFonts w:ascii="Times New Roman" w:hAnsi="Times New Roman" w:cs="Times New Roman"/>
          <w:noProof/>
          <w:sz w:val="24"/>
          <w:szCs w:val="24"/>
        </w:rPr>
      </w:pPr>
      <w:r>
        <w:rPr>
          <w:rFonts w:ascii="Times New Roman" w:hAnsi="Times New Roman"/>
          <w:noProof/>
          <w:sz w:val="24"/>
        </w:rPr>
        <w:t>В своята препоръка от 2009 г. относно процедурите за данъчни облекчения във връзка с данъка, удържан при източника</w:t>
      </w:r>
      <w:r>
        <w:rPr>
          <w:rStyle w:val="FootnoteReference"/>
          <w:rFonts w:ascii="Times New Roman" w:hAnsi="Times New Roman"/>
          <w:noProof/>
          <w:sz w:val="24"/>
        </w:rPr>
        <w:footnoteReference w:id="24"/>
      </w:r>
      <w:r>
        <w:rPr>
          <w:rFonts w:ascii="Times New Roman" w:hAnsi="Times New Roman"/>
          <w:noProof/>
          <w:sz w:val="24"/>
        </w:rPr>
        <w:t>, Комисията прикани всички държави членки да въведат добре функциониращи процедури за възстановяване на данъка, удържан при източника, а при невъзможност — да въведат бързи и стандартизирани процедури за възстановяване.</w:t>
      </w:r>
    </w:p>
    <w:p>
      <w:pPr>
        <w:spacing w:after="240" w:line="240" w:lineRule="auto"/>
        <w:jc w:val="both"/>
        <w:rPr>
          <w:rFonts w:ascii="Times New Roman" w:hAnsi="Times New Roman" w:cs="Times New Roman"/>
          <w:noProof/>
          <w:sz w:val="24"/>
          <w:szCs w:val="24"/>
        </w:rPr>
      </w:pPr>
      <w:r>
        <w:rPr>
          <w:rFonts w:ascii="Times New Roman" w:hAnsi="Times New Roman"/>
          <w:noProof/>
          <w:sz w:val="24"/>
        </w:rPr>
        <w:t>От проучване, придружаващо препоръката от 2009 г., стана ясно, че опростяването на процедурите за възстановяване на данъка, удържан при източника, има положително въздействие в ЕС. Финландия и Ирландия потвърдиха, че след въвеждането на възстановяване на данъка, удържан при източника, процесите на възстановяване са заработили по-надеждно и ефикасно, намалена е била административната тежест и са били освободени ресурси — както в данъчните администрации, така и при финансовите посредници. В същия дух Германия и Нидерландия докладваха, че новите електронни системи са направили по-ефективни контролните им механизми и значително са намалили укриването на данъци в държавите по произход.</w:t>
      </w:r>
    </w:p>
    <w:p>
      <w:pPr>
        <w:spacing w:after="240" w:line="240" w:lineRule="auto"/>
        <w:jc w:val="both"/>
        <w:rPr>
          <w:rFonts w:ascii="Times New Roman" w:hAnsi="Times New Roman" w:cs="Times New Roman"/>
          <w:noProof/>
          <w:sz w:val="24"/>
          <w:szCs w:val="24"/>
        </w:rPr>
      </w:pPr>
      <w:r>
        <w:rPr>
          <w:rFonts w:ascii="Times New Roman" w:hAnsi="Times New Roman"/>
          <w:noProof/>
          <w:sz w:val="24"/>
        </w:rPr>
        <w:t>Въпреки известните подобрения обаче общото текущо състояние остава незадоволително: решенията са добре известни и са били успешно въведени в някои държави членки. В резултат на работата в експертната група по установяване на най-добрите практики, в таблиците по-долу се предлага списък от девет такива (в допълнение към възстановяването на данъка, удържан при източника), като една държава членка е в особено добра позиция да сподели своя опит за всяка от тях.</w:t>
      </w:r>
    </w:p>
    <w:p>
      <w:pPr>
        <w:spacing w:line="240" w:lineRule="auto"/>
        <w:jc w:val="both"/>
        <w:rPr>
          <w:rFonts w:ascii="Times New Roman" w:eastAsia="Calibri" w:hAnsi="Times New Roman" w:cs="Times New Roman"/>
          <w:i/>
          <w:noProof/>
        </w:rPr>
      </w:pPr>
      <w:r>
        <w:rPr>
          <w:rFonts w:ascii="Times New Roman" w:hAnsi="Times New Roman"/>
          <w:i/>
          <w:noProof/>
        </w:rPr>
        <w:t>Бързо възстановяване</w:t>
      </w:r>
    </w:p>
    <w:tbl>
      <w:tblPr>
        <w:tblW w:w="8040" w:type="dxa"/>
        <w:tblInd w:w="715" w:type="dxa"/>
        <w:tblLook w:val="04A0" w:firstRow="1" w:lastRow="0" w:firstColumn="1" w:lastColumn="0" w:noHBand="0" w:noVBand="1"/>
      </w:tblPr>
      <w:tblGrid>
        <w:gridCol w:w="4780"/>
        <w:gridCol w:w="3260"/>
      </w:tblGrid>
      <w:tr>
        <w:tc>
          <w:tcPr>
            <w:tcW w:w="4780" w:type="dxa"/>
            <w:tcBorders>
              <w:bottom w:val="single" w:sz="4" w:space="0" w:color="auto"/>
            </w:tcBorders>
            <w:shd w:val="clear" w:color="auto" w:fill="DBE5F1" w:themeFill="accent1" w:themeFillTint="33"/>
            <w:vAlign w:val="center"/>
          </w:tcPr>
          <w:p>
            <w:pPr>
              <w:spacing w:after="0" w:line="240" w:lineRule="auto"/>
              <w:jc w:val="both"/>
              <w:rPr>
                <w:rFonts w:ascii="Times New Roman" w:eastAsia="Calibri" w:hAnsi="Times New Roman" w:cs="Times New Roman"/>
                <w:noProof/>
              </w:rPr>
            </w:pPr>
            <w:r>
              <w:rPr>
                <w:rFonts w:ascii="Times New Roman" w:hAnsi="Times New Roman"/>
                <w:noProof/>
              </w:rPr>
              <w:t>Най-добри практики</w:t>
            </w:r>
          </w:p>
        </w:tc>
        <w:tc>
          <w:tcPr>
            <w:tcW w:w="3260" w:type="dxa"/>
            <w:tcBorders>
              <w:bottom w:val="single" w:sz="4" w:space="0" w:color="auto"/>
            </w:tcBorders>
            <w:shd w:val="clear" w:color="auto" w:fill="DBE5F1" w:themeFill="accent1" w:themeFillTint="33"/>
            <w:vAlign w:val="center"/>
          </w:tcPr>
          <w:p>
            <w:pPr>
              <w:spacing w:after="0" w:line="240" w:lineRule="auto"/>
              <w:jc w:val="both"/>
              <w:rPr>
                <w:rFonts w:ascii="Times New Roman" w:eastAsia="Calibri" w:hAnsi="Times New Roman" w:cs="Times New Roman"/>
                <w:noProof/>
              </w:rPr>
            </w:pPr>
            <w:r>
              <w:rPr>
                <w:rFonts w:ascii="Times New Roman" w:hAnsi="Times New Roman"/>
                <w:noProof/>
              </w:rPr>
              <w:t>Държава членка</w:t>
            </w:r>
          </w:p>
        </w:tc>
      </w:tr>
      <w:tr>
        <w:tc>
          <w:tcPr>
            <w:tcW w:w="478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noProof/>
              </w:rPr>
              <w:t>Въведена процедура за бързо възстановяване</w:t>
            </w:r>
          </w:p>
        </w:tc>
        <w:tc>
          <w:tcPr>
            <w:tcW w:w="326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noProof/>
              </w:rPr>
              <w:t>Нидерландия</w:t>
            </w:r>
          </w:p>
        </w:tc>
      </w:tr>
      <w:tr>
        <w:tc>
          <w:tcPr>
            <w:tcW w:w="478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noProof/>
              </w:rPr>
              <w:t xml:space="preserve">Ефективно възстановяване за кратък период (&lt; 6 месеца)  </w:t>
            </w:r>
          </w:p>
        </w:tc>
        <w:tc>
          <w:tcPr>
            <w:tcW w:w="326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noProof/>
              </w:rPr>
              <w:t>Словения (7—30 дни)</w:t>
            </w:r>
          </w:p>
        </w:tc>
      </w:tr>
    </w:tbl>
    <w:p>
      <w:pPr>
        <w:spacing w:after="0" w:line="240" w:lineRule="auto"/>
        <w:jc w:val="both"/>
        <w:rPr>
          <w:rFonts w:ascii="Times New Roman" w:eastAsia="Calibri" w:hAnsi="Times New Roman" w:cs="Times New Roman"/>
          <w:i/>
          <w:noProof/>
        </w:rPr>
      </w:pPr>
    </w:p>
    <w:p>
      <w:pPr>
        <w:spacing w:line="240" w:lineRule="auto"/>
        <w:jc w:val="both"/>
        <w:rPr>
          <w:rFonts w:ascii="Times New Roman" w:eastAsia="Calibri" w:hAnsi="Times New Roman" w:cs="Times New Roman"/>
          <w:i/>
          <w:noProof/>
        </w:rPr>
      </w:pPr>
      <w:r>
        <w:rPr>
          <w:rFonts w:ascii="Times New Roman" w:hAnsi="Times New Roman"/>
          <w:i/>
          <w:noProof/>
        </w:rPr>
        <w:t>Традиционна процедура за възстановяване</w:t>
      </w:r>
    </w:p>
    <w:tbl>
      <w:tblPr>
        <w:tblW w:w="8040" w:type="dxa"/>
        <w:tblInd w:w="715" w:type="dxa"/>
        <w:tblLayout w:type="fixed"/>
        <w:tblLook w:val="04A0" w:firstRow="1" w:lastRow="0" w:firstColumn="1" w:lastColumn="0" w:noHBand="0" w:noVBand="1"/>
      </w:tblPr>
      <w:tblGrid>
        <w:gridCol w:w="4780"/>
        <w:gridCol w:w="3260"/>
      </w:tblGrid>
      <w:tr>
        <w:tc>
          <w:tcPr>
            <w:tcW w:w="4780" w:type="dxa"/>
            <w:tcBorders>
              <w:bottom w:val="single" w:sz="4" w:space="0" w:color="auto"/>
            </w:tcBorders>
            <w:shd w:val="clear" w:color="auto" w:fill="DBE5F1" w:themeFill="accent1" w:themeFillTint="33"/>
            <w:vAlign w:val="center"/>
          </w:tcPr>
          <w:p>
            <w:pPr>
              <w:spacing w:after="0" w:line="240" w:lineRule="auto"/>
              <w:jc w:val="both"/>
              <w:rPr>
                <w:rFonts w:ascii="Times New Roman" w:eastAsia="Calibri" w:hAnsi="Times New Roman" w:cs="Times New Roman"/>
                <w:noProof/>
              </w:rPr>
            </w:pPr>
            <w:r>
              <w:rPr>
                <w:rFonts w:ascii="Times New Roman" w:hAnsi="Times New Roman"/>
                <w:noProof/>
              </w:rPr>
              <w:t>Най-добри практики</w:t>
            </w:r>
          </w:p>
        </w:tc>
        <w:tc>
          <w:tcPr>
            <w:tcW w:w="3260" w:type="dxa"/>
            <w:tcBorders>
              <w:bottom w:val="single" w:sz="4" w:space="0" w:color="auto"/>
            </w:tcBorders>
            <w:shd w:val="clear" w:color="auto" w:fill="DBE5F1" w:themeFill="accent1" w:themeFillTint="33"/>
            <w:vAlign w:val="center"/>
          </w:tcPr>
          <w:p>
            <w:pPr>
              <w:spacing w:after="0" w:line="240" w:lineRule="auto"/>
              <w:jc w:val="both"/>
              <w:rPr>
                <w:rFonts w:ascii="Times New Roman" w:eastAsia="Calibri" w:hAnsi="Times New Roman" w:cs="Times New Roman"/>
                <w:noProof/>
              </w:rPr>
            </w:pPr>
            <w:r>
              <w:rPr>
                <w:rFonts w:ascii="Times New Roman" w:hAnsi="Times New Roman"/>
                <w:noProof/>
              </w:rPr>
              <w:t>Държава членка</w:t>
            </w:r>
          </w:p>
        </w:tc>
      </w:tr>
      <w:tr>
        <w:tc>
          <w:tcPr>
            <w:tcW w:w="478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noProof/>
              </w:rPr>
              <w:t>Опростяване на изискванията за документация (например допускане на други доказателства, освен удостоверението за местожителство за данъчни цели, за удължаване на валидността на удостоверението за повече от една година)</w:t>
            </w:r>
          </w:p>
        </w:tc>
        <w:tc>
          <w:tcPr>
            <w:tcW w:w="326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noProof/>
              </w:rPr>
              <w:t>Швеция (не се изисква допълнителна информация, но са налице одитни процедури)</w:t>
            </w:r>
          </w:p>
        </w:tc>
      </w:tr>
      <w:tr>
        <w:tc>
          <w:tcPr>
            <w:tcW w:w="478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noProof/>
              </w:rPr>
              <w:t>Единично звено за контакт за обработка на исканията за възстановяване</w:t>
            </w:r>
          </w:p>
        </w:tc>
        <w:tc>
          <w:tcPr>
            <w:tcW w:w="326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noProof/>
              </w:rPr>
              <w:t>Обединеното кралство (за големи предприятия)</w:t>
            </w:r>
          </w:p>
        </w:tc>
      </w:tr>
      <w:tr>
        <w:tc>
          <w:tcPr>
            <w:tcW w:w="478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noProof/>
              </w:rPr>
              <w:t>Замяна с единен документ на формулярите за подаване на искане за възстановяване</w:t>
            </w:r>
          </w:p>
        </w:tc>
        <w:tc>
          <w:tcPr>
            <w:tcW w:w="326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noProof/>
              </w:rPr>
              <w:t>Кипър</w:t>
            </w:r>
          </w:p>
        </w:tc>
      </w:tr>
      <w:tr>
        <w:tc>
          <w:tcPr>
            <w:tcW w:w="478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noProof/>
              </w:rPr>
              <w:t>Формулярите са достъпни онлайн</w:t>
            </w:r>
          </w:p>
        </w:tc>
        <w:tc>
          <w:tcPr>
            <w:tcW w:w="326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noProof/>
              </w:rPr>
              <w:t>Португалия</w:t>
            </w:r>
          </w:p>
        </w:tc>
      </w:tr>
      <w:tr>
        <w:tc>
          <w:tcPr>
            <w:tcW w:w="478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noProof/>
              </w:rPr>
              <w:t>Цялата процедура за възстановяване може да се направи онлайн</w:t>
            </w:r>
          </w:p>
        </w:tc>
        <w:tc>
          <w:tcPr>
            <w:tcW w:w="326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noProof/>
              </w:rPr>
              <w:t>Финландия</w:t>
            </w:r>
          </w:p>
        </w:tc>
      </w:tr>
      <w:tr>
        <w:trPr>
          <w:trHeight w:val="251"/>
        </w:trPr>
        <w:tc>
          <w:tcPr>
            <w:tcW w:w="478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noProof/>
              </w:rPr>
              <w:t>Допуска чуждестранните финансови институции сами да направят процедурата за възстановяване на данъка, удържан при източника (т.е. няма нужда от местен агент)</w:t>
            </w:r>
          </w:p>
        </w:tc>
        <w:tc>
          <w:tcPr>
            <w:tcW w:w="326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noProof/>
              </w:rPr>
              <w:t>Естония</w:t>
            </w:r>
          </w:p>
        </w:tc>
      </w:tr>
      <w:tr>
        <w:trPr>
          <w:trHeight w:val="692"/>
        </w:trPr>
        <w:tc>
          <w:tcPr>
            <w:tcW w:w="478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noProof/>
              </w:rPr>
              <w:t>Допуска чуждестранните финансови институции да подават искане за данъчни облекчения от името на свои клиенти</w:t>
            </w:r>
          </w:p>
        </w:tc>
        <w:tc>
          <w:tcPr>
            <w:tcW w:w="3260" w:type="dxa"/>
            <w:tcBorders>
              <w:top w:val="single" w:sz="4" w:space="0" w:color="auto"/>
              <w:bottom w:val="single" w:sz="4" w:space="0" w:color="auto"/>
            </w:tcBorders>
            <w:vAlign w:val="center"/>
          </w:tcPr>
          <w:p>
            <w:pPr>
              <w:spacing w:after="0" w:line="240" w:lineRule="auto"/>
              <w:jc w:val="both"/>
              <w:rPr>
                <w:rFonts w:ascii="Times New Roman" w:eastAsia="Calibri" w:hAnsi="Times New Roman" w:cs="Times New Roman"/>
                <w:noProof/>
              </w:rPr>
            </w:pPr>
            <w:r>
              <w:rPr>
                <w:rFonts w:ascii="Times New Roman" w:hAnsi="Times New Roman"/>
                <w:noProof/>
              </w:rPr>
              <w:t>Литва</w:t>
            </w:r>
          </w:p>
        </w:tc>
      </w:tr>
    </w:tbl>
    <w:p>
      <w:pPr>
        <w:spacing w:after="0" w:line="240" w:lineRule="auto"/>
        <w:jc w:val="both"/>
        <w:outlineLvl w:val="0"/>
        <w:rPr>
          <w:rFonts w:ascii="Times New Roman" w:eastAsia="Calibri" w:hAnsi="Times New Roman" w:cs="Times New Roman"/>
          <w:noProof/>
          <w:sz w:val="24"/>
        </w:rPr>
      </w:pPr>
    </w:p>
    <w:p>
      <w:pPr>
        <w:pBdr>
          <w:top w:val="single" w:sz="4" w:space="1" w:color="auto"/>
          <w:left w:val="single" w:sz="4" w:space="4" w:color="auto"/>
          <w:bottom w:val="single" w:sz="4" w:space="1" w:color="auto"/>
          <w:right w:val="single" w:sz="4" w:space="4" w:color="auto"/>
        </w:pBdr>
        <w:shd w:val="pct10" w:color="auto" w:fill="auto"/>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Комисията приканва държавите членки </w:t>
      </w:r>
      <w:r>
        <w:rPr>
          <w:rFonts w:ascii="Times New Roman" w:hAnsi="Times New Roman"/>
          <w:b/>
          <w:noProof/>
          <w:sz w:val="24"/>
        </w:rPr>
        <w:t>да потвърдят значението на набелязаните в общата пътна карта девет най-добри практики във връзка с данъка, удържан при източника</w:t>
      </w:r>
      <w:r>
        <w:rPr>
          <w:rFonts w:ascii="Times New Roman" w:hAnsi="Times New Roman"/>
          <w:noProof/>
          <w:sz w:val="24"/>
        </w:rPr>
        <w:t>. След това от всяка държава членка ще се очаква да поеме ангажимент за въвеждане до 2019 г. на избраните от нея най-добри практики. Напредъкът в отделните държави може да се отчита в таблица с показатели, която да бъде обсъждана с държавите членки.</w:t>
      </w:r>
    </w:p>
    <w:p>
      <w:pPr>
        <w:pBdr>
          <w:top w:val="single" w:sz="4" w:space="1" w:color="auto"/>
          <w:left w:val="single" w:sz="4" w:space="4" w:color="auto"/>
          <w:bottom w:val="single" w:sz="4" w:space="1" w:color="auto"/>
          <w:right w:val="single" w:sz="4" w:space="4" w:color="auto"/>
        </w:pBdr>
        <w:shd w:val="pct10" w:color="auto" w:fill="auto"/>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Комисията предлага </w:t>
      </w:r>
      <w:r>
        <w:rPr>
          <w:rFonts w:ascii="Times New Roman" w:hAnsi="Times New Roman"/>
          <w:b/>
          <w:noProof/>
          <w:sz w:val="24"/>
        </w:rPr>
        <w:t>работата в тази област да бъде поета от съответните работни групи в областта на данъчното облагане,</w:t>
      </w:r>
      <w:r>
        <w:rPr>
          <w:rFonts w:ascii="Times New Roman" w:hAnsi="Times New Roman"/>
          <w:noProof/>
          <w:sz w:val="24"/>
        </w:rPr>
        <w:t xml:space="preserve"> като експертната група бъде редовно информирана за напредъка и запази подкрепяща роля с оглед на значението на този въпрос за СКП.</w:t>
      </w:r>
    </w:p>
    <w:p>
      <w:pPr>
        <w:pBdr>
          <w:top w:val="single" w:sz="4" w:space="1" w:color="auto"/>
          <w:left w:val="single" w:sz="4" w:space="4" w:color="auto"/>
          <w:bottom w:val="single" w:sz="4" w:space="1" w:color="auto"/>
          <w:right w:val="single" w:sz="4" w:space="4" w:color="auto"/>
        </w:pBdr>
        <w:shd w:val="pct10" w:color="auto" w:fill="auto"/>
        <w:spacing w:after="240" w:line="240" w:lineRule="auto"/>
        <w:jc w:val="both"/>
        <w:rPr>
          <w:rFonts w:ascii="Times New Roman" w:hAnsi="Times New Roman" w:cs="Times New Roman"/>
          <w:noProof/>
          <w:sz w:val="24"/>
          <w:szCs w:val="24"/>
        </w:rPr>
      </w:pPr>
      <w:r>
        <w:rPr>
          <w:rFonts w:ascii="Times New Roman" w:hAnsi="Times New Roman"/>
          <w:noProof/>
          <w:sz w:val="24"/>
        </w:rPr>
        <w:t xml:space="preserve">Комисията ще работи и с националните данъчни експерти по въпроса за </w:t>
      </w:r>
      <w:r>
        <w:rPr>
          <w:rFonts w:ascii="Times New Roman" w:hAnsi="Times New Roman"/>
          <w:b/>
          <w:noProof/>
          <w:sz w:val="24"/>
        </w:rPr>
        <w:t>принципен кодекс за възстановяване на данъка, удържан при източника</w:t>
      </w:r>
      <w:r>
        <w:rPr>
          <w:rFonts w:ascii="Times New Roman" w:hAnsi="Times New Roman"/>
          <w:noProof/>
          <w:sz w:val="24"/>
        </w:rPr>
        <w:t>. В съответствие с плана за действие за изграждане на СКП</w:t>
      </w:r>
      <w:r>
        <w:rPr>
          <w:rStyle w:val="FootnoteReference"/>
          <w:rFonts w:ascii="Times New Roman" w:hAnsi="Times New Roman"/>
          <w:noProof/>
          <w:sz w:val="24"/>
        </w:rPr>
        <w:footnoteReference w:id="25"/>
      </w:r>
      <w:r>
        <w:rPr>
          <w:rFonts w:ascii="Times New Roman" w:hAnsi="Times New Roman"/>
          <w:noProof/>
          <w:sz w:val="24"/>
        </w:rPr>
        <w:t xml:space="preserve"> и скорошното съобщение</w:t>
      </w:r>
      <w:r>
        <w:rPr>
          <w:rStyle w:val="FootnoteReference"/>
          <w:rFonts w:ascii="Times New Roman" w:hAnsi="Times New Roman"/>
          <w:noProof/>
          <w:sz w:val="24"/>
        </w:rPr>
        <w:footnoteReference w:id="26"/>
      </w:r>
      <w:r>
        <w:rPr>
          <w:rFonts w:ascii="Times New Roman" w:hAnsi="Times New Roman"/>
          <w:noProof/>
          <w:sz w:val="24"/>
        </w:rPr>
        <w:t xml:space="preserve">, установените от експертната група най-добри практики ще послужат за основа за изготвянето на </w:t>
      </w:r>
      <w:r>
        <w:rPr>
          <w:rFonts w:ascii="Times New Roman" w:hAnsi="Times New Roman"/>
          <w:b/>
          <w:noProof/>
          <w:sz w:val="24"/>
        </w:rPr>
        <w:t>принципен кодекс за по-ефикасно освобождаване/възстановяване на данъка, удържан при източника</w:t>
      </w:r>
      <w:r>
        <w:rPr>
          <w:rFonts w:ascii="Times New Roman" w:hAnsi="Times New Roman"/>
          <w:noProof/>
          <w:sz w:val="24"/>
        </w:rPr>
        <w:t>.</w:t>
      </w:r>
    </w:p>
    <w:p>
      <w:pPr>
        <w:pBdr>
          <w:top w:val="single" w:sz="4" w:space="1" w:color="auto"/>
          <w:left w:val="single" w:sz="4" w:space="4" w:color="auto"/>
          <w:bottom w:val="single" w:sz="4" w:space="1" w:color="auto"/>
          <w:right w:val="single" w:sz="4" w:space="4" w:color="auto"/>
        </w:pBdr>
        <w:shd w:val="pct10" w:color="auto" w:fill="auto"/>
        <w:spacing w:after="240" w:line="240" w:lineRule="auto"/>
        <w:jc w:val="both"/>
        <w:rPr>
          <w:rFonts w:ascii="Times New Roman" w:hAnsi="Times New Roman" w:cs="Times New Roman"/>
          <w:noProof/>
          <w:sz w:val="24"/>
          <w:szCs w:val="24"/>
        </w:rPr>
      </w:pPr>
      <w:r>
        <w:rPr>
          <w:rFonts w:ascii="Times New Roman" w:hAnsi="Times New Roman"/>
          <w:noProof/>
          <w:sz w:val="24"/>
        </w:rPr>
        <w:t>Експертната група ще има подкрепяща роля и ще бъде редовно информирана за всеки съответен напредък.</w:t>
      </w:r>
    </w:p>
    <w:p>
      <w:pPr>
        <w:pStyle w:val="Heading1"/>
        <w:spacing w:before="0" w:after="200"/>
        <w:rPr>
          <w:noProof/>
          <w:szCs w:val="24"/>
        </w:rPr>
      </w:pPr>
      <w:r>
        <w:rPr>
          <w:noProof/>
        </w:rPr>
        <w:t>Заключение и обобщение на предложените действия</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Акцентът на този процес на сътрудничество с държавите членки бяха пречките, които са в области от национална компетентност и които могат да бъдат преодолени чрез доброволни действия, за което държавите членки са готови да работят заедно. Проучените пречки бяха оценени въз основа на тяхното естество с цел да се гарантира, че кумулативните действия на национално равнище могат да имат положително въздействие върху трансграничните инвестиции. </w:t>
      </w:r>
    </w:p>
    <w:p>
      <w:pPr>
        <w:spacing w:line="240" w:lineRule="auto"/>
        <w:jc w:val="both"/>
        <w:rPr>
          <w:rFonts w:ascii="Times New Roman" w:hAnsi="Times New Roman" w:cs="Times New Roman"/>
          <w:noProof/>
          <w:sz w:val="24"/>
          <w:szCs w:val="24"/>
        </w:rPr>
      </w:pPr>
      <w:r>
        <w:rPr>
          <w:rFonts w:ascii="Times New Roman" w:hAnsi="Times New Roman"/>
          <w:noProof/>
          <w:sz w:val="24"/>
        </w:rPr>
        <w:t>Въпреки че тези пречки засягат в различна степен отделните трансгранични инвестиции, извършваната досега оценка не бе подкрепена от икономическа оценка на въздействието на всяка една от пречките, установени на равнище ЕС или на национално равнище.</w:t>
      </w:r>
    </w:p>
    <w:p>
      <w:pPr>
        <w:spacing w:line="240" w:lineRule="auto"/>
        <w:jc w:val="both"/>
        <w:rPr>
          <w:rFonts w:ascii="Times New Roman" w:hAnsi="Times New Roman" w:cs="Times New Roman"/>
          <w:noProof/>
          <w:sz w:val="24"/>
          <w:szCs w:val="24"/>
        </w:rPr>
      </w:pPr>
      <w:r>
        <w:rPr>
          <w:rFonts w:ascii="Times New Roman" w:hAnsi="Times New Roman"/>
          <w:noProof/>
          <w:sz w:val="24"/>
        </w:rPr>
        <w:t>Въз основа на честотата, с която се споменават в отговорите на консултациите и от държавите членки в рамките на експертната група, пречките могат да бъдат разделени от най-рядко (x) до най-често споменаваните (xxx), както следва.</w:t>
      </w:r>
    </w:p>
    <w:tbl>
      <w:tblPr>
        <w:tblStyle w:val="TableGrid"/>
        <w:tblW w:w="0" w:type="auto"/>
        <w:jc w:val="center"/>
        <w:tblLook w:val="04A0" w:firstRow="1" w:lastRow="0" w:firstColumn="1" w:lastColumn="0" w:noHBand="0" w:noVBand="1"/>
      </w:tblPr>
      <w:tblGrid>
        <w:gridCol w:w="3714"/>
        <w:gridCol w:w="1858"/>
        <w:gridCol w:w="1858"/>
        <w:gridCol w:w="1858"/>
      </w:tblGrid>
      <w:tr>
        <w:trPr>
          <w:jc w:val="center"/>
        </w:trPr>
        <w:tc>
          <w:tcPr>
            <w:tcW w:w="3714" w:type="dxa"/>
          </w:tcPr>
          <w:p>
            <w:pPr>
              <w:jc w:val="center"/>
              <w:rPr>
                <w:rFonts w:ascii="Times New Roman" w:hAnsi="Times New Roman" w:cs="Times New Roman"/>
                <w:b/>
                <w:noProof/>
                <w:sz w:val="24"/>
                <w:szCs w:val="24"/>
              </w:rPr>
            </w:pPr>
            <w:r>
              <w:rPr>
                <w:rFonts w:ascii="Times New Roman" w:hAnsi="Times New Roman"/>
                <w:b/>
                <w:noProof/>
                <w:sz w:val="24"/>
              </w:rPr>
              <w:t>Тежест на пречките (въз основа на докладваните случаи)</w:t>
            </w:r>
          </w:p>
        </w:tc>
        <w:tc>
          <w:tcPr>
            <w:tcW w:w="1858" w:type="dxa"/>
          </w:tcPr>
          <w:p>
            <w:pPr>
              <w:jc w:val="center"/>
              <w:rPr>
                <w:rFonts w:ascii="Times New Roman" w:hAnsi="Times New Roman" w:cs="Times New Roman"/>
                <w:b/>
                <w:noProof/>
                <w:sz w:val="24"/>
                <w:szCs w:val="24"/>
              </w:rPr>
            </w:pPr>
            <w:r>
              <w:rPr>
                <w:rFonts w:ascii="Times New Roman" w:hAnsi="Times New Roman"/>
                <w:b/>
                <w:noProof/>
                <w:sz w:val="24"/>
              </w:rPr>
              <w:t>x</w:t>
            </w:r>
          </w:p>
        </w:tc>
        <w:tc>
          <w:tcPr>
            <w:tcW w:w="1858" w:type="dxa"/>
          </w:tcPr>
          <w:p>
            <w:pPr>
              <w:jc w:val="center"/>
              <w:rPr>
                <w:rFonts w:ascii="Times New Roman" w:hAnsi="Times New Roman" w:cs="Times New Roman"/>
                <w:b/>
                <w:noProof/>
                <w:sz w:val="24"/>
                <w:szCs w:val="24"/>
              </w:rPr>
            </w:pPr>
            <w:r>
              <w:rPr>
                <w:rFonts w:ascii="Times New Roman" w:hAnsi="Times New Roman"/>
                <w:b/>
                <w:noProof/>
                <w:sz w:val="24"/>
              </w:rPr>
              <w:t>xx</w:t>
            </w:r>
          </w:p>
        </w:tc>
        <w:tc>
          <w:tcPr>
            <w:tcW w:w="1858" w:type="dxa"/>
          </w:tcPr>
          <w:p>
            <w:pPr>
              <w:jc w:val="center"/>
              <w:rPr>
                <w:rFonts w:ascii="Times New Roman" w:hAnsi="Times New Roman" w:cs="Times New Roman"/>
                <w:b/>
                <w:noProof/>
                <w:sz w:val="24"/>
                <w:szCs w:val="24"/>
              </w:rPr>
            </w:pPr>
            <w:r>
              <w:rPr>
                <w:rFonts w:ascii="Times New Roman" w:hAnsi="Times New Roman"/>
                <w:b/>
                <w:noProof/>
                <w:sz w:val="24"/>
              </w:rPr>
              <w:t>xxx</w:t>
            </w:r>
          </w:p>
        </w:tc>
      </w:tr>
      <w:tr>
        <w:trPr>
          <w:jc w:val="center"/>
        </w:trPr>
        <w:tc>
          <w:tcPr>
            <w:tcW w:w="3714" w:type="dxa"/>
          </w:tcPr>
          <w:p>
            <w:pPr>
              <w:jc w:val="both"/>
              <w:rPr>
                <w:rFonts w:ascii="Times New Roman" w:hAnsi="Times New Roman" w:cs="Times New Roman"/>
                <w:noProof/>
                <w:sz w:val="24"/>
                <w:szCs w:val="24"/>
              </w:rPr>
            </w:pPr>
            <w:r>
              <w:rPr>
                <w:rFonts w:ascii="Times New Roman" w:hAnsi="Times New Roman"/>
                <w:noProof/>
                <w:sz w:val="24"/>
              </w:rPr>
              <w:t>Изисквания за предлагане на пазара</w:t>
            </w: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r>
              <w:rPr>
                <w:rFonts w:ascii="Times New Roman" w:hAnsi="Times New Roman"/>
                <w:noProof/>
                <w:sz w:val="24"/>
              </w:rPr>
              <w:t>xxx</w:t>
            </w:r>
          </w:p>
        </w:tc>
      </w:tr>
      <w:tr>
        <w:trPr>
          <w:jc w:val="center"/>
        </w:trPr>
        <w:tc>
          <w:tcPr>
            <w:tcW w:w="3714" w:type="dxa"/>
          </w:tcPr>
          <w:p>
            <w:pPr>
              <w:jc w:val="both"/>
              <w:rPr>
                <w:rFonts w:ascii="Times New Roman" w:hAnsi="Times New Roman" w:cs="Times New Roman"/>
                <w:noProof/>
                <w:sz w:val="24"/>
                <w:szCs w:val="24"/>
              </w:rPr>
            </w:pPr>
            <w:r>
              <w:rPr>
                <w:rFonts w:ascii="Times New Roman" w:hAnsi="Times New Roman"/>
                <w:noProof/>
                <w:sz w:val="24"/>
              </w:rPr>
              <w:t>Административни условия</w:t>
            </w: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r>
              <w:rPr>
                <w:rFonts w:ascii="Times New Roman" w:hAnsi="Times New Roman"/>
                <w:noProof/>
                <w:sz w:val="24"/>
              </w:rPr>
              <w:t>xx</w:t>
            </w:r>
          </w:p>
        </w:tc>
        <w:tc>
          <w:tcPr>
            <w:tcW w:w="1858" w:type="dxa"/>
          </w:tcPr>
          <w:p>
            <w:pPr>
              <w:jc w:val="center"/>
              <w:rPr>
                <w:rFonts w:ascii="Times New Roman" w:hAnsi="Times New Roman" w:cs="Times New Roman"/>
                <w:noProof/>
                <w:sz w:val="24"/>
                <w:szCs w:val="24"/>
              </w:rPr>
            </w:pPr>
          </w:p>
        </w:tc>
      </w:tr>
      <w:tr>
        <w:trPr>
          <w:jc w:val="center"/>
        </w:trPr>
        <w:tc>
          <w:tcPr>
            <w:tcW w:w="3714" w:type="dxa"/>
          </w:tcPr>
          <w:p>
            <w:pPr>
              <w:jc w:val="both"/>
              <w:rPr>
                <w:rFonts w:ascii="Times New Roman" w:hAnsi="Times New Roman" w:cs="Times New Roman"/>
                <w:noProof/>
                <w:sz w:val="24"/>
                <w:szCs w:val="24"/>
              </w:rPr>
            </w:pPr>
            <w:r>
              <w:rPr>
                <w:rFonts w:ascii="Times New Roman" w:hAnsi="Times New Roman"/>
                <w:noProof/>
                <w:sz w:val="24"/>
              </w:rPr>
              <w:t>Регулаторни такси за трансгранично предлагане</w:t>
            </w:r>
          </w:p>
        </w:tc>
        <w:tc>
          <w:tcPr>
            <w:tcW w:w="1858" w:type="dxa"/>
          </w:tcPr>
          <w:p>
            <w:pPr>
              <w:jc w:val="center"/>
              <w:rPr>
                <w:rFonts w:ascii="Times New Roman" w:hAnsi="Times New Roman" w:cs="Times New Roman"/>
                <w:noProof/>
                <w:sz w:val="24"/>
                <w:szCs w:val="24"/>
              </w:rPr>
            </w:pPr>
            <w:r>
              <w:rPr>
                <w:rFonts w:ascii="Times New Roman" w:hAnsi="Times New Roman"/>
                <w:noProof/>
                <w:sz w:val="24"/>
              </w:rPr>
              <w:t>x</w:t>
            </w: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p>
        </w:tc>
      </w:tr>
      <w:tr>
        <w:trPr>
          <w:jc w:val="center"/>
        </w:trPr>
        <w:tc>
          <w:tcPr>
            <w:tcW w:w="3714" w:type="dxa"/>
          </w:tcPr>
          <w:p>
            <w:pPr>
              <w:jc w:val="both"/>
              <w:rPr>
                <w:rFonts w:ascii="Times New Roman" w:hAnsi="Times New Roman" w:cs="Times New Roman"/>
                <w:noProof/>
                <w:sz w:val="24"/>
                <w:szCs w:val="24"/>
              </w:rPr>
            </w:pPr>
            <w:r>
              <w:rPr>
                <w:rFonts w:ascii="Times New Roman" w:hAnsi="Times New Roman"/>
                <w:noProof/>
                <w:sz w:val="24"/>
              </w:rPr>
              <w:t>Различни подходи към колективното финансиране</w:t>
            </w: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r>
              <w:rPr>
                <w:rFonts w:ascii="Times New Roman" w:hAnsi="Times New Roman"/>
                <w:noProof/>
                <w:sz w:val="24"/>
              </w:rPr>
              <w:t>xx</w:t>
            </w:r>
          </w:p>
        </w:tc>
        <w:tc>
          <w:tcPr>
            <w:tcW w:w="1858" w:type="dxa"/>
          </w:tcPr>
          <w:p>
            <w:pPr>
              <w:jc w:val="center"/>
              <w:rPr>
                <w:rFonts w:ascii="Times New Roman" w:hAnsi="Times New Roman" w:cs="Times New Roman"/>
                <w:noProof/>
                <w:sz w:val="24"/>
                <w:szCs w:val="24"/>
              </w:rPr>
            </w:pPr>
          </w:p>
        </w:tc>
      </w:tr>
      <w:tr>
        <w:trPr>
          <w:jc w:val="center"/>
        </w:trPr>
        <w:tc>
          <w:tcPr>
            <w:tcW w:w="3714" w:type="dxa"/>
          </w:tcPr>
          <w:p>
            <w:pPr>
              <w:jc w:val="both"/>
              <w:rPr>
                <w:rFonts w:ascii="Times New Roman" w:hAnsi="Times New Roman" w:cs="Times New Roman"/>
                <w:noProof/>
                <w:sz w:val="24"/>
                <w:szCs w:val="24"/>
              </w:rPr>
            </w:pPr>
            <w:r>
              <w:rPr>
                <w:rFonts w:ascii="Times New Roman" w:hAnsi="Times New Roman"/>
                <w:noProof/>
                <w:sz w:val="24"/>
              </w:rPr>
              <w:t>Изисквания за пребиваване</w:t>
            </w: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r>
              <w:rPr>
                <w:rFonts w:ascii="Times New Roman" w:hAnsi="Times New Roman"/>
                <w:noProof/>
                <w:sz w:val="24"/>
              </w:rPr>
              <w:t>xxx</w:t>
            </w:r>
          </w:p>
        </w:tc>
      </w:tr>
      <w:tr>
        <w:trPr>
          <w:jc w:val="center"/>
        </w:trPr>
        <w:tc>
          <w:tcPr>
            <w:tcW w:w="3714" w:type="dxa"/>
          </w:tcPr>
          <w:p>
            <w:pPr>
              <w:jc w:val="both"/>
              <w:rPr>
                <w:rFonts w:ascii="Times New Roman" w:hAnsi="Times New Roman" w:cs="Times New Roman"/>
                <w:noProof/>
                <w:sz w:val="24"/>
                <w:szCs w:val="24"/>
              </w:rPr>
            </w:pPr>
            <w:r>
              <w:rPr>
                <w:rFonts w:ascii="Times New Roman" w:hAnsi="Times New Roman"/>
                <w:noProof/>
                <w:sz w:val="24"/>
              </w:rPr>
              <w:t>Недостатъчнa финансова грамотност</w:t>
            </w: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r>
              <w:rPr>
                <w:rFonts w:ascii="Times New Roman" w:hAnsi="Times New Roman"/>
                <w:noProof/>
                <w:sz w:val="24"/>
              </w:rPr>
              <w:t>xx</w:t>
            </w:r>
          </w:p>
        </w:tc>
        <w:tc>
          <w:tcPr>
            <w:tcW w:w="1858" w:type="dxa"/>
          </w:tcPr>
          <w:p>
            <w:pPr>
              <w:jc w:val="center"/>
              <w:rPr>
                <w:rFonts w:ascii="Times New Roman" w:hAnsi="Times New Roman" w:cs="Times New Roman"/>
                <w:noProof/>
                <w:sz w:val="24"/>
                <w:szCs w:val="24"/>
              </w:rPr>
            </w:pPr>
          </w:p>
        </w:tc>
      </w:tr>
      <w:tr>
        <w:trPr>
          <w:jc w:val="center"/>
        </w:trPr>
        <w:tc>
          <w:tcPr>
            <w:tcW w:w="3714" w:type="dxa"/>
          </w:tcPr>
          <w:p>
            <w:pPr>
              <w:jc w:val="both"/>
              <w:rPr>
                <w:rFonts w:ascii="Times New Roman" w:hAnsi="Times New Roman" w:cs="Times New Roman"/>
                <w:noProof/>
                <w:sz w:val="24"/>
                <w:szCs w:val="24"/>
              </w:rPr>
            </w:pPr>
            <w:r>
              <w:rPr>
                <w:rFonts w:ascii="Times New Roman" w:hAnsi="Times New Roman"/>
                <w:noProof/>
                <w:sz w:val="24"/>
              </w:rPr>
              <w:t>Различия в уреждането на несъстоятелността</w:t>
            </w: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r>
              <w:rPr>
                <w:rFonts w:ascii="Times New Roman" w:hAnsi="Times New Roman"/>
                <w:noProof/>
                <w:sz w:val="24"/>
              </w:rPr>
              <w:t>xxx</w:t>
            </w:r>
          </w:p>
        </w:tc>
      </w:tr>
      <w:tr>
        <w:trPr>
          <w:jc w:val="center"/>
        </w:trPr>
        <w:tc>
          <w:tcPr>
            <w:tcW w:w="3714" w:type="dxa"/>
          </w:tcPr>
          <w:p>
            <w:pPr>
              <w:jc w:val="both"/>
              <w:rPr>
                <w:rFonts w:ascii="Times New Roman" w:hAnsi="Times New Roman" w:cs="Times New Roman"/>
                <w:noProof/>
                <w:sz w:val="24"/>
                <w:szCs w:val="24"/>
              </w:rPr>
            </w:pPr>
            <w:r>
              <w:rPr>
                <w:rFonts w:ascii="Times New Roman" w:hAnsi="Times New Roman"/>
                <w:noProof/>
                <w:sz w:val="24"/>
              </w:rPr>
              <w:t>Процедури за възстановяване на данъка, удържан при източника</w:t>
            </w: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p>
        </w:tc>
        <w:tc>
          <w:tcPr>
            <w:tcW w:w="1858" w:type="dxa"/>
          </w:tcPr>
          <w:p>
            <w:pPr>
              <w:jc w:val="center"/>
              <w:rPr>
                <w:rFonts w:ascii="Times New Roman" w:hAnsi="Times New Roman" w:cs="Times New Roman"/>
                <w:noProof/>
                <w:sz w:val="24"/>
                <w:szCs w:val="24"/>
              </w:rPr>
            </w:pPr>
            <w:r>
              <w:rPr>
                <w:rFonts w:ascii="Times New Roman" w:hAnsi="Times New Roman"/>
                <w:noProof/>
                <w:sz w:val="24"/>
              </w:rPr>
              <w:t>xxx</w:t>
            </w:r>
          </w:p>
        </w:tc>
      </w:tr>
    </w:tbl>
    <w:p>
      <w:pPr>
        <w:spacing w:line="240" w:lineRule="auto"/>
        <w:jc w:val="both"/>
        <w:rPr>
          <w:rFonts w:ascii="Times New Roman" w:hAnsi="Times New Roman" w:cs="Times New Roman"/>
          <w:noProof/>
          <w:sz w:val="24"/>
          <w:szCs w:val="24"/>
        </w:rPr>
      </w:pPr>
    </w:p>
    <w:p>
      <w:pPr>
        <w:spacing w:line="240" w:lineRule="auto"/>
        <w:jc w:val="both"/>
        <w:rPr>
          <w:rFonts w:ascii="Times New Roman" w:hAnsi="Times New Roman" w:cs="Times New Roman"/>
          <w:noProof/>
          <w:sz w:val="24"/>
          <w:szCs w:val="24"/>
        </w:rPr>
      </w:pPr>
      <w:r>
        <w:rPr>
          <w:rFonts w:ascii="Times New Roman" w:hAnsi="Times New Roman"/>
          <w:noProof/>
          <w:sz w:val="24"/>
        </w:rPr>
        <w:t>С оглед на ангажимента си да ускори реформите с цел създаване на СКП, Комисията приканва държавите членки да обсъдят и постигнат съгласие по долупосочените действия, което следва да стане съвместна (Комисията/държавите членки) пътна карта за националните пречки пред капиталовите потоци.</w:t>
      </w:r>
    </w:p>
    <w:p>
      <w:pPr>
        <w:spacing w:line="240" w:lineRule="auto"/>
        <w:jc w:val="both"/>
        <w:rPr>
          <w:rFonts w:ascii="Times New Roman" w:hAnsi="Times New Roman" w:cs="Times New Roman"/>
          <w:noProof/>
          <w:sz w:val="24"/>
          <w:szCs w:val="24"/>
        </w:rPr>
      </w:pPr>
      <w:r>
        <w:rPr>
          <w:rFonts w:ascii="Times New Roman" w:hAnsi="Times New Roman"/>
          <w:noProof/>
          <w:sz w:val="24"/>
        </w:rPr>
        <w:t>Този процес не възпрепятства Комисията да обмисля възможни законодателни предложения или други инструменти за преодоляване на установените пречки.</w:t>
      </w:r>
    </w:p>
    <w:p>
      <w:pPr>
        <w:spacing w:line="240" w:lineRule="auto"/>
        <w:jc w:val="both"/>
        <w:rPr>
          <w:rFonts w:ascii="Times New Roman" w:hAnsi="Times New Roman" w:cs="Times New Roman"/>
          <w:noProof/>
          <w:sz w:val="24"/>
          <w:szCs w:val="24"/>
        </w:rPr>
      </w:pPr>
      <w:r>
        <w:rPr>
          <w:rFonts w:ascii="Times New Roman" w:hAnsi="Times New Roman"/>
          <w:noProof/>
          <w:sz w:val="24"/>
        </w:rPr>
        <w:t>В контекста на съюза на капиталовите пазари, Комисията възнамерява да продължи да провежда консултации с всички категории заинтересовани страни, включително заинтересованите страни от сектора и институционалните заинтересовани страни (като Европейската инвестиционна банка и Европейския инвестиционен фонд), за да събере колкото е възможно повече информирани становища относно съществуващите пречки и възможни решения. Средносрочният преглед на СКП също ще даде своя принос в това отношение.</w:t>
      </w:r>
    </w:p>
    <w:p>
      <w:pPr>
        <w:spacing w:line="240" w:lineRule="auto"/>
        <w:jc w:val="both"/>
        <w:rPr>
          <w:rFonts w:ascii="Times New Roman" w:hAnsi="Times New Roman" w:cs="Times New Roman"/>
          <w:noProof/>
          <w:sz w:val="24"/>
          <w:szCs w:val="24"/>
        </w:rPr>
      </w:pPr>
      <w:r>
        <w:rPr>
          <w:rFonts w:ascii="Times New Roman" w:hAnsi="Times New Roman"/>
          <w:noProof/>
          <w:sz w:val="24"/>
        </w:rPr>
        <w:t>Комисията, в сътрудничество с държавите членки, ще оцени въздействието на действията, договорени в Пътната карта относно трансграничните инвестиции, в контекста на напредъка към изграждането на СКП. Резултатът от тази оценка ще се вземе предвид при преценяването на необходимостта от по-нататъшни действия. Комисията не счита, че долупосоченият списък с действия е изчерпателен и приканва държавите членки от експертната група да набележат други пречки, които засягат СКП. Възможни теми са националните изисквания за докладване, наложени като допълнение към съществуващото законодателство на ЕС; пречки пред предлагането онлайн на инвестиционни фондове; пречки, пред които са изправени по-малките институционални инвеститори, които не са допустими за паспорт по ДПФИ; или пречки, свързани с предлагането на финансови продукти на индивидуални инвеститори.</w:t>
      </w:r>
    </w:p>
    <w:p>
      <w:pPr>
        <w:spacing w:line="240" w:lineRule="auto"/>
        <w:jc w:val="center"/>
        <w:rPr>
          <w:rFonts w:ascii="Times New Roman" w:hAnsi="Times New Roman" w:cs="Times New Roman"/>
          <w:b/>
          <w:noProof/>
          <w:sz w:val="24"/>
          <w:szCs w:val="24"/>
        </w:rPr>
      </w:pPr>
      <w:r>
        <w:rPr>
          <w:noProof/>
        </w:rPr>
        <w:br w:type="page"/>
      </w:r>
      <w:r>
        <w:rPr>
          <w:rFonts w:ascii="Times New Roman" w:hAnsi="Times New Roman"/>
          <w:b/>
          <w:noProof/>
          <w:sz w:val="24"/>
        </w:rPr>
        <w:t>Пътна карта на предложените действия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3865"/>
        <w:gridCol w:w="1991"/>
        <w:gridCol w:w="1425"/>
      </w:tblGrid>
      <w:tr>
        <w:tc>
          <w:tcPr>
            <w:tcW w:w="0" w:type="auto"/>
            <w:shd w:val="clear" w:color="auto" w:fill="DBE5F1" w:themeFill="accent1" w:themeFillTint="33"/>
            <w:vAlign w:val="center"/>
          </w:tcPr>
          <w:p>
            <w:pPr>
              <w:spacing w:after="0" w:line="240" w:lineRule="auto"/>
              <w:jc w:val="both"/>
              <w:rPr>
                <w:rFonts w:ascii="Times New Roman" w:eastAsia="Calibri" w:hAnsi="Times New Roman" w:cs="Times New Roman"/>
                <w:noProof/>
              </w:rPr>
            </w:pPr>
            <w:r>
              <w:rPr>
                <w:rFonts w:ascii="Times New Roman" w:hAnsi="Times New Roman"/>
                <w:noProof/>
              </w:rPr>
              <w:t>Тема</w:t>
            </w:r>
          </w:p>
        </w:tc>
        <w:tc>
          <w:tcPr>
            <w:tcW w:w="0" w:type="auto"/>
            <w:shd w:val="clear" w:color="auto" w:fill="DBE5F1" w:themeFill="accent1" w:themeFillTint="33"/>
            <w:vAlign w:val="center"/>
          </w:tcPr>
          <w:p>
            <w:pPr>
              <w:spacing w:after="0" w:line="240" w:lineRule="auto"/>
              <w:jc w:val="both"/>
              <w:rPr>
                <w:rFonts w:ascii="Times New Roman" w:eastAsia="Calibri" w:hAnsi="Times New Roman" w:cs="Times New Roman"/>
                <w:noProof/>
              </w:rPr>
            </w:pPr>
            <w:r>
              <w:rPr>
                <w:rFonts w:ascii="Times New Roman" w:hAnsi="Times New Roman"/>
                <w:noProof/>
              </w:rPr>
              <w:t>Действие</w:t>
            </w:r>
          </w:p>
        </w:tc>
        <w:tc>
          <w:tcPr>
            <w:tcW w:w="0" w:type="auto"/>
            <w:shd w:val="clear" w:color="auto" w:fill="DBE5F1" w:themeFill="accent1" w:themeFillTint="33"/>
            <w:vAlign w:val="center"/>
          </w:tcPr>
          <w:p>
            <w:pPr>
              <w:spacing w:after="0" w:line="240" w:lineRule="auto"/>
              <w:jc w:val="both"/>
              <w:rPr>
                <w:rFonts w:ascii="Times New Roman" w:eastAsia="Calibri" w:hAnsi="Times New Roman" w:cs="Times New Roman"/>
                <w:noProof/>
              </w:rPr>
            </w:pPr>
            <w:r>
              <w:rPr>
                <w:rFonts w:ascii="Times New Roman" w:hAnsi="Times New Roman"/>
                <w:noProof/>
              </w:rPr>
              <w:t>Изпълнител</w:t>
            </w:r>
          </w:p>
        </w:tc>
        <w:tc>
          <w:tcPr>
            <w:tcW w:w="0" w:type="auto"/>
            <w:shd w:val="clear" w:color="auto" w:fill="DBE5F1" w:themeFill="accent1" w:themeFillTint="33"/>
            <w:vAlign w:val="center"/>
          </w:tcPr>
          <w:p>
            <w:pPr>
              <w:spacing w:after="0" w:line="240" w:lineRule="auto"/>
              <w:jc w:val="both"/>
              <w:rPr>
                <w:rFonts w:ascii="Times New Roman" w:eastAsia="Calibri" w:hAnsi="Times New Roman" w:cs="Times New Roman"/>
                <w:noProof/>
              </w:rPr>
            </w:pPr>
            <w:r>
              <w:rPr>
                <w:rFonts w:ascii="Times New Roman" w:hAnsi="Times New Roman"/>
                <w:noProof/>
              </w:rPr>
              <w:t>График</w:t>
            </w:r>
          </w:p>
        </w:tc>
      </w:tr>
      <w:tr>
        <w:trPr>
          <w:trHeight w:val="758"/>
        </w:trPr>
        <w:tc>
          <w:tcPr>
            <w:tcW w:w="0" w:type="auto"/>
            <w:vMerge w:val="restart"/>
            <w:vAlign w:val="center"/>
          </w:tcPr>
          <w:p>
            <w:pPr>
              <w:spacing w:after="0" w:line="240" w:lineRule="auto"/>
              <w:jc w:val="both"/>
              <w:rPr>
                <w:rFonts w:ascii="Times New Roman" w:eastAsia="Calibri" w:hAnsi="Times New Roman" w:cs="Times New Roman"/>
                <w:noProof/>
              </w:rPr>
            </w:pPr>
            <w:r>
              <w:rPr>
                <w:rFonts w:ascii="Times New Roman" w:hAnsi="Times New Roman"/>
                <w:noProof/>
              </w:rPr>
              <w:t>Инвестиционни фондове</w:t>
            </w:r>
          </w:p>
        </w:tc>
        <w:tc>
          <w:tcPr>
            <w:tcW w:w="0" w:type="auto"/>
            <w:vAlign w:val="center"/>
          </w:tcPr>
          <w:p>
            <w:pPr>
              <w:rPr>
                <w:rFonts w:ascii="Times New Roman" w:eastAsia="Calibri" w:hAnsi="Times New Roman" w:cs="Times New Roman"/>
                <w:noProof/>
              </w:rPr>
            </w:pPr>
            <w:r>
              <w:rPr>
                <w:rFonts w:ascii="Times New Roman" w:hAnsi="Times New Roman"/>
                <w:noProof/>
              </w:rPr>
              <w:t>Да продължи преразглеждането на националните норми с оглед насърчаване на общото разбиране и нормативното сближаване при предпазарното предлагане и проявяването на инвеститорски интерес</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Държавите членки (ДЧ)</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Четвърто тримесечие 2017 г.</w:t>
            </w:r>
          </w:p>
        </w:tc>
      </w:tr>
      <w:tr>
        <w:trPr>
          <w:trHeight w:val="1272"/>
        </w:trPr>
        <w:tc>
          <w:tcPr>
            <w:tcW w:w="0" w:type="auto"/>
            <w:vMerge/>
            <w:vAlign w:val="center"/>
          </w:tcPr>
          <w:p>
            <w:pPr>
              <w:spacing w:after="0" w:line="240" w:lineRule="auto"/>
              <w:jc w:val="both"/>
              <w:rPr>
                <w:rFonts w:ascii="Times New Roman" w:eastAsia="Calibri" w:hAnsi="Times New Roman" w:cs="Times New Roman"/>
                <w:noProof/>
              </w:rPr>
            </w:pP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 xml:space="preserve">Допълнителни административни договорености относно пътната карта </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 xml:space="preserve">Експертна група (ЕГ) </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Четвърто тримесечие 2017 г.</w:t>
            </w:r>
          </w:p>
        </w:tc>
      </w:tr>
      <w:tr>
        <w:tc>
          <w:tcPr>
            <w:tcW w:w="0" w:type="auto"/>
            <w:vMerge/>
            <w:vAlign w:val="center"/>
          </w:tcPr>
          <w:p>
            <w:pPr>
              <w:spacing w:after="0" w:line="240" w:lineRule="auto"/>
              <w:jc w:val="both"/>
              <w:rPr>
                <w:rFonts w:ascii="Times New Roman" w:eastAsia="Calibri" w:hAnsi="Times New Roman" w:cs="Times New Roman"/>
                <w:noProof/>
              </w:rPr>
            </w:pP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Публикуване на всички такси за фондовете във връзка с уведомяването на един-единствен уебсайт по изчерпателен и лесен за ползване начин</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ДЧ</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Четвърто тримесечие 2017 г.</w:t>
            </w:r>
          </w:p>
        </w:tc>
      </w:tr>
      <w:tr>
        <w:tc>
          <w:tcPr>
            <w:tcW w:w="0" w:type="auto"/>
            <w:vMerge/>
            <w:vAlign w:val="center"/>
          </w:tcPr>
          <w:p>
            <w:pPr>
              <w:spacing w:after="0" w:line="240" w:lineRule="auto"/>
              <w:jc w:val="both"/>
              <w:rPr>
                <w:rFonts w:ascii="Times New Roman" w:eastAsia="Calibri" w:hAnsi="Times New Roman" w:cs="Times New Roman"/>
                <w:noProof/>
              </w:rPr>
            </w:pP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Проучване на създаването на единна база данни за таксите със свободен достъп, под формата на сравнителен уебсайт или централна база данни</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ЕГ с ЕОЦКП</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Четвърто тримесечие 2017 г.</w:t>
            </w:r>
          </w:p>
        </w:tc>
      </w:tr>
      <w:tr>
        <w:trPr>
          <w:trHeight w:val="1396"/>
        </w:trPr>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Пенсионни фондове</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Установяване на движещите фактори за трансграничните инвестиции, насърчаване на най-добрите практики в ДЧ и повишаване на осведомеността за новите възможности по линия на Плана за инвестиции за Европа с участието на национални насърчителни банки</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ЕГ с участието на сектора на пенсионните фондове</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Трето тримесечие 2017 г.</w:t>
            </w:r>
          </w:p>
        </w:tc>
      </w:tr>
      <w:tr>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Изисквания за местопребиваване</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Премахване на неоправданите и непропорционални изисквания за местопребиваване от нормативните и административните практики по отношение на управителите, които пребивават в ЕС</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 xml:space="preserve">ДЧ </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Четвърто тримесечие 2017 г.</w:t>
            </w:r>
          </w:p>
        </w:tc>
      </w:tr>
      <w:tr>
        <w:trPr>
          <w:trHeight w:val="769"/>
        </w:trPr>
        <w:tc>
          <w:tcPr>
            <w:tcW w:w="0" w:type="auto"/>
            <w:vMerge w:val="restart"/>
            <w:vAlign w:val="center"/>
          </w:tcPr>
          <w:p>
            <w:pPr>
              <w:spacing w:after="0" w:line="240" w:lineRule="auto"/>
              <w:jc w:val="both"/>
              <w:rPr>
                <w:rFonts w:ascii="Times New Roman" w:eastAsia="Calibri" w:hAnsi="Times New Roman" w:cs="Times New Roman"/>
                <w:noProof/>
              </w:rPr>
            </w:pPr>
            <w:r>
              <w:rPr>
                <w:rFonts w:ascii="Times New Roman" w:hAnsi="Times New Roman"/>
                <w:noProof/>
              </w:rPr>
              <w:t>Финансова грамотност</w:t>
            </w:r>
          </w:p>
        </w:tc>
        <w:tc>
          <w:tcPr>
            <w:tcW w:w="0" w:type="auto"/>
            <w:vAlign w:val="center"/>
          </w:tcPr>
          <w:p>
            <w:pPr>
              <w:spacing w:line="240" w:lineRule="auto"/>
              <w:jc w:val="both"/>
              <w:rPr>
                <w:rFonts w:ascii="Times New Roman" w:eastAsia="Calibri" w:hAnsi="Times New Roman" w:cs="Times New Roman"/>
                <w:noProof/>
              </w:rPr>
            </w:pPr>
            <w:r>
              <w:rPr>
                <w:rFonts w:ascii="Times New Roman" w:hAnsi="Times New Roman"/>
                <w:noProof/>
              </w:rPr>
              <w:t>Обмен на най-добрите практики при програмите за финансово ограмотяване, като се вземе предвид трансграничното измерение</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Подгрупа от заинтересовани ДЧ под егидата на Хърватия</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Второ тримесечие 2017 г.</w:t>
            </w:r>
          </w:p>
        </w:tc>
      </w:tr>
      <w:tr>
        <w:trPr>
          <w:trHeight w:val="1127"/>
        </w:trPr>
        <w:tc>
          <w:tcPr>
            <w:tcW w:w="0" w:type="auto"/>
            <w:vMerge/>
            <w:vAlign w:val="center"/>
          </w:tcPr>
          <w:p>
            <w:pPr>
              <w:spacing w:after="0" w:line="240" w:lineRule="auto"/>
              <w:jc w:val="both"/>
              <w:rPr>
                <w:rFonts w:ascii="Times New Roman" w:eastAsia="Calibri" w:hAnsi="Times New Roman" w:cs="Times New Roman"/>
                <w:noProof/>
              </w:rPr>
            </w:pPr>
          </w:p>
        </w:tc>
        <w:tc>
          <w:tcPr>
            <w:tcW w:w="0" w:type="auto"/>
            <w:vAlign w:val="center"/>
          </w:tcPr>
          <w:p>
            <w:pPr>
              <w:spacing w:line="240" w:lineRule="auto"/>
              <w:jc w:val="both"/>
              <w:rPr>
                <w:rFonts w:ascii="Times New Roman" w:eastAsia="Calibri" w:hAnsi="Times New Roman" w:cs="Times New Roman"/>
                <w:noProof/>
              </w:rPr>
            </w:pPr>
            <w:r>
              <w:rPr>
                <w:rFonts w:ascii="Times New Roman" w:hAnsi="Times New Roman"/>
                <w:noProof/>
              </w:rPr>
              <w:t>Подпомагане на евентуални инициативи във връзка със СКП за разработване на иновативни решения за задълбочаване на познанията на МСП и за подкрепа на достъпа на МСП до алтернативни източници на финансиране</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ЕГ</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2018 г.</w:t>
            </w:r>
          </w:p>
        </w:tc>
      </w:tr>
      <w:tr>
        <w:trPr>
          <w:trHeight w:val="761"/>
        </w:trPr>
        <w:tc>
          <w:tcPr>
            <w:tcW w:w="0" w:type="auto"/>
            <w:vMerge w:val="restart"/>
            <w:vAlign w:val="center"/>
          </w:tcPr>
          <w:p>
            <w:pPr>
              <w:spacing w:after="0" w:line="240" w:lineRule="auto"/>
              <w:jc w:val="both"/>
              <w:rPr>
                <w:rFonts w:ascii="Times New Roman" w:eastAsia="Calibri" w:hAnsi="Times New Roman" w:cs="Times New Roman"/>
                <w:noProof/>
              </w:rPr>
            </w:pPr>
            <w:r>
              <w:rPr>
                <w:rFonts w:ascii="Times New Roman" w:hAnsi="Times New Roman"/>
                <w:noProof/>
              </w:rPr>
              <w:t>Данък, удържан при източника</w:t>
            </w:r>
          </w:p>
        </w:tc>
        <w:tc>
          <w:tcPr>
            <w:tcW w:w="0" w:type="auto"/>
            <w:vAlign w:val="center"/>
          </w:tcPr>
          <w:p>
            <w:pPr>
              <w:spacing w:line="240" w:lineRule="auto"/>
              <w:jc w:val="both"/>
              <w:rPr>
                <w:rFonts w:ascii="Times New Roman" w:eastAsia="Calibri" w:hAnsi="Times New Roman" w:cs="Times New Roman"/>
                <w:noProof/>
              </w:rPr>
            </w:pPr>
            <w:r>
              <w:rPr>
                <w:rFonts w:ascii="Times New Roman" w:hAnsi="Times New Roman"/>
                <w:noProof/>
              </w:rPr>
              <w:t>Потвърждаване на значението на деветте най-добри практики при данъка, удържан при източника, и постигане на съгласие относно списък, евентуално отразен в таблица с показатели</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ДЧ</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Второ тримесечие 2017 г.</w:t>
            </w:r>
          </w:p>
        </w:tc>
      </w:tr>
      <w:tr>
        <w:trPr>
          <w:trHeight w:val="1099"/>
        </w:trPr>
        <w:tc>
          <w:tcPr>
            <w:tcW w:w="0" w:type="auto"/>
            <w:vMerge/>
            <w:vAlign w:val="center"/>
          </w:tcPr>
          <w:p>
            <w:pPr>
              <w:spacing w:after="0" w:line="240" w:lineRule="auto"/>
              <w:jc w:val="both"/>
              <w:rPr>
                <w:rFonts w:ascii="Times New Roman" w:eastAsia="Calibri" w:hAnsi="Times New Roman" w:cs="Times New Roman"/>
                <w:noProof/>
              </w:rPr>
            </w:pPr>
          </w:p>
        </w:tc>
        <w:tc>
          <w:tcPr>
            <w:tcW w:w="0" w:type="auto"/>
            <w:vAlign w:val="center"/>
          </w:tcPr>
          <w:p>
            <w:pPr>
              <w:spacing w:line="240" w:lineRule="auto"/>
              <w:jc w:val="both"/>
              <w:rPr>
                <w:rFonts w:ascii="Times New Roman" w:eastAsia="Calibri" w:hAnsi="Times New Roman" w:cs="Times New Roman"/>
                <w:noProof/>
              </w:rPr>
            </w:pPr>
            <w:r>
              <w:rPr>
                <w:rFonts w:ascii="Times New Roman" w:hAnsi="Times New Roman"/>
                <w:noProof/>
              </w:rPr>
              <w:t>Обсъждане на по-нататъшните действия в рамките на работна група в областта на данъчното облагане с цел всяка ДЧ да се ангажира със списък от най-добри практики, с които да подобри сегашното положение и които да въведе до 2019 г.</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Данъчни експерти на ДЧ</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Трето тримесечие 2017 г.</w:t>
            </w:r>
          </w:p>
        </w:tc>
      </w:tr>
      <w:tr>
        <w:trPr>
          <w:trHeight w:val="690"/>
        </w:trPr>
        <w:tc>
          <w:tcPr>
            <w:tcW w:w="0" w:type="auto"/>
            <w:vMerge/>
            <w:vAlign w:val="center"/>
          </w:tcPr>
          <w:p>
            <w:pPr>
              <w:spacing w:after="0" w:line="240" w:lineRule="auto"/>
              <w:jc w:val="both"/>
              <w:rPr>
                <w:rFonts w:ascii="Times New Roman" w:eastAsia="Calibri" w:hAnsi="Times New Roman" w:cs="Times New Roman"/>
                <w:noProof/>
              </w:rPr>
            </w:pPr>
          </w:p>
        </w:tc>
        <w:tc>
          <w:tcPr>
            <w:tcW w:w="0" w:type="auto"/>
            <w:vAlign w:val="center"/>
          </w:tcPr>
          <w:p>
            <w:pPr>
              <w:spacing w:line="240" w:lineRule="auto"/>
              <w:jc w:val="both"/>
              <w:rPr>
                <w:noProof/>
              </w:rPr>
            </w:pPr>
            <w:r>
              <w:rPr>
                <w:rFonts w:ascii="Times New Roman" w:hAnsi="Times New Roman"/>
                <w:noProof/>
              </w:rPr>
              <w:t>Работа с националните данъчни експерти по принципен кодекс за възстановяване на данъка, удържан при източника.</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Данъчни експерти на ДЧ</w:t>
            </w:r>
          </w:p>
        </w:tc>
        <w:tc>
          <w:tcPr>
            <w:tcW w:w="0" w:type="auto"/>
            <w:vAlign w:val="center"/>
          </w:tcPr>
          <w:p>
            <w:pPr>
              <w:spacing w:after="0" w:line="240" w:lineRule="auto"/>
              <w:jc w:val="both"/>
              <w:rPr>
                <w:rFonts w:ascii="Times New Roman" w:eastAsia="Calibri" w:hAnsi="Times New Roman" w:cs="Times New Roman"/>
                <w:noProof/>
              </w:rPr>
            </w:pPr>
            <w:r>
              <w:rPr>
                <w:rFonts w:ascii="Times New Roman" w:hAnsi="Times New Roman"/>
                <w:noProof/>
              </w:rPr>
              <w:t>Четвърто тримесечие 2017 г.</w:t>
            </w:r>
          </w:p>
        </w:tc>
      </w:tr>
    </w:tbl>
    <w:p>
      <w:pPr>
        <w:rPr>
          <w:noProof/>
        </w:rPr>
      </w:pPr>
    </w:p>
    <w:p>
      <w:pPr>
        <w:rPr>
          <w:noProof/>
        </w:rPr>
      </w:pP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708172"/>
      <w:docPartObj>
        <w:docPartGallery w:val="Page Numbers (Bottom of Page)"/>
        <w:docPartUnique/>
      </w:docPartObj>
    </w:sdtPr>
    <w:sdtEndPr>
      <w:rPr>
        <w:rFonts w:ascii="Times New Roman" w:hAnsi="Times New Roman" w:cs="Times New Roman"/>
        <w:sz w:val="20"/>
        <w:szCs w:val="20"/>
      </w:rPr>
    </w:sdtEndPr>
    <w:sdtContent>
      <w:p>
        <w:pPr>
          <w:pStyle w:val="Footer"/>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2</w:t>
        </w:r>
        <w:r>
          <w:rPr>
            <w:rFonts w:ascii="Times New Roman" w:hAnsi="Times New Roman" w:cs="Times New Roman"/>
            <w:sz w:val="20"/>
            <w:szCs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120"/>
        <w:ind w:left="284" w:hanging="284"/>
      </w:pPr>
      <w:r>
        <w:rPr>
          <w:rStyle w:val="FootnoteReference"/>
        </w:rPr>
        <w:footnoteRef/>
      </w:r>
      <w:r>
        <w:tab/>
        <w:t>СПСР е създадена през юли 2015 г. с цел да предоставя техническа подкрепа на държавите членки, по тяхно искане, при провеждането на стимулиращи растежа структурни реформи. Комисията предложи създаването на Програма за подкрепа на структурните реформи (ППСР) с цел засилване на общия капацитет на държавите членки за изготвяне и прилагане на институционалните, структурните и административните реформи, включително чрез предоставяне на техническа помощ на държавите членки за развитие на капиталовите пазари.</w:t>
      </w:r>
    </w:p>
  </w:footnote>
  <w:footnote w:id="2">
    <w:p>
      <w:pPr>
        <w:pStyle w:val="FootnoteText"/>
        <w:spacing w:after="120"/>
        <w:ind w:left="284" w:hanging="284"/>
      </w:pPr>
      <w:r>
        <w:rPr>
          <w:vertAlign w:val="superscript"/>
        </w:rPr>
        <w:footnoteRef/>
      </w:r>
      <w:r>
        <w:tab/>
        <w:t>По-специално, консултацията относно Зелената книга за СКП (</w:t>
      </w:r>
      <w:hyperlink r:id="rId1">
        <w:r>
          <w:rPr>
            <w:rStyle w:val="Hyperlink"/>
          </w:rPr>
          <w:t>http://ec.europa.eu/finance/consultations/2015/capital-markets-union/index_en.htm</w:t>
        </w:r>
      </w:hyperlink>
      <w:r>
        <w:t>), консултацията относно поканата за предоставяне на доказателства (</w:t>
      </w:r>
      <w:hyperlink r:id="rId2">
        <w:r>
          <w:rPr>
            <w:rStyle w:val="Hyperlink"/>
          </w:rPr>
          <w:t>http://ec.europa.eu/finance/consultations/2015/financial-regulatory-framework-review/index_en.htm</w:t>
        </w:r>
      </w:hyperlink>
      <w:r>
        <w:t>) и консултацията относно трансграничното предлагане на инвестиционни фондове (</w:t>
      </w:r>
      <w:hyperlink r:id="rId3">
        <w:r>
          <w:rPr>
            <w:rStyle w:val="Hyperlink"/>
          </w:rPr>
          <w:t>http://ec.europa.eu/finance/consultations/2016/cross-borders-investment-funds/index_en.htm</w:t>
        </w:r>
      </w:hyperlink>
      <w:r>
        <w:t>).</w:t>
      </w:r>
    </w:p>
  </w:footnote>
  <w:footnote w:id="3">
    <w:p>
      <w:pPr>
        <w:pStyle w:val="FootnoteText"/>
        <w:spacing w:after="120"/>
        <w:ind w:left="284" w:hanging="284"/>
      </w:pPr>
      <w:r>
        <w:rPr>
          <w:rStyle w:val="FootnoteReference"/>
        </w:rPr>
        <w:footnoteRef/>
      </w:r>
      <w:r>
        <w:tab/>
        <w:t xml:space="preserve">Директива 2011/61/ЕС на Европейския парламент и на Съвета от 8 юни 2011 г. относно лицата, управляващи алтернативни инвестиционни фондове и за изменение на директиви 2003/41/ЕО и 2009/65/ЕО и на регламенти (ЕО) № 1060/2009 и (ЕС) № 1095/2010, </w:t>
      </w:r>
      <w:r>
        <w:rPr>
          <w:rStyle w:val="st"/>
        </w:rPr>
        <w:t>ОВ L 171</w:t>
      </w:r>
      <w:r>
        <w:t xml:space="preserve">, </w:t>
      </w:r>
      <w:r>
        <w:rPr>
          <w:rStyle w:val="st"/>
        </w:rPr>
        <w:t>1.7.2011 г., стр. 1</w:t>
      </w:r>
      <w:r>
        <w:t>.</w:t>
      </w:r>
    </w:p>
  </w:footnote>
  <w:footnote w:id="4">
    <w:p>
      <w:pPr>
        <w:pStyle w:val="FootnoteText"/>
        <w:spacing w:after="120"/>
        <w:ind w:left="284" w:hanging="284"/>
      </w:pPr>
      <w:r>
        <w:rPr>
          <w:rStyle w:val="FootnoteReference"/>
        </w:rPr>
        <w:footnoteRef/>
      </w:r>
      <w:r>
        <w:tab/>
        <w:t>Директива 2009/65/ЕО на Европейския парламент и на Съвета от 13 юли 2009 г. относно координирането на законовите, подзаконовите и административните разпоредби относно предприятията за колективно инвестиране в прехвърлими ценни книжа (ПКИПЦК), ОВ L 302, 17.11.2009 г., стр. 32.</w:t>
      </w:r>
    </w:p>
  </w:footnote>
  <w:footnote w:id="5">
    <w:p>
      <w:pPr>
        <w:pStyle w:val="FootnoteText"/>
        <w:spacing w:after="120"/>
        <w:ind w:left="284" w:hanging="284"/>
      </w:pPr>
      <w:r>
        <w:rPr>
          <w:rStyle w:val="FootnoteReference"/>
        </w:rPr>
        <w:footnoteRef/>
      </w:r>
      <w:r>
        <w:tab/>
        <w:t>Обществената консултация приключи на 9 октомври 2016 г. (</w:t>
      </w:r>
      <w:hyperlink r:id="rId4">
        <w:r>
          <w:rPr>
            <w:rStyle w:val="Hyperlink"/>
          </w:rPr>
          <w:t>http://ec.europa.eu/finance/consultations/2016/cross-borders-investment-funds/index_en.htm</w:t>
        </w:r>
      </w:hyperlink>
      <w:r>
        <w:t>).</w:t>
      </w:r>
    </w:p>
  </w:footnote>
  <w:footnote w:id="6">
    <w:p>
      <w:pPr>
        <w:pStyle w:val="FootnoteText"/>
        <w:spacing w:after="120"/>
        <w:ind w:left="284" w:hanging="284"/>
      </w:pPr>
      <w:r>
        <w:rPr>
          <w:rStyle w:val="FootnoteReference"/>
        </w:rPr>
        <w:footnoteRef/>
      </w:r>
      <w:r>
        <w:tab/>
        <w:t>Проявяването на инвеститорски интерес е практика, която обхваща главно, но не само, АИФ и в частност професионалните инвеститори.</w:t>
      </w:r>
    </w:p>
  </w:footnote>
  <w:footnote w:id="7">
    <w:p>
      <w:pPr>
        <w:pStyle w:val="FootnoteText"/>
        <w:spacing w:after="120"/>
        <w:ind w:left="284" w:hanging="284"/>
      </w:pPr>
      <w:r>
        <w:rPr>
          <w:rStyle w:val="FootnoteReference"/>
        </w:rPr>
        <w:footnoteRef/>
      </w:r>
      <w:bookmarkStart w:id="3" w:name="maincontentSec1"/>
      <w:bookmarkStart w:id="4" w:name="160714"/>
      <w:bookmarkEnd w:id="3"/>
      <w:bookmarkEnd w:id="4"/>
      <w:r>
        <w:tab/>
        <w:t>Предложение за регламент за изменение на Регламент (ЕС) № 345/2013 относно европейските фондове за рисков капитал и Регламент (ЕС) № 346/2013 относно европейски фондове за социално предприемачество.</w:t>
      </w:r>
    </w:p>
  </w:footnote>
  <w:footnote w:id="8">
    <w:p>
      <w:pPr>
        <w:pStyle w:val="FootnoteText"/>
        <w:spacing w:after="120"/>
        <w:ind w:left="284" w:hanging="284"/>
      </w:pPr>
      <w:r>
        <w:rPr>
          <w:rStyle w:val="FootnoteReference"/>
        </w:rPr>
        <w:footnoteRef/>
      </w:r>
      <w:r>
        <w:tab/>
        <w:t>В съответствие с член 18 от Директива 2003/41/ЕО (ИППО) и член 132 от Директива 2009/138/ЕО (Платежоспособност II).</w:t>
      </w:r>
    </w:p>
  </w:footnote>
  <w:footnote w:id="9">
    <w:p>
      <w:pPr>
        <w:spacing w:after="120" w:line="240" w:lineRule="auto"/>
        <w:ind w:left="284" w:hanging="284"/>
        <w:jc w:val="both"/>
        <w:rPr>
          <w:rFonts w:ascii="Times New Roman" w:hAnsi="Times New Roman" w:cs="Times New Roman"/>
          <w:sz w:val="20"/>
          <w:szCs w:val="20"/>
        </w:rPr>
      </w:pPr>
      <w:r>
        <w:rPr>
          <w:rStyle w:val="FootnoteReference"/>
          <w:rFonts w:ascii="Times New Roman" w:hAnsi="Times New Roman"/>
          <w:sz w:val="20"/>
        </w:rPr>
        <w:footnoteRef/>
      </w:r>
      <w:r>
        <w:tab/>
      </w:r>
      <w:r>
        <w:rPr>
          <w:rFonts w:ascii="Times New Roman" w:hAnsi="Times New Roman"/>
          <w:sz w:val="20"/>
        </w:rPr>
        <w:t>Комисията започна проучване, за да установи потенциалното дискриминационно данъчно третиране на трансграничните инвестиции на пенсионните фондове и животозастрахователните дружества.</w:t>
      </w:r>
    </w:p>
  </w:footnote>
  <w:footnote w:id="10">
    <w:p>
      <w:pPr>
        <w:pStyle w:val="FootnoteText"/>
        <w:spacing w:after="120"/>
        <w:ind w:left="284" w:hanging="284"/>
      </w:pPr>
      <w:r>
        <w:rPr>
          <w:rStyle w:val="FootnoteReference"/>
        </w:rPr>
        <w:footnoteRef/>
      </w:r>
      <w:r>
        <w:tab/>
      </w:r>
      <w:hyperlink r:id="rId5">
        <w:r>
          <w:rPr>
            <w:rStyle w:val="Hyperlink"/>
          </w:rPr>
          <w:t>http://cipartners.dk/</w:t>
        </w:r>
      </w:hyperlink>
    </w:p>
  </w:footnote>
  <w:footnote w:id="11">
    <w:p>
      <w:pPr>
        <w:pStyle w:val="FootnoteText"/>
        <w:spacing w:after="120"/>
        <w:ind w:left="284" w:hanging="284"/>
      </w:pPr>
      <w:r>
        <w:rPr>
          <w:rStyle w:val="FootnoteReference"/>
        </w:rPr>
        <w:footnoteRef/>
      </w:r>
      <w:r>
        <w:tab/>
        <w:t xml:space="preserve">Например Европейски инвестиционен фонд — платформа за собствен капитал на националните насърчителни банки; </w:t>
      </w:r>
      <w:hyperlink r:id="rId6">
        <w:r>
          <w:rPr>
            <w:rStyle w:val="Hyperlink"/>
          </w:rPr>
          <w:t>http://www.eif.org/what_we_do/equity/NPI/index.htm</w:t>
        </w:r>
      </w:hyperlink>
    </w:p>
  </w:footnote>
  <w:footnote w:id="12">
    <w:p>
      <w:pPr>
        <w:pStyle w:val="FootnoteText"/>
        <w:spacing w:after="120"/>
        <w:ind w:left="284" w:hanging="284"/>
        <w:rPr>
          <w:lang w:val="hu-HU"/>
        </w:rPr>
      </w:pPr>
      <w:r>
        <w:rPr>
          <w:rStyle w:val="FootnoteReference"/>
        </w:rPr>
        <w:footnoteRef/>
      </w:r>
      <w:r>
        <w:tab/>
        <w:t>„Засилване на европейските инвестиции за създаване на заетост и растеж: към втора фаза на Европейския фонд за стратегически инвестиции и нов Европейски план за външни инвестиции“, COM(2016) 581 final (</w:t>
      </w:r>
      <w:hyperlink r:id="rId7">
        <w:r>
          <w:rPr>
            <w:rStyle w:val="Hyperlink"/>
          </w:rPr>
          <w:t>http://eur-lex.europa.eu/legal-content/BG/TXT/HTML/?uri=CELEX:52016DC0581&amp;from=bg</w:t>
        </w:r>
      </w:hyperlink>
      <w:r>
        <w:t xml:space="preserve">). </w:t>
      </w:r>
    </w:p>
  </w:footnote>
  <w:footnote w:id="13">
    <w:p>
      <w:pPr>
        <w:pStyle w:val="Default"/>
        <w:ind w:left="284" w:hanging="284"/>
        <w:jc w:val="both"/>
      </w:pPr>
      <w:r>
        <w:rPr>
          <w:rStyle w:val="FootnoteReference"/>
          <w:sz w:val="20"/>
        </w:rPr>
        <w:footnoteRef/>
      </w:r>
      <w:r>
        <w:tab/>
      </w:r>
      <w:r>
        <w:rPr>
          <w:i/>
          <w:sz w:val="20"/>
        </w:rPr>
        <w:t>Crowdfunding in the EU capital markets union</w:t>
      </w:r>
      <w:r>
        <w:t xml:space="preserve"> [„Колективното финансиране в съюза на капиталовите пазари на ЕС“]</w:t>
      </w:r>
      <w:r>
        <w:rPr>
          <w:sz w:val="20"/>
        </w:rPr>
        <w:t xml:space="preserve"> (SWD(2016) 154 final); </w:t>
      </w:r>
      <w:r>
        <w:t>(</w:t>
      </w:r>
      <w:hyperlink r:id="rId8">
        <w:r>
          <w:rPr>
            <w:rStyle w:val="Hyperlink"/>
            <w:sz w:val="20"/>
          </w:rPr>
          <w:t>http://ec.europa.eu/transparency/regdoc/rep/10102/2016/EN/10102-2016-154-EN-F1-1.PDF</w:t>
        </w:r>
      </w:hyperlink>
      <w:r>
        <w:t>).</w:t>
      </w:r>
    </w:p>
    <w:p>
      <w:pPr>
        <w:spacing w:after="120" w:line="240" w:lineRule="auto"/>
        <w:ind w:left="284"/>
        <w:jc w:val="both"/>
        <w:rPr>
          <w:rFonts w:ascii="Times New Roman" w:hAnsi="Times New Roman" w:cs="Times New Roman"/>
          <w:sz w:val="20"/>
          <w:szCs w:val="20"/>
        </w:rPr>
      </w:pPr>
      <w:r>
        <w:rPr>
          <w:rFonts w:ascii="Times New Roman" w:hAnsi="Times New Roman"/>
          <w:sz w:val="20"/>
        </w:rPr>
        <w:t xml:space="preserve">С цел подобряване на финансовата грамотност на МСП в областта на колективното финансиране и различните му форми Комисията разработи наръчник на ЕС, който се намира на следния електронен адрес: </w:t>
      </w:r>
      <w:hyperlink r:id="rId9">
        <w:r>
          <w:rPr>
            <w:rFonts w:ascii="Times New Roman" w:hAnsi="Times New Roman"/>
            <w:sz w:val="20"/>
          </w:rPr>
          <w:t>https://ec.europa.eu/growth/tools-databases/crowdfunding-guide_en</w:t>
        </w:r>
      </w:hyperlink>
      <w:r>
        <w:rPr>
          <w:rFonts w:ascii="Times New Roman" w:hAnsi="Times New Roman"/>
          <w:sz w:val="20"/>
        </w:rPr>
        <w:t xml:space="preserve">  </w:t>
      </w:r>
    </w:p>
  </w:footnote>
  <w:footnote w:id="14">
    <w:p>
      <w:pPr>
        <w:pStyle w:val="FootnoteText"/>
        <w:spacing w:after="120"/>
        <w:ind w:left="284" w:hanging="284"/>
      </w:pPr>
      <w:r>
        <w:rPr>
          <w:rStyle w:val="FootnoteReference"/>
        </w:rPr>
        <w:footnoteRef/>
      </w:r>
      <w:r>
        <w:tab/>
        <w:t xml:space="preserve">Например </w:t>
      </w:r>
      <w:r>
        <w:rPr>
          <w:i/>
        </w:rPr>
        <w:t xml:space="preserve">The European Alternative Finance Benchmarking Report </w:t>
      </w:r>
      <w:r>
        <w:t>[„Сравнителен доклад за европейските алтернативни източници на финансиране“], University of Cambridge, 2015 (</w:t>
      </w:r>
      <w:hyperlink r:id="rId10">
        <w:r>
          <w:rPr>
            <w:rStyle w:val="Hyperlink"/>
          </w:rPr>
          <w:t>http://www.jbs.cam.ac.uk/fileadmin/user_upload/research/centres/alternative-finance/downloads/2015-uk-alternative-finance-benchmarking-report.pdf</w:t>
        </w:r>
      </w:hyperlink>
      <w:r>
        <w:t xml:space="preserve">). </w:t>
      </w:r>
    </w:p>
  </w:footnote>
  <w:footnote w:id="15">
    <w:p>
      <w:pPr>
        <w:pStyle w:val="FootnoteText"/>
        <w:spacing w:after="120"/>
        <w:ind w:left="284" w:hanging="284"/>
      </w:pPr>
      <w:r>
        <w:rPr>
          <w:rStyle w:val="FootnoteReference"/>
        </w:rPr>
        <w:footnoteRef/>
      </w:r>
      <w:r>
        <w:tab/>
        <w:t xml:space="preserve">Вж. </w:t>
      </w:r>
      <w:r>
        <w:rPr>
          <w:i/>
        </w:rPr>
        <w:t>Financial education in Europe: trends and recent developments</w:t>
      </w:r>
      <w:r>
        <w:t xml:space="preserve">, [„Финансовото ограмотяване в Европа: тенденции и актуално състояние“] OECD Publishing, 2016, Paris, </w:t>
      </w:r>
      <w:r>
        <w:br/>
        <w:t>(</w:t>
      </w:r>
      <w:hyperlink r:id="rId11">
        <w:r>
          <w:rPr>
            <w:rStyle w:val="Hyperlink"/>
          </w:rPr>
          <w:t>http://dx.doi.org/10.1787/9789264254855-en</w:t>
        </w:r>
      </w:hyperlink>
      <w:r>
        <w:t>).</w:t>
      </w:r>
    </w:p>
  </w:footnote>
  <w:footnote w:id="16">
    <w:p>
      <w:pPr>
        <w:pStyle w:val="FootnoteText"/>
        <w:spacing w:after="120"/>
        <w:ind w:left="284" w:hanging="284"/>
      </w:pPr>
      <w:r>
        <w:rPr>
          <w:rStyle w:val="FootnoteReference"/>
        </w:rPr>
        <w:footnoteRef/>
      </w:r>
      <w:r>
        <w:tab/>
        <w:t xml:space="preserve">Вж. 2014-2020 Programme for the </w:t>
      </w:r>
      <w:hyperlink r:id="rId12">
        <w:r>
          <w:rPr>
            <w:rStyle w:val="Hyperlink"/>
          </w:rPr>
          <w:t>Competitiveness of Enterprises and SMEs (COSME)</w:t>
        </w:r>
      </w:hyperlink>
      <w:r>
        <w:rPr>
          <w:rStyle w:val="Hyperlink"/>
        </w:rPr>
        <w:t>.</w:t>
      </w:r>
      <w:r>
        <w:t xml:space="preserve"> [„Програма 2014—2020 г.  за конкурентоспособност на предприятията и МСП (COSME)“]</w:t>
      </w:r>
    </w:p>
  </w:footnote>
  <w:footnote w:id="17">
    <w:p>
      <w:pPr>
        <w:pStyle w:val="FootnoteText"/>
        <w:spacing w:after="120"/>
        <w:ind w:left="284" w:hanging="284"/>
      </w:pPr>
      <w:r>
        <w:rPr>
          <w:rStyle w:val="FootnoteReference"/>
        </w:rPr>
        <w:footnoteRef/>
      </w:r>
      <w:r>
        <w:tab/>
        <w:t xml:space="preserve">Проучване на Евробарометър (2012), </w:t>
      </w:r>
      <w:hyperlink r:id="rId13">
        <w:r>
          <w:rPr>
            <w:rStyle w:val="Hyperlink"/>
          </w:rPr>
          <w:t>http://ec.europa.eu/internal_market/finservices-retail/docs/policy/eb_special_373-report_en.pdf</w:t>
        </w:r>
      </w:hyperlink>
      <w:r>
        <w:t xml:space="preserve"> </w:t>
      </w:r>
    </w:p>
  </w:footnote>
  <w:footnote w:id="18">
    <w:p>
      <w:pPr>
        <w:pStyle w:val="FootnoteText"/>
        <w:spacing w:after="120"/>
        <w:ind w:left="284" w:hanging="284"/>
      </w:pPr>
      <w:r>
        <w:rPr>
          <w:rStyle w:val="FootnoteReference"/>
        </w:rPr>
        <w:footnoteRef/>
      </w:r>
      <w:r>
        <w:tab/>
        <w:t>Тази работа ще бъде извършена в подгрупа от държави членки под егидата на Хърватия.</w:t>
      </w:r>
    </w:p>
  </w:footnote>
  <w:footnote w:id="19">
    <w:p>
      <w:pPr>
        <w:autoSpaceDE w:val="0"/>
        <w:autoSpaceDN w:val="0"/>
        <w:adjustRightInd w:val="0"/>
        <w:spacing w:after="120" w:line="240" w:lineRule="auto"/>
        <w:ind w:left="284" w:hanging="284"/>
      </w:pPr>
      <w:r>
        <w:rPr>
          <w:rStyle w:val="FootnoteReference"/>
          <w:rFonts w:ascii="Times New Roman" w:hAnsi="Times New Roman"/>
          <w:sz w:val="20"/>
        </w:rPr>
        <w:footnoteRef/>
      </w:r>
      <w:r>
        <w:tab/>
      </w:r>
      <w:r>
        <w:rPr>
          <w:rFonts w:ascii="Times New Roman" w:hAnsi="Times New Roman"/>
          <w:color w:val="000000" w:themeColor="text1"/>
          <w:sz w:val="20"/>
        </w:rPr>
        <w:t xml:space="preserve">Член 412, параграф 5 от Регламент (ЕС) № 575/2013 относно </w:t>
      </w:r>
      <w:r>
        <w:rPr>
          <w:rFonts w:ascii="Times New Roman" w:hAnsi="Times New Roman"/>
          <w:sz w:val="20"/>
        </w:rPr>
        <w:t>пруденциалните изисквания за кредитните институции и инвестиционните посредници и за изменение на Регламент (ЕС) № 648/2012</w:t>
      </w:r>
      <w:r>
        <w:rPr>
          <w:rFonts w:ascii="Times New Roman" w:hAnsi="Times New Roman"/>
          <w:color w:val="1F497D"/>
          <w:sz w:val="20"/>
        </w:rPr>
        <w:t xml:space="preserve"> </w:t>
      </w:r>
      <w:r>
        <w:rPr>
          <w:rFonts w:ascii="Times New Roman" w:hAnsi="Times New Roman"/>
          <w:sz w:val="20"/>
        </w:rPr>
        <w:t>(РКИ).</w:t>
      </w:r>
    </w:p>
  </w:footnote>
  <w:footnote w:id="20">
    <w:p>
      <w:pPr>
        <w:pStyle w:val="FootnoteText"/>
        <w:spacing w:after="120"/>
        <w:ind w:left="284" w:hanging="284"/>
      </w:pPr>
      <w:r>
        <w:rPr>
          <w:rStyle w:val="FootnoteReference"/>
        </w:rPr>
        <w:footnoteRef/>
      </w:r>
      <w:r>
        <w:tab/>
        <w:t>Вж. съобщението на Комисията от 14 септември 2016 г. „Съюз на капиталовите пазари — ускоряване на реформата“ (</w:t>
      </w:r>
      <w:hyperlink r:id="rId14">
        <w:r>
          <w:rPr>
            <w:rStyle w:val="Hyperlink"/>
          </w:rPr>
          <w:t>http://eur-lex.europa.eu/legal-content/BG/TXT/PDF/?uri=CELEX:52016DC0601&amp;qid=1487945696530&amp;from=BG</w:t>
        </w:r>
      </w:hyperlink>
      <w:r>
        <w:t>).</w:t>
      </w:r>
    </w:p>
  </w:footnote>
  <w:footnote w:id="21">
    <w:p>
      <w:pPr>
        <w:pStyle w:val="FootnoteText"/>
        <w:spacing w:after="120"/>
        <w:ind w:left="284" w:hanging="284"/>
      </w:pPr>
      <w:r>
        <w:rPr>
          <w:rStyle w:val="FootnoteReference"/>
        </w:rPr>
        <w:footnoteRef/>
      </w:r>
      <w:r>
        <w:tab/>
      </w:r>
      <w:r>
        <w:rPr>
          <w:rStyle w:val="FootnoteTextChar"/>
          <w:rFonts w:eastAsiaTheme="minorHAnsi"/>
        </w:rPr>
        <w:t xml:space="preserve">На 22 ноември Комисията представи предложение за Директива на Европейския парламент и на Съвета относно рамки за превантивно преструктуриране, предоставяне на втори шанс и мерки за повишаване на ефективността на процедурите за преструктуриране, несъстоятелност и опрощаване на задължения и за изменение на Директива 2012/30/ЕС (COM(2016) 723). </w:t>
      </w:r>
    </w:p>
  </w:footnote>
  <w:footnote w:id="22">
    <w:p>
      <w:pPr>
        <w:spacing w:after="120"/>
        <w:ind w:left="284" w:hanging="284"/>
        <w:jc w:val="both"/>
      </w:pPr>
      <w:r>
        <w:rPr>
          <w:rStyle w:val="FootnoteReference"/>
          <w:rFonts w:ascii="Times New Roman" w:hAnsi="Times New Roman"/>
          <w:sz w:val="20"/>
        </w:rPr>
        <w:footnoteRef/>
      </w:r>
      <w:r>
        <w:rPr>
          <w:rStyle w:val="FootnoteReference"/>
          <w:rFonts w:ascii="Times New Roman" w:hAnsi="Times New Roman"/>
          <w:sz w:val="20"/>
        </w:rPr>
        <w:t xml:space="preserve"> </w:t>
      </w:r>
      <w:r>
        <w:tab/>
      </w:r>
      <w:r>
        <w:rPr>
          <w:rFonts w:ascii="Times New Roman" w:hAnsi="Times New Roman"/>
          <w:color w:val="000000" w:themeColor="text1"/>
          <w:sz w:val="20"/>
        </w:rPr>
        <w:t>"Workable solutions for efficient and simplified fiscal compliance procedures related to post-trading within the EU" Report by the Tax Barriers Business Advisory Group</w:t>
      </w:r>
      <w:r>
        <w:rPr>
          <w:rFonts w:ascii="Times New Roman" w:hAnsi="Times New Roman"/>
          <w:sz w:val="20"/>
        </w:rPr>
        <w:t>, 2013</w:t>
      </w:r>
      <w:r>
        <w:t xml:space="preserve"> (</w:t>
      </w:r>
      <w:hyperlink r:id="rId15">
        <w:r>
          <w:rPr>
            <w:rStyle w:val="Hyperlink"/>
            <w:rFonts w:ascii="Times New Roman" w:hAnsi="Times New Roman"/>
            <w:sz w:val="20"/>
          </w:rPr>
          <w:t>http://ec.europa.eu/info/publications/report-tax-barriers-business-advisory-group-tbag_en</w:t>
        </w:r>
      </w:hyperlink>
      <w:r>
        <w:t>)</w:t>
      </w:r>
      <w:r>
        <w:rPr>
          <w:rFonts w:ascii="Times New Roman" w:hAnsi="Times New Roman"/>
          <w:sz w:val="20"/>
        </w:rPr>
        <w:t xml:space="preserve"> </w:t>
      </w:r>
    </w:p>
  </w:footnote>
  <w:footnote w:id="23">
    <w:p>
      <w:pPr>
        <w:pStyle w:val="FootnoteText"/>
        <w:spacing w:after="120"/>
        <w:ind w:left="284" w:hanging="284"/>
      </w:pPr>
      <w:r>
        <w:rPr>
          <w:rStyle w:val="FootnoteReference"/>
        </w:rPr>
        <w:footnoteRef/>
      </w:r>
      <w:r>
        <w:t xml:space="preserve"> </w:t>
      </w:r>
      <w:r>
        <w:tab/>
        <w:t>Източник: Съвместен изследователски център на Европейската комисия.</w:t>
      </w:r>
    </w:p>
  </w:footnote>
  <w:footnote w:id="24">
    <w:p>
      <w:pPr>
        <w:pStyle w:val="FootnoteText"/>
        <w:spacing w:after="120"/>
        <w:ind w:left="284" w:hanging="284"/>
      </w:pPr>
      <w:r>
        <w:rPr>
          <w:rStyle w:val="FootnoteReference"/>
        </w:rPr>
        <w:footnoteRef/>
      </w:r>
      <w:r>
        <w:t xml:space="preserve"> </w:t>
      </w:r>
      <w:r>
        <w:tab/>
        <w:t>Вж. Препоръка на Комисията от 19 октомври 2009 г. относно процедурите за данъчни облекчения във връзка с данъка, удържан при източника (</w:t>
      </w:r>
      <w:hyperlink r:id="rId16">
        <w:r>
          <w:rPr>
            <w:rStyle w:val="Hyperlink"/>
          </w:rPr>
          <w:t>http://eur-lex.europa.eu/legal-content/BG/TXT/?uri=CELEX%3A32009H0784</w:t>
        </w:r>
      </w:hyperlink>
      <w:r>
        <w:t>).</w:t>
      </w:r>
    </w:p>
  </w:footnote>
  <w:footnote w:id="25">
    <w:p>
      <w:pPr>
        <w:pStyle w:val="FootnoteText"/>
        <w:spacing w:after="120"/>
        <w:ind w:left="284" w:hanging="284"/>
      </w:pPr>
      <w:r>
        <w:rPr>
          <w:rStyle w:val="FootnoteReference"/>
        </w:rPr>
        <w:footnoteRef/>
      </w:r>
      <w:r>
        <w:tab/>
        <w:t>Вж. съобщението на Комисията от 30 септември 2015 г. „План за действие за изграждане на съюз на капиталовите пазари“ (</w:t>
      </w:r>
      <w:hyperlink r:id="rId17">
        <w:r>
          <w:rPr>
            <w:rStyle w:val="Hyperlink"/>
          </w:rPr>
          <w:t>http://eur-lex.europa.eu/legal-content/BG/TXT/PDF/?uri=CELEX:52015DC0468&amp;qid=1487952083623&amp;from=BG</w:t>
        </w:r>
      </w:hyperlink>
      <w:r>
        <w:t xml:space="preserve">). </w:t>
      </w:r>
    </w:p>
  </w:footnote>
  <w:footnote w:id="26">
    <w:p>
      <w:pPr>
        <w:pStyle w:val="FootnoteText"/>
        <w:spacing w:after="120"/>
        <w:ind w:left="284" w:hanging="284"/>
      </w:pPr>
      <w:r>
        <w:rPr>
          <w:rStyle w:val="FootnoteReference"/>
        </w:rPr>
        <w:footnoteRef/>
      </w:r>
      <w:r>
        <w:tab/>
        <w:t>Вж. съобщението на Комисията от 14 септември 2016 г. „Съюз на капиталовите пазари — ускоряване на реформата“ (</w:t>
      </w:r>
      <w:hyperlink r:id="rId18">
        <w:r>
          <w:rPr>
            <w:rStyle w:val="Hyperlink"/>
          </w:rPr>
          <w:t>http://eur-lex.europa.eu/legal-content/BG/TXT/PDF/?uri=CELEX:52016DC0601&amp;qid=1487945696530&amp;from=BG</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178D0"/>
    <w:multiLevelType w:val="hybridMultilevel"/>
    <w:tmpl w:val="2A0215D6"/>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A432656"/>
    <w:multiLevelType w:val="multilevel"/>
    <w:tmpl w:val="5658D510"/>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600"/>
        </w:tabs>
        <w:ind w:left="600" w:hanging="600"/>
      </w:pPr>
      <w:rPr>
        <w:lang w:val="en-GB"/>
      </w:rPr>
    </w:lvl>
    <w:lvl w:ilvl="2">
      <w:start w:val="1"/>
      <w:numFmt w:val="decimal"/>
      <w:pStyle w:val="Heading3"/>
      <w:lvlText w:val="%1.%2.%3."/>
      <w:lvlJc w:val="left"/>
      <w:pPr>
        <w:tabs>
          <w:tab w:val="num" w:pos="1920"/>
        </w:tabs>
        <w:ind w:left="1920" w:hanging="840"/>
      </w:pPr>
    </w:lvl>
    <w:lvl w:ilvl="3">
      <w:start w:val="1"/>
      <w:numFmt w:val="decimal"/>
      <w:pStyle w:val="Heading4"/>
      <w:lvlText w:val="%1.%2.%3.%4."/>
      <w:lvlJc w:val="left"/>
      <w:pPr>
        <w:tabs>
          <w:tab w:val="num" w:pos="2804"/>
        </w:tabs>
        <w:ind w:left="2804"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C2C7CBF569154AAD9036497872D44724"/>
    <w:docVar w:name="LW_CROSSREFERENCE" w:val="&lt;UNUSED&gt;"/>
    <w:docVar w:name="LW_DocType" w:val="NORMAL"/>
    <w:docVar w:name="LW_EMISSION" w:val="27.2.2017"/>
    <w:docVar w:name="LW_EMISSION_ISODATE" w:val="2017-02-27"/>
    <w:docVar w:name="LW_EMISSION_LOCATION" w:val="BRX"/>
    <w:docVar w:name="LW_EMISSION_PREFIX" w:val="Брюксел, "/>
    <w:docVar w:name="LW_EMISSION_SUFFIX" w:val=" \u1075?."/>
    <w:docVar w:name="LW_ID_DOCTYPE_NONLW" w:val="CP-00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102"/>
    <w:docVar w:name="LW_REF.INTERNE" w:val="&lt;UNUSED&gt;"/>
    <w:docVar w:name="LW_SOUS.TITRE.OBJ.CP" w:val="&lt;UNUSED&gt;"/>
    <w:docVar w:name="LW_SUPERTITRE" w:val="&lt;UNUSED&gt;"/>
    <w:docVar w:name="LW_TITRE.OBJ.CP" w:val="\u1059?\u1089?\u1082?\u1086?\u1088?\u1103?\u1074?\u1072?\u1085?\u1077? \u1085?\u1072? \u1089?\u1098?\u1102?\u1079?\u1072? \u1085?\u1072? \u1082?\u1072?\u1087?\u1080?\u1090?\u1072?\u1083?\u1086?\u1074?\u1080?\u1090?\u1077? \u1087?\u1072?\u1079?\u1072?\u1088?\u1080?: \u1087?\u1088?\u1077?\u1086?\u1076?\u1086?\u1083?\u1103?\u1074?\u1072?\u1085?\u1077? \u1085?\u1072? \u1085?\u1072?\u1094?\u1080?\u1086?\u1085?\u1072?\u1083?\u1085?\u1080?\u1090?\u1077? \u1087?\u1088?\u1077?\u1095?\u1082?\u1080? \u1087?\u1088?\u1077?\u1076? \u1082?\u1072?\u1087?\u1080?\u1090?\u1072?\u1083?\u1086?\u1074?\u1080?\u1090?\u1077? \u1087?\u1086?\u1090?\u1086?\u1094?\u1080?"/>
    <w:docVar w:name="LW_TYPE.DOC.CP" w:val="\u1044?\u1054?\u1050?\u1051?\u1040?\u1044? \u1053?\u1040? \u1050?\u1054?\u1052?\u1048?\u1057?\u1048?\u1071?\u1058?\u1040? \u1044?\u1054? \u1057?\u1066?\u1042?\u1045?\u1058?\u1040? \u1048? \u1045?\u1042?\u1056?\u1054?\u1055?\u1045?\u1049?\u1057?\u1050?\u1048?\u1071? \u1055?\u1040?\u1056?\u1051?\u1040?\u1052?\u1045?\u1053?\u1058?"/>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bg-BG"/>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ListParagraph">
    <w:name w:val="List Paragraph"/>
    <w:basedOn w:val="Normal"/>
    <w:uiPriority w:val="34"/>
    <w:qFormat/>
    <w:pPr>
      <w:ind w:left="720"/>
      <w:contextualSpacing/>
    </w:pPr>
  </w:style>
  <w:style w:type="paragraph" w:styleId="FootnoteText">
    <w:name w:val="footnote text"/>
    <w:aliases w:val="Fodnotetekst Tegn Tegn Tegn Tegn Tegn Tegn Tegn Char Char,Fodnotetekst Tegn Tegn Tegn Tegn Tegn Tegn Tegn Char Char Char Char,Fodnotetekst Tegn Tegn Tegn Tegn Tegn Tegn Tegn,fn,Fodnotetekst Tegn Tegn Tegn Tegn Tegn Tegn Tegn Tegn Tegn Tegn"/>
    <w:basedOn w:val="Normal"/>
    <w:link w:val="FootnoteTextChar"/>
    <w:uiPriority w:val="99"/>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n Char"/>
    <w:basedOn w:val="DefaultParagraphFont"/>
    <w:link w:val="FootnoteText"/>
    <w:uiPriority w:val="99"/>
    <w:rPr>
      <w:rFonts w:ascii="Times New Roman" w:eastAsia="Times New Roman" w:hAnsi="Times New Roman" w:cs="Times New Roman"/>
      <w:sz w:val="20"/>
      <w:szCs w:val="20"/>
      <w:lang w:val="bg-BG"/>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r"/>
    <w:uiPriority w:val="99"/>
    <w:rPr>
      <w:vertAlign w:val="superscript"/>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character" w:customStyle="1" w:styleId="st">
    <w:name w:val="st"/>
    <w:basedOn w:val="DefaultParagraphFont"/>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4"/>
    </w:r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4"/>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lang w:val="bg-BG"/>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ListParagraph">
    <w:name w:val="List Paragraph"/>
    <w:basedOn w:val="Normal"/>
    <w:uiPriority w:val="34"/>
    <w:qFormat/>
    <w:pPr>
      <w:ind w:left="720"/>
      <w:contextualSpacing/>
    </w:pPr>
  </w:style>
  <w:style w:type="paragraph" w:styleId="FootnoteText">
    <w:name w:val="footnote text"/>
    <w:aliases w:val="Fodnotetekst Tegn Tegn Tegn Tegn Tegn Tegn Tegn Char Char,Fodnotetekst Tegn Tegn Tegn Tegn Tegn Tegn Tegn Char Char Char Char,Fodnotetekst Tegn Tegn Tegn Tegn Tegn Tegn Tegn,fn,Fodnotetekst Tegn Tegn Tegn Tegn Tegn Tegn Tegn Tegn Tegn Tegn"/>
    <w:basedOn w:val="Normal"/>
    <w:link w:val="FootnoteTextChar"/>
    <w:uiPriority w:val="99"/>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fn Char"/>
    <w:basedOn w:val="DefaultParagraphFont"/>
    <w:link w:val="FootnoteText"/>
    <w:uiPriority w:val="99"/>
    <w:rPr>
      <w:rFonts w:ascii="Times New Roman" w:eastAsia="Times New Roman" w:hAnsi="Times New Roman" w:cs="Times New Roman"/>
      <w:sz w:val="20"/>
      <w:szCs w:val="20"/>
      <w:lang w:val="bg-BG"/>
    </w:rPr>
  </w:style>
  <w:style w:type="character" w:styleId="FootnoteReference">
    <w:name w:val="footnote reference"/>
    <w:aliases w:val="Footnote Reference Number,Footnote Reference_LVL6,Footnote Reference_LVL61,Footnote Reference_LVL62,Footnote Reference_LVL63,Footnote Reference_LVL64,SUPERS,Footnote Reference Superscript,BVI fnr,Footnote symbol,Footnote sign,fr"/>
    <w:uiPriority w:val="99"/>
    <w:rPr>
      <w:vertAlign w:val="superscript"/>
    </w:r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FooterCoverPageChar">
    <w:name w:val="Footer Cover Page Char"/>
    <w:basedOn w:val="DefaultParagraphFont"/>
    <w:link w:val="FooterCoverPage"/>
    <w:rPr>
      <w:rFonts w:ascii="Times New Roman" w:hAnsi="Times New Roman" w:cs="Times New Roman"/>
      <w:sz w:val="24"/>
      <w:szCs w:val="24"/>
    </w:rPr>
  </w:style>
  <w:style w:type="character" w:customStyle="1" w:styleId="st">
    <w:name w:val="st"/>
    <w:basedOn w:val="DefaultParagraphFont"/>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szCs w:val="24"/>
    </w:rPr>
  </w:style>
  <w:style w:type="character" w:customStyle="1" w:styleId="HeaderCoverPageChar">
    <w:name w:val="Header Cover Page Char"/>
    <w:basedOn w:val="Heading1Char"/>
    <w:link w:val="HeaderCoverPage"/>
    <w:rPr>
      <w:rFonts w:ascii="Times New Roman" w:eastAsia="Times New Roman" w:hAnsi="Times New Roman" w:cs="Times New Roman"/>
      <w:b w:val="0"/>
      <w:smallCaps w:val="0"/>
      <w:sz w:val="24"/>
      <w:szCs w:val="24"/>
    </w:rPr>
  </w:style>
  <w:style w:type="paragraph" w:styleId="PlainText">
    <w:name w:val="Plain Text"/>
    <w:basedOn w:val="Normal"/>
    <w:link w:val="PlainTextChar"/>
    <w:uiPriority w:val="99"/>
    <w:unhideWhenUsed/>
    <w:pPr>
      <w:spacing w:after="0" w:line="240" w:lineRule="auto"/>
    </w:pPr>
    <w:rPr>
      <w:rFonts w:ascii="Calibri" w:hAnsi="Calibri"/>
      <w:szCs w:val="21"/>
    </w:rPr>
  </w:style>
  <w:style w:type="character" w:customStyle="1" w:styleId="PlainTextChar">
    <w:name w:val="Plain Text Char"/>
    <w:basedOn w:val="DefaultParagraphFont"/>
    <w:link w:val="PlainText"/>
    <w:uiPriority w:val="99"/>
    <w:rPr>
      <w:rFonts w:ascii="Calibri" w:hAnsi="Calibri"/>
      <w:szCs w:val="21"/>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Marker">
    <w:name w:val="Marker"/>
    <w:basedOn w:val="DefaultParagraphFont"/>
    <w:rPr>
      <w:color w:val="0000FF"/>
      <w:shd w:val="clear" w:color="auto" w:fill="auto"/>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442562">
      <w:bodyDiv w:val="1"/>
      <w:marLeft w:val="0"/>
      <w:marRight w:val="0"/>
      <w:marTop w:val="0"/>
      <w:marBottom w:val="0"/>
      <w:divBdr>
        <w:top w:val="none" w:sz="0" w:space="0" w:color="auto"/>
        <w:left w:val="none" w:sz="0" w:space="0" w:color="auto"/>
        <w:bottom w:val="none" w:sz="0" w:space="0" w:color="auto"/>
        <w:right w:val="none" w:sz="0" w:space="0" w:color="auto"/>
      </w:divBdr>
    </w:div>
    <w:div w:id="148727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transparency/regdoc/rep/10102/2016/EN/10102-2016-154-EN-F1-1.PDF" TargetMode="External"/><Relationship Id="rId13" Type="http://schemas.openxmlformats.org/officeDocument/2006/relationships/hyperlink" Target="http://ec.europa.eu/internal_market/finservices-retail/docs/policy/eb_special_373-report_en.pdf" TargetMode="External"/><Relationship Id="rId18" Type="http://schemas.openxmlformats.org/officeDocument/2006/relationships/hyperlink" Target="http://eur-lex.europa.eu/legal-content/BG/TXT/PDF/?uri=CELEX:52016DC0601&amp;qid=1487945696530&amp;from=BG" TargetMode="External"/><Relationship Id="rId3" Type="http://schemas.openxmlformats.org/officeDocument/2006/relationships/hyperlink" Target="http://ec.europa.eu/finance/consultations/2016/cross-borders-investment-funds/index_en.htm" TargetMode="External"/><Relationship Id="rId7" Type="http://schemas.openxmlformats.org/officeDocument/2006/relationships/hyperlink" Target="http://eur-lex.europa.eu/legal-content/BG/TXT/HTML/?uri=CELEX:52016DC0581&amp;from=bg" TargetMode="External"/><Relationship Id="rId12" Type="http://schemas.openxmlformats.org/officeDocument/2006/relationships/hyperlink" Target="https://ec.europa.eu/growth/smes/cosme_en" TargetMode="External"/><Relationship Id="rId17" Type="http://schemas.openxmlformats.org/officeDocument/2006/relationships/hyperlink" Target="http://eur-lex.europa.eu/legal-content/BG/TXT/PDF/?uri=CELEX:52015DC0468&amp;qid=1487952083623&amp;from=BG" TargetMode="External"/><Relationship Id="rId2" Type="http://schemas.openxmlformats.org/officeDocument/2006/relationships/hyperlink" Target="http://ec.europa.eu/finance/consultations/2015/financial-regulatory-framework-review/index_en.htm" TargetMode="External"/><Relationship Id="rId16" Type="http://schemas.openxmlformats.org/officeDocument/2006/relationships/hyperlink" Target="http://eur-lex.europa.eu/legal-content/BG/TXT/?uri=CELEX:32009H0784" TargetMode="External"/><Relationship Id="rId1" Type="http://schemas.openxmlformats.org/officeDocument/2006/relationships/hyperlink" Target="http://ec.europa.eu/finance/consultations/2015/capital-markets-union/index_en.htm" TargetMode="External"/><Relationship Id="rId6" Type="http://schemas.openxmlformats.org/officeDocument/2006/relationships/hyperlink" Target="http://www.eif.org/what_we_do/equity/NPI/index.htm" TargetMode="External"/><Relationship Id="rId11" Type="http://schemas.openxmlformats.org/officeDocument/2006/relationships/hyperlink" Target="http://dx.doi.org/10.1787/9789264254855-en" TargetMode="External"/><Relationship Id="rId5" Type="http://schemas.openxmlformats.org/officeDocument/2006/relationships/hyperlink" Target="http://cipartners.dk/" TargetMode="External"/><Relationship Id="rId15" Type="http://schemas.openxmlformats.org/officeDocument/2006/relationships/hyperlink" Target="http://ec.europa.eu/info/publications/report-tax-barriers-business-advisory-group-tbag_en" TargetMode="External"/><Relationship Id="rId10" Type="http://schemas.openxmlformats.org/officeDocument/2006/relationships/hyperlink" Target="http://www.jbs.cam.ac.uk/fileadmin/user_upload/research/centres/alternative-finance/downloads/2015-uk-alternative-finance-benchmarking-report.pdf" TargetMode="External"/><Relationship Id="rId4" Type="http://schemas.openxmlformats.org/officeDocument/2006/relationships/hyperlink" Target="http://ec.europa.eu/finance/consultations/2016/cross-borders-investment-funds/index_en.htm" TargetMode="External"/><Relationship Id="rId9" Type="http://schemas.openxmlformats.org/officeDocument/2006/relationships/hyperlink" Target="https://ec.europa.eu/growth/tools-databases/crowdfunding-guide_en" TargetMode="External"/><Relationship Id="rId14" Type="http://schemas.openxmlformats.org/officeDocument/2006/relationships/hyperlink" Target="http://eur-lex.europa.eu/legal-content/BG/TXT/PDF/?uri=CELEX:52016DC0601&amp;qid=1487945696530&amp;from=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1058C-D9D8-49F6-9E16-24A88236B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5097</Words>
  <Characters>31451</Characters>
  <Application>Microsoft Office Word</Application>
  <DocSecurity>0</DocSecurity>
  <Lines>698</Lines>
  <Paragraphs>217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2017-01-31T11:37:00Z</cp:lastPrinted>
  <dcterms:created xsi:type="dcterms:W3CDTF">2017-02-24T16:45:00Z</dcterms:created>
  <dcterms:modified xsi:type="dcterms:W3CDTF">2017-02-27T08:49:00Z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