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9D02F5E45014053AC6D2D3F61A3DB22" style="width:450.45pt;height:379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Annexe 2 : Relocalisations depuis l'Italie au 6 décembre 2016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État membre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Engagements formels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Nombre de personnes effectivement relocalisées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Engagement juridiquement prévu dans les décisions du Conseil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Autriche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Belgique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Bulgarie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Croatie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Chypre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République tchèque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Estonie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Finlande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France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282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7 115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Allemagne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1 510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207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10 327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Hongrie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Islande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Irlande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Lettonie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Liechtenstein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Lituanie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Luxembourg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Malte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Pays-Bas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Norvège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440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80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Pologne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Portugal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Roumanie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Slovaquie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Slovénie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Espagne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2 676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 xml:space="preserve">Suède 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Suisse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630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</w:rPr>
              <w:t>133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TOTAL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5 839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1 950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>RESTREINT UE/EU RESTRICTED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jc w:val="center"/>
      <w:rPr>
        <w:noProof/>
      </w:rPr>
    </w:pPr>
    <w:sdt>
      <w:sdtPr>
        <w:id w:val="-1643419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>2</w:t>
        </w:r>
      </w:sdtContent>
    </w:sdt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Chiffres transmis via DubliNet en application de l'article 5, paragraphe 2, de la décision du Conseil.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d’exécution (UE) 2016/408 du Conseil du 10 mars 2016 concernant la suspension temporaire de la relocalisation de 30 % du contingent de demandeurs attribué à l'Autriche en application de la décision (UE) 2015/1601 instituant des mesures provisoires en matière de protection internationale au profit de l'Italie et de la Grèce.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Décision (UE) 2016/946 du Conseil du 9 juin 2016 instituant des mesures provisoires en matière de protection internationale au profit de la Suède, conformément à l'article 9 de la décision (UE) 2015/1523 et à l'article 9 de la décision (UE) 2015/1601 instituant des mesures provisoires en matière de protection internationale au profit de l'Italie et de la Grèce.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tab/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 "/>
    <w:docVar w:name="LW_ANNEX_NBR_FIRST" w:val="2"/>
    <w:docVar w:name="LW_ANNEX_NBR_LAST" w:val="2"/>
    <w:docVar w:name="LW_CONFIDENCE" w:val="RESTREINT UE/EU RESTRICTED"/>
    <w:docVar w:name="LW_CONST_RESTREINT_UE" w:val="RESTREINT UE"/>
    <w:docVar w:name="LW_CORRIGENDUM" w:val="&lt;UNUSED&gt;"/>
    <w:docVar w:name="LW_COVERPAGE_GUID" w:val="C9D02F5E45014053AC6D2D3F61A3DB22"/>
    <w:docVar w:name="LW_CROSSREFERENCE" w:val="&lt;UNUSED&gt;"/>
    <w:docVar w:name="LW_DocType" w:val="NORMAL"/>
    <w:docVar w:name="LW_EMISSION" w:val="8.12.2016"/>
    <w:docVar w:name="LW_EMISSION_ISODATE" w:val="2016-12-08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Huitième rapport sur la relocalisation et la 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6) 79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fr-FR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purl.org/dc/elements/1.1/"/>
    <ds:schemaRef ds:uri="http://www.w3.org/XML/1998/namespace"/>
    <ds:schemaRef ds:uri="47eefe9a-f81e-47cf-b703-dc75e53a6b28"/>
    <ds:schemaRef ds:uri="http://purl.org/dc/terms/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8BB93E-93AC-493D-9256-6169F12F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149</Words>
  <Characters>644</Characters>
  <Application>Microsoft Office Word</Application>
  <DocSecurity>0</DocSecurity>
  <Lines>161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9</cp:revision>
  <cp:lastPrinted>2016-11-04T16:38:00Z</cp:lastPrinted>
  <dcterms:created xsi:type="dcterms:W3CDTF">2016-12-07T09:27:00Z</dcterms:created>
  <dcterms:modified xsi:type="dcterms:W3CDTF">2017-01-20T12:16:00Z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RESTREINT UE/EU RESTRICTED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