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48C2AFC0BF944619B0916C8B48322DB" style="width:450.4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>proposition de directive du Parlement européen et du Conseil</w:t>
      </w:r>
    </w:p>
    <w:p>
      <w:pPr>
        <w:pStyle w:val="Objetacteprincipal"/>
        <w:rPr>
          <w:noProof/>
        </w:rPr>
      </w:pPr>
      <w:r>
        <w:rPr>
          <w:noProof/>
        </w:rPr>
        <w:t>concernant l'équilibre entre vie professionnelle et vie privée des parents et aidants et abrogeant la directive 2010/18/UE du Conseil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>Tableau de correspondance</w:t>
      </w:r>
    </w:p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Directive 2010/18/UE du Conseil du 8 mars 2010 portant application de l'accord-cadre révisé sur le congé parental conclu par BUSINESSEUROPE, l'UEAPME, le CEEP et la CES et abrogeant la directive 96/34/CE (JO L 68 du 18.3.2010, p. 13).</w:t>
            </w:r>
          </w:p>
        </w:tc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La présente directive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1,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premier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1,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1, paragraphe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2,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paragraphes 1 et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2,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paragraphes 1 et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1, point a)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5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1, point b)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4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1, point c)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6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1, point d)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3, paragraphe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4,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5, paragraphe 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10, paragraphe 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10, paragraphe 1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10, paragraphe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4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Article 11 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5, premier alinéa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10, paragraphe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5, paragraphe 5, deuxième alinéa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 8, paragraphe 3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6,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9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6,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7,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7,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1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16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2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3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4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5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6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 8, paragraphe 7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</w:tbl>
    <w:p>
      <w:pPr>
        <w:pStyle w:val="Personnequisigne"/>
        <w:rPr>
          <w:noProof/>
        </w:rPr>
      </w:pPr>
    </w:p>
    <w:p>
      <w:pPr>
        <w:pStyle w:val="Personnequisigne"/>
        <w:rPr>
          <w:noProof/>
        </w:rPr>
      </w:pPr>
    </w:p>
    <w:p>
      <w:pPr>
        <w:spacing w:before="0" w:after="200" w:line="276" w:lineRule="auto"/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43A3C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67B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A2F9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FE7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A22BF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345C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284E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7C26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26 15:26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48C2AFC0BF944619B0916C8B48322DB"/>
    <w:docVar w:name="LW_CROSSREFERENCE" w:val="{SWD(2017) 202 final}_x000b_{SWD(2017) 203 final}"/>
    <w:docVar w:name="LW_DocType" w:val="ANNEX"/>
    <w:docVar w:name="LW_EMISSION" w:val="26.4.2017"/>
    <w:docVar w:name="LW_EMISSION_ISODATE" w:val="2017-04-2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'équilibre entre vie professionnelle et vie privée des parents et aidants et abrogeant la directive 2010/18/UE du Conseil"/>
    <w:docVar w:name="LW_PART_NBR" w:val="1"/>
    <w:docVar w:name="LW_PART_NBR_TOTAL" w:val="1"/>
    <w:docVar w:name="LW_REF.INST.NEW" w:val="COM"/>
    <w:docVar w:name="LW_REF.INST.NEW_ADOPTED" w:val="final"/>
    <w:docVar w:name="LW_REF.INST.NEW_TEXT" w:val="(2017) 253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directive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289</Words>
  <Characters>1427</Characters>
  <Application>Microsoft Office Word</Application>
  <DocSecurity>0</DocSecurity>
  <Lines>79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DIGIT/A3</cp:lastModifiedBy>
  <cp:revision>9</cp:revision>
  <dcterms:created xsi:type="dcterms:W3CDTF">2017-04-25T13:38:00Z</dcterms:created>
  <dcterms:modified xsi:type="dcterms:W3CDTF">2017-04-26T13:26:00Z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