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B0" w:rsidRDefault="001C428F" w:rsidP="001C428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6A704A98EFC45E1930579BB6D7CE5A7" style="width:450.6pt;height:443.15pt">
            <v:imagedata r:id="rId9" o:title=""/>
          </v:shape>
        </w:pict>
      </w:r>
    </w:p>
    <w:bookmarkEnd w:id="0"/>
    <w:p w:rsidR="00C611B0" w:rsidRDefault="00C611B0">
      <w:pPr>
        <w:pStyle w:val="Default"/>
        <w:jc w:val="both"/>
        <w:rPr>
          <w:noProof/>
        </w:rPr>
        <w:sectPr w:rsidR="00C611B0" w:rsidSect="001C428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611B0" w:rsidRDefault="00C611B0">
      <w:pPr>
        <w:pStyle w:val="Default"/>
        <w:jc w:val="both"/>
        <w:rPr>
          <w:noProof/>
        </w:rPr>
      </w:pPr>
      <w:bookmarkStart w:id="1" w:name="_GoBack"/>
      <w:bookmarkEnd w:id="1"/>
    </w:p>
    <w:p w:rsidR="00C611B0" w:rsidRDefault="001C428F">
      <w:pPr>
        <w:pStyle w:val="Default"/>
        <w:jc w:val="both"/>
        <w:rPr>
          <w:noProof/>
        </w:rPr>
      </w:pPr>
      <w:r>
        <w:rPr>
          <w:noProof/>
        </w:rPr>
        <w:t>Изграждането на една по-социална и справедлива Европа е основен приоритет на Европейската комисия. Европейският стълб на социалните права беше изведен на преден план, за да служи като компас за процеса, който води до подновена социално-икономическа конверг</w:t>
      </w:r>
      <w:r>
        <w:rPr>
          <w:noProof/>
        </w:rPr>
        <w:t>енция и да придвижи напред реформите на национално равнище. В тази рамка стълбът се поддържа от набор ключови показатели, за да се наблюдават заетостта и социалните резултати на участващите държави членки. Инструментът за мониторинг би позволил също така д</w:t>
      </w:r>
      <w:r>
        <w:rPr>
          <w:noProof/>
        </w:rPr>
        <w:t xml:space="preserve">а се определят като референтни показатели успешните резултати, за да се гарантира общо подобрение. </w:t>
      </w:r>
    </w:p>
    <w:p w:rsidR="00C611B0" w:rsidRDefault="00C611B0">
      <w:pPr>
        <w:pStyle w:val="Default"/>
        <w:jc w:val="both"/>
        <w:rPr>
          <w:noProof/>
        </w:rPr>
      </w:pPr>
    </w:p>
    <w:p w:rsidR="00C611B0" w:rsidRDefault="001C428F">
      <w:pPr>
        <w:pStyle w:val="Default"/>
        <w:jc w:val="both"/>
        <w:rPr>
          <w:noProof/>
        </w:rPr>
      </w:pPr>
      <w:r>
        <w:rPr>
          <w:noProof/>
        </w:rPr>
        <w:t>Наборът от показатели служи като референтна рамка за наблюдение на „социалния напредък“ по един осезаем, цялостен и обективен начин, който е лесно достъпен</w:t>
      </w:r>
      <w:r>
        <w:rPr>
          <w:noProof/>
        </w:rPr>
        <w:t xml:space="preserve"> и разбираем за гражданите. С него се откриват навреме най-значимите предизвикателства пред заетостта и в социалната област, пред които са изправени държавите членки, ЕС и еврозоната, както и напредъкът, постигнат с течение на времето. За целите на този на</w:t>
      </w:r>
      <w:r>
        <w:rPr>
          <w:noProof/>
        </w:rPr>
        <w:t>бор от показатели определяме понятието „социален напредък“ като капацитет за засилване и поддържане на благополучието и възможностите, като се създават условия, за да могат хората да реализират своя пълен потенциал и да посрещнат основните си нужди.</w:t>
      </w:r>
    </w:p>
    <w:p w:rsidR="00C611B0" w:rsidRDefault="00C611B0">
      <w:pPr>
        <w:pStyle w:val="Default"/>
        <w:jc w:val="both"/>
        <w:rPr>
          <w:noProof/>
        </w:rPr>
      </w:pPr>
    </w:p>
    <w:p w:rsidR="00C611B0" w:rsidRDefault="001C428F">
      <w:pPr>
        <w:pStyle w:val="Default"/>
        <w:jc w:val="both"/>
        <w:rPr>
          <w:noProof/>
        </w:rPr>
      </w:pPr>
      <w:r>
        <w:rPr>
          <w:noProof/>
        </w:rPr>
        <w:t xml:space="preserve">Това </w:t>
      </w:r>
      <w:r>
        <w:rPr>
          <w:noProof/>
        </w:rPr>
        <w:t xml:space="preserve">определение се позовава на три основни измерения на социалния напредък: 1) равни възможности и достъп до трудовия пазар, 2) динамични трудови пазари и справедливи условия на труд, както и 3) обществена поддръжка/социална закрила и включване. </w:t>
      </w:r>
    </w:p>
    <w:p w:rsidR="00C611B0" w:rsidRDefault="00C611B0">
      <w:pPr>
        <w:pStyle w:val="Default"/>
        <w:jc w:val="both"/>
        <w:rPr>
          <w:noProof/>
        </w:rPr>
      </w:pPr>
    </w:p>
    <w:p w:rsidR="00C611B0" w:rsidRDefault="001C428F">
      <w:pPr>
        <w:pStyle w:val="Default"/>
        <w:numPr>
          <w:ilvl w:val="0"/>
          <w:numId w:val="6"/>
        </w:numPr>
        <w:jc w:val="both"/>
        <w:rPr>
          <w:noProof/>
        </w:rPr>
      </w:pPr>
      <w:r>
        <w:rPr>
          <w:noProof/>
        </w:rPr>
        <w:t>„</w:t>
      </w:r>
      <w:r>
        <w:rPr>
          <w:b/>
          <w:noProof/>
        </w:rPr>
        <w:t>Равните въз</w:t>
      </w:r>
      <w:r>
        <w:rPr>
          <w:b/>
          <w:noProof/>
        </w:rPr>
        <w:t>можности и достъп до трудовия пазар</w:t>
      </w:r>
      <w:r>
        <w:rPr>
          <w:noProof/>
        </w:rPr>
        <w:t>“ обхващат аспекти на справедливостта, свързани с образованието, уменията и ученето през целия живот, равенството между половете, неравенството и социалната мобилност, условията на живот и младежта;</w:t>
      </w:r>
    </w:p>
    <w:p w:rsidR="00C611B0" w:rsidRDefault="00C611B0">
      <w:pPr>
        <w:pStyle w:val="Default"/>
        <w:ind w:left="720"/>
        <w:jc w:val="both"/>
        <w:rPr>
          <w:noProof/>
        </w:rPr>
      </w:pPr>
    </w:p>
    <w:p w:rsidR="00C611B0" w:rsidRDefault="001C428F">
      <w:pPr>
        <w:pStyle w:val="Default"/>
        <w:numPr>
          <w:ilvl w:val="0"/>
          <w:numId w:val="6"/>
        </w:numPr>
        <w:jc w:val="both"/>
        <w:rPr>
          <w:noProof/>
        </w:rPr>
      </w:pPr>
      <w:r>
        <w:rPr>
          <w:noProof/>
        </w:rPr>
        <w:t>„</w:t>
      </w:r>
      <w:r>
        <w:rPr>
          <w:b/>
          <w:noProof/>
        </w:rPr>
        <w:t xml:space="preserve">Динамичните трудови </w:t>
      </w:r>
      <w:r>
        <w:rPr>
          <w:b/>
          <w:noProof/>
        </w:rPr>
        <w:t>пазари и справедливите  условия на труд</w:t>
      </w:r>
      <w:r>
        <w:rPr>
          <w:noProof/>
        </w:rPr>
        <w:t>“ са отговор на въпроса дали пазарите работят ефективно и свободно, за да помагат за пренастаняването и търсенето на работа в конкурентоспособна икономика. Показателите по това измерение обхващат функционирането на па</w:t>
      </w:r>
      <w:r>
        <w:rPr>
          <w:noProof/>
        </w:rPr>
        <w:t>зара на труда, подкрепата за заетостта и преквалификацията, а от друга страна, измерението, свързано със справедливостта на условията на труд и заплащане;</w:t>
      </w:r>
    </w:p>
    <w:p w:rsidR="00C611B0" w:rsidRDefault="00C611B0">
      <w:pPr>
        <w:pStyle w:val="Default"/>
        <w:jc w:val="both"/>
        <w:rPr>
          <w:noProof/>
        </w:rPr>
      </w:pPr>
    </w:p>
    <w:p w:rsidR="00C611B0" w:rsidRDefault="001C428F">
      <w:pPr>
        <w:pStyle w:val="Default"/>
        <w:numPr>
          <w:ilvl w:val="0"/>
          <w:numId w:val="6"/>
        </w:numPr>
        <w:jc w:val="both"/>
        <w:rPr>
          <w:noProof/>
        </w:rPr>
      </w:pPr>
      <w:r>
        <w:rPr>
          <w:noProof/>
        </w:rPr>
        <w:t>„</w:t>
      </w:r>
      <w:r>
        <w:rPr>
          <w:b/>
          <w:noProof/>
        </w:rPr>
        <w:t>Обществената поддръжка/социалната закрила и включването</w:t>
      </w:r>
      <w:r>
        <w:rPr>
          <w:noProof/>
        </w:rPr>
        <w:t>“ обхващат постигането на справедливи резулт</w:t>
      </w:r>
      <w:r>
        <w:rPr>
          <w:noProof/>
        </w:rPr>
        <w:t xml:space="preserve">ати чрез обществени действия и/или социална закрила. Този набор от показатели се отнася главно до предоставянето на услуги и мрежи за социална сигурност. </w:t>
      </w:r>
    </w:p>
    <w:p w:rsidR="00C611B0" w:rsidRDefault="00C611B0">
      <w:pPr>
        <w:pStyle w:val="Default"/>
        <w:jc w:val="both"/>
        <w:rPr>
          <w:noProof/>
          <w:highlight w:val="yellow"/>
        </w:rPr>
      </w:pPr>
    </w:p>
    <w:p w:rsidR="00C611B0" w:rsidRDefault="001C428F">
      <w:pPr>
        <w:pStyle w:val="Default"/>
        <w:jc w:val="both"/>
        <w:rPr>
          <w:noProof/>
        </w:rPr>
      </w:pPr>
      <w:r>
        <w:rPr>
          <w:noProof/>
        </w:rPr>
        <w:t>С референтните показатели по този набор се измерват резултатите, постигнати от държавите членки —  н</w:t>
      </w:r>
      <w:r>
        <w:rPr>
          <w:noProof/>
        </w:rPr>
        <w:t>а ЕС, спрямо средните стойности за ЕС и еврозоната. Освен това с него ще се предостави възможност, поне за някои от  елементите му, за сравняване на резултатите на ЕС с други международни участници.</w:t>
      </w:r>
      <w:r>
        <w:rPr>
          <w:noProof/>
          <w:color w:val="auto"/>
        </w:rPr>
        <w:t xml:space="preserve"> Такъв сравнителен анализ може да служи като емпирична осн</w:t>
      </w:r>
      <w:r>
        <w:rPr>
          <w:noProof/>
          <w:color w:val="auto"/>
        </w:rPr>
        <w:t xml:space="preserve">ова за подновен процес </w:t>
      </w:r>
      <w:r>
        <w:rPr>
          <w:noProof/>
        </w:rPr>
        <w:t xml:space="preserve">на извличане на взаимна полза </w:t>
      </w:r>
      <w:r>
        <w:rPr>
          <w:noProof/>
          <w:color w:val="auto"/>
        </w:rPr>
        <w:t xml:space="preserve">от най-добрите практики. </w:t>
      </w:r>
      <w:r>
        <w:rPr>
          <w:noProof/>
        </w:rPr>
        <w:t>Наборът от показатели ще даде също възможност за визуализиране на по-дългосрочни тенденции. Когато е възможно и уместно, показателите са разделени в зависимост от възрастта, пола</w:t>
      </w:r>
      <w:r>
        <w:rPr>
          <w:noProof/>
        </w:rPr>
        <w:t xml:space="preserve"> и/или образователните постижения.</w:t>
      </w:r>
    </w:p>
    <w:p w:rsidR="00C611B0" w:rsidRDefault="00C611B0">
      <w:pPr>
        <w:pStyle w:val="Default"/>
        <w:jc w:val="both"/>
        <w:rPr>
          <w:noProof/>
          <w:highlight w:val="yellow"/>
        </w:rPr>
      </w:pPr>
    </w:p>
    <w:p w:rsidR="00C611B0" w:rsidRDefault="001C428F">
      <w:pPr>
        <w:pStyle w:val="Default"/>
        <w:jc w:val="both"/>
        <w:rPr>
          <w:noProof/>
        </w:rPr>
      </w:pPr>
      <w:r>
        <w:rPr>
          <w:b/>
          <w:noProof/>
          <w:color w:val="auto"/>
        </w:rPr>
        <w:lastRenderedPageBreak/>
        <w:t>Избрани са 12</w:t>
      </w:r>
      <w:r>
        <w:rPr>
          <w:b/>
          <w:noProof/>
        </w:rPr>
        <w:t xml:space="preserve"> </w:t>
      </w:r>
      <w:r>
        <w:rPr>
          <w:rStyle w:val="Strong"/>
          <w:noProof/>
        </w:rPr>
        <w:t>области, в които социалният напредък може да бъде измерен</w:t>
      </w:r>
      <w:r>
        <w:rPr>
          <w:noProof/>
        </w:rPr>
        <w:t>, и които се асоциират с едно от трите измерения по-горе. Показатели, които са предложени, за да се обхванат тези области, са изложени в приложението</w:t>
      </w:r>
      <w:r>
        <w:rPr>
          <w:noProof/>
        </w:rPr>
        <w:t>, и се базират върху наличните количествени данни, събрани от Евростат (извлечени главно от статистическите данни на ЕС за доходите и условията на живот (EU-SILC), от изследването на структурата на заплатите, извършвано на всеки четири години и комбинирано</w:t>
      </w:r>
      <w:r>
        <w:rPr>
          <w:noProof/>
        </w:rPr>
        <w:t xml:space="preserve"> с прогнозите на национално ниво и изследването на работната сила (LFS) и от ОИСР. </w:t>
      </w:r>
    </w:p>
    <w:p w:rsidR="00C611B0" w:rsidRDefault="00C611B0">
      <w:pPr>
        <w:pStyle w:val="Default"/>
        <w:jc w:val="both"/>
        <w:rPr>
          <w:noProof/>
        </w:rPr>
      </w:pPr>
    </w:p>
    <w:p w:rsidR="00C611B0" w:rsidRDefault="001C428F">
      <w:pPr>
        <w:pStyle w:val="Default"/>
        <w:jc w:val="both"/>
        <w:rPr>
          <w:noProof/>
        </w:rPr>
      </w:pPr>
      <w:r>
        <w:rPr>
          <w:noProof/>
        </w:rPr>
        <w:t>Европейският семестър, ежегодният цикъл на координация на икономическата политика, е важно средство, за да се следи отблизо развитието на равнище ЕС и държавите членки, ка</w:t>
      </w:r>
      <w:r>
        <w:rPr>
          <w:noProof/>
        </w:rPr>
        <w:t xml:space="preserve">то се обхваща широкия диапазон от области, обхванати от европейския стълб на социалните права. Във връзка с това таблицата ще бъде обсъдена със съответните комитети на Съвета с оглед нейното използване в рамките на европейския семестър и нейното включване </w:t>
      </w:r>
      <w:r>
        <w:rPr>
          <w:noProof/>
        </w:rPr>
        <w:t>в годишния Съвместен доклад за заетостта, публикуван всяка есен заедно с годишния обзор на растежа. Във връзка с това първите показатели за всяка област (в получер шрифт) следва да се използват като водещи показатели за таблицата, които ще бъдат включени в</w:t>
      </w:r>
      <w:r>
        <w:rPr>
          <w:noProof/>
        </w:rPr>
        <w:t xml:space="preserve"> Съвместния доклад за заетостта, докато други показатели са вторични показатели, по които в Съвместния доклад за заетостта ще бъде докладвано в самия му текст, както е уместно. Вследствие на нарасналото значение на свързаните със заетостта и социалните въп</w:t>
      </w:r>
      <w:r>
        <w:rPr>
          <w:noProof/>
        </w:rPr>
        <w:t>роси аспекти на европейския семестър през последните години, с набора от показатели ще се улесни отдаването на по-голямо внимание на предизвикателствата за заетостта и социалните предизвикателства в рамките на европейския семестър и специфичните за всяка д</w:t>
      </w:r>
      <w:r>
        <w:rPr>
          <w:noProof/>
        </w:rPr>
        <w:t>ържава препоръки и препоръките за еврозоната, които произтичат от него, които могат да отразяват и насърчават подходящи целенасочени реформи съобразно националните особености. Също така наборът от показатели  би могъл да бъде отправна точка за работата, из</w:t>
      </w:r>
      <w:r>
        <w:rPr>
          <w:noProof/>
        </w:rPr>
        <w:t xml:space="preserve">вършена по отношение на социалното измерение на еврозоната. </w:t>
      </w:r>
    </w:p>
    <w:p w:rsidR="00C611B0" w:rsidRDefault="001C428F">
      <w:pPr>
        <w:rPr>
          <w:noProof/>
        </w:rPr>
      </w:pPr>
      <w:r>
        <w:rPr>
          <w:noProof/>
        </w:rPr>
        <w:br w:type="page"/>
      </w:r>
    </w:p>
    <w:p w:rsidR="00C611B0" w:rsidRDefault="001C428F">
      <w:pPr>
        <w:jc w:val="center"/>
        <w:rPr>
          <w:rFonts w:ascii="Times New Roman" w:hAnsi="Times New Roman" w:cs="Times New Roman"/>
          <w:b/>
          <w:noProof/>
        </w:rPr>
      </w:pPr>
      <w:r>
        <w:rPr>
          <w:rFonts w:ascii="Times New Roman" w:hAnsi="Times New Roman"/>
          <w:b/>
          <w:noProof/>
        </w:rPr>
        <w:lastRenderedPageBreak/>
        <w:t>Приложение — Социален набор от показатели: основни и вторични показатели</w:t>
      </w:r>
    </w:p>
    <w:p w:rsidR="00C611B0" w:rsidRDefault="00C611B0">
      <w:pPr>
        <w:rPr>
          <w:rFonts w:ascii="Times New Roman" w:hAnsi="Times New Roman" w:cs="Times New Roman"/>
          <w:noProof/>
        </w:rPr>
      </w:pPr>
    </w:p>
    <w:tbl>
      <w:tblPr>
        <w:tblStyle w:val="TableGrid"/>
        <w:tblW w:w="9867" w:type="dxa"/>
        <w:tblCellMar>
          <w:top w:w="57" w:type="dxa"/>
          <w:left w:w="57" w:type="dxa"/>
          <w:bottom w:w="57" w:type="dxa"/>
          <w:right w:w="57" w:type="dxa"/>
        </w:tblCellMar>
        <w:tblLook w:val="04A0" w:firstRow="1" w:lastRow="0" w:firstColumn="1" w:lastColumn="0" w:noHBand="0" w:noVBand="1"/>
      </w:tblPr>
      <w:tblGrid>
        <w:gridCol w:w="2325"/>
        <w:gridCol w:w="7542"/>
      </w:tblGrid>
      <w:tr w:rsidR="00C611B0">
        <w:tc>
          <w:tcPr>
            <w:tcW w:w="9867" w:type="dxa"/>
            <w:gridSpan w:val="2"/>
            <w:shd w:val="clear" w:color="auto" w:fill="8DB3E2" w:themeFill="text2" w:themeFillTint="66"/>
          </w:tcPr>
          <w:p w:rsidR="00C611B0" w:rsidRDefault="001C428F">
            <w:pPr>
              <w:jc w:val="center"/>
              <w:rPr>
                <w:rFonts w:ascii="Times New Roman" w:hAnsi="Times New Roman" w:cs="Times New Roman"/>
                <w:b/>
                <w:noProof/>
                <w:sz w:val="20"/>
                <w:szCs w:val="20"/>
              </w:rPr>
            </w:pPr>
            <w:r>
              <w:rPr>
                <w:rFonts w:ascii="Times New Roman" w:hAnsi="Times New Roman"/>
                <w:b/>
                <w:noProof/>
                <w:sz w:val="20"/>
              </w:rPr>
              <w:t xml:space="preserve">Равни възможности и достъп до пазара на труда </w:t>
            </w:r>
          </w:p>
        </w:tc>
      </w:tr>
      <w:tr w:rsidR="00C611B0">
        <w:trPr>
          <w:trHeight w:val="108"/>
        </w:trPr>
        <w:tc>
          <w:tcPr>
            <w:tcW w:w="2325" w:type="dxa"/>
            <w:vMerge w:val="restart"/>
            <w:shd w:val="clear" w:color="auto" w:fill="DBE5F1" w:themeFill="accent1" w:themeFillTint="33"/>
          </w:tcPr>
          <w:p w:rsidR="00C611B0" w:rsidRDefault="001C428F">
            <w:pPr>
              <w:rPr>
                <w:rFonts w:ascii="Times New Roman" w:hAnsi="Times New Roman" w:cs="Times New Roman"/>
                <w:b/>
                <w:noProof/>
                <w:sz w:val="20"/>
                <w:szCs w:val="20"/>
              </w:rPr>
            </w:pPr>
            <w:r>
              <w:rPr>
                <w:rFonts w:ascii="Times New Roman" w:hAnsi="Times New Roman"/>
                <w:b/>
                <w:noProof/>
                <w:sz w:val="20"/>
              </w:rPr>
              <w:t>Образование, умения и учене през целия живот;</w:t>
            </w:r>
          </w:p>
        </w:tc>
        <w:tc>
          <w:tcPr>
            <w:tcW w:w="7542" w:type="dxa"/>
          </w:tcPr>
          <w:p w:rsidR="00C611B0" w:rsidRDefault="001C428F">
            <w:pPr>
              <w:pStyle w:val="ListParagraph"/>
              <w:numPr>
                <w:ilvl w:val="0"/>
                <w:numId w:val="15"/>
              </w:numPr>
              <w:jc w:val="both"/>
              <w:rPr>
                <w:rFonts w:ascii="Times New Roman" w:hAnsi="Times New Roman" w:cs="Times New Roman"/>
                <w:b/>
                <w:noProof/>
                <w:sz w:val="20"/>
                <w:szCs w:val="20"/>
              </w:rPr>
            </w:pPr>
            <w:r>
              <w:rPr>
                <w:rFonts w:ascii="Times New Roman" w:hAnsi="Times New Roman"/>
                <w:b/>
                <w:noProof/>
                <w:sz w:val="20"/>
              </w:rPr>
              <w:t xml:space="preserve">Преждевременно напуснали </w:t>
            </w:r>
            <w:r>
              <w:rPr>
                <w:rFonts w:ascii="Times New Roman" w:hAnsi="Times New Roman"/>
                <w:b/>
                <w:noProof/>
                <w:sz w:val="20"/>
              </w:rPr>
              <w:t>системата на образованието и обучението</w:t>
            </w:r>
          </w:p>
          <w:p w:rsidR="00C611B0" w:rsidRDefault="001C428F">
            <w:pPr>
              <w:jc w:val="both"/>
              <w:rPr>
                <w:rFonts w:ascii="Times New Roman" w:hAnsi="Times New Roman" w:cs="Times New Roman"/>
                <w:b/>
                <w:noProof/>
                <w:sz w:val="20"/>
                <w:szCs w:val="20"/>
              </w:rPr>
            </w:pPr>
            <w:r>
              <w:rPr>
                <w:rFonts w:ascii="Times New Roman" w:hAnsi="Times New Roman"/>
                <w:b/>
                <w:noProof/>
                <w:sz w:val="20"/>
              </w:rPr>
              <w:t>(</w:t>
            </w:r>
            <w:r>
              <w:rPr>
                <w:rFonts w:ascii="Times New Roman" w:hAnsi="Times New Roman"/>
                <w:b/>
                <w:i/>
                <w:noProof/>
                <w:sz w:val="20"/>
              </w:rPr>
              <w:t>Дял на преждевременно напусналите системата на образованието и обучението на възраст 18—24 години, по пол</w:t>
            </w:r>
            <w:r>
              <w:rPr>
                <w:rFonts w:ascii="Times New Roman" w:hAnsi="Times New Roman"/>
                <w:b/>
                <w:noProof/>
                <w:sz w:val="20"/>
              </w:rPr>
              <w:t>)</w:t>
            </w:r>
          </w:p>
          <w:p w:rsidR="00C611B0" w:rsidRDefault="001C428F">
            <w:pPr>
              <w:jc w:val="both"/>
              <w:rPr>
                <w:rFonts w:ascii="Times New Roman" w:hAnsi="Times New Roman" w:cs="Times New Roman"/>
                <w:b/>
                <w:noProof/>
                <w:sz w:val="20"/>
                <w:szCs w:val="20"/>
              </w:rPr>
            </w:pPr>
            <w:r>
              <w:rPr>
                <w:rFonts w:ascii="Times New Roman" w:hAnsi="Times New Roman"/>
                <w:b/>
                <w:i/>
                <w:noProof/>
                <w:sz w:val="20"/>
              </w:rPr>
              <w:t>Евростат</w:t>
            </w:r>
          </w:p>
          <w:p w:rsidR="00C611B0" w:rsidRDefault="00C611B0">
            <w:pPr>
              <w:jc w:val="both"/>
              <w:rPr>
                <w:rFonts w:ascii="Times New Roman" w:hAnsi="Times New Roman" w:cs="Times New Roman"/>
                <w:b/>
                <w:noProof/>
                <w:color w:val="FF0000"/>
                <w:sz w:val="20"/>
                <w:szCs w:val="20"/>
              </w:rPr>
            </w:pPr>
          </w:p>
        </w:tc>
      </w:tr>
      <w:tr w:rsidR="00C611B0">
        <w:trPr>
          <w:trHeight w:val="501"/>
        </w:trPr>
        <w:tc>
          <w:tcPr>
            <w:tcW w:w="2325" w:type="dxa"/>
            <w:vMerge/>
            <w:shd w:val="clear" w:color="auto" w:fill="DBE5F1" w:themeFill="accent1" w:themeFillTint="33"/>
          </w:tcPr>
          <w:p w:rsidR="00C611B0" w:rsidRDefault="00C611B0">
            <w:pPr>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Участие на възрастните в процеса на учене</w:t>
            </w:r>
          </w:p>
          <w:p w:rsidR="00C611B0" w:rsidRDefault="001C428F">
            <w:pPr>
              <w:jc w:val="both"/>
              <w:rPr>
                <w:rFonts w:ascii="Times New Roman" w:hAnsi="Times New Roman" w:cs="Times New Roman"/>
                <w:i/>
                <w:noProof/>
                <w:sz w:val="20"/>
                <w:szCs w:val="20"/>
              </w:rPr>
            </w:pPr>
            <w:r>
              <w:rPr>
                <w:rFonts w:ascii="Times New Roman" w:hAnsi="Times New Roman"/>
                <w:i/>
                <w:noProof/>
                <w:sz w:val="20"/>
              </w:rPr>
              <w:t>(Учене през целия живот - % на хората на възраст 25-64</w:t>
            </w:r>
            <w:r>
              <w:rPr>
                <w:rFonts w:ascii="Times New Roman" w:hAnsi="Times New Roman"/>
                <w:i/>
                <w:noProof/>
                <w:sz w:val="20"/>
              </w:rPr>
              <w:t xml:space="preserve"> години, участващи в образование и обучение, по пол)</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1C428F">
            <w:pPr>
              <w:jc w:val="both"/>
              <w:rPr>
                <w:rFonts w:ascii="Times New Roman" w:hAnsi="Times New Roman" w:cs="Times New Roman"/>
                <w:i/>
                <w:noProof/>
                <w:sz w:val="20"/>
                <w:szCs w:val="20"/>
              </w:rPr>
            </w:pPr>
            <w:r>
              <w:rPr>
                <w:rFonts w:ascii="Times New Roman" w:hAnsi="Times New Roman"/>
                <w:i/>
                <w:noProof/>
                <w:color w:val="FF0000"/>
                <w:sz w:val="20"/>
              </w:rPr>
              <w:t xml:space="preserve"> </w:t>
            </w:r>
          </w:p>
        </w:tc>
      </w:tr>
      <w:tr w:rsidR="00C611B0">
        <w:trPr>
          <w:trHeight w:val="108"/>
        </w:trPr>
        <w:tc>
          <w:tcPr>
            <w:tcW w:w="2325" w:type="dxa"/>
            <w:vMerge/>
            <w:shd w:val="clear" w:color="auto" w:fill="DBE5F1" w:themeFill="accent1" w:themeFillTint="33"/>
          </w:tcPr>
          <w:p w:rsidR="00C611B0" w:rsidRDefault="00C611B0">
            <w:pPr>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Ниски постижения в образованието (ниски резултати по Програмата за международно оценяване на учениците (PISA) по математика — възраст 15 години)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ОИСР) </w:t>
            </w:r>
          </w:p>
          <w:p w:rsidR="00C611B0" w:rsidRDefault="00C611B0">
            <w:pPr>
              <w:jc w:val="both"/>
              <w:rPr>
                <w:rFonts w:ascii="Times New Roman" w:hAnsi="Times New Roman" w:cs="Times New Roman"/>
                <w:i/>
                <w:noProof/>
                <w:sz w:val="20"/>
                <w:szCs w:val="20"/>
              </w:rPr>
            </w:pPr>
          </w:p>
        </w:tc>
      </w:tr>
      <w:tr w:rsidR="00C611B0">
        <w:trPr>
          <w:trHeight w:val="108"/>
        </w:trPr>
        <w:tc>
          <w:tcPr>
            <w:tcW w:w="2325" w:type="dxa"/>
            <w:vMerge/>
            <w:shd w:val="clear" w:color="auto" w:fill="DBE5F1" w:themeFill="accent1" w:themeFillTint="33"/>
          </w:tcPr>
          <w:p w:rsidR="00C611B0" w:rsidRDefault="00C611B0">
            <w:pPr>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Завършили висше образование </w:t>
            </w:r>
            <w:r>
              <w:rPr>
                <w:rFonts w:ascii="Times New Roman" w:hAnsi="Times New Roman"/>
                <w:i/>
                <w:noProof/>
                <w:sz w:val="20"/>
              </w:rPr>
              <w:t>възрастова група 30—34 години</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(Завършване на висше образование —% на лицата на възраст 30—34 години със завършено висше образование, по пол)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i/>
                <w:noProof/>
                <w:color w:val="FF0000"/>
                <w:sz w:val="20"/>
                <w:szCs w:val="20"/>
              </w:rPr>
            </w:pPr>
          </w:p>
        </w:tc>
      </w:tr>
      <w:tr w:rsidR="00C611B0">
        <w:trPr>
          <w:trHeight w:val="184"/>
        </w:trPr>
        <w:tc>
          <w:tcPr>
            <w:tcW w:w="2325" w:type="dxa"/>
            <w:vMerge w:val="restart"/>
            <w:shd w:val="clear" w:color="auto" w:fill="DBE5F1" w:themeFill="accent1" w:themeFillTint="33"/>
          </w:tcPr>
          <w:p w:rsidR="00C611B0" w:rsidRDefault="001C428F">
            <w:pPr>
              <w:rPr>
                <w:rFonts w:ascii="Times New Roman" w:hAnsi="Times New Roman" w:cs="Times New Roman"/>
                <w:b/>
                <w:noProof/>
                <w:sz w:val="20"/>
                <w:szCs w:val="20"/>
              </w:rPr>
            </w:pPr>
            <w:r>
              <w:rPr>
                <w:rFonts w:ascii="Times New Roman" w:hAnsi="Times New Roman"/>
                <w:b/>
                <w:noProof/>
                <w:sz w:val="20"/>
              </w:rPr>
              <w:t>Равенството между половете на пазара на труда</w:t>
            </w:r>
          </w:p>
        </w:tc>
        <w:tc>
          <w:tcPr>
            <w:tcW w:w="7542" w:type="dxa"/>
          </w:tcPr>
          <w:p w:rsidR="00C611B0" w:rsidRDefault="001C428F">
            <w:pPr>
              <w:pStyle w:val="ListParagraph"/>
              <w:numPr>
                <w:ilvl w:val="0"/>
                <w:numId w:val="15"/>
              </w:numPr>
              <w:jc w:val="both"/>
              <w:rPr>
                <w:rFonts w:ascii="Times New Roman" w:hAnsi="Times New Roman" w:cs="Times New Roman"/>
                <w:b/>
                <w:noProof/>
                <w:sz w:val="20"/>
                <w:szCs w:val="20"/>
              </w:rPr>
            </w:pPr>
            <w:r>
              <w:rPr>
                <w:rFonts w:ascii="Times New Roman" w:hAnsi="Times New Roman"/>
                <w:b/>
                <w:noProof/>
                <w:sz w:val="20"/>
              </w:rPr>
              <w:t xml:space="preserve">Разлика между жените и мъжете по отношение на заетостта </w:t>
            </w:r>
          </w:p>
          <w:p w:rsidR="00C611B0" w:rsidRDefault="001C428F">
            <w:pPr>
              <w:jc w:val="both"/>
              <w:rPr>
                <w:rFonts w:ascii="Times New Roman" w:hAnsi="Times New Roman" w:cs="Times New Roman"/>
                <w:b/>
                <w:noProof/>
                <w:sz w:val="20"/>
                <w:szCs w:val="20"/>
              </w:rPr>
            </w:pPr>
            <w:r>
              <w:rPr>
                <w:rFonts w:ascii="Times New Roman" w:hAnsi="Times New Roman"/>
                <w:b/>
                <w:i/>
                <w:noProof/>
                <w:sz w:val="20"/>
              </w:rPr>
              <w:t>(Неравнопоставеност между половете по равнището на заетост)</w:t>
            </w:r>
          </w:p>
          <w:p w:rsidR="00C611B0" w:rsidRDefault="001C428F">
            <w:pPr>
              <w:jc w:val="both"/>
              <w:rPr>
                <w:rFonts w:ascii="Times New Roman" w:hAnsi="Times New Roman" w:cs="Times New Roman"/>
                <w:b/>
                <w:noProof/>
                <w:sz w:val="20"/>
                <w:szCs w:val="20"/>
              </w:rPr>
            </w:pPr>
            <w:r>
              <w:rPr>
                <w:rFonts w:ascii="Times New Roman" w:hAnsi="Times New Roman"/>
                <w:b/>
                <w:i/>
                <w:noProof/>
                <w:sz w:val="20"/>
              </w:rPr>
              <w:t>Евростат</w:t>
            </w:r>
          </w:p>
        </w:tc>
      </w:tr>
      <w:tr w:rsidR="00C611B0">
        <w:trPr>
          <w:trHeight w:val="184"/>
        </w:trPr>
        <w:tc>
          <w:tcPr>
            <w:tcW w:w="2325" w:type="dxa"/>
            <w:vMerge/>
            <w:shd w:val="clear" w:color="auto" w:fill="DBE5F1" w:themeFill="accent1" w:themeFillTint="33"/>
          </w:tcPr>
          <w:p w:rsidR="00C611B0" w:rsidRDefault="00C611B0">
            <w:pPr>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Неравнопоставеност между половете по отношение на заетостта на непълно работно време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Неравнопоставеност между половете по отношение на заетостта на непълно работно време като дял от </w:t>
            </w:r>
            <w:r>
              <w:rPr>
                <w:rFonts w:ascii="Times New Roman" w:hAnsi="Times New Roman"/>
                <w:i/>
                <w:noProof/>
                <w:sz w:val="20"/>
              </w:rPr>
              <w:t>общата заетост)</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i/>
                <w:noProof/>
                <w:sz w:val="20"/>
                <w:szCs w:val="20"/>
              </w:rPr>
            </w:pPr>
          </w:p>
        </w:tc>
      </w:tr>
      <w:tr w:rsidR="00C611B0">
        <w:trPr>
          <w:trHeight w:val="270"/>
        </w:trPr>
        <w:tc>
          <w:tcPr>
            <w:tcW w:w="2325" w:type="dxa"/>
            <w:vMerge/>
            <w:shd w:val="clear" w:color="auto" w:fill="DBE5F1" w:themeFill="accent1" w:themeFillTint="33"/>
          </w:tcPr>
          <w:p w:rsidR="00C611B0" w:rsidRDefault="00C611B0">
            <w:pPr>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Разлика в заплащането на мъжете и жените, некоригирани данни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(Некоригирана разлика между заплащането на час в %)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i/>
                <w:noProof/>
                <w:color w:val="7F7F7F" w:themeColor="text1" w:themeTint="80"/>
                <w:sz w:val="20"/>
                <w:szCs w:val="20"/>
              </w:rPr>
            </w:pPr>
          </w:p>
        </w:tc>
      </w:tr>
      <w:tr w:rsidR="00C611B0">
        <w:trPr>
          <w:trHeight w:val="233"/>
        </w:trPr>
        <w:tc>
          <w:tcPr>
            <w:tcW w:w="2325" w:type="dxa"/>
            <w:vMerge w:val="restart"/>
            <w:shd w:val="clear" w:color="auto" w:fill="DBE5F1" w:themeFill="accent1" w:themeFillTint="33"/>
          </w:tcPr>
          <w:p w:rsidR="00C611B0" w:rsidRDefault="001C428F">
            <w:pPr>
              <w:rPr>
                <w:rFonts w:ascii="Times New Roman" w:hAnsi="Times New Roman" w:cs="Times New Roman"/>
                <w:b/>
                <w:noProof/>
                <w:sz w:val="20"/>
                <w:szCs w:val="20"/>
              </w:rPr>
            </w:pPr>
            <w:r>
              <w:rPr>
                <w:rFonts w:ascii="Times New Roman" w:hAnsi="Times New Roman"/>
                <w:b/>
                <w:noProof/>
                <w:sz w:val="20"/>
              </w:rPr>
              <w:t>Неравенство и възходяща мобилност</w:t>
            </w:r>
          </w:p>
        </w:tc>
        <w:tc>
          <w:tcPr>
            <w:tcW w:w="7542" w:type="dxa"/>
          </w:tcPr>
          <w:p w:rsidR="00C611B0" w:rsidRDefault="001C428F">
            <w:pPr>
              <w:pStyle w:val="ListParagraph"/>
              <w:numPr>
                <w:ilvl w:val="0"/>
                <w:numId w:val="15"/>
              </w:numPr>
              <w:jc w:val="both"/>
              <w:rPr>
                <w:rFonts w:ascii="Times New Roman" w:hAnsi="Times New Roman" w:cs="Times New Roman"/>
                <w:b/>
                <w:noProof/>
                <w:sz w:val="20"/>
                <w:szCs w:val="20"/>
              </w:rPr>
            </w:pPr>
            <w:r>
              <w:rPr>
                <w:rFonts w:ascii="Times New Roman" w:hAnsi="Times New Roman"/>
                <w:b/>
                <w:noProof/>
                <w:sz w:val="20"/>
              </w:rPr>
              <w:t xml:space="preserve">Неравенство в доходите </w:t>
            </w:r>
          </w:p>
          <w:p w:rsidR="00C611B0" w:rsidRDefault="001C428F">
            <w:pPr>
              <w:jc w:val="both"/>
              <w:rPr>
                <w:rFonts w:ascii="Times New Roman" w:hAnsi="Times New Roman" w:cs="Times New Roman"/>
                <w:b/>
                <w:noProof/>
                <w:sz w:val="20"/>
                <w:szCs w:val="20"/>
              </w:rPr>
            </w:pPr>
            <w:r>
              <w:rPr>
                <w:rFonts w:ascii="Times New Roman" w:hAnsi="Times New Roman"/>
                <w:b/>
                <w:noProof/>
                <w:sz w:val="20"/>
              </w:rPr>
              <w:t>(</w:t>
            </w:r>
            <w:r>
              <w:rPr>
                <w:rFonts w:ascii="Times New Roman" w:hAnsi="Times New Roman"/>
                <w:b/>
                <w:i/>
                <w:noProof/>
                <w:sz w:val="20"/>
              </w:rPr>
              <w:t xml:space="preserve">Измерено като квинтилно съотношение - </w:t>
            </w:r>
            <w:r>
              <w:rPr>
                <w:rFonts w:ascii="Times New Roman" w:hAnsi="Times New Roman"/>
                <w:b/>
                <w:i/>
                <w:noProof/>
                <w:sz w:val="20"/>
              </w:rPr>
              <w:t>S80/S20)</w:t>
            </w:r>
            <w:r>
              <w:rPr>
                <w:rFonts w:ascii="Times New Roman" w:hAnsi="Times New Roman"/>
                <w:b/>
                <w:noProof/>
                <w:sz w:val="20"/>
              </w:rPr>
              <w:t xml:space="preserve">  </w:t>
            </w:r>
          </w:p>
          <w:p w:rsidR="00C611B0" w:rsidRDefault="001C428F">
            <w:pPr>
              <w:rPr>
                <w:rFonts w:ascii="Times New Roman" w:hAnsi="Times New Roman" w:cs="Times New Roman"/>
                <w:b/>
                <w:i/>
                <w:noProof/>
                <w:sz w:val="20"/>
                <w:szCs w:val="20"/>
              </w:rPr>
            </w:pPr>
            <w:r>
              <w:rPr>
                <w:rFonts w:ascii="Times New Roman" w:hAnsi="Times New Roman"/>
                <w:b/>
                <w:i/>
                <w:noProof/>
                <w:sz w:val="20"/>
              </w:rPr>
              <w:t>Евростат</w:t>
            </w:r>
          </w:p>
          <w:p w:rsidR="00C611B0" w:rsidRDefault="00C611B0">
            <w:pPr>
              <w:rPr>
                <w:rFonts w:ascii="Times New Roman" w:hAnsi="Times New Roman" w:cs="Times New Roman"/>
                <w:i/>
                <w:noProof/>
                <w:color w:val="7F7F7F" w:themeColor="text1" w:themeTint="80"/>
                <w:sz w:val="20"/>
                <w:szCs w:val="20"/>
              </w:rPr>
            </w:pPr>
          </w:p>
        </w:tc>
      </w:tr>
      <w:tr w:rsidR="00C611B0">
        <w:trPr>
          <w:trHeight w:val="232"/>
        </w:trPr>
        <w:tc>
          <w:tcPr>
            <w:tcW w:w="2325" w:type="dxa"/>
            <w:vMerge/>
            <w:shd w:val="clear" w:color="auto" w:fill="DBE5F1" w:themeFill="accent1" w:themeFillTint="33"/>
          </w:tcPr>
          <w:p w:rsidR="00C611B0" w:rsidRDefault="00C611B0">
            <w:pPr>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Вариране в резултатите, обяснено със социално-икономическия статус на учащите се (въздействието на социално-икономическия и културния статус върху оценките по PISA)</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ОИСР </w:t>
            </w:r>
          </w:p>
          <w:p w:rsidR="00C611B0" w:rsidRDefault="00C611B0">
            <w:pPr>
              <w:pStyle w:val="ListParagraph"/>
              <w:ind w:left="0"/>
              <w:jc w:val="both"/>
              <w:rPr>
                <w:rFonts w:ascii="Times New Roman" w:hAnsi="Times New Roman" w:cs="Times New Roman"/>
                <w:b/>
                <w:noProof/>
                <w:sz w:val="20"/>
                <w:szCs w:val="20"/>
              </w:rPr>
            </w:pPr>
          </w:p>
        </w:tc>
      </w:tr>
      <w:tr w:rsidR="00C611B0">
        <w:trPr>
          <w:trHeight w:val="442"/>
        </w:trPr>
        <w:tc>
          <w:tcPr>
            <w:tcW w:w="2325" w:type="dxa"/>
            <w:vMerge w:val="restart"/>
            <w:shd w:val="clear" w:color="auto" w:fill="DBE5F1" w:themeFill="accent1" w:themeFillTint="33"/>
          </w:tcPr>
          <w:p w:rsidR="00C611B0" w:rsidRDefault="001C428F">
            <w:pPr>
              <w:rPr>
                <w:rFonts w:ascii="Times New Roman" w:hAnsi="Times New Roman" w:cs="Times New Roman"/>
                <w:noProof/>
                <w:sz w:val="20"/>
                <w:szCs w:val="20"/>
              </w:rPr>
            </w:pPr>
            <w:r>
              <w:rPr>
                <w:rFonts w:ascii="Times New Roman" w:hAnsi="Times New Roman"/>
                <w:b/>
                <w:noProof/>
                <w:sz w:val="20"/>
              </w:rPr>
              <w:t>Условия на живот и бедност</w:t>
            </w:r>
          </w:p>
        </w:tc>
        <w:tc>
          <w:tcPr>
            <w:tcW w:w="7542" w:type="dxa"/>
          </w:tcPr>
          <w:p w:rsidR="00C611B0" w:rsidRDefault="001C428F">
            <w:pPr>
              <w:pStyle w:val="ListParagraph"/>
              <w:numPr>
                <w:ilvl w:val="0"/>
                <w:numId w:val="15"/>
              </w:numPr>
              <w:jc w:val="both"/>
              <w:rPr>
                <w:rFonts w:ascii="Times New Roman" w:hAnsi="Times New Roman" w:cs="Times New Roman"/>
                <w:b/>
                <w:noProof/>
                <w:sz w:val="20"/>
                <w:szCs w:val="20"/>
              </w:rPr>
            </w:pPr>
            <w:r>
              <w:rPr>
                <w:rFonts w:ascii="Times New Roman" w:hAnsi="Times New Roman"/>
                <w:b/>
                <w:noProof/>
                <w:sz w:val="20"/>
              </w:rPr>
              <w:t xml:space="preserve">Процент на изложените на риск от бедност или социално изключване (ИРБИ) </w:t>
            </w:r>
          </w:p>
          <w:p w:rsidR="00C611B0" w:rsidRDefault="001C428F">
            <w:pPr>
              <w:jc w:val="both"/>
              <w:rPr>
                <w:rFonts w:ascii="Times New Roman" w:hAnsi="Times New Roman" w:cs="Times New Roman"/>
                <w:b/>
                <w:i/>
                <w:noProof/>
                <w:sz w:val="20"/>
                <w:szCs w:val="20"/>
              </w:rPr>
            </w:pPr>
            <w:r>
              <w:rPr>
                <w:rFonts w:ascii="Times New Roman" w:hAnsi="Times New Roman"/>
                <w:b/>
                <w:i/>
                <w:noProof/>
                <w:sz w:val="20"/>
              </w:rPr>
              <w:t xml:space="preserve">(% от общия брой на населението, изложен на риск от бедност </w:t>
            </w:r>
            <w:r>
              <w:rPr>
                <w:rFonts w:ascii="Times New Roman" w:hAnsi="Times New Roman"/>
                <w:b/>
                <w:noProof/>
                <w:sz w:val="20"/>
              </w:rPr>
              <w:t>или социално изключване</w:t>
            </w:r>
            <w:r>
              <w:rPr>
                <w:rFonts w:ascii="Times New Roman" w:hAnsi="Times New Roman"/>
                <w:b/>
                <w:i/>
                <w:noProof/>
                <w:sz w:val="20"/>
              </w:rPr>
              <w:t xml:space="preserve">, по пол)  </w:t>
            </w:r>
          </w:p>
          <w:p w:rsidR="00C611B0" w:rsidRDefault="001C428F">
            <w:pPr>
              <w:jc w:val="both"/>
              <w:rPr>
                <w:rFonts w:ascii="Times New Roman" w:hAnsi="Times New Roman" w:cs="Times New Roman"/>
                <w:b/>
                <w:noProof/>
                <w:sz w:val="20"/>
                <w:szCs w:val="20"/>
              </w:rPr>
            </w:pPr>
            <w:r>
              <w:rPr>
                <w:rFonts w:ascii="Times New Roman" w:hAnsi="Times New Roman"/>
                <w:b/>
                <w:i/>
                <w:noProof/>
                <w:sz w:val="20"/>
              </w:rPr>
              <w:t>Евростат</w:t>
            </w:r>
          </w:p>
          <w:p w:rsidR="00C611B0" w:rsidRDefault="00C611B0">
            <w:pPr>
              <w:jc w:val="both"/>
              <w:rPr>
                <w:rFonts w:ascii="Times New Roman" w:hAnsi="Times New Roman" w:cs="Times New Roman"/>
                <w:i/>
                <w:noProof/>
                <w:color w:val="FF0000"/>
                <w:sz w:val="20"/>
                <w:szCs w:val="20"/>
                <w:highlight w:val="cyan"/>
              </w:rPr>
            </w:pPr>
          </w:p>
        </w:tc>
      </w:tr>
      <w:tr w:rsidR="00C611B0">
        <w:trPr>
          <w:trHeight w:val="140"/>
        </w:trPr>
        <w:tc>
          <w:tcPr>
            <w:tcW w:w="2325" w:type="dxa"/>
            <w:vMerge/>
            <w:shd w:val="clear" w:color="auto" w:fill="DBE5F1" w:themeFill="accent1" w:themeFillTint="33"/>
          </w:tcPr>
          <w:p w:rsidR="00C611B0" w:rsidRDefault="00C611B0">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C611B0" w:rsidRDefault="001C428F">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Процент на изложените на риск от бедност (ИРБ) </w:t>
            </w:r>
          </w:p>
          <w:p w:rsidR="00C611B0" w:rsidRDefault="001C428F">
            <w:pPr>
              <w:pStyle w:val="ListParagraph"/>
              <w:ind w:left="0"/>
              <w:jc w:val="both"/>
              <w:rPr>
                <w:rFonts w:ascii="Times New Roman" w:hAnsi="Times New Roman" w:cs="Times New Roman"/>
                <w:i/>
                <w:noProof/>
                <w:color w:val="FF0000"/>
                <w:sz w:val="20"/>
                <w:szCs w:val="20"/>
              </w:rPr>
            </w:pPr>
            <w:r>
              <w:rPr>
                <w:rFonts w:ascii="Times New Roman" w:hAnsi="Times New Roman"/>
                <w:i/>
                <w:noProof/>
                <w:sz w:val="20"/>
              </w:rPr>
              <w:t xml:space="preserve">(% на лицата от общия брой на населението, изложен на риск от бедност, по пол) </w:t>
            </w:r>
            <w:r>
              <w:rPr>
                <w:rFonts w:ascii="Times New Roman" w:hAnsi="Times New Roman"/>
                <w:i/>
                <w:noProof/>
                <w:color w:val="FF0000"/>
                <w:sz w:val="20"/>
              </w:rPr>
              <w:t xml:space="preserve"> </w:t>
            </w:r>
          </w:p>
          <w:p w:rsidR="00C611B0" w:rsidRDefault="001C428F">
            <w:pPr>
              <w:pStyle w:val="ListParagraph"/>
              <w:ind w:left="0"/>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pStyle w:val="ListParagraph"/>
              <w:ind w:left="0"/>
              <w:jc w:val="both"/>
              <w:rPr>
                <w:rFonts w:ascii="Times New Roman" w:hAnsi="Times New Roman" w:cs="Times New Roman"/>
                <w:i/>
                <w:noProof/>
                <w:sz w:val="20"/>
                <w:szCs w:val="20"/>
                <w:highlight w:val="cyan"/>
              </w:rPr>
            </w:pPr>
          </w:p>
        </w:tc>
      </w:tr>
      <w:tr w:rsidR="00C611B0">
        <w:trPr>
          <w:trHeight w:val="140"/>
        </w:trPr>
        <w:tc>
          <w:tcPr>
            <w:tcW w:w="2325" w:type="dxa"/>
            <w:vMerge/>
            <w:shd w:val="clear" w:color="auto" w:fill="DBE5F1" w:themeFill="accent1" w:themeFillTint="33"/>
          </w:tcPr>
          <w:p w:rsidR="00C611B0" w:rsidRDefault="00C611B0">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C611B0" w:rsidRDefault="001C428F">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Страдащи от тежки материални лишения (ТМЛ) </w:t>
            </w:r>
          </w:p>
          <w:p w:rsidR="00C611B0" w:rsidRDefault="001C428F">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 на лицата от общия брой на населението, страдащи от тежки материални лишения, по пол) </w:t>
            </w:r>
            <w:r>
              <w:rPr>
                <w:rFonts w:ascii="Times New Roman" w:hAnsi="Times New Roman"/>
                <w:i/>
                <w:noProof/>
                <w:color w:val="FF0000"/>
                <w:sz w:val="20"/>
              </w:rPr>
              <w:t xml:space="preserve"> </w:t>
            </w:r>
            <w:r>
              <w:rPr>
                <w:rFonts w:ascii="Times New Roman" w:hAnsi="Times New Roman"/>
                <w:i/>
                <w:noProof/>
                <w:sz w:val="20"/>
              </w:rPr>
              <w:t xml:space="preserve">  </w:t>
            </w:r>
          </w:p>
          <w:p w:rsidR="00C611B0" w:rsidRDefault="001C428F">
            <w:pPr>
              <w:pStyle w:val="ListParagraph"/>
              <w:ind w:left="0"/>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pStyle w:val="ListParagraph"/>
              <w:ind w:left="0"/>
              <w:jc w:val="both"/>
              <w:rPr>
                <w:rFonts w:ascii="Times New Roman" w:hAnsi="Times New Roman" w:cs="Times New Roman"/>
                <w:i/>
                <w:noProof/>
                <w:color w:val="FF0000"/>
                <w:sz w:val="20"/>
                <w:szCs w:val="20"/>
              </w:rPr>
            </w:pPr>
          </w:p>
          <w:p w:rsidR="00C611B0" w:rsidRDefault="00C611B0">
            <w:pPr>
              <w:pStyle w:val="ListParagraph"/>
              <w:ind w:left="0"/>
              <w:jc w:val="both"/>
              <w:rPr>
                <w:rFonts w:ascii="Times New Roman" w:hAnsi="Times New Roman" w:cs="Times New Roman"/>
                <w:i/>
                <w:noProof/>
                <w:sz w:val="20"/>
                <w:szCs w:val="20"/>
              </w:rPr>
            </w:pPr>
          </w:p>
        </w:tc>
      </w:tr>
      <w:tr w:rsidR="00C611B0">
        <w:trPr>
          <w:trHeight w:val="270"/>
        </w:trPr>
        <w:tc>
          <w:tcPr>
            <w:tcW w:w="2325" w:type="dxa"/>
            <w:vMerge/>
            <w:shd w:val="clear" w:color="auto" w:fill="DBE5F1" w:themeFill="accent1" w:themeFillTint="33"/>
          </w:tcPr>
          <w:p w:rsidR="00C611B0" w:rsidRDefault="00C611B0">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C611B0" w:rsidRDefault="001C428F">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Лица, живеещи в домакинства с много ниска икономическа активност  </w:t>
            </w:r>
          </w:p>
          <w:p w:rsidR="00C611B0" w:rsidRDefault="001C428F">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 от населението на възраст до 60 години, живеещо в домакинства с много ниска икономическа активност, по пол) </w:t>
            </w:r>
          </w:p>
          <w:p w:rsidR="00C611B0" w:rsidRDefault="001C428F">
            <w:pPr>
              <w:pStyle w:val="ListParagraph"/>
              <w:ind w:left="0"/>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pStyle w:val="ListParagraph"/>
              <w:ind w:left="0"/>
              <w:jc w:val="both"/>
              <w:rPr>
                <w:rFonts w:ascii="Times New Roman" w:hAnsi="Times New Roman" w:cs="Times New Roman"/>
                <w:i/>
                <w:noProof/>
                <w:color w:val="FF0000"/>
                <w:sz w:val="20"/>
                <w:szCs w:val="20"/>
              </w:rPr>
            </w:pPr>
          </w:p>
        </w:tc>
      </w:tr>
      <w:tr w:rsidR="00C611B0">
        <w:trPr>
          <w:trHeight w:val="167"/>
        </w:trPr>
        <w:tc>
          <w:tcPr>
            <w:tcW w:w="2325" w:type="dxa"/>
            <w:vMerge/>
            <w:shd w:val="clear" w:color="auto" w:fill="DBE5F1" w:themeFill="accent1" w:themeFillTint="33"/>
          </w:tcPr>
          <w:p w:rsidR="00C611B0" w:rsidRDefault="00C611B0">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Делът на обитателите на жилища с изключително лоши условия</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 от </w:t>
            </w:r>
            <w:r>
              <w:rPr>
                <w:rFonts w:ascii="Times New Roman" w:hAnsi="Times New Roman"/>
                <w:i/>
                <w:noProof/>
                <w:sz w:val="20"/>
              </w:rPr>
              <w:t>общия брой на население, живеещи в пренаселени жилища и лоши жилищни условия, по статут на собственост на жилището)</w:t>
            </w:r>
          </w:p>
          <w:p w:rsidR="00C611B0" w:rsidRDefault="001C428F">
            <w:pPr>
              <w:jc w:val="both"/>
              <w:rPr>
                <w:rFonts w:ascii="Times New Roman" w:hAnsi="Times New Roman" w:cs="Times New Roman"/>
                <w:b/>
                <w:noProof/>
                <w:sz w:val="20"/>
                <w:szCs w:val="20"/>
              </w:rPr>
            </w:pPr>
            <w:r>
              <w:rPr>
                <w:rFonts w:ascii="Times New Roman" w:hAnsi="Times New Roman"/>
                <w:i/>
                <w:noProof/>
                <w:sz w:val="20"/>
              </w:rPr>
              <w:t>Евростат</w:t>
            </w:r>
          </w:p>
        </w:tc>
      </w:tr>
      <w:tr w:rsidR="00C611B0">
        <w:trPr>
          <w:trHeight w:val="493"/>
        </w:trPr>
        <w:tc>
          <w:tcPr>
            <w:tcW w:w="2325" w:type="dxa"/>
            <w:shd w:val="clear" w:color="auto" w:fill="DBE5F1" w:themeFill="accent1" w:themeFillTint="33"/>
          </w:tcPr>
          <w:p w:rsidR="00C611B0" w:rsidRDefault="001C428F">
            <w:pPr>
              <w:jc w:val="both"/>
              <w:rPr>
                <w:rFonts w:ascii="Times New Roman" w:hAnsi="Times New Roman" w:cs="Times New Roman"/>
                <w:noProof/>
                <w:color w:val="0070C0"/>
                <w:sz w:val="20"/>
                <w:szCs w:val="20"/>
              </w:rPr>
            </w:pPr>
            <w:r>
              <w:rPr>
                <w:rFonts w:ascii="Times New Roman" w:hAnsi="Times New Roman"/>
                <w:b/>
                <w:noProof/>
                <w:sz w:val="20"/>
              </w:rPr>
              <w:t>Младежи</w:t>
            </w: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Млади хора, извън системите за заетост, образование и обучение (NEET), възрастова група 15—24 години</w:t>
            </w:r>
          </w:p>
          <w:p w:rsidR="00C611B0" w:rsidRDefault="001C428F">
            <w:pPr>
              <w:jc w:val="both"/>
              <w:rPr>
                <w:rFonts w:ascii="Times New Roman" w:eastAsiaTheme="minorHAnsi" w:hAnsi="Times New Roman" w:cs="Times New Roman"/>
                <w:b/>
                <w:i/>
                <w:noProof/>
                <w:sz w:val="20"/>
                <w:szCs w:val="20"/>
              </w:rPr>
            </w:pPr>
            <w:r>
              <w:rPr>
                <w:rFonts w:ascii="Times New Roman" w:hAnsi="Times New Roman"/>
                <w:b/>
                <w:i/>
                <w:noProof/>
                <w:sz w:val="20"/>
              </w:rPr>
              <w:t xml:space="preserve">(дял на лицата NEET, по пол) </w:t>
            </w:r>
          </w:p>
          <w:p w:rsidR="00C611B0" w:rsidRDefault="001C428F">
            <w:pPr>
              <w:jc w:val="both"/>
              <w:rPr>
                <w:rFonts w:ascii="Times New Roman" w:hAnsi="Times New Roman" w:cs="Times New Roman"/>
                <w:b/>
                <w:noProof/>
                <w:sz w:val="20"/>
                <w:szCs w:val="20"/>
              </w:rPr>
            </w:pPr>
            <w:r>
              <w:rPr>
                <w:rFonts w:ascii="Times New Roman" w:hAnsi="Times New Roman"/>
                <w:b/>
                <w:i/>
                <w:noProof/>
                <w:sz w:val="20"/>
              </w:rPr>
              <w:t>Евростат</w:t>
            </w:r>
          </w:p>
          <w:p w:rsidR="00C611B0" w:rsidRDefault="00C611B0">
            <w:pPr>
              <w:jc w:val="both"/>
              <w:rPr>
                <w:rFonts w:ascii="Times New Roman" w:hAnsi="Times New Roman" w:cs="Times New Roman"/>
                <w:i/>
                <w:noProof/>
                <w:sz w:val="20"/>
                <w:szCs w:val="20"/>
              </w:rPr>
            </w:pPr>
          </w:p>
        </w:tc>
      </w:tr>
      <w:tr w:rsidR="00C611B0">
        <w:tc>
          <w:tcPr>
            <w:tcW w:w="9867" w:type="dxa"/>
            <w:gridSpan w:val="2"/>
            <w:shd w:val="clear" w:color="auto" w:fill="8DB3E2" w:themeFill="text2" w:themeFillTint="66"/>
          </w:tcPr>
          <w:p w:rsidR="00C611B0" w:rsidRDefault="001C428F">
            <w:pPr>
              <w:jc w:val="center"/>
              <w:rPr>
                <w:rFonts w:ascii="Times New Roman" w:hAnsi="Times New Roman" w:cs="Times New Roman"/>
                <w:b/>
                <w:noProof/>
                <w:sz w:val="20"/>
                <w:szCs w:val="20"/>
              </w:rPr>
            </w:pPr>
            <w:r>
              <w:rPr>
                <w:rFonts w:ascii="Times New Roman" w:hAnsi="Times New Roman"/>
                <w:b/>
                <w:noProof/>
                <w:sz w:val="20"/>
              </w:rPr>
              <w:t>Динамични пазари на труда и справедливи условия на труд</w:t>
            </w:r>
          </w:p>
        </w:tc>
      </w:tr>
      <w:tr w:rsidR="00C611B0">
        <w:trPr>
          <w:trHeight w:val="346"/>
        </w:trPr>
        <w:tc>
          <w:tcPr>
            <w:tcW w:w="2325" w:type="dxa"/>
            <w:vMerge w:val="restart"/>
            <w:shd w:val="clear" w:color="auto" w:fill="DBE5F1" w:themeFill="accent1" w:themeFillTint="33"/>
          </w:tcPr>
          <w:p w:rsidR="00C611B0" w:rsidRDefault="001C428F">
            <w:pPr>
              <w:contextualSpacing/>
              <w:rPr>
                <w:rFonts w:ascii="Times New Roman" w:hAnsi="Times New Roman" w:cs="Times New Roman"/>
                <w:noProof/>
              </w:rPr>
            </w:pPr>
            <w:r>
              <w:rPr>
                <w:rFonts w:ascii="Times New Roman" w:hAnsi="Times New Roman"/>
                <w:b/>
                <w:noProof/>
                <w:sz w:val="20"/>
              </w:rPr>
              <w:t>Структура на работната сила</w:t>
            </w: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 xml:space="preserve">Равнище на заетост  </w:t>
            </w:r>
          </w:p>
          <w:p w:rsidR="00C611B0" w:rsidRDefault="001C428F">
            <w:pPr>
              <w:jc w:val="both"/>
              <w:rPr>
                <w:rFonts w:ascii="Times New Roman" w:hAnsi="Times New Roman" w:cs="Times New Roman"/>
                <w:b/>
                <w:i/>
                <w:noProof/>
                <w:sz w:val="20"/>
                <w:szCs w:val="20"/>
              </w:rPr>
            </w:pPr>
            <w:r>
              <w:rPr>
                <w:rFonts w:ascii="Times New Roman" w:hAnsi="Times New Roman"/>
                <w:b/>
                <w:i/>
                <w:noProof/>
                <w:sz w:val="20"/>
              </w:rPr>
              <w:t xml:space="preserve">(за възраст 20-64 години, по пол, възраст и степен на завършено образование) </w:t>
            </w:r>
          </w:p>
          <w:p w:rsidR="00C611B0" w:rsidRDefault="001C428F">
            <w:pPr>
              <w:jc w:val="both"/>
              <w:rPr>
                <w:rFonts w:ascii="Times New Roman" w:hAnsi="Times New Roman" w:cs="Times New Roman"/>
                <w:b/>
                <w:noProof/>
                <w:sz w:val="20"/>
                <w:szCs w:val="20"/>
              </w:rPr>
            </w:pPr>
            <w:r>
              <w:rPr>
                <w:rFonts w:ascii="Times New Roman" w:hAnsi="Times New Roman"/>
                <w:b/>
                <w:i/>
                <w:noProof/>
                <w:sz w:val="20"/>
              </w:rPr>
              <w:t>Евростат</w:t>
            </w:r>
          </w:p>
        </w:tc>
      </w:tr>
      <w:tr w:rsidR="00C611B0">
        <w:trPr>
          <w:trHeight w:val="184"/>
        </w:trPr>
        <w:tc>
          <w:tcPr>
            <w:tcW w:w="2325" w:type="dxa"/>
            <w:vMerge/>
            <w:shd w:val="clear" w:color="auto" w:fill="DBE5F1" w:themeFill="accent1" w:themeFillTint="33"/>
          </w:tcPr>
          <w:p w:rsidR="00C611B0" w:rsidRDefault="00C611B0">
            <w:pPr>
              <w:contextualSpacing/>
              <w:rPr>
                <w:rFonts w:ascii="Times New Roman" w:hAnsi="Times New Roman" w:cs="Times New Roman"/>
                <w:b/>
                <w:noProof/>
                <w:sz w:val="20"/>
                <w:szCs w:val="20"/>
              </w:rPr>
            </w:pP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 xml:space="preserve">Равнище на безработицата </w:t>
            </w:r>
          </w:p>
          <w:p w:rsidR="00C611B0" w:rsidRDefault="001C428F">
            <w:pPr>
              <w:jc w:val="both"/>
              <w:rPr>
                <w:rFonts w:ascii="Times New Roman" w:hAnsi="Times New Roman" w:cs="Times New Roman"/>
                <w:b/>
                <w:noProof/>
                <w:sz w:val="20"/>
                <w:szCs w:val="20"/>
              </w:rPr>
            </w:pPr>
            <w:r>
              <w:rPr>
                <w:rFonts w:ascii="Times New Roman" w:hAnsi="Times New Roman"/>
                <w:b/>
                <w:noProof/>
                <w:sz w:val="20"/>
              </w:rPr>
              <w:t>(</w:t>
            </w:r>
            <w:r>
              <w:rPr>
                <w:rFonts w:ascii="Times New Roman" w:hAnsi="Times New Roman"/>
                <w:b/>
                <w:i/>
                <w:noProof/>
                <w:sz w:val="20"/>
              </w:rPr>
              <w:t>за възрастова група 15-74 години, по пол, възраст и степен на завършено образование)</w:t>
            </w:r>
          </w:p>
          <w:p w:rsidR="00C611B0" w:rsidRDefault="001C428F">
            <w:pPr>
              <w:jc w:val="both"/>
              <w:rPr>
                <w:rFonts w:ascii="Times New Roman" w:hAnsi="Times New Roman" w:cs="Times New Roman"/>
                <w:b/>
                <w:i/>
                <w:noProof/>
                <w:sz w:val="20"/>
                <w:szCs w:val="20"/>
              </w:rPr>
            </w:pPr>
            <w:r>
              <w:rPr>
                <w:rFonts w:ascii="Times New Roman" w:hAnsi="Times New Roman"/>
                <w:b/>
                <w:i/>
                <w:noProof/>
                <w:sz w:val="20"/>
              </w:rPr>
              <w:t>Евростат</w:t>
            </w:r>
          </w:p>
          <w:p w:rsidR="00C611B0" w:rsidRDefault="00C611B0">
            <w:pPr>
              <w:jc w:val="both"/>
              <w:rPr>
                <w:rFonts w:ascii="Times New Roman" w:hAnsi="Times New Roman" w:cs="Times New Roman"/>
                <w:b/>
                <w:noProof/>
                <w:sz w:val="20"/>
                <w:szCs w:val="20"/>
              </w:rPr>
            </w:pPr>
          </w:p>
        </w:tc>
      </w:tr>
      <w:tr w:rsidR="00C611B0">
        <w:trPr>
          <w:trHeight w:val="184"/>
        </w:trPr>
        <w:tc>
          <w:tcPr>
            <w:tcW w:w="2325" w:type="dxa"/>
            <w:vMerge/>
            <w:shd w:val="clear" w:color="auto" w:fill="DBE5F1" w:themeFill="accent1" w:themeFillTint="33"/>
          </w:tcPr>
          <w:p w:rsidR="00C611B0" w:rsidRDefault="00C611B0">
            <w:pPr>
              <w:contextualSpacing/>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Равнище на активност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(За възраст 15—64 години, по пол и възраст)</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b/>
                <w:noProof/>
                <w:sz w:val="20"/>
                <w:szCs w:val="20"/>
              </w:rPr>
            </w:pPr>
          </w:p>
        </w:tc>
      </w:tr>
      <w:tr w:rsidR="00C611B0">
        <w:trPr>
          <w:trHeight w:val="574"/>
        </w:trPr>
        <w:tc>
          <w:tcPr>
            <w:tcW w:w="2325" w:type="dxa"/>
            <w:vMerge/>
            <w:shd w:val="clear" w:color="auto" w:fill="DBE5F1" w:themeFill="accent1" w:themeFillTint="33"/>
          </w:tcPr>
          <w:p w:rsidR="00C611B0" w:rsidRDefault="00C611B0">
            <w:pPr>
              <w:contextualSpacing/>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Равнище на безработицата сред младите хора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(За </w:t>
            </w:r>
            <w:r>
              <w:rPr>
                <w:rFonts w:ascii="Times New Roman" w:hAnsi="Times New Roman"/>
                <w:i/>
                <w:noProof/>
                <w:sz w:val="20"/>
              </w:rPr>
              <w:t>възраст 15—24 години, по пол)</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i/>
                <w:noProof/>
                <w:sz w:val="20"/>
                <w:szCs w:val="20"/>
              </w:rPr>
            </w:pPr>
          </w:p>
        </w:tc>
      </w:tr>
      <w:tr w:rsidR="00C611B0">
        <w:trPr>
          <w:trHeight w:val="584"/>
        </w:trPr>
        <w:tc>
          <w:tcPr>
            <w:tcW w:w="2325" w:type="dxa"/>
            <w:vMerge/>
            <w:shd w:val="clear" w:color="auto" w:fill="DBE5F1" w:themeFill="accent1" w:themeFillTint="33"/>
          </w:tcPr>
          <w:p w:rsidR="00C611B0" w:rsidRDefault="00C611B0">
            <w:pPr>
              <w:contextualSpacing/>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Дял на дълготрайната безработица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(в цялото активно население по пол)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i/>
                <w:noProof/>
                <w:sz w:val="20"/>
                <w:szCs w:val="20"/>
              </w:rPr>
            </w:pPr>
          </w:p>
        </w:tc>
      </w:tr>
      <w:tr w:rsidR="00C611B0">
        <w:trPr>
          <w:trHeight w:val="612"/>
        </w:trPr>
        <w:tc>
          <w:tcPr>
            <w:tcW w:w="2325" w:type="dxa"/>
            <w:vMerge w:val="restart"/>
            <w:shd w:val="clear" w:color="auto" w:fill="DBE5F1" w:themeFill="accent1" w:themeFillTint="33"/>
          </w:tcPr>
          <w:p w:rsidR="00C611B0" w:rsidRDefault="001C428F">
            <w:pPr>
              <w:rPr>
                <w:rFonts w:ascii="Times New Roman" w:hAnsi="Times New Roman" w:cs="Times New Roman"/>
                <w:b/>
                <w:noProof/>
                <w:sz w:val="20"/>
                <w:szCs w:val="20"/>
              </w:rPr>
            </w:pPr>
            <w:r>
              <w:rPr>
                <w:rFonts w:ascii="Times New Roman" w:hAnsi="Times New Roman"/>
                <w:b/>
                <w:noProof/>
                <w:sz w:val="20"/>
              </w:rPr>
              <w:t>Динамиката на пазара на труда</w:t>
            </w: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Мерки за активизиране — участници в политики по заетостта на 100 души, които искат да работят (общо)</w:t>
            </w:r>
          </w:p>
          <w:p w:rsidR="00C611B0" w:rsidRDefault="001C428F">
            <w:pPr>
              <w:jc w:val="both"/>
              <w:rPr>
                <w:rFonts w:ascii="Times New Roman" w:hAnsi="Times New Roman" w:cs="Times New Roman"/>
                <w:b/>
                <w:noProof/>
                <w:sz w:val="20"/>
                <w:szCs w:val="20"/>
              </w:rPr>
            </w:pPr>
            <w:r>
              <w:rPr>
                <w:rFonts w:ascii="Times New Roman" w:hAnsi="Times New Roman"/>
                <w:b/>
                <w:i/>
                <w:noProof/>
                <w:sz w:val="20"/>
              </w:rPr>
              <w:t>Евростат</w:t>
            </w:r>
          </w:p>
          <w:p w:rsidR="00C611B0" w:rsidRDefault="00C611B0">
            <w:pPr>
              <w:jc w:val="both"/>
              <w:rPr>
                <w:rFonts w:ascii="Times New Roman" w:hAnsi="Times New Roman" w:cs="Times New Roman"/>
                <w:noProof/>
                <w:sz w:val="20"/>
                <w:szCs w:val="20"/>
              </w:rPr>
            </w:pPr>
          </w:p>
        </w:tc>
      </w:tr>
      <w:tr w:rsidR="00C611B0">
        <w:trPr>
          <w:trHeight w:val="20"/>
        </w:trPr>
        <w:tc>
          <w:tcPr>
            <w:tcW w:w="2325" w:type="dxa"/>
            <w:vMerge/>
            <w:shd w:val="clear" w:color="auto" w:fill="DBE5F1" w:themeFill="accent1" w:themeFillTint="33"/>
          </w:tcPr>
          <w:p w:rsidR="00C611B0" w:rsidRDefault="00C611B0">
            <w:pPr>
              <w:contextualSpacing/>
              <w:jc w:val="both"/>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i/>
                <w:noProof/>
                <w:sz w:val="20"/>
              </w:rPr>
            </w:pPr>
            <w:r>
              <w:rPr>
                <w:rFonts w:ascii="Times New Roman" w:hAnsi="Times New Roman"/>
                <w:i/>
                <w:noProof/>
                <w:sz w:val="20"/>
              </w:rPr>
              <w:t>Заетост на сегашното работно място по продължителност</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(Процент на заетитие лица, заемащи сегашната си работа, по продължителност (една година или по-малко, 1 до 2 години, 2 до 5 години, над 5 години)</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b/>
                <w:i/>
                <w:noProof/>
                <w:sz w:val="20"/>
                <w:szCs w:val="20"/>
              </w:rPr>
            </w:pPr>
          </w:p>
        </w:tc>
      </w:tr>
      <w:tr w:rsidR="00C611B0">
        <w:trPr>
          <w:trHeight w:val="544"/>
        </w:trPr>
        <w:tc>
          <w:tcPr>
            <w:tcW w:w="2325" w:type="dxa"/>
            <w:vMerge/>
            <w:shd w:val="clear" w:color="auto" w:fill="DBE5F1" w:themeFill="accent1" w:themeFillTint="33"/>
          </w:tcPr>
          <w:p w:rsidR="00C611B0" w:rsidRDefault="00C611B0">
            <w:pPr>
              <w:contextualSpacing/>
              <w:jc w:val="both"/>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Степен на преминаване от срочни към постоянни договори (средна продължителност 3 години)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от населението на  8 години, чийто статут е променен от работа на срочен договор на постоянен  договор а в текущата година, по пол)</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i/>
                <w:noProof/>
                <w:sz w:val="20"/>
                <w:szCs w:val="20"/>
              </w:rPr>
            </w:pPr>
          </w:p>
        </w:tc>
      </w:tr>
      <w:tr w:rsidR="00C611B0">
        <w:trPr>
          <w:trHeight w:val="208"/>
        </w:trPr>
        <w:tc>
          <w:tcPr>
            <w:tcW w:w="2325" w:type="dxa"/>
            <w:vMerge w:val="restart"/>
            <w:shd w:val="clear" w:color="auto" w:fill="DBE5F1" w:themeFill="accent1" w:themeFillTint="33"/>
          </w:tcPr>
          <w:p w:rsidR="00C611B0" w:rsidRDefault="001C428F">
            <w:pPr>
              <w:contextualSpacing/>
              <w:rPr>
                <w:rFonts w:ascii="Times New Roman" w:hAnsi="Times New Roman" w:cs="Times New Roman"/>
                <w:b/>
                <w:noProof/>
                <w:sz w:val="20"/>
                <w:szCs w:val="20"/>
              </w:rPr>
            </w:pPr>
            <w:r>
              <w:rPr>
                <w:rFonts w:ascii="Times New Roman" w:hAnsi="Times New Roman"/>
                <w:b/>
                <w:noProof/>
                <w:sz w:val="20"/>
              </w:rPr>
              <w:t>Приходи, включително</w:t>
            </w:r>
            <w:r>
              <w:rPr>
                <w:rFonts w:ascii="Times New Roman" w:hAnsi="Times New Roman"/>
                <w:b/>
                <w:noProof/>
                <w:sz w:val="20"/>
              </w:rPr>
              <w:t xml:space="preserve"> свързаните със заетостта </w:t>
            </w: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Брутен коригиран разполагаем доход на домакинствата, на глава от населението, по стандарт на покупателна способност (СПС), в реално изражение: Индекс 2008 г. = 100</w:t>
            </w:r>
          </w:p>
          <w:p w:rsidR="00C611B0" w:rsidRDefault="001C428F">
            <w:pPr>
              <w:spacing w:after="200" w:line="276" w:lineRule="auto"/>
              <w:jc w:val="both"/>
              <w:rPr>
                <w:rFonts w:ascii="Times New Roman" w:hAnsi="Times New Roman" w:cs="Times New Roman"/>
                <w:b/>
                <w:i/>
                <w:noProof/>
                <w:sz w:val="20"/>
                <w:szCs w:val="20"/>
              </w:rPr>
            </w:pPr>
            <w:r>
              <w:rPr>
                <w:rFonts w:ascii="Times New Roman" w:hAnsi="Times New Roman"/>
                <w:b/>
                <w:i/>
                <w:noProof/>
                <w:sz w:val="20"/>
              </w:rPr>
              <w:t>Евростат</w:t>
            </w:r>
          </w:p>
          <w:p w:rsidR="00C611B0" w:rsidRDefault="00C611B0">
            <w:pPr>
              <w:jc w:val="both"/>
              <w:rPr>
                <w:rFonts w:ascii="Times New Roman" w:hAnsi="Times New Roman" w:cs="Times New Roman"/>
                <w:b/>
                <w:noProof/>
                <w:sz w:val="20"/>
                <w:szCs w:val="20"/>
              </w:rPr>
            </w:pPr>
          </w:p>
        </w:tc>
      </w:tr>
      <w:tr w:rsidR="00C611B0">
        <w:trPr>
          <w:trHeight w:val="208"/>
        </w:trPr>
        <w:tc>
          <w:tcPr>
            <w:tcW w:w="2325" w:type="dxa"/>
            <w:vMerge/>
            <w:shd w:val="clear" w:color="auto" w:fill="DBE5F1" w:themeFill="accent1" w:themeFillTint="33"/>
          </w:tcPr>
          <w:p w:rsidR="00C611B0" w:rsidRDefault="00C611B0">
            <w:pPr>
              <w:contextualSpacing/>
              <w:rPr>
                <w:rFonts w:ascii="Times New Roman" w:hAnsi="Times New Roman" w:cs="Times New Roman"/>
                <w:b/>
                <w:noProof/>
                <w:sz w:val="20"/>
                <w:szCs w:val="20"/>
              </w:rPr>
            </w:pP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Възнаграждения на служителите на отработен час</w:t>
            </w:r>
          </w:p>
          <w:p w:rsidR="00C611B0" w:rsidRDefault="001C428F">
            <w:pPr>
              <w:jc w:val="both"/>
              <w:rPr>
                <w:rFonts w:ascii="Times New Roman" w:hAnsi="Times New Roman" w:cs="Times New Roman"/>
                <w:b/>
                <w:i/>
                <w:noProof/>
                <w:sz w:val="20"/>
                <w:szCs w:val="20"/>
              </w:rPr>
            </w:pPr>
            <w:r>
              <w:rPr>
                <w:rFonts w:ascii="Times New Roman" w:hAnsi="Times New Roman"/>
                <w:b/>
                <w:i/>
                <w:noProof/>
                <w:sz w:val="20"/>
              </w:rPr>
              <w:t xml:space="preserve">Собствени изчисления въз основа на данни от Евростат </w:t>
            </w:r>
          </w:p>
          <w:p w:rsidR="00C611B0" w:rsidRDefault="00C611B0">
            <w:pPr>
              <w:jc w:val="both"/>
              <w:rPr>
                <w:rFonts w:ascii="Times New Roman" w:hAnsi="Times New Roman" w:cs="Times New Roman"/>
                <w:i/>
                <w:noProof/>
                <w:sz w:val="20"/>
                <w:szCs w:val="20"/>
              </w:rPr>
            </w:pPr>
          </w:p>
        </w:tc>
      </w:tr>
      <w:tr w:rsidR="00C611B0">
        <w:trPr>
          <w:trHeight w:val="478"/>
        </w:trPr>
        <w:tc>
          <w:tcPr>
            <w:tcW w:w="2325" w:type="dxa"/>
            <w:vMerge/>
            <w:shd w:val="clear" w:color="auto" w:fill="DBE5F1" w:themeFill="accent1" w:themeFillTint="33"/>
          </w:tcPr>
          <w:p w:rsidR="00C611B0" w:rsidRDefault="00C611B0">
            <w:pPr>
              <w:contextualSpacing/>
              <w:jc w:val="both"/>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Процент на работещи лица, изложени на риск от бедност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 от активното население на възраст на 18 и повече години, които са изложени на риск от бедност, по пол)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jc w:val="both"/>
              <w:rPr>
                <w:rFonts w:ascii="Times New Roman" w:hAnsi="Times New Roman" w:cs="Times New Roman"/>
                <w:i/>
                <w:noProof/>
                <w:color w:val="FF0000"/>
                <w:sz w:val="20"/>
                <w:szCs w:val="20"/>
              </w:rPr>
            </w:pPr>
          </w:p>
          <w:p w:rsidR="00C611B0" w:rsidRDefault="00C611B0">
            <w:pPr>
              <w:jc w:val="both"/>
              <w:rPr>
                <w:rFonts w:ascii="Times New Roman" w:hAnsi="Times New Roman" w:cs="Times New Roman"/>
                <w:i/>
                <w:noProof/>
                <w:sz w:val="20"/>
                <w:szCs w:val="20"/>
              </w:rPr>
            </w:pPr>
          </w:p>
        </w:tc>
      </w:tr>
      <w:tr w:rsidR="00C611B0">
        <w:tc>
          <w:tcPr>
            <w:tcW w:w="9867" w:type="dxa"/>
            <w:gridSpan w:val="2"/>
            <w:shd w:val="clear" w:color="auto" w:fill="8DB3E2" w:themeFill="text2" w:themeFillTint="66"/>
          </w:tcPr>
          <w:p w:rsidR="00C611B0" w:rsidRDefault="001C428F">
            <w:pPr>
              <w:jc w:val="center"/>
              <w:rPr>
                <w:rFonts w:ascii="Times New Roman" w:hAnsi="Times New Roman" w:cs="Times New Roman"/>
                <w:b/>
                <w:noProof/>
                <w:sz w:val="20"/>
                <w:szCs w:val="20"/>
              </w:rPr>
            </w:pPr>
            <w:r>
              <w:rPr>
                <w:rFonts w:ascii="Times New Roman" w:hAnsi="Times New Roman"/>
                <w:b/>
                <w:noProof/>
                <w:sz w:val="20"/>
              </w:rPr>
              <w:t xml:space="preserve">Публичното </w:t>
            </w:r>
            <w:r>
              <w:rPr>
                <w:rFonts w:ascii="Times New Roman" w:hAnsi="Times New Roman"/>
                <w:b/>
                <w:noProof/>
                <w:sz w:val="20"/>
              </w:rPr>
              <w:t>подпомагане/Социална закрила и интегриране</w:t>
            </w:r>
          </w:p>
        </w:tc>
      </w:tr>
      <w:tr w:rsidR="00C611B0">
        <w:trPr>
          <w:trHeight w:val="288"/>
        </w:trPr>
        <w:tc>
          <w:tcPr>
            <w:tcW w:w="2325" w:type="dxa"/>
            <w:vMerge w:val="restart"/>
            <w:shd w:val="clear" w:color="auto" w:fill="DBE5F1" w:themeFill="accent1" w:themeFillTint="33"/>
          </w:tcPr>
          <w:p w:rsidR="00C611B0" w:rsidRDefault="001C428F">
            <w:pPr>
              <w:contextualSpacing/>
              <w:rPr>
                <w:rFonts w:ascii="Times New Roman" w:hAnsi="Times New Roman" w:cs="Times New Roman"/>
                <w:b/>
                <w:noProof/>
                <w:sz w:val="20"/>
                <w:szCs w:val="20"/>
              </w:rPr>
            </w:pPr>
            <w:r>
              <w:rPr>
                <w:rFonts w:ascii="Times New Roman" w:hAnsi="Times New Roman"/>
                <w:b/>
                <w:noProof/>
                <w:sz w:val="20"/>
              </w:rPr>
              <w:t xml:space="preserve">Въздействие от обществените политики за намаляване на бедността </w:t>
            </w: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Въздействие на социалните трансфери (различни от пенсии) за намаляване на бедността</w:t>
            </w:r>
          </w:p>
          <w:p w:rsidR="00C611B0" w:rsidRDefault="001C428F">
            <w:pPr>
              <w:jc w:val="both"/>
              <w:rPr>
                <w:rFonts w:ascii="Times New Roman" w:hAnsi="Times New Roman" w:cs="Times New Roman"/>
                <w:b/>
                <w:i/>
                <w:noProof/>
                <w:sz w:val="20"/>
                <w:szCs w:val="20"/>
              </w:rPr>
            </w:pPr>
            <w:r>
              <w:rPr>
                <w:rFonts w:ascii="Times New Roman" w:hAnsi="Times New Roman"/>
                <w:b/>
                <w:i/>
                <w:noProof/>
                <w:sz w:val="20"/>
              </w:rPr>
              <w:t xml:space="preserve">(Разлика, за цялото население, между дела на хората, изложени на риск от бедност преди и след социалните трансфери, по пол) </w:t>
            </w:r>
          </w:p>
          <w:p w:rsidR="00C611B0" w:rsidRDefault="001C428F">
            <w:pPr>
              <w:jc w:val="both"/>
              <w:rPr>
                <w:rFonts w:ascii="Times New Roman" w:hAnsi="Times New Roman" w:cs="Times New Roman"/>
                <w:b/>
                <w:i/>
                <w:noProof/>
                <w:sz w:val="20"/>
                <w:szCs w:val="20"/>
              </w:rPr>
            </w:pPr>
            <w:r>
              <w:rPr>
                <w:rFonts w:ascii="Times New Roman" w:hAnsi="Times New Roman"/>
                <w:b/>
                <w:i/>
                <w:noProof/>
                <w:sz w:val="20"/>
              </w:rPr>
              <w:t>Евростат</w:t>
            </w:r>
          </w:p>
          <w:p w:rsidR="00C611B0" w:rsidRDefault="00C611B0">
            <w:pPr>
              <w:jc w:val="both"/>
              <w:rPr>
                <w:rFonts w:ascii="Times New Roman" w:hAnsi="Times New Roman" w:cs="Times New Roman"/>
                <w:noProof/>
                <w:sz w:val="20"/>
                <w:szCs w:val="20"/>
              </w:rPr>
            </w:pPr>
          </w:p>
        </w:tc>
      </w:tr>
      <w:tr w:rsidR="00C611B0">
        <w:trPr>
          <w:trHeight w:val="968"/>
        </w:trPr>
        <w:tc>
          <w:tcPr>
            <w:tcW w:w="2325" w:type="dxa"/>
            <w:vMerge/>
            <w:shd w:val="clear" w:color="auto" w:fill="DBE5F1" w:themeFill="accent1" w:themeFillTint="33"/>
          </w:tcPr>
          <w:p w:rsidR="00C611B0" w:rsidRDefault="00C611B0">
            <w:pPr>
              <w:contextualSpacing/>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Разходи на сектор „Държавно управление“ по функции</w:t>
            </w:r>
          </w:p>
          <w:p w:rsidR="00C611B0" w:rsidRDefault="001C428F">
            <w:pPr>
              <w:jc w:val="both"/>
              <w:rPr>
                <w:rFonts w:ascii="Times New Roman" w:hAnsi="Times New Roman" w:cs="Times New Roman"/>
                <w:i/>
                <w:noProof/>
                <w:sz w:val="20"/>
                <w:szCs w:val="20"/>
              </w:rPr>
            </w:pPr>
            <w:r>
              <w:rPr>
                <w:rFonts w:ascii="Times New Roman" w:hAnsi="Times New Roman"/>
                <w:i/>
                <w:noProof/>
                <w:sz w:val="20"/>
              </w:rPr>
              <w:t>(Общи държавни разходи, като процент от БВП, по функции (социална за</w:t>
            </w:r>
            <w:r>
              <w:rPr>
                <w:rFonts w:ascii="Times New Roman" w:hAnsi="Times New Roman"/>
                <w:i/>
                <w:noProof/>
                <w:sz w:val="20"/>
              </w:rPr>
              <w:t>крила, здравеопазване и образование)</w:t>
            </w:r>
          </w:p>
          <w:p w:rsidR="00C611B0" w:rsidRDefault="001C428F">
            <w:pPr>
              <w:jc w:val="both"/>
              <w:rPr>
                <w:rFonts w:ascii="Times New Roman" w:hAnsi="Times New Roman" w:cs="Times New Roman"/>
                <w:b/>
                <w:noProof/>
                <w:sz w:val="20"/>
                <w:szCs w:val="20"/>
              </w:rPr>
            </w:pPr>
            <w:r>
              <w:rPr>
                <w:rFonts w:ascii="Times New Roman" w:hAnsi="Times New Roman"/>
                <w:i/>
                <w:noProof/>
                <w:sz w:val="20"/>
              </w:rPr>
              <w:t>Евростат</w:t>
            </w:r>
          </w:p>
        </w:tc>
      </w:tr>
      <w:tr w:rsidR="00C611B0">
        <w:trPr>
          <w:trHeight w:val="184"/>
        </w:trPr>
        <w:tc>
          <w:tcPr>
            <w:tcW w:w="2325" w:type="dxa"/>
            <w:vMerge/>
            <w:shd w:val="clear" w:color="auto" w:fill="DBE5F1" w:themeFill="accent1" w:themeFillTint="33"/>
          </w:tcPr>
          <w:p w:rsidR="00C611B0" w:rsidRDefault="00C611B0">
            <w:pPr>
              <w:contextualSpacing/>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Агрегиран коефициент на заместване за пенсиите </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(Съотношение на средните индивидуални брутни пенсии на лицата на възраст 65-74 години към средните индивидуални брутни приходи за лицата на възраст 50-59 </w:t>
            </w:r>
            <w:r>
              <w:rPr>
                <w:rFonts w:ascii="Times New Roman" w:hAnsi="Times New Roman"/>
                <w:i/>
                <w:noProof/>
                <w:sz w:val="20"/>
              </w:rPr>
              <w:t>години)</w:t>
            </w:r>
          </w:p>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Евростат </w:t>
            </w:r>
          </w:p>
          <w:p w:rsidR="00C611B0" w:rsidRDefault="00C611B0">
            <w:pPr>
              <w:jc w:val="both"/>
              <w:rPr>
                <w:rFonts w:ascii="Times New Roman" w:hAnsi="Times New Roman" w:cs="Times New Roman"/>
                <w:i/>
                <w:noProof/>
                <w:sz w:val="20"/>
                <w:szCs w:val="20"/>
              </w:rPr>
            </w:pPr>
          </w:p>
        </w:tc>
      </w:tr>
      <w:tr w:rsidR="00C611B0">
        <w:trPr>
          <w:trHeight w:val="613"/>
        </w:trPr>
        <w:tc>
          <w:tcPr>
            <w:tcW w:w="2325" w:type="dxa"/>
            <w:shd w:val="clear" w:color="auto" w:fill="DBE5F1" w:themeFill="accent1" w:themeFillTint="33"/>
          </w:tcPr>
          <w:p w:rsidR="00C611B0" w:rsidRDefault="001C428F">
            <w:pPr>
              <w:contextualSpacing/>
              <w:rPr>
                <w:rFonts w:ascii="Times New Roman" w:hAnsi="Times New Roman" w:cs="Times New Roman"/>
                <w:noProof/>
              </w:rPr>
            </w:pPr>
            <w:r>
              <w:rPr>
                <w:rFonts w:ascii="Times New Roman" w:hAnsi="Times New Roman"/>
                <w:b/>
                <w:noProof/>
                <w:sz w:val="20"/>
              </w:rPr>
              <w:t xml:space="preserve">Грижи в ранна детска възраст. </w:t>
            </w: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 xml:space="preserve">Деца на възраст до три години, които посещават професионални заведения за грижи за деца </w:t>
            </w:r>
          </w:p>
          <w:p w:rsidR="00C611B0" w:rsidRDefault="001C428F">
            <w:pPr>
              <w:jc w:val="both"/>
              <w:rPr>
                <w:rFonts w:ascii="Times New Roman" w:hAnsi="Times New Roman" w:cs="Times New Roman"/>
                <w:b/>
                <w:i/>
                <w:noProof/>
                <w:sz w:val="20"/>
                <w:szCs w:val="20"/>
              </w:rPr>
            </w:pPr>
            <w:r>
              <w:rPr>
                <w:rFonts w:ascii="Times New Roman" w:hAnsi="Times New Roman"/>
                <w:b/>
                <w:i/>
                <w:noProof/>
                <w:sz w:val="20"/>
              </w:rPr>
              <w:t xml:space="preserve">(Деца в професионални заведения за грижи за деца (съотношение на децата в една и съща възрастова група от 0 до 3 години)) </w:t>
            </w:r>
          </w:p>
          <w:p w:rsidR="00C611B0" w:rsidRDefault="001C428F">
            <w:pPr>
              <w:rPr>
                <w:rFonts w:ascii="Times New Roman" w:eastAsiaTheme="minorHAnsi" w:hAnsi="Times New Roman" w:cs="Times New Roman"/>
                <w:b/>
                <w:noProof/>
                <w:sz w:val="20"/>
                <w:szCs w:val="20"/>
              </w:rPr>
            </w:pPr>
            <w:r>
              <w:rPr>
                <w:rFonts w:ascii="Times New Roman" w:hAnsi="Times New Roman"/>
                <w:b/>
                <w:i/>
                <w:noProof/>
                <w:sz w:val="20"/>
              </w:rPr>
              <w:t>Евростат</w:t>
            </w:r>
          </w:p>
          <w:p w:rsidR="00C611B0" w:rsidRDefault="00C611B0">
            <w:pPr>
              <w:rPr>
                <w:rFonts w:ascii="Times New Roman" w:hAnsi="Times New Roman" w:cs="Times New Roman"/>
                <w:b/>
                <w:noProof/>
                <w:sz w:val="20"/>
                <w:szCs w:val="20"/>
              </w:rPr>
            </w:pPr>
          </w:p>
          <w:p w:rsidR="00C611B0" w:rsidRDefault="00C611B0">
            <w:pPr>
              <w:rPr>
                <w:rFonts w:ascii="Times New Roman" w:hAnsi="Times New Roman" w:cs="Times New Roman"/>
                <w:b/>
                <w:noProof/>
                <w:sz w:val="20"/>
                <w:szCs w:val="20"/>
              </w:rPr>
            </w:pPr>
          </w:p>
        </w:tc>
      </w:tr>
      <w:tr w:rsidR="00C611B0">
        <w:trPr>
          <w:trHeight w:val="416"/>
        </w:trPr>
        <w:tc>
          <w:tcPr>
            <w:tcW w:w="2325" w:type="dxa"/>
            <w:vMerge w:val="restart"/>
            <w:shd w:val="clear" w:color="auto" w:fill="DBE5F1" w:themeFill="accent1" w:themeFillTint="33"/>
          </w:tcPr>
          <w:p w:rsidR="00C611B0" w:rsidRDefault="001C428F">
            <w:pPr>
              <w:contextualSpacing/>
              <w:jc w:val="both"/>
              <w:rPr>
                <w:rFonts w:ascii="Times New Roman" w:hAnsi="Times New Roman" w:cs="Times New Roman"/>
                <w:noProof/>
              </w:rPr>
            </w:pPr>
            <w:r>
              <w:rPr>
                <w:rFonts w:ascii="Times New Roman" w:hAnsi="Times New Roman"/>
                <w:b/>
                <w:noProof/>
                <w:sz w:val="20"/>
              </w:rPr>
              <w:t>Здравно обслужване</w:t>
            </w: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 xml:space="preserve">Неудовлетворени по собствена преценка потребности от медицински грижи (EU SILC) </w:t>
            </w:r>
          </w:p>
          <w:p w:rsidR="00C611B0" w:rsidRDefault="001C428F">
            <w:pPr>
              <w:jc w:val="both"/>
              <w:rPr>
                <w:rFonts w:ascii="Times New Roman" w:hAnsi="Times New Roman" w:cs="Times New Roman"/>
                <w:b/>
                <w:i/>
                <w:noProof/>
                <w:sz w:val="20"/>
                <w:szCs w:val="20"/>
              </w:rPr>
            </w:pPr>
            <w:r>
              <w:rPr>
                <w:rFonts w:ascii="Times New Roman" w:hAnsi="Times New Roman"/>
                <w:b/>
                <w:i/>
                <w:noProof/>
                <w:sz w:val="20"/>
              </w:rPr>
              <w:t xml:space="preserve">(% от общото население, които са съобщили  за неудовлетворени по собствена преценка потребности от медицински грижи, по пол) </w:t>
            </w:r>
          </w:p>
          <w:p w:rsidR="00C611B0" w:rsidRDefault="001C428F">
            <w:pPr>
              <w:spacing w:after="200" w:line="276" w:lineRule="auto"/>
              <w:jc w:val="both"/>
              <w:rPr>
                <w:rFonts w:ascii="Times New Roman" w:hAnsi="Times New Roman" w:cs="Times New Roman"/>
                <w:b/>
                <w:i/>
                <w:noProof/>
                <w:sz w:val="20"/>
                <w:szCs w:val="20"/>
                <w:lang w:val="en-GB"/>
              </w:rPr>
            </w:pPr>
            <w:r>
              <w:rPr>
                <w:rFonts w:ascii="Times New Roman" w:hAnsi="Times New Roman"/>
                <w:b/>
                <w:i/>
                <w:noProof/>
                <w:sz w:val="20"/>
              </w:rPr>
              <w:t>Евростат</w:t>
            </w:r>
          </w:p>
        </w:tc>
      </w:tr>
      <w:tr w:rsidR="00C611B0">
        <w:trPr>
          <w:trHeight w:val="276"/>
        </w:trPr>
        <w:tc>
          <w:tcPr>
            <w:tcW w:w="2325" w:type="dxa"/>
            <w:vMerge/>
            <w:shd w:val="clear" w:color="auto" w:fill="DBE5F1" w:themeFill="accent1" w:themeFillTint="33"/>
          </w:tcPr>
          <w:p w:rsidR="00C611B0" w:rsidRDefault="00C611B0">
            <w:pPr>
              <w:contextualSpacing/>
              <w:jc w:val="both"/>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Живот в добро здраве (на възраст 65 години)</w:t>
            </w:r>
          </w:p>
          <w:p w:rsidR="00C611B0" w:rsidRDefault="001C428F">
            <w:pPr>
              <w:rPr>
                <w:rFonts w:ascii="Times New Roman" w:hAnsi="Times New Roman" w:cs="Times New Roman"/>
                <w:i/>
                <w:noProof/>
                <w:sz w:val="20"/>
                <w:szCs w:val="20"/>
              </w:rPr>
            </w:pPr>
            <w:r>
              <w:rPr>
                <w:rFonts w:ascii="Times New Roman" w:hAnsi="Times New Roman"/>
                <w:i/>
                <w:noProof/>
                <w:sz w:val="20"/>
              </w:rPr>
              <w:t>Евростат</w:t>
            </w:r>
          </w:p>
          <w:p w:rsidR="00C611B0" w:rsidRDefault="00C611B0">
            <w:pPr>
              <w:rPr>
                <w:rFonts w:ascii="Times New Roman" w:hAnsi="Times New Roman" w:cs="Times New Roman"/>
                <w:b/>
                <w:noProof/>
                <w:sz w:val="20"/>
                <w:szCs w:val="20"/>
                <w:highlight w:val="yellow"/>
              </w:rPr>
            </w:pPr>
          </w:p>
        </w:tc>
      </w:tr>
      <w:tr w:rsidR="00C611B0">
        <w:trPr>
          <w:trHeight w:val="276"/>
        </w:trPr>
        <w:tc>
          <w:tcPr>
            <w:tcW w:w="2325" w:type="dxa"/>
            <w:vMerge/>
            <w:shd w:val="clear" w:color="auto" w:fill="DBE5F1" w:themeFill="accent1" w:themeFillTint="33"/>
          </w:tcPr>
          <w:p w:rsidR="00C611B0" w:rsidRDefault="00C611B0">
            <w:pPr>
              <w:contextualSpacing/>
              <w:jc w:val="both"/>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Преки разходи за здравно обслужване   </w:t>
            </w:r>
          </w:p>
          <w:p w:rsidR="00C611B0" w:rsidRDefault="001C428F">
            <w:pPr>
              <w:jc w:val="both"/>
              <w:rPr>
                <w:rFonts w:ascii="Times New Roman" w:hAnsi="Times New Roman" w:cs="Times New Roman"/>
                <w:i/>
                <w:noProof/>
              </w:rPr>
            </w:pPr>
            <w:r>
              <w:rPr>
                <w:rFonts w:ascii="Times New Roman" w:hAnsi="Times New Roman"/>
                <w:i/>
                <w:noProof/>
              </w:rPr>
              <w:t xml:space="preserve">Евростат </w:t>
            </w:r>
          </w:p>
          <w:p w:rsidR="00C611B0" w:rsidRDefault="001C428F">
            <w:pPr>
              <w:jc w:val="both"/>
              <w:rPr>
                <w:rFonts w:ascii="Times New Roman" w:hAnsi="Times New Roman" w:cs="Times New Roman"/>
                <w:i/>
                <w:noProof/>
                <w:sz w:val="20"/>
                <w:szCs w:val="20"/>
              </w:rPr>
            </w:pPr>
            <w:r>
              <w:rPr>
                <w:rFonts w:ascii="Times New Roman" w:hAnsi="Times New Roman"/>
                <w:i/>
                <w:noProof/>
                <w:color w:val="FF0000"/>
              </w:rPr>
              <w:t xml:space="preserve">   </w:t>
            </w:r>
          </w:p>
        </w:tc>
      </w:tr>
      <w:tr w:rsidR="00C611B0">
        <w:trPr>
          <w:trHeight w:val="151"/>
        </w:trPr>
        <w:tc>
          <w:tcPr>
            <w:tcW w:w="2325" w:type="dxa"/>
            <w:vMerge w:val="restart"/>
            <w:shd w:val="clear" w:color="auto" w:fill="DBE5F1" w:themeFill="accent1" w:themeFillTint="33"/>
          </w:tcPr>
          <w:p w:rsidR="00C611B0" w:rsidRDefault="001C428F">
            <w:pPr>
              <w:contextualSpacing/>
              <w:jc w:val="both"/>
              <w:rPr>
                <w:rFonts w:ascii="Times New Roman" w:hAnsi="Times New Roman" w:cs="Times New Roman"/>
                <w:b/>
                <w:noProof/>
                <w:sz w:val="20"/>
                <w:szCs w:val="20"/>
              </w:rPr>
            </w:pPr>
            <w:r>
              <w:rPr>
                <w:rFonts w:ascii="Times New Roman" w:hAnsi="Times New Roman"/>
                <w:b/>
                <w:noProof/>
                <w:sz w:val="20"/>
              </w:rPr>
              <w:t xml:space="preserve">Достъп до цифрови технологии </w:t>
            </w:r>
          </w:p>
        </w:tc>
        <w:tc>
          <w:tcPr>
            <w:tcW w:w="7542" w:type="dxa"/>
          </w:tcPr>
          <w:p w:rsidR="00C611B0" w:rsidRDefault="001C428F">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Равнище на цифровите умения за отделните лица</w:t>
            </w:r>
          </w:p>
          <w:p w:rsidR="00C611B0" w:rsidRDefault="001C428F">
            <w:pPr>
              <w:jc w:val="both"/>
              <w:rPr>
                <w:rFonts w:ascii="Times New Roman" w:eastAsiaTheme="minorHAnsi" w:hAnsi="Times New Roman" w:cs="Times New Roman"/>
                <w:b/>
                <w:i/>
                <w:noProof/>
                <w:sz w:val="20"/>
                <w:szCs w:val="20"/>
              </w:rPr>
            </w:pPr>
            <w:r>
              <w:rPr>
                <w:rFonts w:ascii="Times New Roman" w:hAnsi="Times New Roman"/>
                <w:b/>
                <w:i/>
                <w:noProof/>
                <w:sz w:val="20"/>
              </w:rPr>
              <w:t xml:space="preserve">(Дял на населението с основни общи умения в областта на цифровите технологии или с по-високи от общите умения в областта на цифровите технологии, по пол)  </w:t>
            </w:r>
          </w:p>
          <w:p w:rsidR="00C611B0" w:rsidRDefault="001C428F">
            <w:pPr>
              <w:ind w:right="220"/>
              <w:rPr>
                <w:rFonts w:ascii="Times New Roman" w:hAnsi="Times New Roman" w:cs="Times New Roman"/>
                <w:b/>
                <w:i/>
                <w:noProof/>
                <w:sz w:val="20"/>
                <w:szCs w:val="20"/>
              </w:rPr>
            </w:pPr>
            <w:r>
              <w:rPr>
                <w:rFonts w:ascii="Times New Roman" w:hAnsi="Times New Roman"/>
                <w:b/>
                <w:i/>
                <w:noProof/>
                <w:sz w:val="20"/>
              </w:rPr>
              <w:t>Евростат</w:t>
            </w:r>
          </w:p>
          <w:p w:rsidR="00C611B0" w:rsidRDefault="00C611B0">
            <w:pPr>
              <w:ind w:right="220"/>
              <w:rPr>
                <w:rFonts w:ascii="Times New Roman" w:hAnsi="Times New Roman" w:cs="Times New Roman"/>
                <w:b/>
                <w:i/>
                <w:noProof/>
                <w:color w:val="0070C0"/>
                <w:sz w:val="20"/>
                <w:szCs w:val="20"/>
              </w:rPr>
            </w:pPr>
          </w:p>
        </w:tc>
      </w:tr>
      <w:tr w:rsidR="00C611B0">
        <w:trPr>
          <w:trHeight w:val="150"/>
        </w:trPr>
        <w:tc>
          <w:tcPr>
            <w:tcW w:w="2325" w:type="dxa"/>
            <w:vMerge/>
            <w:shd w:val="clear" w:color="auto" w:fill="DBE5F1" w:themeFill="accent1" w:themeFillTint="33"/>
          </w:tcPr>
          <w:p w:rsidR="00C611B0" w:rsidRDefault="00C611B0">
            <w:pPr>
              <w:contextualSpacing/>
              <w:jc w:val="both"/>
              <w:rPr>
                <w:rFonts w:ascii="Times New Roman" w:hAnsi="Times New Roman" w:cs="Times New Roman"/>
                <w:b/>
                <w:noProof/>
                <w:sz w:val="20"/>
                <w:szCs w:val="20"/>
              </w:rPr>
            </w:pPr>
          </w:p>
        </w:tc>
        <w:tc>
          <w:tcPr>
            <w:tcW w:w="7542" w:type="dxa"/>
          </w:tcPr>
          <w:p w:rsidR="00C611B0" w:rsidRDefault="001C428F">
            <w:pPr>
              <w:jc w:val="both"/>
              <w:rPr>
                <w:rFonts w:ascii="Times New Roman" w:hAnsi="Times New Roman" w:cs="Times New Roman"/>
                <w:i/>
                <w:noProof/>
                <w:sz w:val="20"/>
                <w:szCs w:val="20"/>
              </w:rPr>
            </w:pPr>
            <w:r>
              <w:rPr>
                <w:rFonts w:ascii="Times New Roman" w:hAnsi="Times New Roman"/>
                <w:i/>
                <w:noProof/>
                <w:sz w:val="20"/>
              </w:rPr>
              <w:t xml:space="preserve">Измерението </w:t>
            </w:r>
            <w:r>
              <w:rPr>
                <w:rFonts w:ascii="Times New Roman" w:hAnsi="Times New Roman"/>
                <w:i/>
                <w:noProof/>
                <w:sz w:val="20"/>
              </w:rPr>
              <w:t xml:space="preserve">„свързаност“ на индекса за навлизането на цифровите технологии в икономиката и обществото (DESI) въвеждане и разпространение на фиксирани широколентови връзки (33 %), въвеждането и разпространението на мобилни широколентови връзки (22 %), скорост (33 %) и </w:t>
            </w:r>
            <w:r>
              <w:rPr>
                <w:rFonts w:ascii="Times New Roman" w:hAnsi="Times New Roman"/>
                <w:i/>
                <w:noProof/>
                <w:sz w:val="20"/>
              </w:rPr>
              <w:t>достъпност (11 %)</w:t>
            </w:r>
          </w:p>
          <w:p w:rsidR="00C611B0" w:rsidRDefault="001C428F">
            <w:pPr>
              <w:ind w:right="220"/>
              <w:rPr>
                <w:rFonts w:ascii="Times New Roman" w:hAnsi="Times New Roman" w:cs="Times New Roman"/>
                <w:b/>
                <w:i/>
                <w:noProof/>
                <w:sz w:val="20"/>
                <w:szCs w:val="20"/>
              </w:rPr>
            </w:pPr>
            <w:r>
              <w:rPr>
                <w:rFonts w:ascii="Times New Roman" w:hAnsi="Times New Roman"/>
                <w:i/>
                <w:noProof/>
                <w:sz w:val="20"/>
              </w:rPr>
              <w:t>Индекс на ключовите показатели в областта на цифровите технологии (Digital Scoreboard).</w:t>
            </w:r>
            <w:r>
              <w:rPr>
                <w:rFonts w:ascii="Times New Roman" w:hAnsi="Times New Roman"/>
                <w:b/>
                <w:i/>
                <w:noProof/>
                <w:sz w:val="20"/>
              </w:rPr>
              <w:t xml:space="preserve"> </w:t>
            </w:r>
          </w:p>
          <w:p w:rsidR="00C611B0" w:rsidRDefault="00C611B0">
            <w:pPr>
              <w:ind w:right="220"/>
              <w:rPr>
                <w:rFonts w:ascii="Times New Roman" w:hAnsi="Times New Roman" w:cs="Times New Roman"/>
                <w:b/>
                <w:i/>
                <w:noProof/>
                <w:color w:val="0070C0"/>
                <w:sz w:val="20"/>
                <w:szCs w:val="20"/>
              </w:rPr>
            </w:pPr>
          </w:p>
        </w:tc>
      </w:tr>
    </w:tbl>
    <w:p w:rsidR="00C611B0" w:rsidRDefault="00C611B0">
      <w:pPr>
        <w:jc w:val="both"/>
        <w:rPr>
          <w:rFonts w:ascii="Times New Roman" w:hAnsi="Times New Roman" w:cs="Times New Roman"/>
          <w:noProof/>
        </w:rPr>
      </w:pPr>
    </w:p>
    <w:sectPr w:rsidR="00C611B0">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B0" w:rsidRDefault="001C428F">
      <w:pPr>
        <w:spacing w:after="0" w:line="240" w:lineRule="auto"/>
      </w:pPr>
      <w:r>
        <w:separator/>
      </w:r>
    </w:p>
  </w:endnote>
  <w:endnote w:type="continuationSeparator" w:id="0">
    <w:p w:rsidR="00C611B0" w:rsidRDefault="001C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8F" w:rsidRPr="001C428F" w:rsidRDefault="001C428F" w:rsidP="001C4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8F" w:rsidRPr="001C428F" w:rsidRDefault="001C428F" w:rsidP="001C428F">
    <w:pPr>
      <w:pStyle w:val="FooterCoverPage"/>
      <w:rPr>
        <w:rFonts w:ascii="Arial" w:hAnsi="Arial" w:cs="Arial"/>
        <w:b/>
        <w:sz w:val="48"/>
      </w:rPr>
    </w:pPr>
    <w:r w:rsidRPr="001C428F">
      <w:rPr>
        <w:rFonts w:ascii="Arial" w:hAnsi="Arial" w:cs="Arial"/>
        <w:b/>
        <w:sz w:val="48"/>
      </w:rPr>
      <w:t>BG</w:t>
    </w:r>
    <w:r w:rsidRPr="001C428F">
      <w:rPr>
        <w:rFonts w:ascii="Arial" w:hAnsi="Arial" w:cs="Arial"/>
        <w:b/>
        <w:sz w:val="48"/>
      </w:rPr>
      <w:tab/>
    </w:r>
    <w:r w:rsidRPr="001C428F">
      <w:rPr>
        <w:rFonts w:ascii="Arial" w:hAnsi="Arial" w:cs="Arial"/>
        <w:b/>
        <w:sz w:val="48"/>
      </w:rPr>
      <w:tab/>
    </w:r>
    <w:fldSimple w:instr=" DOCVARIABLE &quot;LW_Confidence&quot; \* MERGEFORMAT ">
      <w:r>
        <w:t xml:space="preserve"> </w:t>
      </w:r>
    </w:fldSimple>
    <w:r w:rsidRPr="001C428F">
      <w:tab/>
    </w:r>
    <w:r w:rsidRPr="001C428F">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8F" w:rsidRPr="001C428F" w:rsidRDefault="001C428F" w:rsidP="001C428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B0" w:rsidRDefault="00C611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97614"/>
      <w:docPartObj>
        <w:docPartGallery w:val="Page Numbers (Bottom of Page)"/>
        <w:docPartUnique/>
      </w:docPartObj>
    </w:sdtPr>
    <w:sdtEndPr>
      <w:rPr>
        <w:noProof/>
      </w:rPr>
    </w:sdtEndPr>
    <w:sdtContent>
      <w:p w:rsidR="00C611B0" w:rsidRDefault="001C42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11B0" w:rsidRDefault="00C611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B0" w:rsidRDefault="00C61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B0" w:rsidRDefault="001C428F">
      <w:pPr>
        <w:spacing w:after="0" w:line="240" w:lineRule="auto"/>
      </w:pPr>
      <w:r>
        <w:separator/>
      </w:r>
    </w:p>
  </w:footnote>
  <w:footnote w:type="continuationSeparator" w:id="0">
    <w:p w:rsidR="00C611B0" w:rsidRDefault="001C4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8F" w:rsidRPr="001C428F" w:rsidRDefault="001C428F" w:rsidP="001C4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8F" w:rsidRPr="001C428F" w:rsidRDefault="001C428F" w:rsidP="001C428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8F" w:rsidRPr="001C428F" w:rsidRDefault="001C428F" w:rsidP="001C428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B0" w:rsidRDefault="00C611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B0" w:rsidRDefault="00C611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B0" w:rsidRDefault="00C61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C01"/>
    <w:multiLevelType w:val="hybridMultilevel"/>
    <w:tmpl w:val="18828A28"/>
    <w:lvl w:ilvl="0" w:tplc="3840615A">
      <w:start w:val="1"/>
      <w:numFmt w:val="decimal"/>
      <w:lvlText w:val="%1."/>
      <w:lvlJc w:val="left"/>
      <w:pPr>
        <w:ind w:left="644" w:hanging="360"/>
      </w:pPr>
      <w:rPr>
        <w:rFonts w:hint="default"/>
        <w:b/>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6A4B4A"/>
    <w:multiLevelType w:val="hybridMultilevel"/>
    <w:tmpl w:val="E154CF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AB1FDD"/>
    <w:multiLevelType w:val="hybridMultilevel"/>
    <w:tmpl w:val="B550767A"/>
    <w:lvl w:ilvl="0" w:tplc="401A9D6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D3363"/>
    <w:multiLevelType w:val="hybridMultilevel"/>
    <w:tmpl w:val="955C6886"/>
    <w:lvl w:ilvl="0" w:tplc="81C6113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C000571"/>
    <w:multiLevelType w:val="hybridMultilevel"/>
    <w:tmpl w:val="CED2E4B0"/>
    <w:lvl w:ilvl="0" w:tplc="CDC0F55A">
      <w:start w:val="1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056380"/>
    <w:multiLevelType w:val="hybridMultilevel"/>
    <w:tmpl w:val="DFB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2E0EFD"/>
    <w:multiLevelType w:val="hybridMultilevel"/>
    <w:tmpl w:val="4C72FEF2"/>
    <w:lvl w:ilvl="0" w:tplc="BF3E2ACC">
      <w:start w:val="1"/>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3C5FFE"/>
    <w:multiLevelType w:val="hybridMultilevel"/>
    <w:tmpl w:val="0CF8D5CE"/>
    <w:lvl w:ilvl="0" w:tplc="0809000F">
      <w:start w:val="1"/>
      <w:numFmt w:val="decimal"/>
      <w:lvlText w:val="%1."/>
      <w:lvlJc w:val="left"/>
      <w:pPr>
        <w:ind w:left="360" w:hanging="360"/>
      </w:pPr>
    </w:lvl>
    <w:lvl w:ilvl="1" w:tplc="08090019" w:tentative="1">
      <w:start w:val="1"/>
      <w:numFmt w:val="lowerLetter"/>
      <w:lvlText w:val="%2."/>
      <w:lvlJc w:val="left"/>
      <w:pPr>
        <w:ind w:left="-403" w:hanging="360"/>
      </w:pPr>
    </w:lvl>
    <w:lvl w:ilvl="2" w:tplc="0809001B" w:tentative="1">
      <w:start w:val="1"/>
      <w:numFmt w:val="lowerRoman"/>
      <w:lvlText w:val="%3."/>
      <w:lvlJc w:val="right"/>
      <w:pPr>
        <w:ind w:left="317" w:hanging="180"/>
      </w:pPr>
    </w:lvl>
    <w:lvl w:ilvl="3" w:tplc="0809000F" w:tentative="1">
      <w:start w:val="1"/>
      <w:numFmt w:val="decimal"/>
      <w:lvlText w:val="%4."/>
      <w:lvlJc w:val="left"/>
      <w:pPr>
        <w:ind w:left="1037" w:hanging="360"/>
      </w:pPr>
    </w:lvl>
    <w:lvl w:ilvl="4" w:tplc="08090019" w:tentative="1">
      <w:start w:val="1"/>
      <w:numFmt w:val="lowerLetter"/>
      <w:lvlText w:val="%5."/>
      <w:lvlJc w:val="left"/>
      <w:pPr>
        <w:ind w:left="1757" w:hanging="360"/>
      </w:pPr>
    </w:lvl>
    <w:lvl w:ilvl="5" w:tplc="0809001B" w:tentative="1">
      <w:start w:val="1"/>
      <w:numFmt w:val="lowerRoman"/>
      <w:lvlText w:val="%6."/>
      <w:lvlJc w:val="right"/>
      <w:pPr>
        <w:ind w:left="2477" w:hanging="180"/>
      </w:pPr>
    </w:lvl>
    <w:lvl w:ilvl="6" w:tplc="0809000F" w:tentative="1">
      <w:start w:val="1"/>
      <w:numFmt w:val="decimal"/>
      <w:lvlText w:val="%7."/>
      <w:lvlJc w:val="left"/>
      <w:pPr>
        <w:ind w:left="3197" w:hanging="360"/>
      </w:pPr>
    </w:lvl>
    <w:lvl w:ilvl="7" w:tplc="08090019" w:tentative="1">
      <w:start w:val="1"/>
      <w:numFmt w:val="lowerLetter"/>
      <w:lvlText w:val="%8."/>
      <w:lvlJc w:val="left"/>
      <w:pPr>
        <w:ind w:left="3917" w:hanging="360"/>
      </w:pPr>
    </w:lvl>
    <w:lvl w:ilvl="8" w:tplc="0809001B" w:tentative="1">
      <w:start w:val="1"/>
      <w:numFmt w:val="lowerRoman"/>
      <w:lvlText w:val="%9."/>
      <w:lvlJc w:val="right"/>
      <w:pPr>
        <w:ind w:left="4637" w:hanging="180"/>
      </w:pPr>
    </w:lvl>
  </w:abstractNum>
  <w:abstractNum w:abstractNumId="8">
    <w:nsid w:val="1A777B77"/>
    <w:multiLevelType w:val="hybridMultilevel"/>
    <w:tmpl w:val="8CB6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257A79"/>
    <w:multiLevelType w:val="hybridMultilevel"/>
    <w:tmpl w:val="D1147A72"/>
    <w:lvl w:ilvl="0" w:tplc="AA46E77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48F4CC7"/>
    <w:multiLevelType w:val="hybridMultilevel"/>
    <w:tmpl w:val="5236372E"/>
    <w:lvl w:ilvl="0" w:tplc="8D381A6E">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B208E4"/>
    <w:multiLevelType w:val="hybridMultilevel"/>
    <w:tmpl w:val="A874DC9E"/>
    <w:lvl w:ilvl="0" w:tplc="E624B752">
      <w:start w:val="16"/>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B013B9"/>
    <w:multiLevelType w:val="hybridMultilevel"/>
    <w:tmpl w:val="A11A024C"/>
    <w:lvl w:ilvl="0" w:tplc="8D381A6E">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1B0897"/>
    <w:multiLevelType w:val="hybridMultilevel"/>
    <w:tmpl w:val="6F56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292BA2"/>
    <w:multiLevelType w:val="hybridMultilevel"/>
    <w:tmpl w:val="0CB01B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C06516"/>
    <w:multiLevelType w:val="hybridMultilevel"/>
    <w:tmpl w:val="ADE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03ECF"/>
    <w:multiLevelType w:val="hybridMultilevel"/>
    <w:tmpl w:val="2AFA23C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603C82"/>
    <w:multiLevelType w:val="hybridMultilevel"/>
    <w:tmpl w:val="1BE6B42A"/>
    <w:lvl w:ilvl="0" w:tplc="FEF8354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226216"/>
    <w:multiLevelType w:val="hybridMultilevel"/>
    <w:tmpl w:val="5BB25440"/>
    <w:lvl w:ilvl="0" w:tplc="4B9C2E48">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A12FA4"/>
    <w:multiLevelType w:val="multilevel"/>
    <w:tmpl w:val="F2D2141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i w:val="0"/>
        <w:lang w:val="en"/>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5387458"/>
    <w:multiLevelType w:val="hybridMultilevel"/>
    <w:tmpl w:val="5A8C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AC306E"/>
    <w:multiLevelType w:val="hybridMultilevel"/>
    <w:tmpl w:val="26F04306"/>
    <w:lvl w:ilvl="0" w:tplc="2ED026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B40F1C"/>
    <w:multiLevelType w:val="hybridMultilevel"/>
    <w:tmpl w:val="A8D45E3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nsid w:val="7B3B65A2"/>
    <w:multiLevelType w:val="hybridMultilevel"/>
    <w:tmpl w:val="8A0C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22"/>
  </w:num>
  <w:num w:numId="4">
    <w:abstractNumId w:val="8"/>
  </w:num>
  <w:num w:numId="5">
    <w:abstractNumId w:val="7"/>
  </w:num>
  <w:num w:numId="6">
    <w:abstractNumId w:val="14"/>
  </w:num>
  <w:num w:numId="7">
    <w:abstractNumId w:val="21"/>
  </w:num>
  <w:num w:numId="8">
    <w:abstractNumId w:val="6"/>
  </w:num>
  <w:num w:numId="9">
    <w:abstractNumId w:val="15"/>
  </w:num>
  <w:num w:numId="10">
    <w:abstractNumId w:val="13"/>
  </w:num>
  <w:num w:numId="11">
    <w:abstractNumId w:val="0"/>
  </w:num>
  <w:num w:numId="12">
    <w:abstractNumId w:val="20"/>
  </w:num>
  <w:num w:numId="13">
    <w:abstractNumId w:val="5"/>
  </w:num>
  <w:num w:numId="14">
    <w:abstractNumId w:val="23"/>
  </w:num>
  <w:num w:numId="15">
    <w:abstractNumId w:val="1"/>
  </w:num>
  <w:num w:numId="16">
    <w:abstractNumId w:val="3"/>
  </w:num>
  <w:num w:numId="17">
    <w:abstractNumId w:val="16"/>
  </w:num>
  <w:num w:numId="18">
    <w:abstractNumId w:val="9"/>
  </w:num>
  <w:num w:numId="19">
    <w:abstractNumId w:val="2"/>
  </w:num>
  <w:num w:numId="20">
    <w:abstractNumId w:val="18"/>
  </w:num>
  <w:num w:numId="21">
    <w:abstractNumId w:val="4"/>
  </w:num>
  <w:num w:numId="22">
    <w:abstractNumId w:val="11"/>
  </w:num>
  <w:num w:numId="23">
    <w:abstractNumId w:val="12"/>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EU RESTRICTED"/>
    <w:docVar w:name="LW_CORRIGENDUM" w:val="&lt;UNUSED&gt;"/>
    <w:docVar w:name="LW_COVERPAGE_GUID" w:val="96A704A98EFC45E1930579BB6D7CE5A7"/>
    <w:docVar w:name="LW_CROSSREFERENCE" w:val="{COM(2017) 250 final}_x000b_{SWD(2017) 201 final}_x000b_{SWD(2017) 206 final}"/>
    <w:docVar w:name="LW_DocType" w:val="NORMAL"/>
    <w:docVar w:name="LW_EMISSION" w:val="26.4.2017"/>
    <w:docVar w:name="LW_EMISSION_ISODATE" w:val="2017-04-26"/>
    <w:docVar w:name="LW_EMISSION_LOCATION" w:val="BRX"/>
    <w:docVar w:name="LW_EMISSION_PREFIX" w:val="\u1041?\u1088?\u1102?\u1082?\u1089?\u1077?\u1083?,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u1057?\u1098?\u1079?\u1076?\u1072?\u1074?\u1072?\u1085?\u1077? \u1085?\u1072? \u1077?\u1074?\u1088?\u1086?\u1087?\u1077?\u1081?\u1089?\u1082?\u1080? \u1089?\u1090?\u1098?\u1083?\u1073? \u1085?\u1072? \u1089?\u1086?\u1094?\u1080?\u1072?\u1083?\u1085?\u1080?\u1090?\u1077? \u1087?\u1088?\u1072?\u1074?\u1072?"/>
    <w:docVar w:name="LW_PART_NBR" w:val="1"/>
    <w:docVar w:name="LW_PART_NBR_TOTAL" w:val="1"/>
    <w:docVar w:name="LW_REF.INST.NEW" w:val="SWD"/>
    <w:docVar w:name="LW_REF.INST.NEW_ADOPTED" w:val="final"/>
    <w:docVar w:name="LW_REF.INST.NEW_TEXT" w:val="(2017) 200"/>
    <w:docVar w:name="LW_REF.INTERNE" w:val="&lt;UNUSED&gt;"/>
    <w:docVar w:name="LW_SUPERTITRE" w:val="&lt;UNUSED&gt;"/>
    <w:docVar w:name="LW_TITRE.OBJ.CP" w:val="\u1057?\u1086?\u1094?\u1080?\u1072?\u1083?\u1077?\u1085? \u1085?\u1072?\u1073?\u1086?\u1088? \u1086?\u1090? \u1087?\u1086?\u1082?\u1072?\u1079?\u1072?\u1090?\u1077?\u1083?\u1080?"/>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C611B0"/>
    <w:rsid w:val="001C428F"/>
    <w:rsid w:val="00C611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unhideWhenUsed/>
    <w:qFormat/>
    <w:pPr>
      <w:spacing w:after="0" w:line="240" w:lineRule="auto"/>
      <w:ind w:left="720" w:hanging="720"/>
    </w:pPr>
    <w:rPr>
      <w:rFonts w:ascii="Times New Roman" w:hAnsi="Times New Roman" w:cs="Times New Roman"/>
      <w:sz w:val="20"/>
      <w:szCs w:val="20"/>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outputecliaff">
    <w:name w:val="outputecliaff"/>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pPr>
      <w:suppressAutoHyphens/>
      <w:autoSpaceDN w:val="0"/>
      <w:textAlignment w:val="baseline"/>
    </w:pPr>
    <w:rPr>
      <w:rFonts w:ascii="Calibri" w:eastAsia="SimSun" w:hAnsi="Calibri" w:cs="F"/>
      <w:kern w:val="3"/>
      <w:sz w:val="24"/>
      <w:szCs w:val="24"/>
    </w:rPr>
  </w:style>
  <w:style w:type="character" w:styleId="Emphasis">
    <w:name w:val="Emphasis"/>
    <w:basedOn w:val="DefaultParagraphFont"/>
    <w:uiPriority w:val="20"/>
    <w:qFormat/>
    <w:rPr>
      <w:i/>
      <w:iCs/>
    </w:rPr>
  </w:style>
  <w:style w:type="paragraph" w:styleId="TOC2">
    <w:name w:val="toc 2"/>
    <w:basedOn w:val="Normal"/>
    <w:next w:val="Normal"/>
    <w:autoRedefine/>
    <w:uiPriority w:val="39"/>
    <w:unhideWhenUsed/>
    <w:qFormat/>
    <w:pPr>
      <w:spacing w:before="120" w:after="100" w:line="240" w:lineRule="auto"/>
      <w:ind w:left="240"/>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sz w:val="24"/>
      <w:szCs w:val="24"/>
    </w:rPr>
  </w:style>
  <w:style w:type="paragraph" w:customStyle="1" w:styleId="a3520normalp14">
    <w:name w:val="a__35__20_normal_p14"/>
    <w:basedOn w:val="Normal"/>
    <w:pPr>
      <w:spacing w:after="120" w:line="240" w:lineRule="auto"/>
      <w:ind w:left="284" w:right="57"/>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leaf">
    <w:name w:val="leaf"/>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unhideWhenUsed/>
    <w:qFormat/>
    <w:pPr>
      <w:spacing w:after="0" w:line="240" w:lineRule="auto"/>
      <w:ind w:left="720" w:hanging="720"/>
    </w:pPr>
    <w:rPr>
      <w:rFonts w:ascii="Times New Roman" w:hAnsi="Times New Roman" w:cs="Times New Roman"/>
      <w:sz w:val="20"/>
      <w:szCs w:val="20"/>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outputecliaff">
    <w:name w:val="outputecliaff"/>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pPr>
      <w:suppressAutoHyphens/>
      <w:autoSpaceDN w:val="0"/>
      <w:textAlignment w:val="baseline"/>
    </w:pPr>
    <w:rPr>
      <w:rFonts w:ascii="Calibri" w:eastAsia="SimSun" w:hAnsi="Calibri" w:cs="F"/>
      <w:kern w:val="3"/>
      <w:sz w:val="24"/>
      <w:szCs w:val="24"/>
    </w:rPr>
  </w:style>
  <w:style w:type="character" w:styleId="Emphasis">
    <w:name w:val="Emphasis"/>
    <w:basedOn w:val="DefaultParagraphFont"/>
    <w:uiPriority w:val="20"/>
    <w:qFormat/>
    <w:rPr>
      <w:i/>
      <w:iCs/>
    </w:rPr>
  </w:style>
  <w:style w:type="paragraph" w:styleId="TOC2">
    <w:name w:val="toc 2"/>
    <w:basedOn w:val="Normal"/>
    <w:next w:val="Normal"/>
    <w:autoRedefine/>
    <w:uiPriority w:val="39"/>
    <w:unhideWhenUsed/>
    <w:qFormat/>
    <w:pPr>
      <w:spacing w:before="120" w:after="100" w:line="240" w:lineRule="auto"/>
      <w:ind w:left="240"/>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sz w:val="24"/>
      <w:szCs w:val="24"/>
    </w:rPr>
  </w:style>
  <w:style w:type="paragraph" w:customStyle="1" w:styleId="a3520normalp14">
    <w:name w:val="a__35__20_normal_p14"/>
    <w:basedOn w:val="Normal"/>
    <w:pPr>
      <w:spacing w:after="120" w:line="240" w:lineRule="auto"/>
      <w:ind w:left="284" w:right="57"/>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leaf">
    <w:name w:val="lea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25464">
      <w:bodyDiv w:val="1"/>
      <w:marLeft w:val="0"/>
      <w:marRight w:val="0"/>
      <w:marTop w:val="0"/>
      <w:marBottom w:val="0"/>
      <w:divBdr>
        <w:top w:val="none" w:sz="0" w:space="0" w:color="auto"/>
        <w:left w:val="none" w:sz="0" w:space="0" w:color="auto"/>
        <w:bottom w:val="none" w:sz="0" w:space="0" w:color="auto"/>
        <w:right w:val="none" w:sz="0" w:space="0" w:color="auto"/>
      </w:divBdr>
    </w:div>
    <w:div w:id="1804274069">
      <w:bodyDiv w:val="1"/>
      <w:marLeft w:val="0"/>
      <w:marRight w:val="0"/>
      <w:marTop w:val="0"/>
      <w:marBottom w:val="0"/>
      <w:divBdr>
        <w:top w:val="none" w:sz="0" w:space="0" w:color="auto"/>
        <w:left w:val="none" w:sz="0" w:space="0" w:color="auto"/>
        <w:bottom w:val="none" w:sz="0" w:space="0" w:color="auto"/>
        <w:right w:val="none" w:sz="0" w:space="0" w:color="auto"/>
      </w:divBdr>
    </w:div>
    <w:div w:id="1832214192">
      <w:bodyDiv w:val="1"/>
      <w:marLeft w:val="0"/>
      <w:marRight w:val="0"/>
      <w:marTop w:val="0"/>
      <w:marBottom w:val="0"/>
      <w:divBdr>
        <w:top w:val="none" w:sz="0" w:space="0" w:color="auto"/>
        <w:left w:val="none" w:sz="0" w:space="0" w:color="auto"/>
        <w:bottom w:val="none" w:sz="0" w:space="0" w:color="auto"/>
        <w:right w:val="none" w:sz="0" w:space="0" w:color="auto"/>
      </w:divBdr>
      <w:divsChild>
        <w:div w:id="625233037">
          <w:marLeft w:val="0"/>
          <w:marRight w:val="0"/>
          <w:marTop w:val="0"/>
          <w:marBottom w:val="0"/>
          <w:divBdr>
            <w:top w:val="none" w:sz="0" w:space="0" w:color="auto"/>
            <w:left w:val="none" w:sz="0" w:space="0" w:color="auto"/>
            <w:bottom w:val="none" w:sz="0" w:space="0" w:color="auto"/>
            <w:right w:val="none" w:sz="0" w:space="0" w:color="auto"/>
          </w:divBdr>
          <w:divsChild>
            <w:div w:id="1070033595">
              <w:marLeft w:val="0"/>
              <w:marRight w:val="0"/>
              <w:marTop w:val="0"/>
              <w:marBottom w:val="0"/>
              <w:divBdr>
                <w:top w:val="none" w:sz="0" w:space="0" w:color="auto"/>
                <w:left w:val="none" w:sz="0" w:space="0" w:color="auto"/>
                <w:bottom w:val="none" w:sz="0" w:space="0" w:color="auto"/>
                <w:right w:val="none" w:sz="0" w:space="0" w:color="auto"/>
              </w:divBdr>
              <w:divsChild>
                <w:div w:id="260533097">
                  <w:marLeft w:val="0"/>
                  <w:marRight w:val="0"/>
                  <w:marTop w:val="0"/>
                  <w:marBottom w:val="0"/>
                  <w:divBdr>
                    <w:top w:val="none" w:sz="0" w:space="0" w:color="auto"/>
                    <w:left w:val="none" w:sz="0" w:space="0" w:color="auto"/>
                    <w:bottom w:val="none" w:sz="0" w:space="0" w:color="auto"/>
                    <w:right w:val="none" w:sz="0" w:space="0" w:color="auto"/>
                  </w:divBdr>
                  <w:divsChild>
                    <w:div w:id="10443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F541-15E4-4DBE-B869-64A2FF3E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1669</Words>
  <Characters>9823</Characters>
  <Application>Microsoft Office Word</Application>
  <DocSecurity>0</DocSecurity>
  <Lines>316</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21</cp:revision>
  <cp:lastPrinted>2017-04-11T18:10:00Z</cp:lastPrinted>
  <dcterms:created xsi:type="dcterms:W3CDTF">2017-04-11T18:13:00Z</dcterms:created>
  <dcterms:modified xsi:type="dcterms:W3CDTF">2017-04-26T14:40:00Z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