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69" w:rsidRDefault="00BE3CD0" w:rsidP="00BE3CD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D38D8A112D443A09A9953A3070CC358" style="width:450.85pt;height:457.5pt">
            <v:imagedata r:id="rId9" o:title=""/>
          </v:shape>
        </w:pict>
      </w:r>
    </w:p>
    <w:bookmarkEnd w:id="0"/>
    <w:p w:rsidR="00BB5D69" w:rsidRDefault="00BB5D69">
      <w:pPr>
        <w:pStyle w:val="Default"/>
        <w:jc w:val="both"/>
        <w:rPr>
          <w:noProof/>
        </w:rPr>
        <w:sectPr w:rsidR="00BB5D69" w:rsidSect="00BE3CD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B5D69" w:rsidRDefault="00BB5D69">
      <w:pPr>
        <w:pStyle w:val="Default"/>
        <w:jc w:val="both"/>
        <w:rPr>
          <w:noProof/>
        </w:rPr>
      </w:pPr>
      <w:bookmarkStart w:id="1" w:name="_GoBack"/>
      <w:bookmarkEnd w:id="1"/>
    </w:p>
    <w:p w:rsidR="00BB5D69" w:rsidRDefault="00BE3CD0">
      <w:pPr>
        <w:pStyle w:val="Default"/>
        <w:jc w:val="both"/>
        <w:rPr>
          <w:noProof/>
        </w:rPr>
      </w:pPr>
      <w:r>
        <w:rPr>
          <w:noProof/>
        </w:rPr>
        <w:t>Delivering on a more social and fair Europe is a key priority for the European Commission. The European Pillar of Social Rights has been put forward to serve as a compass for a process leading to renewed socio-economic convergence and to drive reforms at n</w:t>
      </w:r>
      <w:r>
        <w:rPr>
          <w:noProof/>
        </w:rPr>
        <w:t>ational level. In this framework, the Pillar is supported by a scoreboard of key indicators to screen employment and social performances of participating Member States. This monitoring tool would allow as well benchmarking successful outcomes to ensure ove</w:t>
      </w:r>
      <w:r>
        <w:rPr>
          <w:noProof/>
        </w:rPr>
        <w:t xml:space="preserve">rall improvement. </w:t>
      </w:r>
    </w:p>
    <w:p w:rsidR="00BB5D69" w:rsidRDefault="00BB5D69">
      <w:pPr>
        <w:pStyle w:val="Default"/>
        <w:jc w:val="both"/>
        <w:rPr>
          <w:noProof/>
        </w:rPr>
      </w:pPr>
    </w:p>
    <w:p w:rsidR="00BB5D69" w:rsidRDefault="00BE3CD0">
      <w:pPr>
        <w:pStyle w:val="Default"/>
        <w:jc w:val="both"/>
        <w:rPr>
          <w:noProof/>
        </w:rPr>
      </w:pPr>
      <w:r>
        <w:rPr>
          <w:noProof/>
        </w:rPr>
        <w:t>The scoreboard serves as a reference framework to monitor ‘societal progress’, in a tangible, holistic and objective way, which is easily accessible and understandable to citizens. It detects in a timely way the most significant employm</w:t>
      </w:r>
      <w:r>
        <w:rPr>
          <w:noProof/>
        </w:rPr>
        <w:t>ent and social challenges facing the Member States, the EU and the euro area, as well as progress achieved over time. For the purposes of this scoreboard, we define ‘societal progress’ as the capacity to enhance and sustain wellbeing and opportunities, cre</w:t>
      </w:r>
      <w:r>
        <w:rPr>
          <w:noProof/>
        </w:rPr>
        <w:t>ating conditions for people to reach their full potential and to meet their basic needs.</w:t>
      </w:r>
    </w:p>
    <w:p w:rsidR="00BB5D69" w:rsidRDefault="00BB5D69">
      <w:pPr>
        <w:pStyle w:val="Default"/>
        <w:jc w:val="both"/>
        <w:rPr>
          <w:noProof/>
        </w:rPr>
      </w:pPr>
    </w:p>
    <w:p w:rsidR="00BB5D69" w:rsidRDefault="00BE3CD0">
      <w:pPr>
        <w:pStyle w:val="Default"/>
        <w:jc w:val="both"/>
        <w:rPr>
          <w:noProof/>
        </w:rPr>
      </w:pPr>
      <w:r>
        <w:rPr>
          <w:noProof/>
        </w:rPr>
        <w:t>This definition alludes to three broad dimensions of societal progress: (1) Equal opportunities and access to the labour market, (2) Dynamic labour markets and fair w</w:t>
      </w:r>
      <w:r>
        <w:rPr>
          <w:noProof/>
        </w:rPr>
        <w:t xml:space="preserve">orking conditions, and (3) Public support / social protection and inclusion. </w:t>
      </w:r>
    </w:p>
    <w:p w:rsidR="00BB5D69" w:rsidRDefault="00BB5D69">
      <w:pPr>
        <w:pStyle w:val="Default"/>
        <w:jc w:val="both"/>
        <w:rPr>
          <w:noProof/>
        </w:rPr>
      </w:pPr>
    </w:p>
    <w:p w:rsidR="00BB5D69" w:rsidRDefault="00BE3CD0">
      <w:pPr>
        <w:pStyle w:val="Default"/>
        <w:numPr>
          <w:ilvl w:val="0"/>
          <w:numId w:val="6"/>
        </w:numPr>
        <w:jc w:val="both"/>
        <w:rPr>
          <w:noProof/>
        </w:rPr>
      </w:pPr>
      <w:r>
        <w:rPr>
          <w:noProof/>
        </w:rPr>
        <w:t>"</w:t>
      </w:r>
      <w:r>
        <w:rPr>
          <w:b/>
          <w:noProof/>
        </w:rPr>
        <w:t>Equal opportunities and access to the labour market</w:t>
      </w:r>
      <w:r>
        <w:rPr>
          <w:noProof/>
        </w:rPr>
        <w:t>" covers aspects of fairness related to education, skills and lifelong learning, gender, inequality and social mobility, livi</w:t>
      </w:r>
      <w:r>
        <w:rPr>
          <w:noProof/>
        </w:rPr>
        <w:t>ng conditions and youth;</w:t>
      </w:r>
    </w:p>
    <w:p w:rsidR="00BB5D69" w:rsidRDefault="00BB5D69">
      <w:pPr>
        <w:pStyle w:val="Default"/>
        <w:ind w:left="720"/>
        <w:jc w:val="both"/>
        <w:rPr>
          <w:noProof/>
        </w:rPr>
      </w:pPr>
    </w:p>
    <w:p w:rsidR="00BB5D69" w:rsidRDefault="00BE3CD0">
      <w:pPr>
        <w:pStyle w:val="Default"/>
        <w:numPr>
          <w:ilvl w:val="0"/>
          <w:numId w:val="6"/>
        </w:numPr>
        <w:jc w:val="both"/>
        <w:rPr>
          <w:noProof/>
        </w:rPr>
      </w:pPr>
      <w:r>
        <w:rPr>
          <w:noProof/>
        </w:rPr>
        <w:t>"</w:t>
      </w:r>
      <w:r>
        <w:rPr>
          <w:b/>
          <w:noProof/>
        </w:rPr>
        <w:t>Dynamic labour markets and fair working conditions</w:t>
      </w:r>
      <w:r>
        <w:rPr>
          <w:noProof/>
        </w:rPr>
        <w:t xml:space="preserve">" responds to the question whether markets work efficiently and freely to help relocation and job search in a competitive economy. Indicators under this heading cover the </w:t>
      </w:r>
      <w:r>
        <w:rPr>
          <w:noProof/>
        </w:rPr>
        <w:t>functioning of labour markets, support for employment and transitions, and, on the other hand, the fairness dimension with conditions of work and wages;</w:t>
      </w:r>
    </w:p>
    <w:p w:rsidR="00BB5D69" w:rsidRDefault="00BB5D69">
      <w:pPr>
        <w:pStyle w:val="Default"/>
        <w:jc w:val="both"/>
        <w:rPr>
          <w:noProof/>
        </w:rPr>
      </w:pPr>
    </w:p>
    <w:p w:rsidR="00BB5D69" w:rsidRDefault="00BE3CD0">
      <w:pPr>
        <w:pStyle w:val="Default"/>
        <w:numPr>
          <w:ilvl w:val="0"/>
          <w:numId w:val="6"/>
        </w:numPr>
        <w:jc w:val="both"/>
        <w:rPr>
          <w:noProof/>
        </w:rPr>
      </w:pPr>
      <w:r>
        <w:rPr>
          <w:noProof/>
        </w:rPr>
        <w:t>"</w:t>
      </w:r>
      <w:r>
        <w:rPr>
          <w:b/>
          <w:noProof/>
        </w:rPr>
        <w:t>Public support / social protection and inclusion</w:t>
      </w:r>
      <w:r>
        <w:rPr>
          <w:noProof/>
        </w:rPr>
        <w:t>" covers fair outcomes through public action and/or s</w:t>
      </w:r>
      <w:r>
        <w:rPr>
          <w:noProof/>
        </w:rPr>
        <w:t xml:space="preserve">ocial protection. This set of indicators refers mainly to the provision of services and social safety nets. </w:t>
      </w:r>
    </w:p>
    <w:p w:rsidR="00BB5D69" w:rsidRDefault="00BB5D69">
      <w:pPr>
        <w:pStyle w:val="Default"/>
        <w:jc w:val="both"/>
        <w:rPr>
          <w:noProof/>
          <w:highlight w:val="yellow"/>
        </w:rPr>
      </w:pPr>
    </w:p>
    <w:p w:rsidR="00BB5D69" w:rsidRDefault="00BE3CD0">
      <w:pPr>
        <w:pStyle w:val="Default"/>
        <w:jc w:val="both"/>
        <w:rPr>
          <w:noProof/>
        </w:rPr>
      </w:pPr>
      <w:r>
        <w:rPr>
          <w:noProof/>
        </w:rPr>
        <w:t>The scoreboard benchmarks EU Member States performances vis-à-vis the EU and the euro area averages. Furthermore, it will provide the opportunity,</w:t>
      </w:r>
      <w:r>
        <w:rPr>
          <w:noProof/>
        </w:rPr>
        <w:t xml:space="preserve"> at least for some of its elements, to compare the EU’s performance with other international actors.</w:t>
      </w:r>
      <w:r>
        <w:rPr>
          <w:noProof/>
          <w:color w:val="auto"/>
          <w:lang w:val="en-GB"/>
        </w:rPr>
        <w:t xml:space="preserve"> Such a benchmarking exercise can serve as an empirical basis for renewed processes of </w:t>
      </w:r>
      <w:r>
        <w:rPr>
          <w:noProof/>
        </w:rPr>
        <w:t xml:space="preserve">mutual </w:t>
      </w:r>
      <w:r>
        <w:rPr>
          <w:noProof/>
          <w:color w:val="auto"/>
          <w:lang w:val="en-GB"/>
        </w:rPr>
        <w:t>learning from best practi</w:t>
      </w:r>
      <w:r>
        <w:rPr>
          <w:noProof/>
        </w:rPr>
        <w:t>c</w:t>
      </w:r>
      <w:r>
        <w:rPr>
          <w:noProof/>
          <w:color w:val="auto"/>
          <w:lang w:val="en-GB"/>
        </w:rPr>
        <w:t xml:space="preserve">es. </w:t>
      </w:r>
      <w:r>
        <w:rPr>
          <w:noProof/>
        </w:rPr>
        <w:t>The scoreboard will also allow t</w:t>
      </w:r>
      <w:r>
        <w:rPr>
          <w:noProof/>
        </w:rPr>
        <w:t>he visualisation of longer-term trends. Where possible and relevant, indicators are disaggregated by age, gender and/or educational attainment.</w:t>
      </w:r>
    </w:p>
    <w:p w:rsidR="00BB5D69" w:rsidRDefault="00BB5D69">
      <w:pPr>
        <w:pStyle w:val="Default"/>
        <w:jc w:val="both"/>
        <w:rPr>
          <w:noProof/>
          <w:highlight w:val="yellow"/>
        </w:rPr>
      </w:pPr>
    </w:p>
    <w:p w:rsidR="00BB5D69" w:rsidRDefault="00BE3CD0">
      <w:pPr>
        <w:pStyle w:val="Default"/>
        <w:jc w:val="both"/>
        <w:rPr>
          <w:noProof/>
        </w:rPr>
      </w:pPr>
      <w:r>
        <w:rPr>
          <w:b/>
          <w:bCs/>
          <w:noProof/>
          <w:color w:val="auto"/>
        </w:rPr>
        <w:t>12</w:t>
      </w:r>
      <w:r>
        <w:rPr>
          <w:b/>
          <w:bCs/>
          <w:noProof/>
        </w:rPr>
        <w:t xml:space="preserve"> </w:t>
      </w:r>
      <w:r>
        <w:rPr>
          <w:rStyle w:val="Strong"/>
          <w:noProof/>
        </w:rPr>
        <w:t>areas have been selected on which societal progress could be measured</w:t>
      </w:r>
      <w:r>
        <w:rPr>
          <w:noProof/>
        </w:rPr>
        <w:t>, associated with one of the three chap</w:t>
      </w:r>
      <w:r>
        <w:rPr>
          <w:noProof/>
        </w:rPr>
        <w:t>ters above. The indicators proposed to cover these areas are set out in the Annex, and are based on existing quantitative data, collected by Eurostat (derived primarily from the EU Statistics on Income and Living Conditions –EU-SILC–, the Structure of Earn</w:t>
      </w:r>
      <w:r>
        <w:rPr>
          <w:noProof/>
        </w:rPr>
        <w:t xml:space="preserve">ings Survey every four years combined with annual national estimates and the Labour Force Survey –LFS–) and the OECD. </w:t>
      </w:r>
    </w:p>
    <w:p w:rsidR="00BB5D69" w:rsidRDefault="00BB5D69">
      <w:pPr>
        <w:pStyle w:val="Default"/>
        <w:jc w:val="both"/>
        <w:rPr>
          <w:noProof/>
        </w:rPr>
      </w:pPr>
    </w:p>
    <w:p w:rsidR="00BB5D69" w:rsidRDefault="00BE3CD0">
      <w:pPr>
        <w:pStyle w:val="Default"/>
        <w:jc w:val="both"/>
        <w:rPr>
          <w:noProof/>
        </w:rPr>
      </w:pPr>
      <w:r>
        <w:rPr>
          <w:noProof/>
        </w:rPr>
        <w:t>The European Semester, the annual cycle of economic policy coordination, is an important vehicle to monitor closely developments at EU a</w:t>
      </w:r>
      <w:r>
        <w:rPr>
          <w:noProof/>
        </w:rPr>
        <w:t xml:space="preserve">nd Member State level, covering the wide span of areas addressed by the European Pillar of Social Rights. In this light, the scoreboard </w:t>
      </w:r>
      <w:r>
        <w:rPr>
          <w:noProof/>
        </w:rPr>
        <w:lastRenderedPageBreak/>
        <w:t>will be discussed with the relevant Council committees, with a view to its use in the framework of the European Semester</w:t>
      </w:r>
      <w:r>
        <w:rPr>
          <w:noProof/>
        </w:rPr>
        <w:t>, and its incorporation in the annual Joint Employment Report published each autumn alongside the Annual Growth Survey. In this context, the first indicators for each area (in bold) should be used as headline indicators for the scoreboard to be included in</w:t>
      </w:r>
      <w:r>
        <w:rPr>
          <w:noProof/>
        </w:rPr>
        <w:t xml:space="preserve"> the Joint Employment Report, while the other indicators are secondary indicators, on which the Joint Employment Report would report in the body of its text, as relevant. Following the increased importance of the employment and social aspects in the Europe</w:t>
      </w:r>
      <w:r>
        <w:rPr>
          <w:noProof/>
        </w:rPr>
        <w:t>an Semester in recent years, the scoreboard will facilitate a stronger consideration of employment and societal challenges within the European Semester, and the euro area and country-specific recommendations that result from it, which may reflect and promo</w:t>
      </w:r>
      <w:r>
        <w:rPr>
          <w:noProof/>
        </w:rPr>
        <w:t xml:space="preserve">te relevant, targeted reforms according to national specificities. It could also be a reference point for the work done on the social dimension of the euro area. </w:t>
      </w:r>
    </w:p>
    <w:p w:rsidR="00BB5D69" w:rsidRDefault="00BE3CD0">
      <w:pPr>
        <w:rPr>
          <w:noProof/>
        </w:rPr>
      </w:pPr>
      <w:r>
        <w:rPr>
          <w:noProof/>
        </w:rPr>
        <w:br w:type="page"/>
      </w:r>
    </w:p>
    <w:p w:rsidR="00BB5D69" w:rsidRDefault="00BE3CD0">
      <w:pPr>
        <w:jc w:val="center"/>
        <w:rPr>
          <w:rFonts w:ascii="Times New Roman" w:hAnsi="Times New Roman" w:cs="Times New Roman"/>
          <w:b/>
          <w:noProof/>
        </w:rPr>
      </w:pPr>
      <w:r>
        <w:rPr>
          <w:rFonts w:ascii="Times New Roman" w:hAnsi="Times New Roman" w:cs="Times New Roman"/>
          <w:b/>
          <w:noProof/>
        </w:rPr>
        <w:lastRenderedPageBreak/>
        <w:t>Annex – Social Scoreboard: headline and secondary indicators</w:t>
      </w:r>
    </w:p>
    <w:p w:rsidR="00BB5D69" w:rsidRDefault="00BB5D69">
      <w:pPr>
        <w:rPr>
          <w:rFonts w:ascii="Times New Roman" w:hAnsi="Times New Roman" w:cs="Times New Roman"/>
          <w:noProof/>
        </w:rPr>
      </w:pPr>
    </w:p>
    <w:tbl>
      <w:tblPr>
        <w:tblStyle w:val="TableGrid"/>
        <w:tblW w:w="9867" w:type="dxa"/>
        <w:tblCellMar>
          <w:top w:w="57" w:type="dxa"/>
          <w:left w:w="57" w:type="dxa"/>
          <w:bottom w:w="57" w:type="dxa"/>
          <w:right w:w="57" w:type="dxa"/>
        </w:tblCellMar>
        <w:tblLook w:val="04A0" w:firstRow="1" w:lastRow="0" w:firstColumn="1" w:lastColumn="0" w:noHBand="0" w:noVBand="1"/>
      </w:tblPr>
      <w:tblGrid>
        <w:gridCol w:w="2325"/>
        <w:gridCol w:w="7542"/>
      </w:tblGrid>
      <w:tr w:rsidR="00BB5D69">
        <w:tc>
          <w:tcPr>
            <w:tcW w:w="9867" w:type="dxa"/>
            <w:gridSpan w:val="2"/>
            <w:shd w:val="clear" w:color="auto" w:fill="8DB3E2" w:themeFill="text2" w:themeFillTint="66"/>
          </w:tcPr>
          <w:p w:rsidR="00BB5D69" w:rsidRDefault="00BE3CD0">
            <w:pPr>
              <w:jc w:val="center"/>
              <w:rPr>
                <w:rFonts w:ascii="Times New Roman" w:hAnsi="Times New Roman" w:cs="Times New Roman"/>
                <w:b/>
                <w:noProof/>
                <w:sz w:val="20"/>
                <w:szCs w:val="20"/>
              </w:rPr>
            </w:pPr>
            <w:r>
              <w:rPr>
                <w:rFonts w:ascii="Times New Roman" w:hAnsi="Times New Roman" w:cs="Times New Roman"/>
                <w:b/>
                <w:noProof/>
                <w:sz w:val="20"/>
                <w:szCs w:val="20"/>
              </w:rPr>
              <w:t xml:space="preserve">Equal opportunities and access to the labour market </w:t>
            </w:r>
          </w:p>
        </w:tc>
      </w:tr>
      <w:tr w:rsidR="00BB5D69">
        <w:trPr>
          <w:trHeight w:val="108"/>
        </w:trPr>
        <w:tc>
          <w:tcPr>
            <w:tcW w:w="2325" w:type="dxa"/>
            <w:vMerge w:val="restart"/>
            <w:shd w:val="clear" w:color="auto" w:fill="DBE5F1" w:themeFill="accent1" w:themeFillTint="33"/>
          </w:tcPr>
          <w:p w:rsidR="00BB5D69" w:rsidRDefault="00BE3CD0">
            <w:pPr>
              <w:rPr>
                <w:rFonts w:ascii="Times New Roman" w:hAnsi="Times New Roman" w:cs="Times New Roman"/>
                <w:b/>
                <w:noProof/>
                <w:sz w:val="20"/>
                <w:szCs w:val="20"/>
              </w:rPr>
            </w:pPr>
            <w:r>
              <w:rPr>
                <w:rFonts w:ascii="Times New Roman" w:hAnsi="Times New Roman" w:cs="Times New Roman"/>
                <w:b/>
                <w:noProof/>
                <w:sz w:val="20"/>
                <w:szCs w:val="20"/>
              </w:rPr>
              <w:t>Education, skills and lifelong learning</w:t>
            </w:r>
          </w:p>
        </w:tc>
        <w:tc>
          <w:tcPr>
            <w:tcW w:w="7542" w:type="dxa"/>
          </w:tcPr>
          <w:p w:rsidR="00BB5D69" w:rsidRDefault="00BE3CD0">
            <w:pPr>
              <w:pStyle w:val="ListParagraph"/>
              <w:numPr>
                <w:ilvl w:val="0"/>
                <w:numId w:val="15"/>
              </w:numPr>
              <w:jc w:val="both"/>
              <w:rPr>
                <w:rFonts w:ascii="Times New Roman" w:hAnsi="Times New Roman" w:cs="Times New Roman"/>
                <w:b/>
                <w:noProof/>
                <w:sz w:val="20"/>
                <w:szCs w:val="20"/>
              </w:rPr>
            </w:pPr>
            <w:r>
              <w:rPr>
                <w:rFonts w:ascii="Times New Roman" w:hAnsi="Times New Roman" w:cs="Times New Roman"/>
                <w:b/>
                <w:noProof/>
                <w:sz w:val="20"/>
                <w:szCs w:val="20"/>
              </w:rPr>
              <w:t>Early leavers from education and training</w:t>
            </w:r>
          </w:p>
          <w:p w:rsidR="00BB5D69" w:rsidRDefault="00BE3CD0">
            <w:pPr>
              <w:jc w:val="both"/>
              <w:rPr>
                <w:rFonts w:ascii="Times New Roman" w:hAnsi="Times New Roman" w:cs="Times New Roman"/>
                <w:b/>
                <w:noProof/>
                <w:sz w:val="20"/>
                <w:szCs w:val="20"/>
              </w:rPr>
            </w:pPr>
            <w:r>
              <w:rPr>
                <w:rFonts w:ascii="Times New Roman" w:hAnsi="Times New Roman" w:cs="Times New Roman"/>
                <w:b/>
                <w:noProof/>
                <w:sz w:val="20"/>
                <w:szCs w:val="20"/>
              </w:rPr>
              <w:t>(</w:t>
            </w:r>
            <w:r>
              <w:rPr>
                <w:rFonts w:ascii="Times New Roman" w:hAnsi="Times New Roman" w:cs="Times New Roman"/>
                <w:b/>
                <w:i/>
                <w:noProof/>
                <w:sz w:val="20"/>
                <w:szCs w:val="20"/>
              </w:rPr>
              <w:t>Share of early leavers aged 18-24 from education and training, by gender</w:t>
            </w:r>
            <w:r>
              <w:rPr>
                <w:rFonts w:ascii="Times New Roman" w:hAnsi="Times New Roman" w:cs="Times New Roman"/>
                <w:b/>
                <w:noProof/>
                <w:sz w:val="20"/>
                <w:szCs w:val="20"/>
              </w:rPr>
              <w:t>)</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Eurostat</w:t>
            </w:r>
          </w:p>
          <w:p w:rsidR="00BB5D69" w:rsidRDefault="00BB5D69">
            <w:pPr>
              <w:jc w:val="both"/>
              <w:rPr>
                <w:rFonts w:ascii="Times New Roman" w:hAnsi="Times New Roman" w:cs="Times New Roman"/>
                <w:b/>
                <w:noProof/>
                <w:color w:val="FF0000"/>
                <w:sz w:val="20"/>
                <w:szCs w:val="20"/>
              </w:rPr>
            </w:pPr>
          </w:p>
        </w:tc>
      </w:tr>
      <w:tr w:rsidR="00BB5D69">
        <w:trPr>
          <w:trHeight w:val="501"/>
        </w:trPr>
        <w:tc>
          <w:tcPr>
            <w:tcW w:w="2325" w:type="dxa"/>
            <w:vMerge/>
            <w:shd w:val="clear" w:color="auto" w:fill="DBE5F1" w:themeFill="accent1" w:themeFillTint="33"/>
          </w:tcPr>
          <w:p w:rsidR="00BB5D69" w:rsidRDefault="00BB5D69">
            <w:pPr>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Adult participation in learning</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(Lifelong learning - % of age 25-64 participating in education and training, by gender)</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color w:val="FF0000"/>
                <w:sz w:val="20"/>
                <w:szCs w:val="20"/>
              </w:rPr>
              <w:t xml:space="preserve"> </w:t>
            </w:r>
          </w:p>
        </w:tc>
      </w:tr>
      <w:tr w:rsidR="00BB5D69">
        <w:trPr>
          <w:trHeight w:val="108"/>
        </w:trPr>
        <w:tc>
          <w:tcPr>
            <w:tcW w:w="2325" w:type="dxa"/>
            <w:vMerge/>
            <w:shd w:val="clear" w:color="auto" w:fill="DBE5F1" w:themeFill="accent1" w:themeFillTint="33"/>
          </w:tcPr>
          <w:p w:rsidR="00BB5D69" w:rsidRDefault="00BB5D69">
            <w:pPr>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Underachievement in education (PISA results for low achievement in mathematics - 15 year-olds)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OECD </w:t>
            </w:r>
          </w:p>
          <w:p w:rsidR="00BB5D69" w:rsidRDefault="00BB5D69">
            <w:pPr>
              <w:jc w:val="both"/>
              <w:rPr>
                <w:rFonts w:ascii="Times New Roman" w:hAnsi="Times New Roman" w:cs="Times New Roman"/>
                <w:i/>
                <w:noProof/>
                <w:sz w:val="20"/>
                <w:szCs w:val="20"/>
              </w:rPr>
            </w:pPr>
          </w:p>
        </w:tc>
      </w:tr>
      <w:tr w:rsidR="00BB5D69">
        <w:trPr>
          <w:trHeight w:val="108"/>
        </w:trPr>
        <w:tc>
          <w:tcPr>
            <w:tcW w:w="2325" w:type="dxa"/>
            <w:vMerge/>
            <w:shd w:val="clear" w:color="auto" w:fill="DBE5F1" w:themeFill="accent1" w:themeFillTint="33"/>
          </w:tcPr>
          <w:p w:rsidR="00BB5D69" w:rsidRDefault="00BB5D69">
            <w:pPr>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Tertiary educational attainment, age group 30-34</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(Tertiary educational attainment - % of age 30-34 year olds having completed tertiary education, by gender)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color w:val="FF0000"/>
                <w:sz w:val="20"/>
                <w:szCs w:val="20"/>
              </w:rPr>
            </w:pPr>
          </w:p>
        </w:tc>
      </w:tr>
      <w:tr w:rsidR="00BB5D69">
        <w:trPr>
          <w:trHeight w:val="184"/>
        </w:trPr>
        <w:tc>
          <w:tcPr>
            <w:tcW w:w="2325" w:type="dxa"/>
            <w:vMerge w:val="restart"/>
            <w:shd w:val="clear" w:color="auto" w:fill="DBE5F1" w:themeFill="accent1" w:themeFillTint="33"/>
          </w:tcPr>
          <w:p w:rsidR="00BB5D69" w:rsidRDefault="00BE3CD0">
            <w:pPr>
              <w:rPr>
                <w:rFonts w:ascii="Times New Roman" w:hAnsi="Times New Roman" w:cs="Times New Roman"/>
                <w:b/>
                <w:noProof/>
                <w:sz w:val="20"/>
                <w:szCs w:val="20"/>
              </w:rPr>
            </w:pPr>
            <w:r>
              <w:rPr>
                <w:rFonts w:ascii="Times New Roman" w:hAnsi="Times New Roman" w:cs="Times New Roman"/>
                <w:b/>
                <w:noProof/>
                <w:sz w:val="20"/>
                <w:szCs w:val="20"/>
              </w:rPr>
              <w:t>Gender equality in the labour market</w:t>
            </w:r>
          </w:p>
        </w:tc>
        <w:tc>
          <w:tcPr>
            <w:tcW w:w="7542" w:type="dxa"/>
          </w:tcPr>
          <w:p w:rsidR="00BB5D69" w:rsidRDefault="00BE3CD0">
            <w:pPr>
              <w:pStyle w:val="ListParagraph"/>
              <w:numPr>
                <w:ilvl w:val="0"/>
                <w:numId w:val="1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Gender employment gap </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(Gender gap in employment rate)</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Eurostat</w:t>
            </w:r>
          </w:p>
        </w:tc>
      </w:tr>
      <w:tr w:rsidR="00BB5D69">
        <w:trPr>
          <w:trHeight w:val="184"/>
        </w:trPr>
        <w:tc>
          <w:tcPr>
            <w:tcW w:w="2325" w:type="dxa"/>
            <w:vMerge/>
            <w:shd w:val="clear" w:color="auto" w:fill="DBE5F1" w:themeFill="accent1" w:themeFillTint="33"/>
          </w:tcPr>
          <w:p w:rsidR="00BB5D69" w:rsidRDefault="00BB5D69">
            <w:pPr>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Gender gap in part-time employment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(Gender gap in part-time employment as share of total employment)</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sz w:val="20"/>
                <w:szCs w:val="20"/>
              </w:rPr>
            </w:pPr>
          </w:p>
        </w:tc>
      </w:tr>
      <w:tr w:rsidR="00BB5D69">
        <w:trPr>
          <w:trHeight w:val="270"/>
        </w:trPr>
        <w:tc>
          <w:tcPr>
            <w:tcW w:w="2325" w:type="dxa"/>
            <w:vMerge/>
            <w:shd w:val="clear" w:color="auto" w:fill="DBE5F1" w:themeFill="accent1" w:themeFillTint="33"/>
          </w:tcPr>
          <w:p w:rsidR="00BB5D69" w:rsidRDefault="00BB5D69">
            <w:pPr>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Gender pay gap in unadjusted form</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(Unadjusted gender pay gap per hour in %)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color w:val="7F7F7F" w:themeColor="text1" w:themeTint="80"/>
                <w:sz w:val="20"/>
                <w:szCs w:val="20"/>
              </w:rPr>
            </w:pPr>
          </w:p>
        </w:tc>
      </w:tr>
      <w:tr w:rsidR="00BB5D69">
        <w:trPr>
          <w:trHeight w:val="233"/>
        </w:trPr>
        <w:tc>
          <w:tcPr>
            <w:tcW w:w="2325" w:type="dxa"/>
            <w:vMerge w:val="restart"/>
            <w:shd w:val="clear" w:color="auto" w:fill="DBE5F1" w:themeFill="accent1" w:themeFillTint="33"/>
          </w:tcPr>
          <w:p w:rsidR="00BB5D69" w:rsidRDefault="00BE3CD0">
            <w:pPr>
              <w:rPr>
                <w:rFonts w:ascii="Times New Roman" w:hAnsi="Times New Roman" w:cs="Times New Roman"/>
                <w:b/>
                <w:noProof/>
                <w:sz w:val="20"/>
                <w:szCs w:val="20"/>
              </w:rPr>
            </w:pPr>
            <w:r>
              <w:rPr>
                <w:rFonts w:ascii="Times New Roman" w:hAnsi="Times New Roman" w:cs="Times New Roman"/>
                <w:b/>
                <w:noProof/>
                <w:sz w:val="20"/>
                <w:szCs w:val="20"/>
              </w:rPr>
              <w:t>Inequality and upward mobility</w:t>
            </w:r>
          </w:p>
        </w:tc>
        <w:tc>
          <w:tcPr>
            <w:tcW w:w="7542" w:type="dxa"/>
          </w:tcPr>
          <w:p w:rsidR="00BB5D69" w:rsidRDefault="00BE3CD0">
            <w:pPr>
              <w:pStyle w:val="ListParagraph"/>
              <w:numPr>
                <w:ilvl w:val="0"/>
                <w:numId w:val="1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Income inequality </w:t>
            </w:r>
          </w:p>
          <w:p w:rsidR="00BB5D69" w:rsidRDefault="00BE3CD0">
            <w:pPr>
              <w:jc w:val="both"/>
              <w:rPr>
                <w:rFonts w:ascii="Times New Roman" w:hAnsi="Times New Roman" w:cs="Times New Roman"/>
                <w:b/>
                <w:noProof/>
                <w:sz w:val="20"/>
                <w:szCs w:val="20"/>
              </w:rPr>
            </w:pPr>
            <w:r>
              <w:rPr>
                <w:rFonts w:ascii="Times New Roman" w:hAnsi="Times New Roman" w:cs="Times New Roman"/>
                <w:b/>
                <w:noProof/>
                <w:sz w:val="20"/>
                <w:szCs w:val="20"/>
              </w:rPr>
              <w:t>(</w:t>
            </w:r>
            <w:r>
              <w:rPr>
                <w:rFonts w:ascii="Times New Roman" w:hAnsi="Times New Roman" w:cs="Times New Roman"/>
                <w:b/>
                <w:i/>
                <w:noProof/>
                <w:sz w:val="20"/>
                <w:szCs w:val="20"/>
              </w:rPr>
              <w:t>Measured as quintile share ratio - S80/S20)</w:t>
            </w:r>
            <w:r>
              <w:rPr>
                <w:rFonts w:ascii="Times New Roman" w:hAnsi="Times New Roman" w:cs="Times New Roman"/>
                <w:b/>
                <w:noProof/>
                <w:sz w:val="20"/>
                <w:szCs w:val="20"/>
              </w:rPr>
              <w:t xml:space="preserve">  </w:t>
            </w:r>
          </w:p>
          <w:p w:rsidR="00BB5D69" w:rsidRDefault="00BE3CD0">
            <w:pPr>
              <w:rPr>
                <w:rFonts w:ascii="Times New Roman" w:hAnsi="Times New Roman" w:cs="Times New Roman"/>
                <w:b/>
                <w:i/>
                <w:noProof/>
                <w:sz w:val="20"/>
                <w:szCs w:val="20"/>
              </w:rPr>
            </w:pPr>
            <w:r>
              <w:rPr>
                <w:rFonts w:ascii="Times New Roman" w:hAnsi="Times New Roman" w:cs="Times New Roman"/>
                <w:b/>
                <w:i/>
                <w:noProof/>
                <w:sz w:val="20"/>
                <w:szCs w:val="20"/>
              </w:rPr>
              <w:t>Eurostat</w:t>
            </w:r>
          </w:p>
          <w:p w:rsidR="00BB5D69" w:rsidRDefault="00BB5D69">
            <w:pPr>
              <w:rPr>
                <w:rFonts w:ascii="Times New Roman" w:hAnsi="Times New Roman" w:cs="Times New Roman"/>
                <w:i/>
                <w:noProof/>
                <w:color w:val="7F7F7F" w:themeColor="text1" w:themeTint="80"/>
                <w:sz w:val="20"/>
                <w:szCs w:val="20"/>
              </w:rPr>
            </w:pPr>
          </w:p>
        </w:tc>
      </w:tr>
      <w:tr w:rsidR="00BB5D69">
        <w:trPr>
          <w:trHeight w:val="232"/>
        </w:trPr>
        <w:tc>
          <w:tcPr>
            <w:tcW w:w="2325" w:type="dxa"/>
            <w:vMerge/>
            <w:shd w:val="clear" w:color="auto" w:fill="DBE5F1" w:themeFill="accent1" w:themeFillTint="33"/>
          </w:tcPr>
          <w:p w:rsidR="00BB5D69" w:rsidRDefault="00BB5D69">
            <w:pPr>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Variation in performance explained by students' socio-economic status (impact of socio-economic and cultural status on PISA scores)</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OECD </w:t>
            </w:r>
          </w:p>
          <w:p w:rsidR="00BB5D69" w:rsidRDefault="00BB5D69">
            <w:pPr>
              <w:pStyle w:val="ListParagraph"/>
              <w:ind w:left="0"/>
              <w:jc w:val="both"/>
              <w:rPr>
                <w:rFonts w:ascii="Times New Roman" w:hAnsi="Times New Roman" w:cs="Times New Roman"/>
                <w:b/>
                <w:noProof/>
                <w:sz w:val="20"/>
                <w:szCs w:val="20"/>
              </w:rPr>
            </w:pPr>
          </w:p>
        </w:tc>
      </w:tr>
      <w:tr w:rsidR="00BB5D69">
        <w:trPr>
          <w:trHeight w:val="442"/>
        </w:trPr>
        <w:tc>
          <w:tcPr>
            <w:tcW w:w="2325" w:type="dxa"/>
            <w:vMerge w:val="restart"/>
            <w:shd w:val="clear" w:color="auto" w:fill="DBE5F1" w:themeFill="accent1" w:themeFillTint="33"/>
          </w:tcPr>
          <w:p w:rsidR="00BB5D69" w:rsidRDefault="00BE3CD0">
            <w:pPr>
              <w:rPr>
                <w:rFonts w:ascii="Times New Roman" w:hAnsi="Times New Roman" w:cs="Times New Roman"/>
                <w:noProof/>
                <w:sz w:val="20"/>
                <w:szCs w:val="20"/>
              </w:rPr>
            </w:pPr>
            <w:r>
              <w:rPr>
                <w:rFonts w:ascii="Times New Roman" w:hAnsi="Times New Roman" w:cs="Times New Roman"/>
                <w:b/>
                <w:noProof/>
                <w:sz w:val="20"/>
                <w:szCs w:val="20"/>
              </w:rPr>
              <w:t>Living conditions and poverty</w:t>
            </w:r>
          </w:p>
        </w:tc>
        <w:tc>
          <w:tcPr>
            <w:tcW w:w="7542" w:type="dxa"/>
          </w:tcPr>
          <w:p w:rsidR="00BB5D69" w:rsidRDefault="00BE3CD0">
            <w:pPr>
              <w:pStyle w:val="ListParagraph"/>
              <w:numPr>
                <w:ilvl w:val="0"/>
                <w:numId w:val="1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At-risk-of-poverty or social exclusion rate (AROPE) </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 of total population at risk of poverty or social exclusion, by gender)  </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Eurostat</w:t>
            </w:r>
          </w:p>
          <w:p w:rsidR="00BB5D69" w:rsidRDefault="00BB5D69">
            <w:pPr>
              <w:jc w:val="both"/>
              <w:rPr>
                <w:rFonts w:ascii="Times New Roman" w:hAnsi="Times New Roman" w:cs="Times New Roman"/>
                <w:i/>
                <w:noProof/>
                <w:color w:val="FF0000"/>
                <w:sz w:val="20"/>
                <w:szCs w:val="20"/>
                <w:highlight w:val="cyan"/>
              </w:rPr>
            </w:pPr>
          </w:p>
        </w:tc>
      </w:tr>
      <w:tr w:rsidR="00BB5D69">
        <w:trPr>
          <w:trHeight w:val="140"/>
        </w:trPr>
        <w:tc>
          <w:tcPr>
            <w:tcW w:w="2325" w:type="dxa"/>
            <w:vMerge/>
            <w:shd w:val="clear" w:color="auto" w:fill="DBE5F1" w:themeFill="accent1" w:themeFillTint="33"/>
          </w:tcPr>
          <w:p w:rsidR="00BB5D69" w:rsidRDefault="00BB5D69">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 xml:space="preserve">At-risk-of-poverty-rate (AROP) </w:t>
            </w:r>
          </w:p>
          <w:p w:rsidR="00BB5D69" w:rsidRDefault="00BE3CD0">
            <w:pPr>
              <w:pStyle w:val="ListParagraph"/>
              <w:ind w:left="0"/>
              <w:jc w:val="both"/>
              <w:rPr>
                <w:rFonts w:ascii="Times New Roman" w:hAnsi="Times New Roman" w:cs="Times New Roman"/>
                <w:i/>
                <w:noProof/>
                <w:color w:val="FF0000"/>
                <w:sz w:val="20"/>
                <w:szCs w:val="20"/>
              </w:rPr>
            </w:pPr>
            <w:r>
              <w:rPr>
                <w:rFonts w:ascii="Times New Roman" w:hAnsi="Times New Roman" w:cs="Times New Roman"/>
                <w:i/>
                <w:noProof/>
                <w:sz w:val="20"/>
                <w:szCs w:val="20"/>
              </w:rPr>
              <w:t>(% of total population at risk of poverty, by gender)</w:t>
            </w:r>
            <w:r>
              <w:rPr>
                <w:rFonts w:ascii="Times New Roman" w:hAnsi="Times New Roman" w:cs="Times New Roman"/>
                <w:i/>
                <w:noProof/>
                <w:sz w:val="20"/>
                <w:szCs w:val="20"/>
                <w:lang w:eastAsia="en-US"/>
              </w:rPr>
              <w:t xml:space="preserve"> </w:t>
            </w:r>
            <w:r>
              <w:rPr>
                <w:rFonts w:ascii="Times New Roman" w:hAnsi="Times New Roman" w:cs="Times New Roman"/>
                <w:i/>
                <w:noProof/>
                <w:color w:val="FF0000"/>
                <w:sz w:val="20"/>
                <w:szCs w:val="20"/>
              </w:rPr>
              <w:t xml:space="preserve"> </w:t>
            </w:r>
          </w:p>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pStyle w:val="ListParagraph"/>
              <w:ind w:left="0"/>
              <w:jc w:val="both"/>
              <w:rPr>
                <w:rFonts w:ascii="Times New Roman" w:hAnsi="Times New Roman" w:cs="Times New Roman"/>
                <w:i/>
                <w:noProof/>
                <w:sz w:val="20"/>
                <w:szCs w:val="20"/>
                <w:highlight w:val="cyan"/>
              </w:rPr>
            </w:pPr>
          </w:p>
        </w:tc>
      </w:tr>
      <w:tr w:rsidR="00BB5D69">
        <w:trPr>
          <w:trHeight w:val="140"/>
        </w:trPr>
        <w:tc>
          <w:tcPr>
            <w:tcW w:w="2325" w:type="dxa"/>
            <w:vMerge/>
            <w:shd w:val="clear" w:color="auto" w:fill="DBE5F1" w:themeFill="accent1" w:themeFillTint="33"/>
          </w:tcPr>
          <w:p w:rsidR="00BB5D69" w:rsidRDefault="00BB5D69">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 xml:space="preserve">Severe material deprivation rate (SMD) </w:t>
            </w:r>
          </w:p>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 xml:space="preserve">(% of total population severaly materially deprived, by </w:t>
            </w:r>
            <w:r>
              <w:rPr>
                <w:rFonts w:ascii="Times New Roman" w:hAnsi="Times New Roman" w:cs="Times New Roman"/>
                <w:i/>
                <w:noProof/>
                <w:sz w:val="20"/>
                <w:szCs w:val="20"/>
                <w:lang w:eastAsia="en-US"/>
              </w:rPr>
              <w:t xml:space="preserve">gender) </w:t>
            </w:r>
            <w:r>
              <w:rPr>
                <w:rFonts w:ascii="Times New Roman" w:hAnsi="Times New Roman" w:cs="Times New Roman"/>
                <w:i/>
                <w:noProof/>
                <w:color w:val="FF0000"/>
                <w:sz w:val="20"/>
                <w:szCs w:val="20"/>
              </w:rPr>
              <w:t xml:space="preserve"> </w:t>
            </w:r>
            <w:r>
              <w:rPr>
                <w:rFonts w:ascii="Times New Roman" w:hAnsi="Times New Roman" w:cs="Times New Roman"/>
                <w:i/>
                <w:noProof/>
                <w:sz w:val="20"/>
                <w:szCs w:val="20"/>
              </w:rPr>
              <w:t xml:space="preserve">  </w:t>
            </w:r>
          </w:p>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pStyle w:val="ListParagraph"/>
              <w:ind w:left="0"/>
              <w:jc w:val="both"/>
              <w:rPr>
                <w:rFonts w:ascii="Times New Roman" w:hAnsi="Times New Roman" w:cs="Times New Roman"/>
                <w:i/>
                <w:noProof/>
                <w:color w:val="FF0000"/>
                <w:sz w:val="20"/>
                <w:szCs w:val="20"/>
              </w:rPr>
            </w:pPr>
          </w:p>
          <w:p w:rsidR="00BB5D69" w:rsidRDefault="00BB5D69">
            <w:pPr>
              <w:pStyle w:val="ListParagraph"/>
              <w:ind w:left="0"/>
              <w:jc w:val="both"/>
              <w:rPr>
                <w:rFonts w:ascii="Times New Roman" w:hAnsi="Times New Roman" w:cs="Times New Roman"/>
                <w:i/>
                <w:noProof/>
                <w:sz w:val="20"/>
                <w:szCs w:val="20"/>
              </w:rPr>
            </w:pPr>
          </w:p>
        </w:tc>
      </w:tr>
      <w:tr w:rsidR="00BB5D69">
        <w:trPr>
          <w:trHeight w:val="270"/>
        </w:trPr>
        <w:tc>
          <w:tcPr>
            <w:tcW w:w="2325" w:type="dxa"/>
            <w:vMerge/>
            <w:shd w:val="clear" w:color="auto" w:fill="DBE5F1" w:themeFill="accent1" w:themeFillTint="33"/>
          </w:tcPr>
          <w:p w:rsidR="00BB5D69" w:rsidRDefault="00BB5D69">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 xml:space="preserve">Persons living in a household with a very low work intensity </w:t>
            </w:r>
          </w:p>
          <w:p w:rsidR="00BB5D69" w:rsidRDefault="00BE3CD0">
            <w:pPr>
              <w:pStyle w:val="ListParagraph"/>
              <w:ind w:left="0"/>
              <w:jc w:val="both"/>
              <w:rPr>
                <w:rFonts w:ascii="Times New Roman" w:hAnsi="Times New Roman" w:cs="Times New Roman"/>
                <w:i/>
                <w:noProof/>
                <w:sz w:val="20"/>
                <w:szCs w:val="20"/>
                <w:lang w:eastAsia="en-US"/>
              </w:rPr>
            </w:pPr>
            <w:r>
              <w:rPr>
                <w:rFonts w:ascii="Times New Roman" w:hAnsi="Times New Roman" w:cs="Times New Roman"/>
                <w:i/>
                <w:noProof/>
                <w:sz w:val="20"/>
                <w:szCs w:val="20"/>
              </w:rPr>
              <w:t>(% of population aged 60 and below living in households with very low wor</w:t>
            </w:r>
            <w:r>
              <w:rPr>
                <w:rFonts w:ascii="Times New Roman" w:hAnsi="Times New Roman" w:cs="Times New Roman"/>
                <w:i/>
                <w:noProof/>
                <w:sz w:val="20"/>
                <w:szCs w:val="20"/>
              </w:rPr>
              <w:t xml:space="preserve">k intensity, by </w:t>
            </w:r>
            <w:r>
              <w:rPr>
                <w:rFonts w:ascii="Times New Roman" w:hAnsi="Times New Roman" w:cs="Times New Roman"/>
                <w:i/>
                <w:noProof/>
                <w:sz w:val="20"/>
                <w:szCs w:val="20"/>
                <w:lang w:eastAsia="en-US"/>
              </w:rPr>
              <w:t xml:space="preserve"> gender) </w:t>
            </w:r>
          </w:p>
          <w:p w:rsidR="00BB5D69" w:rsidRDefault="00BE3CD0">
            <w:pPr>
              <w:pStyle w:val="ListParagraph"/>
              <w:ind w:left="0"/>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pStyle w:val="ListParagraph"/>
              <w:ind w:left="0"/>
              <w:jc w:val="both"/>
              <w:rPr>
                <w:rFonts w:ascii="Times New Roman" w:hAnsi="Times New Roman" w:cs="Times New Roman"/>
                <w:i/>
                <w:noProof/>
                <w:color w:val="FF0000"/>
                <w:sz w:val="20"/>
                <w:szCs w:val="20"/>
              </w:rPr>
            </w:pPr>
          </w:p>
        </w:tc>
      </w:tr>
      <w:tr w:rsidR="00BB5D69">
        <w:trPr>
          <w:trHeight w:val="167"/>
        </w:trPr>
        <w:tc>
          <w:tcPr>
            <w:tcW w:w="2325" w:type="dxa"/>
            <w:vMerge/>
            <w:shd w:val="clear" w:color="auto" w:fill="DBE5F1" w:themeFill="accent1" w:themeFillTint="33"/>
          </w:tcPr>
          <w:p w:rsidR="00BB5D69" w:rsidRDefault="00BB5D69">
            <w:pPr>
              <w:numPr>
                <w:ilvl w:val="0"/>
                <w:numId w:val="5"/>
              </w:numPr>
              <w:ind w:left="426" w:hanging="426"/>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Severe housing deprivation rate</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of total population living in overcrowded dwellings and exhibiting housing deprivation, by tenure status)</w:t>
            </w:r>
          </w:p>
          <w:p w:rsidR="00BB5D69" w:rsidRDefault="00BE3CD0">
            <w:pPr>
              <w:jc w:val="both"/>
              <w:rPr>
                <w:rFonts w:ascii="Times New Roman" w:hAnsi="Times New Roman" w:cs="Times New Roman"/>
                <w:b/>
                <w:noProof/>
                <w:sz w:val="20"/>
                <w:szCs w:val="20"/>
              </w:rPr>
            </w:pPr>
            <w:r>
              <w:rPr>
                <w:rFonts w:ascii="Times New Roman" w:hAnsi="Times New Roman" w:cs="Times New Roman"/>
                <w:i/>
                <w:noProof/>
                <w:sz w:val="20"/>
                <w:szCs w:val="20"/>
                <w:lang w:val="fr-BE"/>
              </w:rPr>
              <w:t>Eurostat</w:t>
            </w:r>
          </w:p>
        </w:tc>
      </w:tr>
      <w:tr w:rsidR="00BB5D69">
        <w:trPr>
          <w:trHeight w:val="493"/>
        </w:trPr>
        <w:tc>
          <w:tcPr>
            <w:tcW w:w="2325" w:type="dxa"/>
            <w:shd w:val="clear" w:color="auto" w:fill="DBE5F1" w:themeFill="accent1" w:themeFillTint="33"/>
          </w:tcPr>
          <w:p w:rsidR="00BB5D69" w:rsidRDefault="00BE3CD0">
            <w:pPr>
              <w:jc w:val="both"/>
              <w:rPr>
                <w:rFonts w:ascii="Times New Roman" w:hAnsi="Times New Roman" w:cs="Times New Roman"/>
                <w:noProof/>
                <w:color w:val="0070C0"/>
                <w:sz w:val="20"/>
                <w:szCs w:val="20"/>
              </w:rPr>
            </w:pPr>
            <w:r>
              <w:rPr>
                <w:rFonts w:ascii="Times New Roman" w:hAnsi="Times New Roman" w:cs="Times New Roman"/>
                <w:b/>
                <w:noProof/>
                <w:sz w:val="20"/>
                <w:szCs w:val="20"/>
              </w:rPr>
              <w:t>Youth</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Young people neither in employment nor in education and </w:t>
            </w:r>
            <w:r>
              <w:rPr>
                <w:rFonts w:ascii="Times New Roman" w:hAnsi="Times New Roman" w:cs="Times New Roman"/>
                <w:b/>
                <w:noProof/>
                <w:sz w:val="20"/>
                <w:szCs w:val="20"/>
              </w:rPr>
              <w:t>training, age group 15-24</w:t>
            </w:r>
          </w:p>
          <w:p w:rsidR="00BB5D69" w:rsidRDefault="00BE3CD0">
            <w:pPr>
              <w:jc w:val="both"/>
              <w:rPr>
                <w:rFonts w:ascii="Times New Roman" w:eastAsiaTheme="minorHAnsi" w:hAnsi="Times New Roman" w:cs="Times New Roman"/>
                <w:b/>
                <w:i/>
                <w:noProof/>
                <w:sz w:val="20"/>
                <w:szCs w:val="20"/>
                <w:lang w:val="en-GB" w:eastAsia="en-US"/>
              </w:rPr>
            </w:pPr>
            <w:r>
              <w:rPr>
                <w:rFonts w:ascii="Times New Roman" w:hAnsi="Times New Roman" w:cs="Times New Roman"/>
                <w:b/>
                <w:i/>
                <w:noProof/>
                <w:sz w:val="20"/>
                <w:szCs w:val="20"/>
              </w:rPr>
              <w:t xml:space="preserve">(NEET rate, by gender) </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Eurostat</w:t>
            </w:r>
          </w:p>
          <w:p w:rsidR="00BB5D69" w:rsidRDefault="00BB5D69">
            <w:pPr>
              <w:jc w:val="both"/>
              <w:rPr>
                <w:rFonts w:ascii="Times New Roman" w:hAnsi="Times New Roman" w:cs="Times New Roman"/>
                <w:i/>
                <w:noProof/>
                <w:sz w:val="20"/>
                <w:szCs w:val="20"/>
              </w:rPr>
            </w:pPr>
          </w:p>
        </w:tc>
      </w:tr>
      <w:tr w:rsidR="00BB5D69">
        <w:tc>
          <w:tcPr>
            <w:tcW w:w="9867" w:type="dxa"/>
            <w:gridSpan w:val="2"/>
            <w:shd w:val="clear" w:color="auto" w:fill="8DB3E2" w:themeFill="text2" w:themeFillTint="66"/>
          </w:tcPr>
          <w:p w:rsidR="00BB5D69" w:rsidRDefault="00BE3CD0">
            <w:pPr>
              <w:jc w:val="center"/>
              <w:rPr>
                <w:rFonts w:ascii="Times New Roman" w:hAnsi="Times New Roman" w:cs="Times New Roman"/>
                <w:b/>
                <w:noProof/>
                <w:sz w:val="20"/>
                <w:szCs w:val="20"/>
              </w:rPr>
            </w:pPr>
            <w:r>
              <w:rPr>
                <w:rFonts w:ascii="Times New Roman" w:hAnsi="Times New Roman" w:cs="Times New Roman"/>
                <w:b/>
                <w:noProof/>
                <w:sz w:val="20"/>
                <w:szCs w:val="20"/>
              </w:rPr>
              <w:t>Dynamic labour markets and fair working conditions</w:t>
            </w:r>
          </w:p>
        </w:tc>
      </w:tr>
      <w:tr w:rsidR="00BB5D69">
        <w:trPr>
          <w:trHeight w:val="346"/>
        </w:trPr>
        <w:tc>
          <w:tcPr>
            <w:tcW w:w="2325" w:type="dxa"/>
            <w:vMerge w:val="restart"/>
            <w:shd w:val="clear" w:color="auto" w:fill="DBE5F1" w:themeFill="accent1" w:themeFillTint="33"/>
          </w:tcPr>
          <w:p w:rsidR="00BB5D69" w:rsidRDefault="00BE3CD0">
            <w:pPr>
              <w:contextualSpacing/>
              <w:rPr>
                <w:rFonts w:ascii="Times New Roman" w:hAnsi="Times New Roman" w:cs="Times New Roman"/>
                <w:noProof/>
              </w:rPr>
            </w:pPr>
            <w:r>
              <w:rPr>
                <w:rFonts w:ascii="Times New Roman" w:hAnsi="Times New Roman" w:cs="Times New Roman"/>
                <w:b/>
                <w:noProof/>
                <w:sz w:val="20"/>
                <w:szCs w:val="20"/>
              </w:rPr>
              <w:t>Labour force structure</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Employment rate  </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(20-64, by gender, age, and educational attainment) </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Eurostat</w:t>
            </w:r>
          </w:p>
        </w:tc>
      </w:tr>
      <w:tr w:rsidR="00BB5D69">
        <w:trPr>
          <w:trHeight w:val="184"/>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rPr>
            </w:pP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Unemployment rate </w:t>
            </w:r>
          </w:p>
          <w:p w:rsidR="00BB5D69" w:rsidRDefault="00BE3CD0">
            <w:pPr>
              <w:jc w:val="both"/>
              <w:rPr>
                <w:rFonts w:ascii="Times New Roman" w:hAnsi="Times New Roman" w:cs="Times New Roman"/>
                <w:b/>
                <w:noProof/>
                <w:sz w:val="20"/>
                <w:szCs w:val="20"/>
              </w:rPr>
            </w:pPr>
            <w:r>
              <w:rPr>
                <w:rFonts w:ascii="Times New Roman" w:hAnsi="Times New Roman" w:cs="Times New Roman"/>
                <w:b/>
                <w:noProof/>
                <w:sz w:val="20"/>
                <w:szCs w:val="20"/>
              </w:rPr>
              <w:t>(</w:t>
            </w:r>
            <w:r>
              <w:rPr>
                <w:rFonts w:ascii="Times New Roman" w:hAnsi="Times New Roman" w:cs="Times New Roman"/>
                <w:b/>
                <w:i/>
                <w:noProof/>
                <w:sz w:val="20"/>
                <w:szCs w:val="20"/>
              </w:rPr>
              <w:t xml:space="preserve">15-74, by gender, </w:t>
            </w:r>
            <w:r>
              <w:rPr>
                <w:rFonts w:ascii="Times New Roman" w:hAnsi="Times New Roman" w:cs="Times New Roman"/>
                <w:b/>
                <w:i/>
                <w:noProof/>
                <w:sz w:val="20"/>
                <w:szCs w:val="20"/>
              </w:rPr>
              <w:t>age and educational attainment)</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rPr>
              <w:t>Eurostat</w:t>
            </w:r>
          </w:p>
          <w:p w:rsidR="00BB5D69" w:rsidRDefault="00BB5D69">
            <w:pPr>
              <w:jc w:val="both"/>
              <w:rPr>
                <w:rFonts w:ascii="Times New Roman" w:hAnsi="Times New Roman" w:cs="Times New Roman"/>
                <w:b/>
                <w:noProof/>
                <w:sz w:val="20"/>
                <w:szCs w:val="20"/>
              </w:rPr>
            </w:pPr>
          </w:p>
        </w:tc>
      </w:tr>
      <w:tr w:rsidR="00BB5D69">
        <w:trPr>
          <w:trHeight w:val="184"/>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lang w:eastAsia="en-US"/>
              </w:rPr>
            </w:pPr>
            <w:r>
              <w:rPr>
                <w:rFonts w:ascii="Times New Roman" w:hAnsi="Times New Roman" w:cs="Times New Roman"/>
                <w:i/>
                <w:noProof/>
                <w:sz w:val="20"/>
                <w:szCs w:val="20"/>
                <w:lang w:eastAsia="en-US"/>
              </w:rPr>
              <w:t xml:space="preserve">Activity rate </w:t>
            </w:r>
          </w:p>
          <w:p w:rsidR="00BB5D69" w:rsidRDefault="00BE3CD0">
            <w:pPr>
              <w:jc w:val="both"/>
              <w:rPr>
                <w:rFonts w:ascii="Times New Roman" w:hAnsi="Times New Roman" w:cs="Times New Roman"/>
                <w:i/>
                <w:noProof/>
                <w:sz w:val="20"/>
                <w:szCs w:val="20"/>
                <w:lang w:eastAsia="en-US"/>
              </w:rPr>
            </w:pPr>
            <w:r>
              <w:rPr>
                <w:rFonts w:ascii="Times New Roman" w:hAnsi="Times New Roman" w:cs="Times New Roman"/>
                <w:i/>
                <w:noProof/>
                <w:sz w:val="20"/>
                <w:szCs w:val="20"/>
                <w:lang w:eastAsia="en-US"/>
              </w:rPr>
              <w:t>(15-64, by gender and age)</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b/>
                <w:noProof/>
                <w:sz w:val="20"/>
                <w:szCs w:val="20"/>
              </w:rPr>
            </w:pPr>
          </w:p>
        </w:tc>
      </w:tr>
      <w:tr w:rsidR="00BB5D69">
        <w:trPr>
          <w:trHeight w:val="574"/>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Youth unemployment rate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(15-24, by gender)</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sz w:val="20"/>
                <w:szCs w:val="20"/>
              </w:rPr>
            </w:pPr>
          </w:p>
        </w:tc>
      </w:tr>
      <w:tr w:rsidR="00BB5D69">
        <w:trPr>
          <w:trHeight w:val="584"/>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lang w:eastAsia="en-US"/>
              </w:rPr>
            </w:pPr>
            <w:r>
              <w:rPr>
                <w:rFonts w:ascii="Times New Roman" w:hAnsi="Times New Roman" w:cs="Times New Roman"/>
                <w:i/>
                <w:noProof/>
                <w:sz w:val="20"/>
                <w:szCs w:val="20"/>
                <w:lang w:eastAsia="en-US"/>
              </w:rPr>
              <w:t xml:space="preserve">Share of long-term unemployment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lang w:eastAsia="en-US"/>
              </w:rPr>
              <w:t>(in total</w:t>
            </w:r>
            <w:r>
              <w:rPr>
                <w:rFonts w:ascii="Times New Roman" w:hAnsi="Times New Roman" w:cs="Times New Roman"/>
                <w:bCs/>
                <w:i/>
                <w:noProof/>
                <w:sz w:val="20"/>
                <w:szCs w:val="20"/>
                <w:lang w:eastAsia="en-US"/>
              </w:rPr>
              <w:t xml:space="preserve"> </w:t>
            </w:r>
            <w:r>
              <w:rPr>
                <w:rFonts w:ascii="Times New Roman" w:hAnsi="Times New Roman" w:cs="Times New Roman"/>
                <w:i/>
                <w:noProof/>
                <w:sz w:val="20"/>
                <w:szCs w:val="20"/>
                <w:lang w:eastAsia="en-US"/>
              </w:rPr>
              <w:t xml:space="preserve">active population, </w:t>
            </w:r>
            <w:r>
              <w:rPr>
                <w:rFonts w:ascii="Times New Roman" w:hAnsi="Times New Roman" w:cs="Times New Roman"/>
                <w:i/>
                <w:noProof/>
                <w:sz w:val="20"/>
                <w:szCs w:val="20"/>
              </w:rPr>
              <w:t xml:space="preserve">by gender)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sz w:val="20"/>
                <w:szCs w:val="20"/>
              </w:rPr>
            </w:pPr>
          </w:p>
        </w:tc>
      </w:tr>
      <w:tr w:rsidR="00BB5D69">
        <w:trPr>
          <w:trHeight w:val="612"/>
        </w:trPr>
        <w:tc>
          <w:tcPr>
            <w:tcW w:w="2325" w:type="dxa"/>
            <w:vMerge w:val="restart"/>
            <w:shd w:val="clear" w:color="auto" w:fill="DBE5F1" w:themeFill="accent1" w:themeFillTint="33"/>
          </w:tcPr>
          <w:p w:rsidR="00BB5D69" w:rsidRDefault="00BE3CD0">
            <w:pPr>
              <w:rPr>
                <w:rFonts w:ascii="Times New Roman" w:hAnsi="Times New Roman" w:cs="Times New Roman"/>
                <w:b/>
                <w:noProof/>
                <w:sz w:val="20"/>
                <w:szCs w:val="20"/>
              </w:rPr>
            </w:pPr>
            <w:r>
              <w:rPr>
                <w:rFonts w:ascii="Times New Roman" w:hAnsi="Times New Roman" w:cs="Times New Roman"/>
                <w:b/>
                <w:noProof/>
                <w:sz w:val="20"/>
                <w:szCs w:val="20"/>
              </w:rPr>
              <w:t xml:space="preserve">Labour market </w:t>
            </w:r>
            <w:r>
              <w:rPr>
                <w:rFonts w:ascii="Times New Roman" w:hAnsi="Times New Roman" w:cs="Times New Roman"/>
                <w:b/>
                <w:noProof/>
                <w:sz w:val="20"/>
                <w:szCs w:val="20"/>
              </w:rPr>
              <w:t>dynamics</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Activation measures –labour market policies participants per 100 persons wanting to work (total)</w:t>
            </w:r>
          </w:p>
          <w:p w:rsidR="00BB5D69" w:rsidRDefault="00BE3CD0">
            <w:pPr>
              <w:jc w:val="both"/>
              <w:rPr>
                <w:rFonts w:ascii="Times New Roman" w:hAnsi="Times New Roman" w:cs="Times New Roman"/>
                <w:b/>
                <w:noProof/>
                <w:sz w:val="20"/>
                <w:szCs w:val="20"/>
              </w:rPr>
            </w:pPr>
            <w:r>
              <w:rPr>
                <w:rFonts w:ascii="Times New Roman" w:hAnsi="Times New Roman" w:cs="Times New Roman"/>
                <w:b/>
                <w:i/>
                <w:noProof/>
                <w:sz w:val="20"/>
                <w:szCs w:val="20"/>
              </w:rPr>
              <w:t>Eurostat</w:t>
            </w:r>
          </w:p>
          <w:p w:rsidR="00BB5D69" w:rsidRDefault="00BB5D69">
            <w:pPr>
              <w:jc w:val="both"/>
              <w:rPr>
                <w:rFonts w:ascii="Times New Roman" w:hAnsi="Times New Roman" w:cs="Times New Roman"/>
                <w:noProof/>
                <w:sz w:val="20"/>
                <w:szCs w:val="20"/>
              </w:rPr>
            </w:pPr>
          </w:p>
        </w:tc>
      </w:tr>
      <w:tr w:rsidR="00BB5D69">
        <w:trPr>
          <w:trHeight w:val="20"/>
        </w:trPr>
        <w:tc>
          <w:tcPr>
            <w:tcW w:w="2325" w:type="dxa"/>
            <w:vMerge/>
            <w:shd w:val="clear" w:color="auto" w:fill="DBE5F1" w:themeFill="accent1" w:themeFillTint="33"/>
          </w:tcPr>
          <w:p w:rsidR="00BB5D69" w:rsidRDefault="00BB5D69">
            <w:pPr>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Employment in current job by duration</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(Percentage of the employed persons in their current job by duration (one year or less, 1 to 2 years</w:t>
            </w:r>
            <w:r>
              <w:rPr>
                <w:rFonts w:ascii="Times New Roman" w:hAnsi="Times New Roman" w:cs="Times New Roman"/>
                <w:i/>
                <w:noProof/>
                <w:sz w:val="20"/>
                <w:szCs w:val="20"/>
              </w:rPr>
              <w:t>, 2 to 5 years, more than 5 years))</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b/>
                <w:i/>
                <w:noProof/>
                <w:sz w:val="20"/>
                <w:szCs w:val="20"/>
              </w:rPr>
            </w:pPr>
          </w:p>
        </w:tc>
      </w:tr>
      <w:tr w:rsidR="00BB5D69">
        <w:trPr>
          <w:trHeight w:val="544"/>
        </w:trPr>
        <w:tc>
          <w:tcPr>
            <w:tcW w:w="2325" w:type="dxa"/>
            <w:vMerge/>
            <w:shd w:val="clear" w:color="auto" w:fill="DBE5F1" w:themeFill="accent1" w:themeFillTint="33"/>
          </w:tcPr>
          <w:p w:rsidR="00BB5D69" w:rsidRDefault="00BB5D69">
            <w:pPr>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Transition rates from temporary to permanent contracts (3-year average)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 of population aged 18 and over whose working status changed from temporary contract in previous year to permanent contract in </w:t>
            </w:r>
            <w:r>
              <w:rPr>
                <w:rFonts w:ascii="Times New Roman" w:hAnsi="Times New Roman" w:cs="Times New Roman"/>
                <w:i/>
                <w:noProof/>
                <w:sz w:val="20"/>
                <w:szCs w:val="20"/>
              </w:rPr>
              <w:t>current one, by gender))</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sz w:val="20"/>
                <w:szCs w:val="20"/>
              </w:rPr>
            </w:pPr>
          </w:p>
        </w:tc>
      </w:tr>
      <w:tr w:rsidR="00BB5D69">
        <w:trPr>
          <w:trHeight w:val="208"/>
        </w:trPr>
        <w:tc>
          <w:tcPr>
            <w:tcW w:w="2325" w:type="dxa"/>
            <w:vMerge w:val="restart"/>
            <w:shd w:val="clear" w:color="auto" w:fill="DBE5F1" w:themeFill="accent1" w:themeFillTint="33"/>
          </w:tcPr>
          <w:p w:rsidR="00BB5D69" w:rsidRDefault="00BE3CD0">
            <w:pPr>
              <w:contextualSpacing/>
              <w:rPr>
                <w:rFonts w:ascii="Times New Roman" w:hAnsi="Times New Roman" w:cs="Times New Roman"/>
                <w:b/>
                <w:noProof/>
                <w:sz w:val="20"/>
                <w:szCs w:val="20"/>
              </w:rPr>
            </w:pPr>
            <w:r>
              <w:rPr>
                <w:rFonts w:ascii="Times New Roman" w:hAnsi="Times New Roman" w:cs="Times New Roman"/>
                <w:b/>
                <w:noProof/>
                <w:sz w:val="20"/>
                <w:szCs w:val="20"/>
              </w:rPr>
              <w:t xml:space="preserve">Income, including employment-related </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Adjusted gross disposable income of households in real terms (PPS per capita: Index 2008=100)</w:t>
            </w:r>
          </w:p>
          <w:p w:rsidR="00BB5D69" w:rsidRDefault="00BE3CD0">
            <w:pPr>
              <w:spacing w:after="200" w:line="276" w:lineRule="auto"/>
              <w:jc w:val="both"/>
              <w:rPr>
                <w:rFonts w:ascii="Times New Roman" w:hAnsi="Times New Roman" w:cs="Times New Roman"/>
                <w:b/>
                <w:i/>
                <w:noProof/>
                <w:sz w:val="20"/>
                <w:szCs w:val="20"/>
              </w:rPr>
            </w:pPr>
            <w:r>
              <w:rPr>
                <w:rFonts w:ascii="Times New Roman" w:hAnsi="Times New Roman" w:cs="Times New Roman"/>
                <w:b/>
                <w:i/>
                <w:noProof/>
                <w:sz w:val="20"/>
                <w:szCs w:val="20"/>
              </w:rPr>
              <w:t>Eurostat</w:t>
            </w:r>
          </w:p>
          <w:p w:rsidR="00BB5D69" w:rsidRDefault="00BB5D69">
            <w:pPr>
              <w:jc w:val="both"/>
              <w:rPr>
                <w:rFonts w:ascii="Times New Roman" w:hAnsi="Times New Roman" w:cs="Times New Roman"/>
                <w:b/>
                <w:noProof/>
                <w:sz w:val="20"/>
                <w:szCs w:val="20"/>
              </w:rPr>
            </w:pPr>
          </w:p>
        </w:tc>
      </w:tr>
      <w:tr w:rsidR="00BB5D69">
        <w:trPr>
          <w:trHeight w:val="208"/>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rPr>
            </w:pP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Compensation of employees per hour worked</w:t>
            </w:r>
          </w:p>
          <w:p w:rsidR="00BB5D69" w:rsidRDefault="00BE3CD0">
            <w:pPr>
              <w:jc w:val="both"/>
              <w:rPr>
                <w:rFonts w:ascii="Times New Roman" w:hAnsi="Times New Roman" w:cs="Times New Roman"/>
                <w:i/>
                <w:noProof/>
                <w:sz w:val="20"/>
                <w:szCs w:val="20"/>
              </w:rPr>
            </w:pPr>
            <w:r>
              <w:rPr>
                <w:rFonts w:ascii="Times New Roman" w:hAnsi="Times New Roman" w:cs="Times New Roman"/>
                <w:b/>
                <w:i/>
                <w:noProof/>
                <w:sz w:val="20"/>
                <w:szCs w:val="20"/>
              </w:rPr>
              <w:t xml:space="preserve">Own calculations based on Eurostat </w:t>
            </w:r>
          </w:p>
        </w:tc>
      </w:tr>
      <w:tr w:rsidR="00BB5D69">
        <w:trPr>
          <w:trHeight w:val="478"/>
        </w:trPr>
        <w:tc>
          <w:tcPr>
            <w:tcW w:w="2325" w:type="dxa"/>
            <w:vMerge/>
            <w:shd w:val="clear" w:color="auto" w:fill="DBE5F1" w:themeFill="accent1" w:themeFillTint="33"/>
          </w:tcPr>
          <w:p w:rsidR="00BB5D69" w:rsidRDefault="00BB5D69">
            <w:pPr>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In work at-risk-of-poverty rate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 of working population aged 18 and over who is at risk f poverty, by gender)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jc w:val="both"/>
              <w:rPr>
                <w:rFonts w:ascii="Times New Roman" w:hAnsi="Times New Roman" w:cs="Times New Roman"/>
                <w:i/>
                <w:noProof/>
                <w:color w:val="FF0000"/>
                <w:sz w:val="20"/>
                <w:szCs w:val="20"/>
              </w:rPr>
            </w:pPr>
          </w:p>
          <w:p w:rsidR="00BB5D69" w:rsidRDefault="00BB5D69">
            <w:pPr>
              <w:jc w:val="both"/>
              <w:rPr>
                <w:rFonts w:ascii="Times New Roman" w:hAnsi="Times New Roman" w:cs="Times New Roman"/>
                <w:i/>
                <w:noProof/>
                <w:sz w:val="20"/>
                <w:szCs w:val="20"/>
              </w:rPr>
            </w:pPr>
          </w:p>
        </w:tc>
      </w:tr>
      <w:tr w:rsidR="00BB5D69">
        <w:tc>
          <w:tcPr>
            <w:tcW w:w="9867" w:type="dxa"/>
            <w:gridSpan w:val="2"/>
            <w:shd w:val="clear" w:color="auto" w:fill="8DB3E2" w:themeFill="text2" w:themeFillTint="66"/>
          </w:tcPr>
          <w:p w:rsidR="00BB5D69" w:rsidRDefault="00BE3CD0">
            <w:pPr>
              <w:jc w:val="center"/>
              <w:rPr>
                <w:rFonts w:ascii="Times New Roman" w:hAnsi="Times New Roman" w:cs="Times New Roman"/>
                <w:b/>
                <w:noProof/>
                <w:sz w:val="20"/>
                <w:szCs w:val="20"/>
              </w:rPr>
            </w:pPr>
            <w:r>
              <w:rPr>
                <w:rFonts w:ascii="Times New Roman" w:hAnsi="Times New Roman" w:cs="Times New Roman"/>
                <w:b/>
                <w:noProof/>
                <w:sz w:val="20"/>
                <w:szCs w:val="20"/>
              </w:rPr>
              <w:t>Public support / Social protection and inclusion</w:t>
            </w:r>
          </w:p>
        </w:tc>
      </w:tr>
      <w:tr w:rsidR="00BB5D69">
        <w:trPr>
          <w:trHeight w:val="288"/>
        </w:trPr>
        <w:tc>
          <w:tcPr>
            <w:tcW w:w="2325" w:type="dxa"/>
            <w:vMerge w:val="restart"/>
            <w:shd w:val="clear" w:color="auto" w:fill="DBE5F1" w:themeFill="accent1" w:themeFillTint="33"/>
          </w:tcPr>
          <w:p w:rsidR="00BB5D69" w:rsidRDefault="00BE3CD0">
            <w:pPr>
              <w:contextualSpacing/>
              <w:rPr>
                <w:rFonts w:ascii="Times New Roman" w:hAnsi="Times New Roman" w:cs="Times New Roman"/>
                <w:b/>
                <w:noProof/>
                <w:sz w:val="20"/>
                <w:szCs w:val="20"/>
              </w:rPr>
            </w:pPr>
            <w:r>
              <w:rPr>
                <w:rFonts w:ascii="Times New Roman" w:hAnsi="Times New Roman" w:cs="Times New Roman"/>
                <w:b/>
                <w:noProof/>
                <w:sz w:val="20"/>
                <w:szCs w:val="20"/>
              </w:rPr>
              <w:t xml:space="preserve">Impact of public policies on reducing poverty </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Impact of social transfers (other than pensions) on poverty reduction</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(Difference, among total population, between the share of people at risk of poverty rate before and after social transfers, by gender) </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lang w:val="it-IT"/>
              </w:rPr>
              <w:t>Eurostat</w:t>
            </w:r>
          </w:p>
          <w:p w:rsidR="00BB5D69" w:rsidRDefault="00BB5D69">
            <w:pPr>
              <w:jc w:val="both"/>
              <w:rPr>
                <w:rFonts w:ascii="Times New Roman" w:hAnsi="Times New Roman" w:cs="Times New Roman"/>
                <w:noProof/>
                <w:sz w:val="20"/>
                <w:szCs w:val="20"/>
                <w:lang w:val="it-IT"/>
              </w:rPr>
            </w:pPr>
          </w:p>
        </w:tc>
      </w:tr>
      <w:tr w:rsidR="00BB5D69">
        <w:trPr>
          <w:trHeight w:val="968"/>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lang w:val="it-IT"/>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General government expenditure by function</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(General government expenditure as % of GDP, by function (social protection, health and education))</w:t>
            </w:r>
          </w:p>
          <w:p w:rsidR="00BB5D69" w:rsidRDefault="00BE3CD0">
            <w:pPr>
              <w:jc w:val="both"/>
              <w:rPr>
                <w:rFonts w:ascii="Times New Roman" w:hAnsi="Times New Roman" w:cs="Times New Roman"/>
                <w:b/>
                <w:noProof/>
                <w:sz w:val="20"/>
                <w:szCs w:val="20"/>
              </w:rPr>
            </w:pPr>
            <w:r>
              <w:rPr>
                <w:rFonts w:ascii="Times New Roman" w:hAnsi="Times New Roman" w:cs="Times New Roman"/>
                <w:i/>
                <w:noProof/>
                <w:sz w:val="20"/>
                <w:szCs w:val="20"/>
              </w:rPr>
              <w:t>Eurostat</w:t>
            </w:r>
          </w:p>
        </w:tc>
      </w:tr>
      <w:tr w:rsidR="00BB5D69">
        <w:trPr>
          <w:trHeight w:val="184"/>
        </w:trPr>
        <w:tc>
          <w:tcPr>
            <w:tcW w:w="2325" w:type="dxa"/>
            <w:vMerge/>
            <w:shd w:val="clear" w:color="auto" w:fill="DBE5F1" w:themeFill="accent1" w:themeFillTint="33"/>
          </w:tcPr>
          <w:p w:rsidR="00BB5D69" w:rsidRDefault="00BB5D69">
            <w:pPr>
              <w:contextualSpacing/>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Aggregate replacement ratio for pensions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(Ratio of the median individual gross pensions </w:t>
            </w:r>
            <w:r>
              <w:rPr>
                <w:rFonts w:ascii="Times New Roman" w:hAnsi="Times New Roman" w:cs="Times New Roman"/>
                <w:i/>
                <w:noProof/>
                <w:sz w:val="20"/>
                <w:szCs w:val="20"/>
              </w:rPr>
              <w:t>of 65-74 age category relative to the median individual gross earning of 50-59 age category)</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Eurostat </w:t>
            </w:r>
          </w:p>
          <w:p w:rsidR="00BB5D69" w:rsidRDefault="00BB5D69">
            <w:pPr>
              <w:jc w:val="both"/>
              <w:rPr>
                <w:rFonts w:ascii="Times New Roman" w:hAnsi="Times New Roman" w:cs="Times New Roman"/>
                <w:i/>
                <w:noProof/>
                <w:sz w:val="20"/>
                <w:szCs w:val="20"/>
              </w:rPr>
            </w:pPr>
          </w:p>
        </w:tc>
      </w:tr>
      <w:tr w:rsidR="00BB5D69">
        <w:trPr>
          <w:trHeight w:val="613"/>
        </w:trPr>
        <w:tc>
          <w:tcPr>
            <w:tcW w:w="2325" w:type="dxa"/>
            <w:shd w:val="clear" w:color="auto" w:fill="DBE5F1" w:themeFill="accent1" w:themeFillTint="33"/>
          </w:tcPr>
          <w:p w:rsidR="00BB5D69" w:rsidRDefault="00BE3CD0">
            <w:pPr>
              <w:contextualSpacing/>
              <w:rPr>
                <w:rFonts w:ascii="Times New Roman" w:hAnsi="Times New Roman" w:cs="Times New Roman"/>
                <w:noProof/>
              </w:rPr>
            </w:pPr>
            <w:r>
              <w:rPr>
                <w:rFonts w:ascii="Times New Roman" w:hAnsi="Times New Roman" w:cs="Times New Roman"/>
                <w:b/>
                <w:noProof/>
                <w:sz w:val="20"/>
                <w:szCs w:val="20"/>
              </w:rPr>
              <w:t xml:space="preserve">Early childhood care </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Children aged less than 3 years in formal childcare </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rPr>
              <w:t>(Children in formal childcare (proportion of children in same age group - ag</w:t>
            </w:r>
            <w:r>
              <w:rPr>
                <w:rFonts w:ascii="Times New Roman" w:hAnsi="Times New Roman" w:cs="Times New Roman"/>
                <w:b/>
                <w:i/>
                <w:noProof/>
                <w:sz w:val="20"/>
                <w:szCs w:val="20"/>
              </w:rPr>
              <w:t xml:space="preserve">e 0 – 3)) </w:t>
            </w:r>
          </w:p>
          <w:p w:rsidR="00BB5D69" w:rsidRDefault="00BE3CD0">
            <w:pPr>
              <w:rPr>
                <w:rFonts w:ascii="Times New Roman" w:eastAsiaTheme="minorHAnsi" w:hAnsi="Times New Roman" w:cs="Times New Roman"/>
                <w:b/>
                <w:noProof/>
                <w:sz w:val="20"/>
                <w:szCs w:val="20"/>
                <w:lang w:val="en-GB" w:eastAsia="en-US"/>
              </w:rPr>
            </w:pPr>
            <w:r>
              <w:rPr>
                <w:rFonts w:ascii="Times New Roman" w:hAnsi="Times New Roman" w:cs="Times New Roman"/>
                <w:b/>
                <w:i/>
                <w:noProof/>
                <w:sz w:val="20"/>
                <w:szCs w:val="20"/>
              </w:rPr>
              <w:t>Eurostat</w:t>
            </w:r>
          </w:p>
          <w:p w:rsidR="00BB5D69" w:rsidRDefault="00BB5D69">
            <w:pPr>
              <w:rPr>
                <w:rFonts w:ascii="Times New Roman" w:hAnsi="Times New Roman" w:cs="Times New Roman"/>
                <w:b/>
                <w:noProof/>
                <w:sz w:val="20"/>
                <w:szCs w:val="20"/>
              </w:rPr>
            </w:pPr>
          </w:p>
        </w:tc>
      </w:tr>
      <w:tr w:rsidR="00BB5D69">
        <w:trPr>
          <w:trHeight w:val="416"/>
        </w:trPr>
        <w:tc>
          <w:tcPr>
            <w:tcW w:w="2325" w:type="dxa"/>
            <w:vMerge w:val="restart"/>
            <w:shd w:val="clear" w:color="auto" w:fill="DBE5F1" w:themeFill="accent1" w:themeFillTint="33"/>
          </w:tcPr>
          <w:p w:rsidR="00BB5D69" w:rsidRDefault="00BE3CD0">
            <w:pPr>
              <w:contextualSpacing/>
              <w:jc w:val="both"/>
              <w:rPr>
                <w:rFonts w:ascii="Times New Roman" w:hAnsi="Times New Roman" w:cs="Times New Roman"/>
                <w:noProof/>
                <w:lang w:val="en-GB"/>
              </w:rPr>
            </w:pPr>
            <w:r>
              <w:rPr>
                <w:rFonts w:ascii="Times New Roman" w:hAnsi="Times New Roman" w:cs="Times New Roman"/>
                <w:b/>
                <w:noProof/>
                <w:sz w:val="20"/>
                <w:szCs w:val="20"/>
              </w:rPr>
              <w:t>Healthcare</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 xml:space="preserve">Self-reported unmet need for medical care (EU SILC) </w:t>
            </w:r>
          </w:p>
          <w:p w:rsidR="00BB5D69" w:rsidRDefault="00BE3CD0">
            <w:pPr>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 of total population who reported unmet need for medical care, by gender) </w:t>
            </w:r>
          </w:p>
          <w:p w:rsidR="00BB5D69" w:rsidRDefault="00BE3CD0">
            <w:pPr>
              <w:spacing w:after="200" w:line="276" w:lineRule="auto"/>
              <w:jc w:val="both"/>
              <w:rPr>
                <w:rFonts w:ascii="Times New Roman" w:hAnsi="Times New Roman" w:cs="Times New Roman"/>
                <w:noProof/>
                <w:sz w:val="20"/>
                <w:szCs w:val="20"/>
                <w:lang w:val="en-GB"/>
              </w:rPr>
            </w:pPr>
            <w:r>
              <w:rPr>
                <w:rFonts w:ascii="Times New Roman" w:hAnsi="Times New Roman" w:cs="Times New Roman"/>
                <w:b/>
                <w:i/>
                <w:noProof/>
                <w:sz w:val="20"/>
                <w:szCs w:val="20"/>
              </w:rPr>
              <w:t>Eurostat</w:t>
            </w:r>
          </w:p>
        </w:tc>
      </w:tr>
      <w:tr w:rsidR="00BB5D69">
        <w:trPr>
          <w:trHeight w:val="276"/>
        </w:trPr>
        <w:tc>
          <w:tcPr>
            <w:tcW w:w="2325" w:type="dxa"/>
            <w:vMerge/>
            <w:shd w:val="clear" w:color="auto" w:fill="DBE5F1" w:themeFill="accent1" w:themeFillTint="33"/>
          </w:tcPr>
          <w:p w:rsidR="00BB5D69" w:rsidRDefault="00BB5D69">
            <w:pPr>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Healthy life years (at the age of 65)</w:t>
            </w:r>
          </w:p>
          <w:p w:rsidR="00BB5D69" w:rsidRDefault="00BE3CD0">
            <w:pPr>
              <w:rPr>
                <w:rFonts w:ascii="Times New Roman" w:hAnsi="Times New Roman" w:cs="Times New Roman"/>
                <w:i/>
                <w:noProof/>
                <w:sz w:val="20"/>
                <w:szCs w:val="20"/>
              </w:rPr>
            </w:pPr>
            <w:r>
              <w:rPr>
                <w:rFonts w:ascii="Times New Roman" w:hAnsi="Times New Roman" w:cs="Times New Roman"/>
                <w:i/>
                <w:noProof/>
                <w:sz w:val="20"/>
                <w:szCs w:val="20"/>
              </w:rPr>
              <w:t>Eurostat</w:t>
            </w:r>
          </w:p>
          <w:p w:rsidR="00BB5D69" w:rsidRDefault="00BB5D69">
            <w:pPr>
              <w:rPr>
                <w:rFonts w:ascii="Times New Roman" w:hAnsi="Times New Roman" w:cs="Times New Roman"/>
                <w:b/>
                <w:noProof/>
                <w:sz w:val="20"/>
                <w:szCs w:val="20"/>
                <w:highlight w:val="yellow"/>
              </w:rPr>
            </w:pPr>
          </w:p>
        </w:tc>
      </w:tr>
      <w:tr w:rsidR="00BB5D69">
        <w:trPr>
          <w:trHeight w:val="276"/>
        </w:trPr>
        <w:tc>
          <w:tcPr>
            <w:tcW w:w="2325" w:type="dxa"/>
            <w:vMerge/>
            <w:shd w:val="clear" w:color="auto" w:fill="DBE5F1" w:themeFill="accent1" w:themeFillTint="33"/>
          </w:tcPr>
          <w:p w:rsidR="00BB5D69" w:rsidRDefault="00BB5D69">
            <w:pPr>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Out-of-pocket expenditure on health care  </w:t>
            </w:r>
          </w:p>
          <w:p w:rsidR="00BB5D69" w:rsidRDefault="00BE3CD0">
            <w:pPr>
              <w:jc w:val="both"/>
              <w:rPr>
                <w:rFonts w:ascii="Times New Roman" w:hAnsi="Times New Roman" w:cs="Times New Roman"/>
                <w:i/>
                <w:noProof/>
              </w:rPr>
            </w:pPr>
            <w:r>
              <w:rPr>
                <w:rFonts w:ascii="Times New Roman" w:hAnsi="Times New Roman" w:cs="Times New Roman"/>
                <w:i/>
                <w:noProof/>
              </w:rPr>
              <w:t xml:space="preserve">Eurostat </w:t>
            </w:r>
          </w:p>
          <w:p w:rsidR="00BB5D69" w:rsidRDefault="00BE3CD0">
            <w:pPr>
              <w:jc w:val="both"/>
              <w:rPr>
                <w:rFonts w:ascii="Times New Roman" w:hAnsi="Times New Roman" w:cs="Times New Roman"/>
                <w:i/>
                <w:noProof/>
                <w:sz w:val="20"/>
                <w:szCs w:val="20"/>
              </w:rPr>
            </w:pPr>
            <w:r>
              <w:rPr>
                <w:rFonts w:ascii="Times New Roman" w:hAnsi="Times New Roman" w:cs="Times New Roman"/>
                <w:i/>
                <w:noProof/>
                <w:color w:val="FF0000"/>
              </w:rPr>
              <w:t xml:space="preserve">   </w:t>
            </w:r>
          </w:p>
        </w:tc>
      </w:tr>
      <w:tr w:rsidR="00BB5D69">
        <w:trPr>
          <w:trHeight w:val="151"/>
        </w:trPr>
        <w:tc>
          <w:tcPr>
            <w:tcW w:w="2325" w:type="dxa"/>
            <w:vMerge w:val="restart"/>
            <w:shd w:val="clear" w:color="auto" w:fill="DBE5F1" w:themeFill="accent1" w:themeFillTint="33"/>
          </w:tcPr>
          <w:p w:rsidR="00BB5D69" w:rsidRDefault="00BE3CD0">
            <w:pPr>
              <w:contextualSpacing/>
              <w:jc w:val="both"/>
              <w:rPr>
                <w:rFonts w:ascii="Times New Roman" w:hAnsi="Times New Roman" w:cs="Times New Roman"/>
                <w:b/>
                <w:noProof/>
                <w:sz w:val="20"/>
                <w:szCs w:val="20"/>
              </w:rPr>
            </w:pPr>
            <w:r>
              <w:rPr>
                <w:rFonts w:ascii="Times New Roman" w:hAnsi="Times New Roman" w:cs="Times New Roman"/>
                <w:b/>
                <w:noProof/>
                <w:sz w:val="20"/>
                <w:szCs w:val="20"/>
              </w:rPr>
              <w:t xml:space="preserve">Digital access </w:t>
            </w:r>
          </w:p>
        </w:tc>
        <w:tc>
          <w:tcPr>
            <w:tcW w:w="7542" w:type="dxa"/>
          </w:tcPr>
          <w:p w:rsidR="00BB5D69" w:rsidRDefault="00BE3CD0">
            <w:pPr>
              <w:pStyle w:val="ListParagraph"/>
              <w:numPr>
                <w:ilvl w:val="0"/>
                <w:numId w:val="25"/>
              </w:numPr>
              <w:jc w:val="both"/>
              <w:rPr>
                <w:rFonts w:ascii="Times New Roman" w:hAnsi="Times New Roman" w:cs="Times New Roman"/>
                <w:b/>
                <w:noProof/>
                <w:sz w:val="20"/>
                <w:szCs w:val="20"/>
              </w:rPr>
            </w:pPr>
            <w:r>
              <w:rPr>
                <w:rFonts w:ascii="Times New Roman" w:hAnsi="Times New Roman" w:cs="Times New Roman"/>
                <w:b/>
                <w:noProof/>
                <w:sz w:val="20"/>
                <w:szCs w:val="20"/>
              </w:rPr>
              <w:t>Individuals’ level of digital skills</w:t>
            </w:r>
          </w:p>
          <w:p w:rsidR="00BB5D69" w:rsidRDefault="00BE3CD0">
            <w:pPr>
              <w:jc w:val="both"/>
              <w:rPr>
                <w:rFonts w:ascii="Times New Roman" w:eastAsiaTheme="minorHAnsi" w:hAnsi="Times New Roman" w:cs="Times New Roman"/>
                <w:b/>
                <w:i/>
                <w:noProof/>
                <w:sz w:val="20"/>
                <w:szCs w:val="20"/>
                <w:lang w:val="en-GB" w:eastAsia="en-US"/>
              </w:rPr>
            </w:pPr>
            <w:r>
              <w:rPr>
                <w:rFonts w:ascii="Times New Roman" w:hAnsi="Times New Roman" w:cs="Times New Roman"/>
                <w:b/>
                <w:i/>
                <w:noProof/>
                <w:sz w:val="20"/>
                <w:szCs w:val="20"/>
              </w:rPr>
              <w:t xml:space="preserve">(Share of population with basic overall digital skills or above basic overall digital skills by gender) </w:t>
            </w:r>
          </w:p>
          <w:p w:rsidR="00BB5D69" w:rsidRDefault="00BE3CD0">
            <w:pPr>
              <w:ind w:right="220"/>
              <w:rPr>
                <w:rFonts w:ascii="Times New Roman" w:hAnsi="Times New Roman" w:cs="Times New Roman"/>
                <w:b/>
                <w:i/>
                <w:noProof/>
                <w:sz w:val="20"/>
                <w:szCs w:val="20"/>
              </w:rPr>
            </w:pPr>
            <w:r>
              <w:rPr>
                <w:rFonts w:ascii="Times New Roman" w:hAnsi="Times New Roman" w:cs="Times New Roman"/>
                <w:b/>
                <w:i/>
                <w:noProof/>
                <w:sz w:val="20"/>
                <w:szCs w:val="20"/>
              </w:rPr>
              <w:t>Eurostat</w:t>
            </w:r>
          </w:p>
          <w:p w:rsidR="00BB5D69" w:rsidRDefault="00BB5D69">
            <w:pPr>
              <w:ind w:right="220"/>
              <w:rPr>
                <w:rFonts w:ascii="Times New Roman" w:hAnsi="Times New Roman" w:cs="Times New Roman"/>
                <w:b/>
                <w:i/>
                <w:noProof/>
                <w:color w:val="0070C0"/>
                <w:sz w:val="20"/>
                <w:szCs w:val="20"/>
              </w:rPr>
            </w:pPr>
          </w:p>
        </w:tc>
      </w:tr>
      <w:tr w:rsidR="00BB5D69">
        <w:trPr>
          <w:trHeight w:val="150"/>
        </w:trPr>
        <w:tc>
          <w:tcPr>
            <w:tcW w:w="2325" w:type="dxa"/>
            <w:vMerge/>
            <w:shd w:val="clear" w:color="auto" w:fill="DBE5F1" w:themeFill="accent1" w:themeFillTint="33"/>
          </w:tcPr>
          <w:p w:rsidR="00BB5D69" w:rsidRDefault="00BB5D69">
            <w:pPr>
              <w:contextualSpacing/>
              <w:jc w:val="both"/>
              <w:rPr>
                <w:rFonts w:ascii="Times New Roman" w:hAnsi="Times New Roman" w:cs="Times New Roman"/>
                <w:b/>
                <w:noProof/>
                <w:sz w:val="20"/>
                <w:szCs w:val="20"/>
              </w:rPr>
            </w:pPr>
          </w:p>
        </w:tc>
        <w:tc>
          <w:tcPr>
            <w:tcW w:w="7542" w:type="dxa"/>
          </w:tcPr>
          <w:p w:rsidR="00BB5D69" w:rsidRDefault="00BE3CD0">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Connectivity dimension of </w:t>
            </w:r>
            <w:r>
              <w:rPr>
                <w:rFonts w:ascii="Times New Roman" w:hAnsi="Times New Roman" w:cs="Times New Roman"/>
                <w:i/>
                <w:noProof/>
                <w:sz w:val="20"/>
                <w:szCs w:val="20"/>
              </w:rPr>
              <w:t>the Digital Economy and Society Index (DESI): Fixed broadband take up (33%), mobile Broadband take up (22%), speed (33%), and affordability (11%)</w:t>
            </w:r>
          </w:p>
          <w:p w:rsidR="00BB5D69" w:rsidRDefault="00BE3CD0">
            <w:pPr>
              <w:ind w:right="220"/>
              <w:rPr>
                <w:rFonts w:ascii="Times New Roman" w:hAnsi="Times New Roman" w:cs="Times New Roman"/>
                <w:b/>
                <w:i/>
                <w:noProof/>
                <w:sz w:val="20"/>
                <w:szCs w:val="20"/>
                <w:lang w:val="en-GB"/>
              </w:rPr>
            </w:pPr>
            <w:r>
              <w:rPr>
                <w:rFonts w:ascii="Times New Roman" w:hAnsi="Times New Roman" w:cs="Times New Roman"/>
                <w:i/>
                <w:noProof/>
                <w:sz w:val="20"/>
                <w:szCs w:val="20"/>
              </w:rPr>
              <w:t>Digital Scoreboard</w:t>
            </w:r>
            <w:r>
              <w:rPr>
                <w:rFonts w:ascii="Times New Roman" w:hAnsi="Times New Roman" w:cs="Times New Roman"/>
                <w:b/>
                <w:i/>
                <w:noProof/>
                <w:sz w:val="20"/>
                <w:szCs w:val="20"/>
                <w:lang w:val="en-GB"/>
              </w:rPr>
              <w:t xml:space="preserve"> </w:t>
            </w:r>
          </w:p>
          <w:p w:rsidR="00BB5D69" w:rsidRDefault="00BB5D69">
            <w:pPr>
              <w:ind w:right="220"/>
              <w:rPr>
                <w:rFonts w:ascii="Times New Roman" w:hAnsi="Times New Roman" w:cs="Times New Roman"/>
                <w:b/>
                <w:i/>
                <w:noProof/>
                <w:color w:val="0070C0"/>
                <w:sz w:val="20"/>
                <w:szCs w:val="20"/>
                <w:lang w:val="en-GB"/>
              </w:rPr>
            </w:pPr>
          </w:p>
        </w:tc>
      </w:tr>
    </w:tbl>
    <w:p w:rsidR="00BB5D69" w:rsidRDefault="00BB5D69">
      <w:pPr>
        <w:jc w:val="both"/>
        <w:rPr>
          <w:rFonts w:ascii="Times New Roman" w:hAnsi="Times New Roman" w:cs="Times New Roman"/>
          <w:noProof/>
        </w:rPr>
      </w:pPr>
    </w:p>
    <w:sectPr w:rsidR="00BB5D69">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69" w:rsidRDefault="00BE3CD0">
      <w:pPr>
        <w:spacing w:after="0" w:line="240" w:lineRule="auto"/>
      </w:pPr>
      <w:r>
        <w:separator/>
      </w:r>
    </w:p>
  </w:endnote>
  <w:endnote w:type="continuationSeparator" w:id="0">
    <w:p w:rsidR="00BB5D69" w:rsidRDefault="00BE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Pr="00BE3CD0" w:rsidRDefault="00BE3CD0" w:rsidP="00BE3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Pr="00BE3CD0" w:rsidRDefault="00BE3CD0" w:rsidP="00BE3CD0">
    <w:pPr>
      <w:pStyle w:val="FooterCoverPage"/>
      <w:rPr>
        <w:rFonts w:ascii="Arial" w:hAnsi="Arial" w:cs="Arial"/>
        <w:b/>
        <w:sz w:val="48"/>
      </w:rPr>
    </w:pPr>
    <w:r w:rsidRPr="00BE3CD0">
      <w:rPr>
        <w:rFonts w:ascii="Arial" w:hAnsi="Arial" w:cs="Arial"/>
        <w:b/>
        <w:sz w:val="48"/>
      </w:rPr>
      <w:t>EN</w:t>
    </w:r>
    <w:r w:rsidRPr="00BE3CD0">
      <w:rPr>
        <w:rFonts w:ascii="Arial" w:hAnsi="Arial" w:cs="Arial"/>
        <w:b/>
        <w:sz w:val="48"/>
      </w:rPr>
      <w:tab/>
    </w:r>
    <w:r w:rsidRPr="00BE3CD0">
      <w:rPr>
        <w:rFonts w:ascii="Arial" w:hAnsi="Arial" w:cs="Arial"/>
        <w:b/>
        <w:sz w:val="48"/>
      </w:rPr>
      <w:tab/>
    </w:r>
    <w:fldSimple w:instr=" DOCVARIABLE &quot;LW_Confidence&quot; \* MERGEFORMAT ">
      <w:r>
        <w:t xml:space="preserve"> </w:t>
      </w:r>
    </w:fldSimple>
    <w:r w:rsidRPr="00BE3CD0">
      <w:tab/>
    </w:r>
    <w:r w:rsidRPr="00BE3CD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Pr="00BE3CD0" w:rsidRDefault="00BE3CD0" w:rsidP="00BE3CD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69" w:rsidRDefault="00BB5D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97614"/>
      <w:docPartObj>
        <w:docPartGallery w:val="Page Numbers (Bottom of Page)"/>
        <w:docPartUnique/>
      </w:docPartObj>
    </w:sdtPr>
    <w:sdtEndPr>
      <w:rPr>
        <w:noProof/>
      </w:rPr>
    </w:sdtEndPr>
    <w:sdtContent>
      <w:p w:rsidR="00BB5D69" w:rsidRDefault="00BE3CD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BB5D69" w:rsidRDefault="00BB5D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69" w:rsidRDefault="00BB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69" w:rsidRDefault="00BE3CD0">
      <w:pPr>
        <w:spacing w:after="0" w:line="240" w:lineRule="auto"/>
      </w:pPr>
      <w:r>
        <w:separator/>
      </w:r>
    </w:p>
  </w:footnote>
  <w:footnote w:type="continuationSeparator" w:id="0">
    <w:p w:rsidR="00BB5D69" w:rsidRDefault="00BE3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Pr="00BE3CD0" w:rsidRDefault="00BE3CD0" w:rsidP="00BE3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Pr="00BE3CD0" w:rsidRDefault="00BE3CD0" w:rsidP="00BE3CD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Pr="00BE3CD0" w:rsidRDefault="00BE3CD0" w:rsidP="00BE3CD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69" w:rsidRDefault="00BB5D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69" w:rsidRDefault="00BB5D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69" w:rsidRDefault="00BB5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C01"/>
    <w:multiLevelType w:val="hybridMultilevel"/>
    <w:tmpl w:val="18828A28"/>
    <w:lvl w:ilvl="0" w:tplc="3840615A">
      <w:start w:val="1"/>
      <w:numFmt w:val="decimal"/>
      <w:lvlText w:val="%1."/>
      <w:lvlJc w:val="left"/>
      <w:pPr>
        <w:ind w:left="644" w:hanging="36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6A4B4A"/>
    <w:multiLevelType w:val="hybridMultilevel"/>
    <w:tmpl w:val="E154C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AB1FDD"/>
    <w:multiLevelType w:val="hybridMultilevel"/>
    <w:tmpl w:val="B550767A"/>
    <w:lvl w:ilvl="0" w:tplc="401A9D6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D3363"/>
    <w:multiLevelType w:val="hybridMultilevel"/>
    <w:tmpl w:val="955C6886"/>
    <w:lvl w:ilvl="0" w:tplc="81C6113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000571"/>
    <w:multiLevelType w:val="hybridMultilevel"/>
    <w:tmpl w:val="CED2E4B0"/>
    <w:lvl w:ilvl="0" w:tplc="CDC0F55A">
      <w:start w:val="1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56380"/>
    <w:multiLevelType w:val="hybridMultilevel"/>
    <w:tmpl w:val="DFB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2E0EFD"/>
    <w:multiLevelType w:val="hybridMultilevel"/>
    <w:tmpl w:val="4C72FEF2"/>
    <w:lvl w:ilvl="0" w:tplc="BF3E2ACC">
      <w:start w:val="1"/>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3C5FFE"/>
    <w:multiLevelType w:val="hybridMultilevel"/>
    <w:tmpl w:val="0CF8D5CE"/>
    <w:lvl w:ilvl="0" w:tplc="0809000F">
      <w:start w:val="1"/>
      <w:numFmt w:val="decimal"/>
      <w:lvlText w:val="%1."/>
      <w:lvlJc w:val="left"/>
      <w:pPr>
        <w:ind w:left="360" w:hanging="360"/>
      </w:pPr>
    </w:lvl>
    <w:lvl w:ilvl="1" w:tplc="08090019" w:tentative="1">
      <w:start w:val="1"/>
      <w:numFmt w:val="lowerLetter"/>
      <w:lvlText w:val="%2."/>
      <w:lvlJc w:val="left"/>
      <w:pPr>
        <w:ind w:left="-403" w:hanging="360"/>
      </w:pPr>
    </w:lvl>
    <w:lvl w:ilvl="2" w:tplc="0809001B" w:tentative="1">
      <w:start w:val="1"/>
      <w:numFmt w:val="lowerRoman"/>
      <w:lvlText w:val="%3."/>
      <w:lvlJc w:val="right"/>
      <w:pPr>
        <w:ind w:left="317" w:hanging="180"/>
      </w:pPr>
    </w:lvl>
    <w:lvl w:ilvl="3" w:tplc="0809000F" w:tentative="1">
      <w:start w:val="1"/>
      <w:numFmt w:val="decimal"/>
      <w:lvlText w:val="%4."/>
      <w:lvlJc w:val="left"/>
      <w:pPr>
        <w:ind w:left="1037" w:hanging="360"/>
      </w:pPr>
    </w:lvl>
    <w:lvl w:ilvl="4" w:tplc="08090019" w:tentative="1">
      <w:start w:val="1"/>
      <w:numFmt w:val="lowerLetter"/>
      <w:lvlText w:val="%5."/>
      <w:lvlJc w:val="left"/>
      <w:pPr>
        <w:ind w:left="1757" w:hanging="360"/>
      </w:pPr>
    </w:lvl>
    <w:lvl w:ilvl="5" w:tplc="0809001B" w:tentative="1">
      <w:start w:val="1"/>
      <w:numFmt w:val="lowerRoman"/>
      <w:lvlText w:val="%6."/>
      <w:lvlJc w:val="right"/>
      <w:pPr>
        <w:ind w:left="2477" w:hanging="180"/>
      </w:pPr>
    </w:lvl>
    <w:lvl w:ilvl="6" w:tplc="0809000F" w:tentative="1">
      <w:start w:val="1"/>
      <w:numFmt w:val="decimal"/>
      <w:lvlText w:val="%7."/>
      <w:lvlJc w:val="left"/>
      <w:pPr>
        <w:ind w:left="3197" w:hanging="360"/>
      </w:pPr>
    </w:lvl>
    <w:lvl w:ilvl="7" w:tplc="08090019" w:tentative="1">
      <w:start w:val="1"/>
      <w:numFmt w:val="lowerLetter"/>
      <w:lvlText w:val="%8."/>
      <w:lvlJc w:val="left"/>
      <w:pPr>
        <w:ind w:left="3917" w:hanging="360"/>
      </w:pPr>
    </w:lvl>
    <w:lvl w:ilvl="8" w:tplc="0809001B" w:tentative="1">
      <w:start w:val="1"/>
      <w:numFmt w:val="lowerRoman"/>
      <w:lvlText w:val="%9."/>
      <w:lvlJc w:val="right"/>
      <w:pPr>
        <w:ind w:left="4637" w:hanging="180"/>
      </w:pPr>
    </w:lvl>
  </w:abstractNum>
  <w:abstractNum w:abstractNumId="8">
    <w:nsid w:val="1A777B77"/>
    <w:multiLevelType w:val="hybridMultilevel"/>
    <w:tmpl w:val="8CB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257A79"/>
    <w:multiLevelType w:val="hybridMultilevel"/>
    <w:tmpl w:val="D1147A72"/>
    <w:lvl w:ilvl="0" w:tplc="AA46E77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48F4CC7"/>
    <w:multiLevelType w:val="hybridMultilevel"/>
    <w:tmpl w:val="5236372E"/>
    <w:lvl w:ilvl="0" w:tplc="8D381A6E">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B208E4"/>
    <w:multiLevelType w:val="hybridMultilevel"/>
    <w:tmpl w:val="A874DC9E"/>
    <w:lvl w:ilvl="0" w:tplc="E624B752">
      <w:start w:val="1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B013B9"/>
    <w:multiLevelType w:val="hybridMultilevel"/>
    <w:tmpl w:val="A11A024C"/>
    <w:lvl w:ilvl="0" w:tplc="8D381A6E">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B0897"/>
    <w:multiLevelType w:val="hybridMultilevel"/>
    <w:tmpl w:val="6F56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92BA2"/>
    <w:multiLevelType w:val="hybridMultilevel"/>
    <w:tmpl w:val="0CB01B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06516"/>
    <w:multiLevelType w:val="hybridMultilevel"/>
    <w:tmpl w:val="ADE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03ECF"/>
    <w:multiLevelType w:val="hybridMultilevel"/>
    <w:tmpl w:val="2AFA23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603C82"/>
    <w:multiLevelType w:val="hybridMultilevel"/>
    <w:tmpl w:val="1BE6B42A"/>
    <w:lvl w:ilvl="0" w:tplc="FEF8354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226216"/>
    <w:multiLevelType w:val="hybridMultilevel"/>
    <w:tmpl w:val="5BB25440"/>
    <w:lvl w:ilvl="0" w:tplc="4B9C2E48">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A12FA4"/>
    <w:multiLevelType w:val="multilevel"/>
    <w:tmpl w:val="F2D2141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lang w:val="en"/>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387458"/>
    <w:multiLevelType w:val="hybridMultilevel"/>
    <w:tmpl w:val="5A8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C306E"/>
    <w:multiLevelType w:val="hybridMultilevel"/>
    <w:tmpl w:val="26F04306"/>
    <w:lvl w:ilvl="0" w:tplc="2ED02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B40F1C"/>
    <w:multiLevelType w:val="hybridMultilevel"/>
    <w:tmpl w:val="A8D45E3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nsid w:val="7B3B65A2"/>
    <w:multiLevelType w:val="hybridMultilevel"/>
    <w:tmpl w:val="8A0C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22"/>
  </w:num>
  <w:num w:numId="4">
    <w:abstractNumId w:val="8"/>
  </w:num>
  <w:num w:numId="5">
    <w:abstractNumId w:val="7"/>
  </w:num>
  <w:num w:numId="6">
    <w:abstractNumId w:val="14"/>
  </w:num>
  <w:num w:numId="7">
    <w:abstractNumId w:val="21"/>
  </w:num>
  <w:num w:numId="8">
    <w:abstractNumId w:val="6"/>
  </w:num>
  <w:num w:numId="9">
    <w:abstractNumId w:val="15"/>
  </w:num>
  <w:num w:numId="10">
    <w:abstractNumId w:val="13"/>
  </w:num>
  <w:num w:numId="11">
    <w:abstractNumId w:val="0"/>
  </w:num>
  <w:num w:numId="12">
    <w:abstractNumId w:val="20"/>
  </w:num>
  <w:num w:numId="13">
    <w:abstractNumId w:val="5"/>
  </w:num>
  <w:num w:numId="14">
    <w:abstractNumId w:val="23"/>
  </w:num>
  <w:num w:numId="15">
    <w:abstractNumId w:val="1"/>
  </w:num>
  <w:num w:numId="16">
    <w:abstractNumId w:val="3"/>
  </w:num>
  <w:num w:numId="17">
    <w:abstractNumId w:val="16"/>
  </w:num>
  <w:num w:numId="18">
    <w:abstractNumId w:val="9"/>
  </w:num>
  <w:num w:numId="19">
    <w:abstractNumId w:val="2"/>
  </w:num>
  <w:num w:numId="20">
    <w:abstractNumId w:val="18"/>
  </w:num>
  <w:num w:numId="21">
    <w:abstractNumId w:val="4"/>
  </w:num>
  <w:num w:numId="22">
    <w:abstractNumId w:val="11"/>
  </w:num>
  <w:num w:numId="23">
    <w:abstractNumId w:val="12"/>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hideSpellingErrors/>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5D38D8A112D443A09A9953A3070CC358"/>
    <w:docVar w:name="LW_CROSSREFERENCE" w:val="{COM(2017) 250 final}_x000b_{SWD(2017) 201 final}_x000b_{SWD(2017) 206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stablishing a European Pillar of Social Rights"/>
    <w:docVar w:name="LW_PART_NBR" w:val="1"/>
    <w:docVar w:name="LW_PART_NBR_TOTAL" w:val="1"/>
    <w:docVar w:name="LW_REF.INST.NEW" w:val="SWD"/>
    <w:docVar w:name="LW_REF.INST.NEW_ADOPTED" w:val="final"/>
    <w:docVar w:name="LW_REF.INST.NEW_TEXT" w:val="(2017) 200"/>
    <w:docVar w:name="LW_REF.INTERNE" w:val="&lt;UNUSED&gt;"/>
    <w:docVar w:name="LW_SUPERTITRE" w:val="&lt;UNUSED&gt;"/>
    <w:docVar w:name="LW_TITRE.OBJ.CP" w:val="Social Scoreboard"/>
    <w:docVar w:name="LW_TYPE.DOC.CP" w:val="COMMISSION STAFF WORKING DOCUMENT"/>
    <w:docVar w:name="LW_TYPEACTEPRINCIPAL.CP" w:val="COMMUNICATION FROM THE COMMISSION TO THE EUROPEAN PARLIAMENT, THE COUNCIL, THE EUROPEAN ECONOMIC AND SOCIAL COMMITTEE AND THE COMMITTEE OF THE REGIONS_x000b_"/>
  </w:docVars>
  <w:rsids>
    <w:rsidRoot w:val="00BB5D69"/>
    <w:rsid w:val="00BB5D69"/>
    <w:rsid w:val="00BE3C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outputecliaff">
    <w:name w:val="outputecliaf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pPr>
      <w:suppressAutoHyphens/>
      <w:autoSpaceDN w:val="0"/>
      <w:textAlignment w:val="baseline"/>
    </w:pPr>
    <w:rPr>
      <w:rFonts w:ascii="Calibri" w:eastAsia="SimSun" w:hAnsi="Calibri" w:cs="F"/>
      <w:kern w:val="3"/>
      <w:sz w:val="24"/>
      <w:szCs w:val="24"/>
      <w:lang w:val="es-ES" w:eastAsia="zh-CN" w:bidi="hi-IN"/>
    </w:rPr>
  </w:style>
  <w:style w:type="character" w:styleId="Emphasis">
    <w:name w:val="Emphasis"/>
    <w:basedOn w:val="DefaultParagraphFont"/>
    <w:uiPriority w:val="20"/>
    <w:qFormat/>
    <w:rPr>
      <w:i/>
      <w:iCs/>
    </w:rPr>
  </w:style>
  <w:style w:type="paragraph" w:styleId="TOC2">
    <w:name w:val="toc 2"/>
    <w:basedOn w:val="Normal"/>
    <w:next w:val="Normal"/>
    <w:autoRedefine/>
    <w:uiPriority w:val="39"/>
    <w:unhideWhenUsed/>
    <w:qFormat/>
    <w:pPr>
      <w:spacing w:before="120" w:after="100" w:line="240" w:lineRule="auto"/>
      <w:ind w:left="240"/>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lang w:eastAsia="en-GB"/>
    </w:rPr>
  </w:style>
  <w:style w:type="paragraph" w:customStyle="1" w:styleId="a3520normalp14">
    <w:name w:val="a__35__20_normal_p14"/>
    <w:basedOn w:val="Normal"/>
    <w:pPr>
      <w:spacing w:after="120" w:line="240" w:lineRule="auto"/>
      <w:ind w:left="284" w:right="57"/>
      <w:jc w:val="both"/>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eaf">
    <w:name w:val="leaf"/>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pPr>
      <w:spacing w:after="0" w:line="240" w:lineRule="auto"/>
      <w:ind w:left="720" w:hanging="720"/>
    </w:pPr>
    <w:rPr>
      <w:rFonts w:ascii="Times New Roman" w:hAnsi="Times New Roman" w:cs="Times New Roman"/>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hAnsi="Times New Roman" w:cs="Times New Roman"/>
      <w:sz w:val="24"/>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outputecliaff">
    <w:name w:val="outputecliaf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pPr>
      <w:suppressAutoHyphens/>
      <w:autoSpaceDN w:val="0"/>
      <w:textAlignment w:val="baseline"/>
    </w:pPr>
    <w:rPr>
      <w:rFonts w:ascii="Calibri" w:eastAsia="SimSun" w:hAnsi="Calibri" w:cs="F"/>
      <w:kern w:val="3"/>
      <w:sz w:val="24"/>
      <w:szCs w:val="24"/>
      <w:lang w:val="es-ES" w:eastAsia="zh-CN" w:bidi="hi-IN"/>
    </w:rPr>
  </w:style>
  <w:style w:type="character" w:styleId="Emphasis">
    <w:name w:val="Emphasis"/>
    <w:basedOn w:val="DefaultParagraphFont"/>
    <w:uiPriority w:val="20"/>
    <w:qFormat/>
    <w:rPr>
      <w:i/>
      <w:iCs/>
    </w:rPr>
  </w:style>
  <w:style w:type="paragraph" w:styleId="TOC2">
    <w:name w:val="toc 2"/>
    <w:basedOn w:val="Normal"/>
    <w:next w:val="Normal"/>
    <w:autoRedefine/>
    <w:uiPriority w:val="39"/>
    <w:unhideWhenUsed/>
    <w:qFormat/>
    <w:pPr>
      <w:spacing w:before="120" w:after="100" w:line="240" w:lineRule="auto"/>
      <w:ind w:left="240"/>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sz w:val="24"/>
      <w:szCs w:val="24"/>
      <w:lang w:eastAsia="en-GB"/>
    </w:rPr>
  </w:style>
  <w:style w:type="paragraph" w:customStyle="1" w:styleId="a3520normalp14">
    <w:name w:val="a__35__20_normal_p14"/>
    <w:basedOn w:val="Normal"/>
    <w:pPr>
      <w:spacing w:after="120" w:line="240" w:lineRule="auto"/>
      <w:ind w:left="284" w:right="57"/>
      <w:jc w:val="both"/>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eaf">
    <w:name w:val="lea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25464">
      <w:bodyDiv w:val="1"/>
      <w:marLeft w:val="0"/>
      <w:marRight w:val="0"/>
      <w:marTop w:val="0"/>
      <w:marBottom w:val="0"/>
      <w:divBdr>
        <w:top w:val="none" w:sz="0" w:space="0" w:color="auto"/>
        <w:left w:val="none" w:sz="0" w:space="0" w:color="auto"/>
        <w:bottom w:val="none" w:sz="0" w:space="0" w:color="auto"/>
        <w:right w:val="none" w:sz="0" w:space="0" w:color="auto"/>
      </w:divBdr>
    </w:div>
    <w:div w:id="1804274069">
      <w:bodyDiv w:val="1"/>
      <w:marLeft w:val="0"/>
      <w:marRight w:val="0"/>
      <w:marTop w:val="0"/>
      <w:marBottom w:val="0"/>
      <w:divBdr>
        <w:top w:val="none" w:sz="0" w:space="0" w:color="auto"/>
        <w:left w:val="none" w:sz="0" w:space="0" w:color="auto"/>
        <w:bottom w:val="none" w:sz="0" w:space="0" w:color="auto"/>
        <w:right w:val="none" w:sz="0" w:space="0" w:color="auto"/>
      </w:divBdr>
    </w:div>
    <w:div w:id="1832214192">
      <w:bodyDiv w:val="1"/>
      <w:marLeft w:val="0"/>
      <w:marRight w:val="0"/>
      <w:marTop w:val="0"/>
      <w:marBottom w:val="0"/>
      <w:divBdr>
        <w:top w:val="none" w:sz="0" w:space="0" w:color="auto"/>
        <w:left w:val="none" w:sz="0" w:space="0" w:color="auto"/>
        <w:bottom w:val="none" w:sz="0" w:space="0" w:color="auto"/>
        <w:right w:val="none" w:sz="0" w:space="0" w:color="auto"/>
      </w:divBdr>
      <w:divsChild>
        <w:div w:id="625233037">
          <w:marLeft w:val="0"/>
          <w:marRight w:val="0"/>
          <w:marTop w:val="0"/>
          <w:marBottom w:val="0"/>
          <w:divBdr>
            <w:top w:val="none" w:sz="0" w:space="0" w:color="auto"/>
            <w:left w:val="none" w:sz="0" w:space="0" w:color="auto"/>
            <w:bottom w:val="none" w:sz="0" w:space="0" w:color="auto"/>
            <w:right w:val="none" w:sz="0" w:space="0" w:color="auto"/>
          </w:divBdr>
          <w:divsChild>
            <w:div w:id="1070033595">
              <w:marLeft w:val="0"/>
              <w:marRight w:val="0"/>
              <w:marTop w:val="0"/>
              <w:marBottom w:val="0"/>
              <w:divBdr>
                <w:top w:val="none" w:sz="0" w:space="0" w:color="auto"/>
                <w:left w:val="none" w:sz="0" w:space="0" w:color="auto"/>
                <w:bottom w:val="none" w:sz="0" w:space="0" w:color="auto"/>
                <w:right w:val="none" w:sz="0" w:space="0" w:color="auto"/>
              </w:divBdr>
              <w:divsChild>
                <w:div w:id="260533097">
                  <w:marLeft w:val="0"/>
                  <w:marRight w:val="0"/>
                  <w:marTop w:val="0"/>
                  <w:marBottom w:val="0"/>
                  <w:divBdr>
                    <w:top w:val="none" w:sz="0" w:space="0" w:color="auto"/>
                    <w:left w:val="none" w:sz="0" w:space="0" w:color="auto"/>
                    <w:bottom w:val="none" w:sz="0" w:space="0" w:color="auto"/>
                    <w:right w:val="none" w:sz="0" w:space="0" w:color="auto"/>
                  </w:divBdr>
                  <w:divsChild>
                    <w:div w:id="1044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5B5D-B4A8-41D2-96F3-6F4F981A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7880</Characters>
  <Application>Microsoft Office Word</Application>
  <DocSecurity>0</DocSecurity>
  <Lines>256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2017-04-21T13:08:00Z</dcterms:created>
  <dcterms:modified xsi:type="dcterms:W3CDTF">2017-04-26T08:38:00Z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