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charts/chart4.xml" ContentType="application/vnd.openxmlformats-officedocument.drawingml.chart+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charts/chart5.xml" ContentType="application/vnd.openxmlformats-officedocument.drawingml.chart+xml"/>
  <Override PartName="/word/theme/themeOverride3.xml" ContentType="application/vnd.openxmlformats-officedocument.themeOverride+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7A" w:rsidRDefault="00CD69DA">
      <w:pPr>
        <w:pStyle w:val="Pagedecouverture"/>
        <w:rPr>
          <w:noProof/>
          <w:highlight w:val="yellow"/>
        </w:rPr>
      </w:pPr>
      <w:bookmarkStart w:id="0" w:name="LW_BM_COVERPAGE"/>
      <w:r w:rsidRPr="00CD69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DCE39788D84E6898C6CD001E9B3633" style="width:451.65pt;height:457.1pt">
            <v:imagedata r:id="rId9" o:title=""/>
          </v:shape>
        </w:pict>
      </w:r>
      <w:bookmarkStart w:id="1" w:name="_GoBack"/>
      <w:bookmarkEnd w:id="1"/>
    </w:p>
    <w:bookmarkEnd w:id="0"/>
    <w:p w:rsidR="001E527A" w:rsidRDefault="001E527A">
      <w:pPr>
        <w:rPr>
          <w:rFonts w:ascii="Verdana" w:hAnsi="Verdana"/>
          <w:noProof/>
          <w:highlight w:val="yellow"/>
        </w:rPr>
        <w:sectPr w:rsidR="001E527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E527A" w:rsidRDefault="001E527A">
      <w:pPr>
        <w:jc w:val="center"/>
        <w:rPr>
          <w:rFonts w:ascii="Verdana" w:hAnsi="Verdana" w:cs="Times New Roman"/>
          <w:b/>
          <w:noProof/>
          <w:sz w:val="20"/>
          <w:szCs w:val="20"/>
        </w:rPr>
      </w:pPr>
    </w:p>
    <w:sdt>
      <w:sdtPr>
        <w:rPr>
          <w:rFonts w:ascii="Verdana" w:eastAsiaTheme="minorHAnsi" w:hAnsi="Verdana" w:cstheme="minorBidi"/>
          <w:b w:val="0"/>
          <w:bCs w:val="0"/>
          <w:caps w:val="0"/>
          <w:noProof/>
          <w:color w:val="auto"/>
          <w:sz w:val="22"/>
          <w:szCs w:val="24"/>
          <w:lang w:val="en-GB" w:eastAsia="en-US"/>
        </w:rPr>
        <w:id w:val="-1626301964"/>
        <w:docPartObj>
          <w:docPartGallery w:val="Table of Contents"/>
          <w:docPartUnique/>
        </w:docPartObj>
      </w:sdtPr>
      <w:sdtEndPr>
        <w:rPr>
          <w:szCs w:val="22"/>
        </w:rPr>
      </w:sdtEndPr>
      <w:sdtContent>
        <w:p w:rsidR="001E527A" w:rsidRDefault="00CD69DA">
          <w:pPr>
            <w:pStyle w:val="TOCHeading"/>
            <w:rPr>
              <w:rFonts w:ascii="Verdana" w:hAnsi="Verdana"/>
              <w:noProof/>
              <w:color w:val="0070C0"/>
              <w:sz w:val="22"/>
              <w:szCs w:val="24"/>
              <w:lang w:val="en-GB"/>
            </w:rPr>
          </w:pPr>
          <w:r>
            <w:rPr>
              <w:rFonts w:ascii="Verdana" w:hAnsi="Verdana"/>
              <w:noProof/>
              <w:color w:val="0070C0"/>
              <w:sz w:val="22"/>
              <w:szCs w:val="24"/>
              <w:lang w:val="en-GB"/>
            </w:rPr>
            <w:t>Contents</w:t>
          </w:r>
        </w:p>
        <w:p w:rsidR="001E527A" w:rsidRDefault="001E527A">
          <w:pPr>
            <w:pStyle w:val="TOC1"/>
            <w:tabs>
              <w:tab w:val="right" w:leader="dot" w:pos="9628"/>
            </w:tabs>
            <w:rPr>
              <w:rFonts w:ascii="Verdana" w:hAnsi="Verdana"/>
              <w:noProof/>
            </w:rPr>
          </w:pPr>
        </w:p>
        <w:p w:rsidR="001E527A" w:rsidRDefault="00CD69DA">
          <w:pPr>
            <w:pStyle w:val="TOC1"/>
            <w:tabs>
              <w:tab w:val="right" w:leader="dot" w:pos="9628"/>
            </w:tabs>
            <w:rPr>
              <w:rFonts w:ascii="Verdana" w:eastAsiaTheme="minorEastAsia" w:hAnsi="Verdana"/>
              <w:noProof/>
              <w:lang w:eastAsia="en-GB"/>
            </w:rPr>
          </w:pPr>
          <w:r>
            <w:rPr>
              <w:rFonts w:ascii="Verdana" w:hAnsi="Verdana"/>
              <w:noProof/>
            </w:rPr>
            <w:fldChar w:fldCharType="begin"/>
          </w:r>
          <w:r>
            <w:rPr>
              <w:rFonts w:ascii="Verdana" w:hAnsi="Verdana"/>
              <w:noProof/>
            </w:rPr>
            <w:instrText xml:space="preserve"> TOC \o "1-3" \h \z \u </w:instrText>
          </w:r>
          <w:r>
            <w:rPr>
              <w:rFonts w:ascii="Verdana" w:hAnsi="Verdana"/>
              <w:noProof/>
            </w:rPr>
            <w:fldChar w:fldCharType="separate"/>
          </w:r>
          <w:hyperlink w:anchor="_Toc479349446" w:history="1">
            <w:r>
              <w:rPr>
                <w:rStyle w:val="Hyperlink"/>
                <w:rFonts w:ascii="Verdana" w:hAnsi="Verdana"/>
                <w:noProof/>
              </w:rPr>
              <w:t>Introduction</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_Toc479349446 \h </w:instrText>
            </w:r>
            <w:r>
              <w:rPr>
                <w:rFonts w:ascii="Verdana" w:hAnsi="Verdana"/>
                <w:noProof/>
                <w:webHidden/>
              </w:rPr>
            </w:r>
            <w:r>
              <w:rPr>
                <w:rFonts w:ascii="Verdana" w:hAnsi="Verdana"/>
                <w:noProof/>
                <w:webHidden/>
              </w:rPr>
              <w:fldChar w:fldCharType="separate"/>
            </w:r>
            <w:r>
              <w:rPr>
                <w:rFonts w:ascii="Verdana" w:hAnsi="Verdana"/>
                <w:noProof/>
                <w:webHidden/>
              </w:rPr>
              <w:t>2</w:t>
            </w:r>
            <w:r>
              <w:rPr>
                <w:rFonts w:ascii="Verdana" w:hAnsi="Verdana"/>
                <w:noProof/>
                <w:webHidden/>
              </w:rPr>
              <w:fldChar w:fldCharType="end"/>
            </w:r>
          </w:hyperlink>
        </w:p>
        <w:p w:rsidR="001E527A" w:rsidRDefault="001E527A">
          <w:pPr>
            <w:pStyle w:val="TOC1"/>
            <w:tabs>
              <w:tab w:val="right" w:leader="dot" w:pos="9628"/>
            </w:tabs>
            <w:rPr>
              <w:rStyle w:val="Hyperlink"/>
              <w:rFonts w:ascii="Verdana" w:hAnsi="Verdana"/>
              <w:noProof/>
            </w:rPr>
          </w:pPr>
        </w:p>
        <w:p w:rsidR="001E527A" w:rsidRDefault="00CD69DA">
          <w:pPr>
            <w:pStyle w:val="TOC1"/>
            <w:tabs>
              <w:tab w:val="right" w:leader="dot" w:pos="9628"/>
            </w:tabs>
            <w:rPr>
              <w:rFonts w:ascii="Verdana" w:eastAsiaTheme="minorEastAsia" w:hAnsi="Verdana"/>
              <w:noProof/>
              <w:lang w:eastAsia="en-GB"/>
            </w:rPr>
          </w:pPr>
          <w:hyperlink w:anchor="_Toc479349447" w:history="1">
            <w:r>
              <w:rPr>
                <w:rStyle w:val="Hyperlink"/>
                <w:rFonts w:ascii="Verdana" w:hAnsi="Verdana"/>
                <w:noProof/>
              </w:rPr>
              <w:t>I. The public consultation at a glance</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_Toc479349447 \h </w:instrText>
            </w:r>
            <w:r>
              <w:rPr>
                <w:rFonts w:ascii="Verdana" w:hAnsi="Verdana"/>
                <w:noProof/>
                <w:webHidden/>
              </w:rPr>
            </w:r>
            <w:r>
              <w:rPr>
                <w:rFonts w:ascii="Verdana" w:hAnsi="Verdana"/>
                <w:noProof/>
                <w:webHidden/>
              </w:rPr>
              <w:fldChar w:fldCharType="separate"/>
            </w:r>
            <w:r>
              <w:rPr>
                <w:rFonts w:ascii="Verdana" w:hAnsi="Verdana"/>
                <w:noProof/>
                <w:webHidden/>
              </w:rPr>
              <w:t>3</w:t>
            </w:r>
            <w:r>
              <w:rPr>
                <w:rFonts w:ascii="Verdana" w:hAnsi="Verdana"/>
                <w:noProof/>
                <w:webHidden/>
              </w:rPr>
              <w:fldChar w:fldCharType="end"/>
            </w:r>
          </w:hyperlink>
        </w:p>
        <w:p w:rsidR="001E527A" w:rsidRDefault="00CD69DA">
          <w:pPr>
            <w:pStyle w:val="TOC2"/>
            <w:rPr>
              <w:rFonts w:eastAsiaTheme="minorEastAsia"/>
              <w:sz w:val="20"/>
              <w:szCs w:val="20"/>
              <w:lang w:eastAsia="en-GB"/>
            </w:rPr>
          </w:pPr>
          <w:hyperlink w:anchor="_Toc479349448" w:history="1">
            <w:r>
              <w:rPr>
                <w:rStyle w:val="Hyperlink"/>
                <w:sz w:val="20"/>
                <w:szCs w:val="20"/>
              </w:rPr>
              <w:t>1. A far-reaching process</w:t>
            </w:r>
            <w:r>
              <w:rPr>
                <w:webHidden/>
                <w:sz w:val="20"/>
                <w:szCs w:val="20"/>
              </w:rPr>
              <w:tab/>
            </w:r>
            <w:r>
              <w:rPr>
                <w:webHidden/>
                <w:sz w:val="20"/>
                <w:szCs w:val="20"/>
              </w:rPr>
              <w:fldChar w:fldCharType="begin"/>
            </w:r>
            <w:r>
              <w:rPr>
                <w:webHidden/>
                <w:sz w:val="20"/>
                <w:szCs w:val="20"/>
              </w:rPr>
              <w:instrText xml:space="preserve"> PAGEREF _Toc479349448 \h </w:instrText>
            </w:r>
            <w:r>
              <w:rPr>
                <w:webHidden/>
                <w:sz w:val="20"/>
                <w:szCs w:val="20"/>
              </w:rPr>
            </w:r>
            <w:r>
              <w:rPr>
                <w:webHidden/>
                <w:sz w:val="20"/>
                <w:szCs w:val="20"/>
              </w:rPr>
              <w:fldChar w:fldCharType="separate"/>
            </w:r>
            <w:r>
              <w:rPr>
                <w:webHidden/>
                <w:sz w:val="20"/>
                <w:szCs w:val="20"/>
              </w:rPr>
              <w:t>3</w:t>
            </w:r>
            <w:r>
              <w:rPr>
                <w:webHidden/>
                <w:sz w:val="20"/>
                <w:szCs w:val="20"/>
              </w:rPr>
              <w:fldChar w:fldCharType="end"/>
            </w:r>
          </w:hyperlink>
        </w:p>
        <w:p w:rsidR="001E527A" w:rsidRDefault="00CD69DA">
          <w:pPr>
            <w:pStyle w:val="TOC2"/>
            <w:rPr>
              <w:rFonts w:eastAsiaTheme="minorEastAsia"/>
              <w:sz w:val="20"/>
              <w:szCs w:val="20"/>
              <w:lang w:eastAsia="en-GB"/>
            </w:rPr>
          </w:pPr>
          <w:hyperlink w:anchor="_Toc479349449" w:history="1">
            <w:r>
              <w:rPr>
                <w:rStyle w:val="Hyperlink"/>
                <w:sz w:val="20"/>
                <w:szCs w:val="20"/>
              </w:rPr>
              <w:t>2. M</w:t>
            </w:r>
            <w:r>
              <w:rPr>
                <w:rStyle w:val="Hyperlink"/>
                <w:sz w:val="20"/>
                <w:szCs w:val="20"/>
              </w:rPr>
              <w:t>ain stakeholders involved</w:t>
            </w:r>
            <w:r>
              <w:rPr>
                <w:webHidden/>
                <w:sz w:val="20"/>
                <w:szCs w:val="20"/>
              </w:rPr>
              <w:tab/>
            </w:r>
            <w:r>
              <w:rPr>
                <w:webHidden/>
                <w:sz w:val="20"/>
                <w:szCs w:val="20"/>
              </w:rPr>
              <w:fldChar w:fldCharType="begin"/>
            </w:r>
            <w:r>
              <w:rPr>
                <w:webHidden/>
                <w:sz w:val="20"/>
                <w:szCs w:val="20"/>
              </w:rPr>
              <w:instrText xml:space="preserve"> PAGEREF _Toc479349449 \h </w:instrText>
            </w:r>
            <w:r>
              <w:rPr>
                <w:webHidden/>
                <w:sz w:val="20"/>
                <w:szCs w:val="20"/>
              </w:rPr>
            </w:r>
            <w:r>
              <w:rPr>
                <w:webHidden/>
                <w:sz w:val="20"/>
                <w:szCs w:val="20"/>
              </w:rPr>
              <w:fldChar w:fldCharType="separate"/>
            </w:r>
            <w:r>
              <w:rPr>
                <w:webHidden/>
                <w:sz w:val="20"/>
                <w:szCs w:val="20"/>
              </w:rPr>
              <w:t>4</w:t>
            </w:r>
            <w:r>
              <w:rPr>
                <w:webHidden/>
                <w:sz w:val="20"/>
                <w:szCs w:val="20"/>
              </w:rPr>
              <w:fldChar w:fldCharType="end"/>
            </w:r>
          </w:hyperlink>
        </w:p>
        <w:p w:rsidR="001E527A" w:rsidRDefault="00CD69DA">
          <w:pPr>
            <w:pStyle w:val="TOC2"/>
            <w:rPr>
              <w:rFonts w:eastAsiaTheme="minorEastAsia"/>
              <w:sz w:val="20"/>
              <w:szCs w:val="20"/>
              <w:lang w:eastAsia="en-GB"/>
            </w:rPr>
          </w:pPr>
          <w:hyperlink w:anchor="_Toc479349450" w:history="1">
            <w:r>
              <w:rPr>
                <w:rStyle w:val="Hyperlink"/>
                <w:sz w:val="20"/>
                <w:szCs w:val="20"/>
              </w:rPr>
              <w:t>3. The most pressing priorities identified</w:t>
            </w:r>
            <w:r>
              <w:rPr>
                <w:webHidden/>
                <w:sz w:val="20"/>
                <w:szCs w:val="20"/>
              </w:rPr>
              <w:tab/>
            </w:r>
            <w:r>
              <w:rPr>
                <w:webHidden/>
                <w:sz w:val="20"/>
                <w:szCs w:val="20"/>
              </w:rPr>
              <w:fldChar w:fldCharType="begin"/>
            </w:r>
            <w:r>
              <w:rPr>
                <w:webHidden/>
                <w:sz w:val="20"/>
                <w:szCs w:val="20"/>
              </w:rPr>
              <w:instrText xml:space="preserve"> PAGEREF _Toc479349450 \h </w:instrText>
            </w:r>
            <w:r>
              <w:rPr>
                <w:webHidden/>
                <w:sz w:val="20"/>
                <w:szCs w:val="20"/>
              </w:rPr>
            </w:r>
            <w:r>
              <w:rPr>
                <w:webHidden/>
                <w:sz w:val="20"/>
                <w:szCs w:val="20"/>
              </w:rPr>
              <w:fldChar w:fldCharType="separate"/>
            </w:r>
            <w:r>
              <w:rPr>
                <w:webHidden/>
                <w:sz w:val="20"/>
                <w:szCs w:val="20"/>
              </w:rPr>
              <w:t>6</w:t>
            </w:r>
            <w:r>
              <w:rPr>
                <w:webHidden/>
                <w:sz w:val="20"/>
                <w:szCs w:val="20"/>
              </w:rPr>
              <w:fldChar w:fldCharType="end"/>
            </w:r>
          </w:hyperlink>
        </w:p>
        <w:p w:rsidR="001E527A" w:rsidRDefault="001E527A">
          <w:pPr>
            <w:pStyle w:val="TOC1"/>
            <w:tabs>
              <w:tab w:val="right" w:leader="dot" w:pos="9628"/>
            </w:tabs>
            <w:rPr>
              <w:rStyle w:val="Hyperlink"/>
              <w:rFonts w:ascii="Verdana" w:hAnsi="Verdana"/>
              <w:noProof/>
            </w:rPr>
          </w:pPr>
        </w:p>
        <w:p w:rsidR="001E527A" w:rsidRDefault="00CD69DA">
          <w:pPr>
            <w:pStyle w:val="TOC1"/>
            <w:tabs>
              <w:tab w:val="right" w:leader="dot" w:pos="9628"/>
            </w:tabs>
            <w:rPr>
              <w:rFonts w:ascii="Verdana" w:eastAsiaTheme="minorEastAsia" w:hAnsi="Verdana"/>
              <w:noProof/>
              <w:lang w:eastAsia="en-GB"/>
            </w:rPr>
          </w:pPr>
          <w:hyperlink w:anchor="_Toc479349451" w:history="1">
            <w:r>
              <w:rPr>
                <w:rStyle w:val="Hyperlink"/>
                <w:rFonts w:ascii="Verdana" w:hAnsi="Verdana"/>
                <w:noProof/>
              </w:rPr>
              <w:t>II. Discussions on the role and the nature of the Pillar</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_Toc479349451 \h </w:instrText>
            </w:r>
            <w:r>
              <w:rPr>
                <w:rFonts w:ascii="Verdana" w:hAnsi="Verdana"/>
                <w:noProof/>
                <w:webHidden/>
              </w:rPr>
            </w:r>
            <w:r>
              <w:rPr>
                <w:rFonts w:ascii="Verdana" w:hAnsi="Verdana"/>
                <w:noProof/>
                <w:webHidden/>
              </w:rPr>
              <w:fldChar w:fldCharType="separate"/>
            </w:r>
            <w:r>
              <w:rPr>
                <w:rFonts w:ascii="Verdana" w:hAnsi="Verdana"/>
                <w:noProof/>
                <w:webHidden/>
              </w:rPr>
              <w:t>8</w:t>
            </w:r>
            <w:r>
              <w:rPr>
                <w:rFonts w:ascii="Verdana" w:hAnsi="Verdana"/>
                <w:noProof/>
                <w:webHidden/>
              </w:rPr>
              <w:fldChar w:fldCharType="end"/>
            </w:r>
          </w:hyperlink>
        </w:p>
        <w:p w:rsidR="001E527A" w:rsidRDefault="00CD69DA">
          <w:pPr>
            <w:pStyle w:val="TOC2"/>
            <w:rPr>
              <w:rFonts w:eastAsiaTheme="minorEastAsia"/>
              <w:sz w:val="20"/>
              <w:szCs w:val="20"/>
              <w:lang w:eastAsia="en-GB"/>
            </w:rPr>
          </w:pPr>
          <w:hyperlink w:anchor="_Toc479349452" w:history="1">
            <w:r>
              <w:rPr>
                <w:rStyle w:val="Hyperlink"/>
                <w:sz w:val="20"/>
                <w:szCs w:val="20"/>
              </w:rPr>
              <w:t>1. The purpose</w:t>
            </w:r>
            <w:r>
              <w:rPr>
                <w:webHidden/>
                <w:sz w:val="20"/>
                <w:szCs w:val="20"/>
              </w:rPr>
              <w:tab/>
            </w:r>
            <w:r>
              <w:rPr>
                <w:webHidden/>
                <w:sz w:val="20"/>
                <w:szCs w:val="20"/>
              </w:rPr>
              <w:fldChar w:fldCharType="begin"/>
            </w:r>
            <w:r>
              <w:rPr>
                <w:webHidden/>
                <w:sz w:val="20"/>
                <w:szCs w:val="20"/>
              </w:rPr>
              <w:instrText xml:space="preserve"> PAGEREF _Toc479349452 \h </w:instrText>
            </w:r>
            <w:r>
              <w:rPr>
                <w:webHidden/>
                <w:sz w:val="20"/>
                <w:szCs w:val="20"/>
              </w:rPr>
            </w:r>
            <w:r>
              <w:rPr>
                <w:webHidden/>
                <w:sz w:val="20"/>
                <w:szCs w:val="20"/>
              </w:rPr>
              <w:fldChar w:fldCharType="separate"/>
            </w:r>
            <w:r>
              <w:rPr>
                <w:webHidden/>
                <w:sz w:val="20"/>
                <w:szCs w:val="20"/>
              </w:rPr>
              <w:t>8</w:t>
            </w:r>
            <w:r>
              <w:rPr>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53" w:history="1">
            <w:r>
              <w:rPr>
                <w:rStyle w:val="Hyperlink"/>
                <w:rFonts w:ascii="Verdana" w:hAnsi="Verdana"/>
                <w:noProof/>
                <w:sz w:val="20"/>
                <w:szCs w:val="20"/>
              </w:rPr>
              <w:t>Fostering conv</w:t>
            </w:r>
            <w:r>
              <w:rPr>
                <w:rStyle w:val="Hyperlink"/>
                <w:rFonts w:ascii="Verdana" w:hAnsi="Verdana"/>
                <w:noProof/>
                <w:sz w:val="20"/>
                <w:szCs w:val="20"/>
              </w:rPr>
              <w:t>ergence towards higher social standards, improving fairness and equal opportunities, bringing together social and economic considerations…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_Toc479349453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8</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54" w:history="1">
            <w:r>
              <w:rPr>
                <w:rStyle w:val="Hyperlink"/>
                <w:rFonts w:ascii="Verdana" w:hAnsi="Verdana"/>
                <w:noProof/>
                <w:sz w:val="20"/>
                <w:szCs w:val="20"/>
              </w:rPr>
              <w:t>… while addressing competitiveness considerations, and ensuring a well-functioning single market and EMU</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_Toc479349454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8</w:t>
            </w:r>
            <w:r>
              <w:rPr>
                <w:rFonts w:ascii="Verdana" w:hAnsi="Verdana"/>
                <w:noProof/>
                <w:webHidden/>
                <w:sz w:val="20"/>
                <w:szCs w:val="20"/>
              </w:rPr>
              <w:fldChar w:fldCharType="end"/>
            </w:r>
          </w:hyperlink>
        </w:p>
        <w:p w:rsidR="001E527A" w:rsidRDefault="00CD69DA">
          <w:pPr>
            <w:pStyle w:val="TOC2"/>
            <w:rPr>
              <w:rFonts w:eastAsiaTheme="minorEastAsia"/>
              <w:sz w:val="20"/>
              <w:szCs w:val="20"/>
              <w:lang w:eastAsia="en-GB"/>
            </w:rPr>
          </w:pPr>
          <w:hyperlink w:anchor="_Toc479349455" w:history="1">
            <w:r>
              <w:rPr>
                <w:rStyle w:val="Hyperlink"/>
                <w:sz w:val="20"/>
                <w:szCs w:val="20"/>
              </w:rPr>
              <w:t>2. The scope</w:t>
            </w:r>
            <w:r>
              <w:rPr>
                <w:webHidden/>
                <w:sz w:val="20"/>
                <w:szCs w:val="20"/>
              </w:rPr>
              <w:tab/>
            </w:r>
            <w:r>
              <w:rPr>
                <w:webHidden/>
                <w:sz w:val="20"/>
                <w:szCs w:val="20"/>
              </w:rPr>
              <w:fldChar w:fldCharType="begin"/>
            </w:r>
            <w:r>
              <w:rPr>
                <w:webHidden/>
                <w:sz w:val="20"/>
                <w:szCs w:val="20"/>
              </w:rPr>
              <w:instrText xml:space="preserve"> PAGEREF _Toc479349455 \h </w:instrText>
            </w:r>
            <w:r>
              <w:rPr>
                <w:webHidden/>
                <w:sz w:val="20"/>
                <w:szCs w:val="20"/>
              </w:rPr>
            </w:r>
            <w:r>
              <w:rPr>
                <w:webHidden/>
                <w:sz w:val="20"/>
                <w:szCs w:val="20"/>
              </w:rPr>
              <w:fldChar w:fldCharType="separate"/>
            </w:r>
            <w:r>
              <w:rPr>
                <w:webHidden/>
                <w:sz w:val="20"/>
                <w:szCs w:val="20"/>
              </w:rPr>
              <w:t>9</w:t>
            </w:r>
            <w:r>
              <w:rPr>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56" w:history="1">
            <w:r>
              <w:rPr>
                <w:rStyle w:val="Hyperlink"/>
                <w:rFonts w:ascii="Verdana" w:hAnsi="Verdana"/>
                <w:noProof/>
                <w:sz w:val="20"/>
                <w:szCs w:val="20"/>
              </w:rPr>
              <w:t>The thematic scope: "societal" princip</w:t>
            </w:r>
            <w:r>
              <w:rPr>
                <w:rStyle w:val="Hyperlink"/>
                <w:rFonts w:ascii="Verdana" w:hAnsi="Verdana"/>
                <w:noProof/>
                <w:sz w:val="20"/>
                <w:szCs w:val="20"/>
              </w:rPr>
              <w:t>les beyond employment and social issues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_Toc479349456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9</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57" w:history="1">
            <w:r>
              <w:rPr>
                <w:rStyle w:val="Hyperlink"/>
                <w:rFonts w:ascii="Verdana" w:hAnsi="Verdana"/>
                <w:noProof/>
                <w:sz w:val="20"/>
                <w:szCs w:val="20"/>
              </w:rPr>
              <w:t>The geographical scope: a Pillar for the euro area</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_Toc479349457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10</w:t>
            </w:r>
            <w:r>
              <w:rPr>
                <w:rFonts w:ascii="Verdana" w:hAnsi="Verdana"/>
                <w:noProof/>
                <w:webHidden/>
                <w:sz w:val="20"/>
                <w:szCs w:val="20"/>
              </w:rPr>
              <w:fldChar w:fldCharType="end"/>
            </w:r>
          </w:hyperlink>
        </w:p>
        <w:p w:rsidR="001E527A" w:rsidRDefault="00CD69DA">
          <w:pPr>
            <w:pStyle w:val="TOC2"/>
            <w:rPr>
              <w:rFonts w:eastAsiaTheme="minorEastAsia"/>
              <w:sz w:val="20"/>
              <w:szCs w:val="20"/>
              <w:lang w:eastAsia="en-GB"/>
            </w:rPr>
          </w:pPr>
          <w:hyperlink w:anchor="_Toc479349458" w:history="1">
            <w:r>
              <w:rPr>
                <w:rStyle w:val="Hyperlink"/>
                <w:sz w:val="20"/>
                <w:szCs w:val="20"/>
              </w:rPr>
              <w:t>3. The legal nature</w:t>
            </w:r>
            <w:r>
              <w:rPr>
                <w:webHidden/>
                <w:sz w:val="20"/>
                <w:szCs w:val="20"/>
              </w:rPr>
              <w:tab/>
            </w:r>
            <w:r>
              <w:rPr>
                <w:webHidden/>
                <w:sz w:val="20"/>
                <w:szCs w:val="20"/>
              </w:rPr>
              <w:fldChar w:fldCharType="begin"/>
            </w:r>
            <w:r>
              <w:rPr>
                <w:webHidden/>
                <w:sz w:val="20"/>
                <w:szCs w:val="20"/>
              </w:rPr>
              <w:instrText xml:space="preserve"> PAGEREF _Toc479349458 \h </w:instrText>
            </w:r>
            <w:r>
              <w:rPr>
                <w:webHidden/>
                <w:sz w:val="20"/>
                <w:szCs w:val="20"/>
              </w:rPr>
            </w:r>
            <w:r>
              <w:rPr>
                <w:webHidden/>
                <w:sz w:val="20"/>
                <w:szCs w:val="20"/>
              </w:rPr>
              <w:fldChar w:fldCharType="separate"/>
            </w:r>
            <w:r>
              <w:rPr>
                <w:webHidden/>
                <w:sz w:val="20"/>
                <w:szCs w:val="20"/>
              </w:rPr>
              <w:t>13</w:t>
            </w:r>
            <w:r>
              <w:rPr>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59" w:history="1">
            <w:r>
              <w:rPr>
                <w:rStyle w:val="Hyperlink"/>
                <w:rFonts w:ascii="Verdana" w:hAnsi="Verdana"/>
                <w:noProof/>
                <w:sz w:val="20"/>
                <w:szCs w:val="20"/>
              </w:rPr>
              <w:t>The deba</w:t>
            </w:r>
            <w:r>
              <w:rPr>
                <w:rStyle w:val="Hyperlink"/>
                <w:rFonts w:ascii="Verdana" w:hAnsi="Verdana"/>
                <w:noProof/>
                <w:sz w:val="20"/>
                <w:szCs w:val="20"/>
              </w:rPr>
              <w:t>te on the binding versus non-binding nature of the Pillar</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_Toc479349459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13</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0" w:history="1">
            <w:r>
              <w:rPr>
                <w:rStyle w:val="Hyperlink"/>
                <w:rFonts w:ascii="Verdana" w:hAnsi="Verdana"/>
                <w:noProof/>
                <w:sz w:val="20"/>
                <w:szCs w:val="20"/>
              </w:rPr>
              <w:t>The difference between rights and principles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_Toc479349460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14</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1" w:history="1">
            <w:r>
              <w:rPr>
                <w:rStyle w:val="Hyperlink"/>
                <w:rFonts w:ascii="Verdana" w:hAnsi="Verdana"/>
                <w:noProof/>
                <w:sz w:val="20"/>
                <w:szCs w:val="20"/>
              </w:rPr>
              <w:t>The importance of broad political commitment regardless of the final legal framework chosen</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_Toc479349461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14</w:t>
            </w:r>
            <w:r>
              <w:rPr>
                <w:rFonts w:ascii="Verdana" w:hAnsi="Verdana"/>
                <w:noProof/>
                <w:webHidden/>
                <w:sz w:val="20"/>
                <w:szCs w:val="20"/>
              </w:rPr>
              <w:fldChar w:fldCharType="end"/>
            </w:r>
          </w:hyperlink>
        </w:p>
        <w:p w:rsidR="001E527A" w:rsidRDefault="00CD69DA">
          <w:pPr>
            <w:pStyle w:val="TOC2"/>
            <w:rPr>
              <w:rFonts w:eastAsiaTheme="minorEastAsia"/>
              <w:sz w:val="20"/>
              <w:szCs w:val="20"/>
              <w:lang w:eastAsia="en-GB"/>
            </w:rPr>
          </w:pPr>
          <w:hyperlink w:anchor="_Toc479349462" w:history="1">
            <w:r>
              <w:rPr>
                <w:rStyle w:val="Hyperlink"/>
                <w:sz w:val="20"/>
                <w:szCs w:val="20"/>
              </w:rPr>
              <w:t>4. The implementation</w:t>
            </w:r>
            <w:r>
              <w:rPr>
                <w:webHidden/>
                <w:sz w:val="20"/>
                <w:szCs w:val="20"/>
              </w:rPr>
              <w:tab/>
            </w:r>
            <w:r>
              <w:rPr>
                <w:webHidden/>
                <w:sz w:val="20"/>
                <w:szCs w:val="20"/>
              </w:rPr>
              <w:fldChar w:fldCharType="begin"/>
            </w:r>
            <w:r>
              <w:rPr>
                <w:webHidden/>
                <w:sz w:val="20"/>
                <w:szCs w:val="20"/>
              </w:rPr>
              <w:instrText xml:space="preserve"> PAGEREF _Toc479349462 \h </w:instrText>
            </w:r>
            <w:r>
              <w:rPr>
                <w:webHidden/>
                <w:sz w:val="20"/>
                <w:szCs w:val="20"/>
              </w:rPr>
            </w:r>
            <w:r>
              <w:rPr>
                <w:webHidden/>
                <w:sz w:val="20"/>
                <w:szCs w:val="20"/>
              </w:rPr>
              <w:fldChar w:fldCharType="separate"/>
            </w:r>
            <w:r>
              <w:rPr>
                <w:webHidden/>
                <w:sz w:val="20"/>
                <w:szCs w:val="20"/>
              </w:rPr>
              <w:t>15</w:t>
            </w:r>
            <w:r>
              <w:rPr>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3" w:history="1">
            <w:r>
              <w:rPr>
                <w:rStyle w:val="Hyperlink"/>
                <w:rFonts w:ascii="Verdana" w:hAnsi="Verdana"/>
                <w:noProof/>
                <w:sz w:val="20"/>
                <w:szCs w:val="20"/>
              </w:rPr>
              <w:t>A mix of</w:t>
            </w:r>
            <w:r>
              <w:rPr>
                <w:rStyle w:val="Hyperlink"/>
                <w:rFonts w:ascii="Verdana" w:hAnsi="Verdana"/>
                <w:noProof/>
                <w:sz w:val="20"/>
                <w:szCs w:val="20"/>
              </w:rPr>
              <w:t xml:space="preserve"> tools, respecting subsidiarity and involving different players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_Toc479349463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15</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4" w:history="1">
            <w:r>
              <w:rPr>
                <w:rStyle w:val="Hyperlink"/>
                <w:rFonts w:ascii="Verdana" w:hAnsi="Verdana"/>
                <w:noProof/>
                <w:sz w:val="20"/>
                <w:szCs w:val="20"/>
              </w:rPr>
              <w:t>Legislation: gaps identified and the importance of stepping up</w:t>
            </w:r>
            <w:r>
              <w:rPr>
                <w:rStyle w:val="Hyperlink"/>
                <w:rFonts w:ascii="Verdana" w:hAnsi="Verdana"/>
                <w:noProof/>
                <w:sz w:val="20"/>
                <w:szCs w:val="20"/>
              </w:rPr>
              <w:t xml:space="preserve"> implementation</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_Toc479349464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17</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5" w:history="1">
            <w:r>
              <w:rPr>
                <w:rStyle w:val="Hyperlink"/>
                <w:rFonts w:ascii="Verdana" w:hAnsi="Verdana"/>
                <w:noProof/>
                <w:sz w:val="20"/>
                <w:szCs w:val="20"/>
              </w:rPr>
              <w:t>Driving reforms and convergence through the European Semester, benchmarking and monitoring</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w:instrText>
            </w:r>
            <w:r>
              <w:rPr>
                <w:rFonts w:ascii="Verdana" w:hAnsi="Verdana"/>
                <w:noProof/>
                <w:webHidden/>
                <w:sz w:val="20"/>
                <w:szCs w:val="20"/>
              </w:rPr>
              <w:instrText xml:space="preserve">465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20</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6" w:history="1">
            <w:r>
              <w:rPr>
                <w:rStyle w:val="Hyperlink"/>
                <w:rFonts w:ascii="Verdana" w:hAnsi="Verdana"/>
                <w:noProof/>
                <w:sz w:val="20"/>
                <w:szCs w:val="20"/>
              </w:rPr>
              <w:t>Involving the social partners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_Toc479349466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21</w:t>
            </w:r>
            <w:r>
              <w:rPr>
                <w:rFonts w:ascii="Verdana" w:hAnsi="Verdana"/>
                <w:noProof/>
                <w:webHidden/>
                <w:sz w:val="20"/>
                <w:szCs w:val="20"/>
              </w:rPr>
              <w:fldChar w:fldCharType="end"/>
            </w:r>
          </w:hyperlink>
        </w:p>
        <w:p w:rsidR="001E527A" w:rsidRDefault="00CD69DA">
          <w:pPr>
            <w:pStyle w:val="TOC3"/>
            <w:tabs>
              <w:tab w:val="right" w:leader="dot" w:pos="9628"/>
            </w:tabs>
            <w:rPr>
              <w:rFonts w:ascii="Verdana" w:eastAsiaTheme="minorEastAsia" w:hAnsi="Verdana"/>
              <w:noProof/>
              <w:sz w:val="20"/>
              <w:szCs w:val="20"/>
              <w:lang w:eastAsia="en-GB"/>
            </w:rPr>
          </w:pPr>
          <w:hyperlink w:anchor="_Toc479349467" w:history="1">
            <w:r>
              <w:rPr>
                <w:rStyle w:val="Hyperlink"/>
                <w:rFonts w:ascii="Verdana" w:hAnsi="Verdana"/>
                <w:noProof/>
                <w:sz w:val="20"/>
                <w:szCs w:val="20"/>
              </w:rPr>
              <w:t>Financing the Pillar implementation</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_Toc479349467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22</w:t>
            </w:r>
            <w:r>
              <w:rPr>
                <w:rFonts w:ascii="Verdana" w:hAnsi="Verdana"/>
                <w:noProof/>
                <w:webHidden/>
                <w:sz w:val="20"/>
                <w:szCs w:val="20"/>
              </w:rPr>
              <w:fldChar w:fldCharType="end"/>
            </w:r>
          </w:hyperlink>
        </w:p>
        <w:p w:rsidR="001E527A" w:rsidRDefault="001E527A">
          <w:pPr>
            <w:pStyle w:val="TOC2"/>
            <w:rPr>
              <w:rStyle w:val="Hyperlink"/>
            </w:rPr>
          </w:pPr>
        </w:p>
        <w:p w:rsidR="001E527A" w:rsidRDefault="00CD69DA">
          <w:pPr>
            <w:pStyle w:val="TOC2"/>
            <w:rPr>
              <w:rFonts w:eastAsiaTheme="minorEastAsia"/>
              <w:lang w:eastAsia="en-GB"/>
            </w:rPr>
          </w:pPr>
          <w:hyperlink w:anchor="_Toc479349468" w:history="1">
            <w:r>
              <w:rPr>
                <w:rStyle w:val="Hyperlink"/>
              </w:rPr>
              <w:t>III. Discussions on the principles of the Pillar</w:t>
            </w:r>
            <w:r>
              <w:rPr>
                <w:webHidden/>
              </w:rPr>
              <w:tab/>
            </w:r>
            <w:r>
              <w:rPr>
                <w:webHidden/>
              </w:rPr>
              <w:fldChar w:fldCharType="begin"/>
            </w:r>
            <w:r>
              <w:rPr>
                <w:webHidden/>
              </w:rPr>
              <w:instrText xml:space="preserve"> PAGEREF _</w:instrText>
            </w:r>
            <w:r>
              <w:rPr>
                <w:webHidden/>
              </w:rPr>
              <w:instrText xml:space="preserve">Toc479349468 \h </w:instrText>
            </w:r>
            <w:r>
              <w:rPr>
                <w:webHidden/>
              </w:rPr>
            </w:r>
            <w:r>
              <w:rPr>
                <w:webHidden/>
              </w:rPr>
              <w:fldChar w:fldCharType="separate"/>
            </w:r>
            <w:r>
              <w:rPr>
                <w:webHidden/>
              </w:rPr>
              <w:t>24</w:t>
            </w:r>
            <w:r>
              <w:rPr>
                <w:webHidden/>
              </w:rPr>
              <w:fldChar w:fldCharType="end"/>
            </w:r>
          </w:hyperlink>
        </w:p>
        <w:p w:rsidR="001E527A" w:rsidRDefault="00CD69DA">
          <w:pPr>
            <w:pStyle w:val="TOC2"/>
            <w:rPr>
              <w:rFonts w:eastAsiaTheme="minorEastAsia"/>
              <w:sz w:val="20"/>
              <w:szCs w:val="20"/>
              <w:lang w:eastAsia="en-GB"/>
            </w:rPr>
          </w:pPr>
          <w:hyperlink w:anchor="_Toc479349469" w:history="1">
            <w:r>
              <w:rPr>
                <w:rStyle w:val="Hyperlink"/>
                <w:sz w:val="20"/>
                <w:szCs w:val="20"/>
              </w:rPr>
              <w:t>1. Equal opportunities and access to the labour market</w:t>
            </w:r>
            <w:r>
              <w:rPr>
                <w:webHidden/>
                <w:sz w:val="20"/>
                <w:szCs w:val="20"/>
              </w:rPr>
              <w:tab/>
            </w:r>
            <w:r>
              <w:rPr>
                <w:webHidden/>
                <w:sz w:val="20"/>
                <w:szCs w:val="20"/>
              </w:rPr>
              <w:fldChar w:fldCharType="begin"/>
            </w:r>
            <w:r>
              <w:rPr>
                <w:webHidden/>
                <w:sz w:val="20"/>
                <w:szCs w:val="20"/>
              </w:rPr>
              <w:instrText xml:space="preserve"> PAGEREF _Toc479349469 \h </w:instrText>
            </w:r>
            <w:r>
              <w:rPr>
                <w:webHidden/>
                <w:sz w:val="20"/>
                <w:szCs w:val="20"/>
              </w:rPr>
            </w:r>
            <w:r>
              <w:rPr>
                <w:webHidden/>
                <w:sz w:val="20"/>
                <w:szCs w:val="20"/>
              </w:rPr>
              <w:fldChar w:fldCharType="separate"/>
            </w:r>
            <w:r>
              <w:rPr>
                <w:webHidden/>
                <w:sz w:val="20"/>
                <w:szCs w:val="20"/>
              </w:rPr>
              <w:t>26</w:t>
            </w:r>
            <w:r>
              <w:rPr>
                <w:webHidden/>
                <w:sz w:val="20"/>
                <w:szCs w:val="20"/>
              </w:rPr>
              <w:fldChar w:fldCharType="end"/>
            </w:r>
          </w:hyperlink>
        </w:p>
        <w:p w:rsidR="001E527A" w:rsidRDefault="00CD69DA">
          <w:pPr>
            <w:pStyle w:val="TOC2"/>
            <w:rPr>
              <w:rFonts w:eastAsiaTheme="minorEastAsia"/>
              <w:sz w:val="20"/>
              <w:szCs w:val="20"/>
              <w:lang w:eastAsia="en-GB"/>
            </w:rPr>
          </w:pPr>
          <w:hyperlink w:anchor="_Toc479349470" w:history="1">
            <w:r>
              <w:rPr>
                <w:rStyle w:val="Hyperlink"/>
                <w:sz w:val="20"/>
                <w:szCs w:val="20"/>
              </w:rPr>
              <w:t>2. Fair working conditions</w:t>
            </w:r>
            <w:r>
              <w:rPr>
                <w:webHidden/>
                <w:sz w:val="20"/>
                <w:szCs w:val="20"/>
              </w:rPr>
              <w:tab/>
            </w:r>
            <w:r>
              <w:rPr>
                <w:webHidden/>
                <w:sz w:val="20"/>
                <w:szCs w:val="20"/>
              </w:rPr>
              <w:fldChar w:fldCharType="begin"/>
            </w:r>
            <w:r>
              <w:rPr>
                <w:webHidden/>
                <w:sz w:val="20"/>
                <w:szCs w:val="20"/>
              </w:rPr>
              <w:instrText xml:space="preserve"> PAGEREF _Toc479349470 \h </w:instrText>
            </w:r>
            <w:r>
              <w:rPr>
                <w:webHidden/>
                <w:sz w:val="20"/>
                <w:szCs w:val="20"/>
              </w:rPr>
            </w:r>
            <w:r>
              <w:rPr>
                <w:webHidden/>
                <w:sz w:val="20"/>
                <w:szCs w:val="20"/>
              </w:rPr>
              <w:fldChar w:fldCharType="separate"/>
            </w:r>
            <w:r>
              <w:rPr>
                <w:webHidden/>
                <w:sz w:val="20"/>
                <w:szCs w:val="20"/>
              </w:rPr>
              <w:t>35</w:t>
            </w:r>
            <w:r>
              <w:rPr>
                <w:webHidden/>
                <w:sz w:val="20"/>
                <w:szCs w:val="20"/>
              </w:rPr>
              <w:fldChar w:fldCharType="end"/>
            </w:r>
          </w:hyperlink>
        </w:p>
        <w:p w:rsidR="001E527A" w:rsidRDefault="00CD69DA">
          <w:pPr>
            <w:pStyle w:val="TOC2"/>
            <w:rPr>
              <w:rFonts w:eastAsiaTheme="minorEastAsia"/>
              <w:sz w:val="20"/>
              <w:szCs w:val="20"/>
              <w:lang w:eastAsia="en-GB"/>
            </w:rPr>
          </w:pPr>
          <w:hyperlink w:anchor="_Toc479349471" w:history="1">
            <w:r>
              <w:rPr>
                <w:rStyle w:val="Hyperlink"/>
                <w:sz w:val="20"/>
                <w:szCs w:val="20"/>
              </w:rPr>
              <w:t>3. Adequate and sustainable social protection</w:t>
            </w:r>
            <w:r>
              <w:rPr>
                <w:webHidden/>
                <w:sz w:val="20"/>
                <w:szCs w:val="20"/>
              </w:rPr>
              <w:tab/>
            </w:r>
            <w:r>
              <w:rPr>
                <w:webHidden/>
                <w:sz w:val="20"/>
                <w:szCs w:val="20"/>
              </w:rPr>
              <w:fldChar w:fldCharType="begin"/>
            </w:r>
            <w:r>
              <w:rPr>
                <w:webHidden/>
                <w:sz w:val="20"/>
                <w:szCs w:val="20"/>
              </w:rPr>
              <w:instrText xml:space="preserve"> PAGEREF _Toc479349471 \h </w:instrText>
            </w:r>
            <w:r>
              <w:rPr>
                <w:webHidden/>
                <w:sz w:val="20"/>
                <w:szCs w:val="20"/>
              </w:rPr>
            </w:r>
            <w:r>
              <w:rPr>
                <w:webHidden/>
                <w:sz w:val="20"/>
                <w:szCs w:val="20"/>
              </w:rPr>
              <w:fldChar w:fldCharType="separate"/>
            </w:r>
            <w:r>
              <w:rPr>
                <w:webHidden/>
                <w:sz w:val="20"/>
                <w:szCs w:val="20"/>
              </w:rPr>
              <w:t>42</w:t>
            </w:r>
            <w:r>
              <w:rPr>
                <w:webHidden/>
                <w:sz w:val="20"/>
                <w:szCs w:val="20"/>
              </w:rPr>
              <w:fldChar w:fldCharType="end"/>
            </w:r>
          </w:hyperlink>
        </w:p>
        <w:p w:rsidR="001E527A" w:rsidRDefault="001E527A">
          <w:pPr>
            <w:pStyle w:val="TOC2"/>
            <w:rPr>
              <w:rStyle w:val="Hyperlink"/>
            </w:rPr>
          </w:pPr>
        </w:p>
        <w:p w:rsidR="001E527A" w:rsidRDefault="00CD69DA">
          <w:pPr>
            <w:pStyle w:val="TOC2"/>
            <w:rPr>
              <w:rFonts w:asciiTheme="minorHAnsi" w:eastAsiaTheme="minorEastAsia" w:hAnsiTheme="minorHAnsi"/>
              <w:lang w:eastAsia="en-GB"/>
            </w:rPr>
          </w:pPr>
          <w:hyperlink w:anchor="_Toc479349472" w:history="1">
            <w:r>
              <w:rPr>
                <w:rStyle w:val="Hyperlink"/>
              </w:rPr>
              <w:t>List of acronyms</w:t>
            </w:r>
            <w:r>
              <w:rPr>
                <w:webHidden/>
              </w:rPr>
              <w:tab/>
            </w:r>
            <w:r>
              <w:rPr>
                <w:webHidden/>
              </w:rPr>
              <w:fldChar w:fldCharType="begin"/>
            </w:r>
            <w:r>
              <w:rPr>
                <w:webHidden/>
              </w:rPr>
              <w:instrText xml:space="preserve"> PAGEREF _Toc479349472 \h </w:instrText>
            </w:r>
            <w:r>
              <w:rPr>
                <w:webHidden/>
              </w:rPr>
            </w:r>
            <w:r>
              <w:rPr>
                <w:webHidden/>
              </w:rPr>
              <w:fldChar w:fldCharType="separate"/>
            </w:r>
            <w:r>
              <w:rPr>
                <w:webHidden/>
              </w:rPr>
              <w:t>52</w:t>
            </w:r>
            <w:r>
              <w:rPr>
                <w:webHidden/>
              </w:rPr>
              <w:fldChar w:fldCharType="end"/>
            </w:r>
          </w:hyperlink>
        </w:p>
        <w:p w:rsidR="001E527A" w:rsidRDefault="00CD69DA">
          <w:pPr>
            <w:rPr>
              <w:rFonts w:ascii="Verdana" w:hAnsi="Verdana"/>
              <w:noProof/>
            </w:rPr>
          </w:pPr>
          <w:r>
            <w:rPr>
              <w:rFonts w:ascii="Verdana" w:hAnsi="Verdana"/>
              <w:b/>
              <w:bCs/>
              <w:noProof/>
            </w:rPr>
            <w:fldChar w:fldCharType="end"/>
          </w:r>
        </w:p>
      </w:sdtContent>
    </w:sdt>
    <w:p w:rsidR="001E527A" w:rsidRDefault="00CD69DA">
      <w:pPr>
        <w:pStyle w:val="Heading1"/>
        <w:spacing w:before="0" w:after="200" w:line="276" w:lineRule="auto"/>
        <w:rPr>
          <w:noProof/>
        </w:rPr>
      </w:pPr>
      <w:bookmarkStart w:id="2" w:name="_Toc479349446"/>
      <w:r>
        <w:rPr>
          <w:noProof/>
        </w:rPr>
        <w:lastRenderedPageBreak/>
        <w:t>Introduction</w:t>
      </w:r>
      <w:bookmarkEnd w:id="2"/>
    </w:p>
    <w:p w:rsidR="001E527A" w:rsidRDefault="00CD69DA">
      <w:pPr>
        <w:pStyle w:val="NormalWeb"/>
        <w:spacing w:before="0" w:beforeAutospacing="0" w:after="200" w:afterAutospacing="0" w:line="276" w:lineRule="auto"/>
        <w:jc w:val="both"/>
        <w:rPr>
          <w:rFonts w:ascii="Verdana" w:hAnsi="Verdana"/>
          <w:noProof/>
          <w:sz w:val="20"/>
          <w:szCs w:val="20"/>
        </w:rPr>
      </w:pPr>
      <w:r>
        <w:rPr>
          <w:rFonts w:ascii="Verdana" w:hAnsi="Verdana"/>
          <w:noProof/>
          <w:sz w:val="20"/>
          <w:szCs w:val="20"/>
        </w:rPr>
        <w:t xml:space="preserve">In his 2015 State of the Union address, President Juncker announced the determination to develop a </w:t>
      </w:r>
      <w:r>
        <w:rPr>
          <w:rFonts w:ascii="Verdana" w:hAnsi="Verdana"/>
          <w:noProof/>
          <w:sz w:val="20"/>
          <w:szCs w:val="20"/>
        </w:rPr>
        <w:t>European Pillar of Social Rights which takes account of the changing realities of the world of work and can serve as a compass for the renewed convergence within the euro area. On 8 March 2016, the European Commission adopted a Communication putting forwar</w:t>
      </w:r>
      <w:r>
        <w:rPr>
          <w:rFonts w:ascii="Verdana" w:hAnsi="Verdana"/>
          <w:noProof/>
          <w:sz w:val="20"/>
          <w:szCs w:val="20"/>
        </w:rPr>
        <w:t>d a first, preliminary outline of what should become the European Pillar of Social Rights</w:t>
      </w:r>
      <w:r>
        <w:rPr>
          <w:rStyle w:val="FootnoteReference"/>
          <w:rFonts w:ascii="Verdana" w:hAnsi="Verdana"/>
          <w:noProof/>
          <w:sz w:val="20"/>
          <w:szCs w:val="20"/>
        </w:rPr>
        <w:footnoteReference w:id="1"/>
      </w:r>
      <w:r>
        <w:rPr>
          <w:rFonts w:ascii="Verdana" w:hAnsi="Verdana"/>
          <w:noProof/>
          <w:sz w:val="20"/>
          <w:szCs w:val="20"/>
        </w:rPr>
        <w:t>. The Communication set out the rationale behind the initiative and its role, scope and nature</w:t>
      </w:r>
      <w:r>
        <w:rPr>
          <w:rStyle w:val="FootnoteReference"/>
          <w:rFonts w:ascii="Verdana" w:hAnsi="Verdana"/>
          <w:noProof/>
          <w:sz w:val="20"/>
          <w:szCs w:val="20"/>
        </w:rPr>
        <w:footnoteReference w:id="2"/>
      </w:r>
      <w:r>
        <w:rPr>
          <w:rFonts w:ascii="Verdana" w:hAnsi="Verdana"/>
          <w:noProof/>
          <w:sz w:val="20"/>
          <w:szCs w:val="20"/>
        </w:rPr>
        <w:t>.</w:t>
      </w:r>
    </w:p>
    <w:p w:rsidR="001E527A" w:rsidRDefault="00CD69DA">
      <w:pPr>
        <w:pStyle w:val="NormalWeb"/>
        <w:spacing w:before="0" w:beforeAutospacing="0" w:after="200" w:afterAutospacing="0" w:line="276" w:lineRule="auto"/>
        <w:jc w:val="both"/>
        <w:rPr>
          <w:rFonts w:ascii="Verdana" w:hAnsi="Verdana"/>
          <w:noProof/>
          <w:sz w:val="20"/>
          <w:szCs w:val="20"/>
        </w:rPr>
      </w:pPr>
      <w:r>
        <w:rPr>
          <w:rFonts w:ascii="Verdana" w:hAnsi="Verdana"/>
          <w:noProof/>
          <w:sz w:val="20"/>
          <w:szCs w:val="20"/>
        </w:rPr>
        <w:t>On this basis, the Commission launched from March until 31 December 2</w:t>
      </w:r>
      <w:r>
        <w:rPr>
          <w:rFonts w:ascii="Verdana" w:hAnsi="Verdana"/>
          <w:noProof/>
          <w:sz w:val="20"/>
          <w:szCs w:val="20"/>
        </w:rPr>
        <w:t>016 a broad public consultation to gather feedback on the proposed outline to feed into its final proposal. The consultation aimed at discussing existing social rights, the changing realities of the world of work and societies, and the role of the Pillar a</w:t>
      </w:r>
      <w:r>
        <w:rPr>
          <w:rFonts w:ascii="Verdana" w:hAnsi="Verdana"/>
          <w:noProof/>
          <w:sz w:val="20"/>
          <w:szCs w:val="20"/>
        </w:rPr>
        <w:t>s part of the social dimension of the Economic and Monetary Union (EMU). A European conference took place on 23 January 2017 to wrap up this consultation process</w:t>
      </w:r>
      <w:r>
        <w:rPr>
          <w:rStyle w:val="FootnoteReference"/>
          <w:rFonts w:ascii="Verdana" w:hAnsi="Verdana"/>
          <w:noProof/>
          <w:sz w:val="20"/>
          <w:szCs w:val="20"/>
        </w:rPr>
        <w:footnoteReference w:id="3"/>
      </w:r>
      <w:r>
        <w:rPr>
          <w:rFonts w:ascii="Verdana" w:hAnsi="Verdana"/>
          <w:noProof/>
          <w:sz w:val="20"/>
          <w:szCs w:val="20"/>
        </w:rPr>
        <w:t xml:space="preserve">. </w:t>
      </w:r>
    </w:p>
    <w:p w:rsidR="001E527A" w:rsidRDefault="00CD69DA">
      <w:pPr>
        <w:jc w:val="both"/>
        <w:rPr>
          <w:rFonts w:ascii="Verdana" w:eastAsia="Times New Roman" w:hAnsi="Verdana" w:cs="Times New Roman"/>
          <w:i/>
          <w:noProof/>
          <w:sz w:val="20"/>
          <w:szCs w:val="20"/>
          <w:lang w:eastAsia="en-GB"/>
        </w:rPr>
      </w:pPr>
      <w:r>
        <w:rPr>
          <w:rFonts w:ascii="Verdana" w:hAnsi="Verdana" w:cs="Times New Roman"/>
          <w:noProof/>
          <w:sz w:val="20"/>
          <w:szCs w:val="20"/>
        </w:rPr>
        <w:t>During the consultation the</w:t>
      </w:r>
      <w:r>
        <w:rPr>
          <w:rFonts w:ascii="Verdana" w:eastAsia="Times New Roman" w:hAnsi="Verdana" w:cs="Times New Roman"/>
          <w:noProof/>
          <w:sz w:val="20"/>
          <w:szCs w:val="20"/>
          <w:lang w:eastAsia="en-GB"/>
        </w:rPr>
        <w:t xml:space="preserve"> Commission sought feedback on the following ten questions:</w:t>
      </w:r>
    </w:p>
    <w:p w:rsidR="001E527A" w:rsidRDefault="00CD69DA">
      <w:pPr>
        <w:keepNext/>
        <w:jc w:val="both"/>
        <w:rPr>
          <w:rFonts w:ascii="Verdana" w:hAnsi="Verdana" w:cs="Times New Roman"/>
          <w:b/>
          <w:noProof/>
          <w:sz w:val="20"/>
          <w:szCs w:val="20"/>
        </w:rPr>
      </w:pPr>
      <w:r>
        <w:rPr>
          <w:rFonts w:ascii="Verdana" w:eastAsia="Times New Roman" w:hAnsi="Verdana" w:cs="Times New Roman"/>
          <w:b/>
          <w:noProof/>
          <w:sz w:val="20"/>
          <w:szCs w:val="20"/>
          <w:lang w:eastAsia="en-GB"/>
        </w:rPr>
        <w:t>On t</w:t>
      </w:r>
      <w:r>
        <w:rPr>
          <w:rFonts w:ascii="Verdana" w:eastAsia="Times New Roman" w:hAnsi="Verdana" w:cs="Times New Roman"/>
          <w:b/>
          <w:noProof/>
          <w:sz w:val="20"/>
          <w:szCs w:val="20"/>
          <w:lang w:eastAsia="en-GB"/>
        </w:rPr>
        <w:t>he social situation and EU social "acquis":</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What do you see as most pressing employment and social priorities?</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How can we account for different employment and social situations across Europe?</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 xml:space="preserve">Is the EU "acquis" up to date and do you see scope for further </w:t>
      </w:r>
      <w:r>
        <w:rPr>
          <w:rFonts w:ascii="Verdana" w:hAnsi="Verdana"/>
          <w:noProof/>
          <w:sz w:val="20"/>
        </w:rPr>
        <w:t>EU action?</w:t>
      </w:r>
    </w:p>
    <w:p w:rsidR="001E527A" w:rsidRDefault="00CD69DA">
      <w:pPr>
        <w:keepNext/>
        <w:jc w:val="both"/>
        <w:rPr>
          <w:rFonts w:ascii="Verdana" w:eastAsia="Times New Roman" w:hAnsi="Verdana" w:cs="Times New Roman"/>
          <w:b/>
          <w:noProof/>
          <w:sz w:val="20"/>
          <w:szCs w:val="20"/>
          <w:lang w:eastAsia="en-GB"/>
        </w:rPr>
      </w:pPr>
      <w:r>
        <w:rPr>
          <w:rFonts w:ascii="Verdana" w:eastAsia="Times New Roman" w:hAnsi="Verdana" w:cs="Times New Roman"/>
          <w:b/>
          <w:noProof/>
          <w:sz w:val="20"/>
          <w:szCs w:val="20"/>
          <w:lang w:eastAsia="en-GB"/>
        </w:rPr>
        <w:t>On the future of work and welfare systems:</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What trends would you see as most transformative?</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What would be the main risks and opportunities linked to such trends?</w:t>
      </w:r>
    </w:p>
    <w:p w:rsidR="001E527A" w:rsidRDefault="00CD69DA">
      <w:pPr>
        <w:pStyle w:val="ListParagraph"/>
        <w:numPr>
          <w:ilvl w:val="0"/>
          <w:numId w:val="12"/>
        </w:numPr>
        <w:spacing w:after="200" w:line="276" w:lineRule="auto"/>
        <w:rPr>
          <w:rFonts w:ascii="Verdana" w:hAnsi="Verdana"/>
          <w:noProof/>
          <w:sz w:val="20"/>
          <w:lang w:eastAsia="en-GB"/>
        </w:rPr>
      </w:pPr>
      <w:r>
        <w:rPr>
          <w:rFonts w:ascii="Verdana" w:hAnsi="Verdana"/>
          <w:noProof/>
          <w:sz w:val="20"/>
        </w:rPr>
        <w:t xml:space="preserve">Are there policies, institutions or firm practices – existing or emerging – which </w:t>
      </w:r>
      <w:r>
        <w:rPr>
          <w:rFonts w:ascii="Verdana" w:hAnsi="Verdana"/>
          <w:noProof/>
          <w:sz w:val="20"/>
        </w:rPr>
        <w:t>you would recommend as references?</w:t>
      </w:r>
    </w:p>
    <w:p w:rsidR="001E527A" w:rsidRDefault="00CD69DA">
      <w:pPr>
        <w:keepNext/>
        <w:jc w:val="both"/>
        <w:rPr>
          <w:rFonts w:ascii="Verdana" w:eastAsia="Times New Roman" w:hAnsi="Verdana" w:cs="Times New Roman"/>
          <w:b/>
          <w:noProof/>
          <w:sz w:val="20"/>
          <w:szCs w:val="20"/>
          <w:lang w:eastAsia="en-GB"/>
        </w:rPr>
      </w:pPr>
      <w:r>
        <w:rPr>
          <w:rFonts w:ascii="Verdana" w:eastAsia="Times New Roman" w:hAnsi="Verdana" w:cs="Times New Roman"/>
          <w:b/>
          <w:noProof/>
          <w:sz w:val="20"/>
          <w:szCs w:val="20"/>
          <w:lang w:eastAsia="en-GB"/>
        </w:rPr>
        <w:t>On the design of the European Pillar of Social Rights:</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Do you agree with the approach outlined here for the establishment of a European Pillar of Social Rights?</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Do you agree with the scope of the Pillar, domains and princ</w:t>
      </w:r>
      <w:r>
        <w:rPr>
          <w:rFonts w:ascii="Verdana" w:hAnsi="Verdana"/>
          <w:noProof/>
          <w:sz w:val="20"/>
        </w:rPr>
        <w:t>iples proposed here? Are there aspects that are not adequately expressed or covered so far?</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 xml:space="preserve">What domains and principles would be most important as part of a renewed convergence for the euro area? </w:t>
      </w:r>
    </w:p>
    <w:p w:rsidR="001E527A" w:rsidRDefault="00CD69DA">
      <w:pPr>
        <w:pStyle w:val="ListParagraph"/>
        <w:numPr>
          <w:ilvl w:val="0"/>
          <w:numId w:val="12"/>
        </w:numPr>
        <w:spacing w:after="200" w:line="276" w:lineRule="auto"/>
        <w:rPr>
          <w:rFonts w:ascii="Verdana" w:hAnsi="Verdana"/>
          <w:noProof/>
          <w:sz w:val="20"/>
        </w:rPr>
      </w:pPr>
      <w:r>
        <w:rPr>
          <w:rFonts w:ascii="Verdana" w:hAnsi="Verdana"/>
          <w:noProof/>
          <w:sz w:val="20"/>
        </w:rPr>
        <w:t>How should these be expressed and made operational? In part</w:t>
      </w:r>
      <w:r>
        <w:rPr>
          <w:rFonts w:ascii="Verdana" w:hAnsi="Verdana"/>
          <w:noProof/>
          <w:sz w:val="20"/>
        </w:rPr>
        <w:t>icular, do you see the scope and added value of minimum standards or reference benchmarks in certain areas and if so, which ones?</w:t>
      </w:r>
    </w:p>
    <w:p w:rsidR="001E527A" w:rsidRDefault="00CD69DA">
      <w:pPr>
        <w:pStyle w:val="NormalWeb"/>
        <w:spacing w:before="0" w:beforeAutospacing="0" w:after="200" w:afterAutospacing="0" w:line="276" w:lineRule="auto"/>
        <w:jc w:val="both"/>
        <w:rPr>
          <w:rFonts w:ascii="Verdana" w:hAnsi="Verdana"/>
          <w:noProof/>
          <w:sz w:val="20"/>
          <w:szCs w:val="20"/>
        </w:rPr>
      </w:pPr>
      <w:r>
        <w:rPr>
          <w:rFonts w:ascii="Verdana" w:hAnsi="Verdana"/>
          <w:noProof/>
          <w:sz w:val="20"/>
          <w:szCs w:val="20"/>
        </w:rPr>
        <w:t xml:space="preserve">This report presents the consultation process and summarises its main findings. </w:t>
      </w:r>
    </w:p>
    <w:p w:rsidR="001E527A" w:rsidRDefault="00CD69DA">
      <w:pPr>
        <w:pStyle w:val="Heading1"/>
        <w:spacing w:before="0" w:after="200" w:line="276" w:lineRule="auto"/>
        <w:rPr>
          <w:noProof/>
        </w:rPr>
      </w:pPr>
      <w:bookmarkStart w:id="3" w:name="_Toc479349447"/>
      <w:r>
        <w:rPr>
          <w:noProof/>
        </w:rPr>
        <w:lastRenderedPageBreak/>
        <w:t>I. The public consultation at a glance</w:t>
      </w:r>
      <w:bookmarkEnd w:id="3"/>
    </w:p>
    <w:p w:rsidR="001E527A" w:rsidRDefault="00CD69DA">
      <w:pPr>
        <w:pStyle w:val="Heading2"/>
        <w:rPr>
          <w:noProof/>
        </w:rPr>
      </w:pPr>
      <w:bookmarkStart w:id="4" w:name="_Toc479349448"/>
      <w:r>
        <w:rPr>
          <w:noProof/>
        </w:rPr>
        <w:t>1. A f</w:t>
      </w:r>
      <w:r>
        <w:rPr>
          <w:noProof/>
        </w:rPr>
        <w:t>ar-reaching process</w:t>
      </w:r>
      <w:bookmarkEnd w:id="4"/>
    </w:p>
    <w:p w:rsidR="001E527A" w:rsidRDefault="00CD69DA">
      <w:pPr>
        <w:jc w:val="both"/>
        <w:rPr>
          <w:rFonts w:ascii="Verdana" w:eastAsia="Times New Roman" w:hAnsi="Verdana" w:cs="Times New Roman"/>
          <w:noProof/>
          <w:sz w:val="20"/>
          <w:szCs w:val="20"/>
          <w:lang w:eastAsia="en-GB"/>
        </w:rPr>
      </w:pPr>
      <w:r>
        <w:rPr>
          <w:rFonts w:ascii="Verdana" w:eastAsia="Times New Roman" w:hAnsi="Verdana" w:cs="Times New Roman"/>
          <w:noProof/>
          <w:sz w:val="20"/>
          <w:szCs w:val="20"/>
          <w:lang w:eastAsia="en-GB"/>
        </w:rPr>
        <w:t xml:space="preserve">Throughout the public consultation, active discussions took place with national authorities and parliaments, other EU institutions, social partners, civil society, academic and policy experts as well as citizens. </w:t>
      </w:r>
    </w:p>
    <w:p w:rsidR="001E527A" w:rsidRDefault="00CD69DA">
      <w:pPr>
        <w:jc w:val="both"/>
        <w:rPr>
          <w:rFonts w:ascii="Verdana" w:hAnsi="Verdana" w:cs="Arial"/>
          <w:noProof/>
          <w:sz w:val="20"/>
          <w:szCs w:val="20"/>
        </w:rPr>
      </w:pPr>
      <w:r>
        <w:rPr>
          <w:rFonts w:ascii="Verdana" w:hAnsi="Verdana" w:cs="Arial"/>
          <w:noProof/>
          <w:sz w:val="20"/>
          <w:szCs w:val="20"/>
        </w:rPr>
        <w:t>The process was very wide and far-reaching: it included in-depth input through dedicated work streams, meetings and events at EU and national level, written input through position papers, an online survey and social media outreach. All in all, the number o</w:t>
      </w:r>
      <w:r>
        <w:rPr>
          <w:rFonts w:ascii="Verdana" w:hAnsi="Verdana" w:cs="Arial"/>
          <w:noProof/>
          <w:sz w:val="20"/>
          <w:szCs w:val="20"/>
        </w:rPr>
        <w:t xml:space="preserve">f </w:t>
      </w:r>
      <w:r>
        <w:rPr>
          <w:rFonts w:ascii="Verdana" w:hAnsi="Verdana" w:cs="Arial"/>
          <w:b/>
          <w:noProof/>
          <w:sz w:val="20"/>
          <w:szCs w:val="20"/>
        </w:rPr>
        <w:t>dedicated meetings and events at EU and national level amounted to over 60, involving beyond 2,500 participants</w:t>
      </w:r>
      <w:r>
        <w:rPr>
          <w:rFonts w:ascii="Verdana" w:hAnsi="Verdana" w:cs="Arial"/>
          <w:noProof/>
          <w:sz w:val="20"/>
          <w:szCs w:val="20"/>
        </w:rPr>
        <w:t>. Social partners and civil society were given a prominent role in the consultation process, through targeted hearings and strategic dialogue m</w:t>
      </w:r>
      <w:r>
        <w:rPr>
          <w:rFonts w:ascii="Verdana" w:hAnsi="Verdana" w:cs="Arial"/>
          <w:noProof/>
          <w:sz w:val="20"/>
          <w:szCs w:val="20"/>
        </w:rPr>
        <w:t>eetings.</w:t>
      </w:r>
    </w:p>
    <w:p w:rsidR="001E527A" w:rsidRDefault="00CD69DA">
      <w:pPr>
        <w:widowControl w:val="0"/>
        <w:shd w:val="clear" w:color="auto" w:fill="EAF1DD" w:themeFill="accent3" w:themeFillTint="33"/>
        <w:autoSpaceDE w:val="0"/>
        <w:autoSpaceDN w:val="0"/>
        <w:adjustRightInd w:val="0"/>
        <w:jc w:val="both"/>
        <w:rPr>
          <w:rStyle w:val="Strong"/>
          <w:rFonts w:ascii="Verdana" w:eastAsiaTheme="majorEastAsia" w:hAnsi="Verdana" w:cs="Times New Roman"/>
          <w:b w:val="0"/>
          <w:noProof/>
          <w:sz w:val="20"/>
          <w:szCs w:val="20"/>
        </w:rPr>
      </w:pPr>
      <w:r>
        <w:rPr>
          <w:rFonts w:ascii="Verdana" w:hAnsi="Verdana" w:cs="Arial"/>
          <w:noProof/>
          <w:sz w:val="20"/>
          <w:szCs w:val="20"/>
        </w:rPr>
        <w:t>The Commission</w:t>
      </w:r>
      <w:r>
        <w:rPr>
          <w:rFonts w:ascii="Verdana" w:hAnsi="Verdana" w:cs="Times New Roman"/>
          <w:noProof/>
          <w:sz w:val="20"/>
          <w:szCs w:val="20"/>
        </w:rPr>
        <w:t xml:space="preserve"> organised </w:t>
      </w:r>
      <w:r>
        <w:rPr>
          <w:rFonts w:ascii="Verdana" w:hAnsi="Verdana" w:cs="Times New Roman"/>
          <w:b/>
          <w:noProof/>
          <w:sz w:val="20"/>
          <w:szCs w:val="20"/>
        </w:rPr>
        <w:t>targeted</w:t>
      </w:r>
      <w:r>
        <w:rPr>
          <w:rFonts w:ascii="Verdana" w:hAnsi="Verdana" w:cs="Times New Roman"/>
          <w:noProof/>
          <w:sz w:val="20"/>
          <w:szCs w:val="20"/>
        </w:rPr>
        <w:t xml:space="preserve"> </w:t>
      </w:r>
      <w:r>
        <w:rPr>
          <w:rStyle w:val="Strong"/>
          <w:rFonts w:ascii="Verdana" w:eastAsiaTheme="majorEastAsia" w:hAnsi="Verdana" w:cs="Times New Roman"/>
          <w:noProof/>
          <w:sz w:val="20"/>
          <w:szCs w:val="20"/>
        </w:rPr>
        <w:t>seminars and structured exchanges</w:t>
      </w:r>
      <w:r>
        <w:rPr>
          <w:rFonts w:ascii="Verdana" w:hAnsi="Verdana" w:cs="Times New Roman"/>
          <w:noProof/>
          <w:sz w:val="20"/>
          <w:szCs w:val="20"/>
        </w:rPr>
        <w:t xml:space="preserve"> </w:t>
      </w:r>
      <w:r>
        <w:rPr>
          <w:rFonts w:ascii="Verdana" w:hAnsi="Verdana" w:cs="Times New Roman"/>
          <w:b/>
          <w:noProof/>
          <w:sz w:val="20"/>
          <w:szCs w:val="20"/>
        </w:rPr>
        <w:t>through</w:t>
      </w:r>
      <w:r>
        <w:rPr>
          <w:rFonts w:ascii="Verdana" w:hAnsi="Verdana" w:cs="Times New Roman"/>
          <w:noProof/>
          <w:sz w:val="20"/>
          <w:szCs w:val="20"/>
        </w:rPr>
        <w:t xml:space="preserve"> </w:t>
      </w:r>
      <w:r>
        <w:rPr>
          <w:rFonts w:ascii="Verdana" w:hAnsi="Verdana" w:cs="Times New Roman"/>
          <w:b/>
          <w:noProof/>
          <w:sz w:val="20"/>
          <w:szCs w:val="20"/>
        </w:rPr>
        <w:t>three work streams</w:t>
      </w:r>
      <w:r>
        <w:rPr>
          <w:rFonts w:ascii="Verdana" w:hAnsi="Verdana" w:cs="Times New Roman"/>
          <w:noProof/>
          <w:sz w:val="20"/>
          <w:szCs w:val="20"/>
        </w:rPr>
        <w:t xml:space="preserve"> bringing together experts and </w:t>
      </w:r>
      <w:r>
        <w:rPr>
          <w:rStyle w:val="Strong"/>
          <w:rFonts w:ascii="Verdana" w:eastAsiaTheme="majorEastAsia" w:hAnsi="Verdana"/>
          <w:b w:val="0"/>
          <w:noProof/>
          <w:sz w:val="20"/>
          <w:szCs w:val="20"/>
        </w:rPr>
        <w:t>stakeholders to stimulate in-depth discussions and gather specialised feedback with a focus on</w:t>
      </w:r>
      <w:r>
        <w:rPr>
          <w:rStyle w:val="Strong"/>
          <w:rFonts w:ascii="Verdana" w:eastAsiaTheme="majorEastAsia" w:hAnsi="Verdana" w:cs="Times New Roman"/>
          <w:b w:val="0"/>
          <w:noProof/>
          <w:sz w:val="20"/>
          <w:szCs w:val="20"/>
        </w:rPr>
        <w:t xml:space="preserve">: </w:t>
      </w:r>
    </w:p>
    <w:p w:rsidR="001E527A" w:rsidRDefault="00CD69DA">
      <w:pPr>
        <w:widowControl w:val="0"/>
        <w:shd w:val="clear" w:color="auto" w:fill="EAF1DD" w:themeFill="accent3" w:themeFillTint="33"/>
        <w:autoSpaceDE w:val="0"/>
        <w:autoSpaceDN w:val="0"/>
        <w:adjustRightInd w:val="0"/>
        <w:jc w:val="both"/>
        <w:rPr>
          <w:rFonts w:ascii="Verdana" w:eastAsia="Times New Roman" w:hAnsi="Verdana" w:cs="Times New Roman"/>
          <w:noProof/>
          <w:color w:val="000000" w:themeColor="text1"/>
          <w:sz w:val="20"/>
          <w:szCs w:val="20"/>
        </w:rPr>
      </w:pPr>
      <w:r>
        <w:rPr>
          <w:rStyle w:val="Strong"/>
          <w:rFonts w:ascii="Verdana" w:eastAsiaTheme="majorEastAsia" w:hAnsi="Verdana" w:cs="Times New Roman"/>
          <w:noProof/>
          <w:sz w:val="20"/>
          <w:szCs w:val="20"/>
        </w:rPr>
        <w:t xml:space="preserve">1. The EU social acquis: taking stock - </w:t>
      </w:r>
      <w:r>
        <w:rPr>
          <w:rStyle w:val="Strong"/>
          <w:rFonts w:ascii="Verdana" w:eastAsiaTheme="majorEastAsia" w:hAnsi="Verdana"/>
          <w:noProof/>
          <w:sz w:val="20"/>
          <w:szCs w:val="20"/>
        </w:rPr>
        <w:t>Work stream 1</w:t>
      </w:r>
      <w:r>
        <w:rPr>
          <w:rStyle w:val="Strong"/>
          <w:rFonts w:ascii="Verdana" w:eastAsiaTheme="majorEastAsia" w:hAnsi="Verdana"/>
          <w:b w:val="0"/>
          <w:noProof/>
          <w:sz w:val="20"/>
          <w:szCs w:val="20"/>
        </w:rPr>
        <w:t xml:space="preserve"> discussed whether existing</w:t>
      </w:r>
      <w:r>
        <w:rPr>
          <w:rFonts w:ascii="Verdana" w:eastAsia="Times New Roman" w:hAnsi="Verdana" w:cs="Times New Roman"/>
          <w:noProof/>
          <w:color w:val="000000" w:themeColor="text1"/>
          <w:sz w:val="20"/>
          <w:szCs w:val="20"/>
        </w:rPr>
        <w:t xml:space="preserve"> rights remain relevant in a changing world of work, whether there are gaps in the EU acquis and if yes, how they could be bridged. </w:t>
      </w:r>
    </w:p>
    <w:p w:rsidR="001E527A" w:rsidRDefault="00CD69DA">
      <w:pPr>
        <w:widowControl w:val="0"/>
        <w:shd w:val="clear" w:color="auto" w:fill="EAF1DD" w:themeFill="accent3" w:themeFillTint="33"/>
        <w:autoSpaceDE w:val="0"/>
        <w:autoSpaceDN w:val="0"/>
        <w:adjustRightInd w:val="0"/>
        <w:jc w:val="both"/>
        <w:rPr>
          <w:rStyle w:val="Strong"/>
          <w:rFonts w:ascii="Verdana" w:eastAsiaTheme="majorEastAsia" w:hAnsi="Verdana" w:cs="Times New Roman"/>
          <w:b w:val="0"/>
          <w:noProof/>
          <w:sz w:val="20"/>
          <w:szCs w:val="20"/>
        </w:rPr>
      </w:pPr>
      <w:r>
        <w:rPr>
          <w:rStyle w:val="Strong"/>
          <w:rFonts w:ascii="Verdana" w:eastAsiaTheme="majorEastAsia" w:hAnsi="Verdana" w:cs="Times New Roman"/>
          <w:noProof/>
          <w:sz w:val="20"/>
          <w:szCs w:val="20"/>
        </w:rPr>
        <w:t xml:space="preserve">2. The future of work and of welfare </w:t>
      </w:r>
      <w:r>
        <w:rPr>
          <w:rStyle w:val="Strong"/>
          <w:rFonts w:ascii="Verdana" w:eastAsiaTheme="majorEastAsia" w:hAnsi="Verdana" w:cs="Times New Roman"/>
          <w:noProof/>
          <w:sz w:val="20"/>
          <w:szCs w:val="20"/>
        </w:rPr>
        <w:t>systems: challenges and opportunities -</w:t>
      </w:r>
      <w:r>
        <w:rPr>
          <w:rStyle w:val="Strong"/>
          <w:rFonts w:ascii="Verdana" w:eastAsiaTheme="majorEastAsia" w:hAnsi="Verdana" w:cs="Times New Roman"/>
          <w:b w:val="0"/>
          <w:noProof/>
          <w:sz w:val="20"/>
          <w:szCs w:val="20"/>
        </w:rPr>
        <w:t xml:space="preserve"> </w:t>
      </w:r>
      <w:r>
        <w:rPr>
          <w:rFonts w:ascii="Verdana" w:eastAsia="Times New Roman" w:hAnsi="Verdana" w:cs="Times New Roman"/>
          <w:b/>
          <w:noProof/>
          <w:color w:val="000000" w:themeColor="text1"/>
          <w:sz w:val="20"/>
          <w:szCs w:val="20"/>
        </w:rPr>
        <w:t>Work stream 2</w:t>
      </w:r>
      <w:r>
        <w:rPr>
          <w:rFonts w:ascii="Verdana" w:eastAsia="Times New Roman" w:hAnsi="Verdana" w:cs="Times New Roman"/>
          <w:noProof/>
          <w:color w:val="000000" w:themeColor="text1"/>
          <w:sz w:val="20"/>
          <w:szCs w:val="20"/>
        </w:rPr>
        <w:t xml:space="preserve"> </w:t>
      </w:r>
      <w:r>
        <w:rPr>
          <w:rFonts w:ascii="Verdana" w:hAnsi="Verdana"/>
          <w:noProof/>
          <w:sz w:val="20"/>
          <w:szCs w:val="20"/>
        </w:rPr>
        <w:t xml:space="preserve">touched on the impact of automation, changes in the workplace, ways to make labour markets more flexible and to increase job quality, as well as the adaptation of working conditions to new digital work </w:t>
      </w:r>
      <w:r>
        <w:rPr>
          <w:rFonts w:ascii="Verdana" w:hAnsi="Verdana"/>
          <w:noProof/>
          <w:sz w:val="20"/>
          <w:szCs w:val="20"/>
        </w:rPr>
        <w:t>and to the collaborative economy.</w:t>
      </w:r>
    </w:p>
    <w:p w:rsidR="001E527A" w:rsidRDefault="00CD69DA">
      <w:pPr>
        <w:shd w:val="clear" w:color="auto" w:fill="EAF1DD" w:themeFill="accent3" w:themeFillTint="33"/>
        <w:jc w:val="both"/>
        <w:rPr>
          <w:rFonts w:ascii="Verdana" w:eastAsiaTheme="majorEastAsia" w:hAnsi="Verdana" w:cstheme="majorBidi"/>
          <w:b/>
          <w:bCs/>
          <w:noProof/>
          <w:color w:val="0070C0"/>
          <w:sz w:val="32"/>
          <w:szCs w:val="26"/>
        </w:rPr>
      </w:pPr>
      <w:r>
        <w:rPr>
          <w:rStyle w:val="Strong"/>
          <w:rFonts w:ascii="Verdana" w:eastAsiaTheme="majorEastAsia" w:hAnsi="Verdana" w:cs="Times New Roman"/>
          <w:noProof/>
          <w:sz w:val="20"/>
          <w:szCs w:val="20"/>
        </w:rPr>
        <w:t>3. The role of the Pillar as part of a deeper and fairer Economic and Monetary Union (EMU)</w:t>
      </w:r>
      <w:r>
        <w:rPr>
          <w:rStyle w:val="Strong"/>
          <w:rFonts w:ascii="Verdana" w:eastAsiaTheme="majorEastAsia" w:hAnsi="Verdana" w:cs="Times New Roman"/>
          <w:b w:val="0"/>
          <w:noProof/>
          <w:sz w:val="20"/>
          <w:szCs w:val="20"/>
        </w:rPr>
        <w:t xml:space="preserve"> - </w:t>
      </w:r>
      <w:r>
        <w:rPr>
          <w:rFonts w:ascii="Verdana" w:eastAsia="Times New Roman" w:hAnsi="Verdana" w:cs="Times New Roman"/>
          <w:b/>
          <w:noProof/>
          <w:color w:val="000000" w:themeColor="text1"/>
          <w:sz w:val="20"/>
          <w:szCs w:val="20"/>
        </w:rPr>
        <w:t xml:space="preserve">Work stream 3 </w:t>
      </w:r>
      <w:r>
        <w:rPr>
          <w:rFonts w:ascii="Verdana" w:hAnsi="Verdana" w:cs="Arial"/>
          <w:noProof/>
          <w:sz w:val="20"/>
        </w:rPr>
        <w:t>looked at how the Pillar would fit into the process of deepening the EMU, notably its social dimension, and what pr</w:t>
      </w:r>
      <w:r>
        <w:rPr>
          <w:rFonts w:ascii="Verdana" w:hAnsi="Verdana" w:cs="Arial"/>
          <w:noProof/>
          <w:sz w:val="20"/>
        </w:rPr>
        <w:t xml:space="preserve">inciples would be most relevant for the good functioning of the EMU. </w:t>
      </w:r>
    </w:p>
    <w:p w:rsidR="001E527A" w:rsidRDefault="00CD69DA">
      <w:pPr>
        <w:shd w:val="clear" w:color="auto" w:fill="EAF1DD" w:themeFill="accent3" w:themeFillTint="33"/>
        <w:jc w:val="both"/>
        <w:rPr>
          <w:rFonts w:ascii="Verdana" w:hAnsi="Verdana" w:cs="Arial"/>
          <w:noProof/>
          <w:sz w:val="20"/>
        </w:rPr>
      </w:pPr>
      <w:r>
        <w:rPr>
          <w:rFonts w:ascii="Verdana" w:hAnsi="Verdana" w:cs="Arial"/>
          <w:noProof/>
          <w:sz w:val="20"/>
        </w:rPr>
        <w:t>Feedback received in the expert consultation through work streams is included in sections II and III of this report, as relevant</w:t>
      </w:r>
      <w:r>
        <w:rPr>
          <w:rStyle w:val="FootnoteReference"/>
          <w:rFonts w:ascii="Verdana" w:hAnsi="Verdana" w:cs="Arial"/>
          <w:noProof/>
          <w:sz w:val="20"/>
        </w:rPr>
        <w:footnoteReference w:id="4"/>
      </w:r>
      <w:r>
        <w:rPr>
          <w:rFonts w:ascii="Verdana" w:hAnsi="Verdana" w:cs="Arial"/>
          <w:noProof/>
          <w:sz w:val="20"/>
        </w:rPr>
        <w:t xml:space="preserve">. </w:t>
      </w:r>
    </w:p>
    <w:p w:rsidR="001E527A" w:rsidRDefault="00CD69DA">
      <w:pPr>
        <w:jc w:val="both"/>
        <w:rPr>
          <w:rFonts w:ascii="Verdana" w:hAnsi="Verdana" w:cs="Arial"/>
          <w:noProof/>
          <w:sz w:val="20"/>
          <w:szCs w:val="20"/>
        </w:rPr>
      </w:pPr>
      <w:r>
        <w:rPr>
          <w:rFonts w:ascii="Verdana" w:hAnsi="Verdana" w:cs="Arial"/>
          <w:b/>
          <w:noProof/>
          <w:sz w:val="20"/>
          <w:szCs w:val="20"/>
        </w:rPr>
        <w:t>At national level</w:t>
      </w:r>
      <w:r>
        <w:rPr>
          <w:rFonts w:ascii="Verdana" w:hAnsi="Verdana" w:cs="Arial"/>
          <w:noProof/>
          <w:sz w:val="20"/>
          <w:szCs w:val="20"/>
        </w:rPr>
        <w:t xml:space="preserve">, Commission Representations </w:t>
      </w:r>
      <w:r>
        <w:rPr>
          <w:rFonts w:ascii="Verdana" w:hAnsi="Verdana" w:cs="Arial"/>
          <w:noProof/>
          <w:sz w:val="20"/>
          <w:szCs w:val="20"/>
        </w:rPr>
        <w:t xml:space="preserve">organised consultation events in 27 Member States (all except the UK) and listened to national specificities. Target audiences included social partners, civil society and researchers. 14 of these events took place in cooperation with the European Economic </w:t>
      </w:r>
      <w:r>
        <w:rPr>
          <w:rFonts w:ascii="Verdana" w:hAnsi="Verdana" w:cs="Arial"/>
          <w:noProof/>
          <w:sz w:val="20"/>
          <w:szCs w:val="20"/>
        </w:rPr>
        <w:t>and Social Committee (EESC)</w:t>
      </w:r>
      <w:r>
        <w:rPr>
          <w:rStyle w:val="FootnoteReference"/>
          <w:rFonts w:ascii="Verdana" w:hAnsi="Verdana" w:cs="Arial"/>
          <w:noProof/>
          <w:sz w:val="20"/>
          <w:szCs w:val="20"/>
        </w:rPr>
        <w:footnoteReference w:id="5"/>
      </w:r>
      <w:r>
        <w:rPr>
          <w:rFonts w:ascii="Verdana" w:hAnsi="Verdana" w:cs="Arial"/>
          <w:noProof/>
          <w:sz w:val="20"/>
          <w:szCs w:val="20"/>
        </w:rPr>
        <w:t>. At the request of social partners, 6 additional meetings exclusively for employers' organisations and trade unions were set up in some Member States for an even closer exchange</w:t>
      </w:r>
      <w:r>
        <w:rPr>
          <w:rStyle w:val="FootnoteReference"/>
          <w:rFonts w:ascii="Verdana" w:hAnsi="Verdana" w:cs="Arial"/>
          <w:noProof/>
          <w:sz w:val="20"/>
          <w:szCs w:val="20"/>
        </w:rPr>
        <w:footnoteReference w:id="6"/>
      </w:r>
      <w:r>
        <w:rPr>
          <w:rFonts w:ascii="Verdana" w:hAnsi="Verdana" w:cs="Arial"/>
          <w:noProof/>
          <w:sz w:val="20"/>
          <w:szCs w:val="20"/>
        </w:rPr>
        <w:t xml:space="preserve">. </w:t>
      </w:r>
    </w:p>
    <w:p w:rsidR="001E527A" w:rsidRDefault="00CD69DA">
      <w:pPr>
        <w:jc w:val="both"/>
        <w:rPr>
          <w:rFonts w:ascii="Verdana" w:hAnsi="Verdana" w:cs="Arial"/>
          <w:noProof/>
          <w:sz w:val="20"/>
          <w:szCs w:val="20"/>
        </w:rPr>
      </w:pPr>
      <w:r>
        <w:rPr>
          <w:rFonts w:ascii="Verdana" w:hAnsi="Verdana" w:cs="Arial"/>
          <w:b/>
          <w:noProof/>
          <w:sz w:val="20"/>
          <w:szCs w:val="20"/>
        </w:rPr>
        <w:t>Special Adviser Allan Larsson</w:t>
      </w:r>
      <w:r>
        <w:rPr>
          <w:rFonts w:ascii="Verdana" w:hAnsi="Verdana" w:cs="Arial"/>
          <w:noProof/>
          <w:sz w:val="20"/>
          <w:szCs w:val="20"/>
        </w:rPr>
        <w:t xml:space="preserve"> was continuously</w:t>
      </w:r>
      <w:r>
        <w:rPr>
          <w:rFonts w:ascii="Verdana" w:hAnsi="Verdana" w:cs="Arial"/>
          <w:noProof/>
          <w:sz w:val="20"/>
          <w:szCs w:val="20"/>
        </w:rPr>
        <w:t xml:space="preserve"> involved in talks both in Brussels and at national level.</w:t>
      </w:r>
      <w:r>
        <w:rPr>
          <w:rFonts w:ascii="Verdana" w:hAnsi="Verdana"/>
          <w:noProof/>
          <w:sz w:val="20"/>
          <w:szCs w:val="20"/>
        </w:rPr>
        <w:t xml:space="preserve"> His role was important to engage with stakeholders on a regular basis, promote the Pillar and deepen the reflection both on the challenges to be addressed and the way forward. </w:t>
      </w:r>
    </w:p>
    <w:p w:rsidR="001E527A" w:rsidRDefault="00CD69DA">
      <w:pPr>
        <w:jc w:val="both"/>
        <w:rPr>
          <w:rFonts w:ascii="Verdana" w:hAnsi="Verdana" w:cs="Times New Roman"/>
          <w:noProof/>
          <w:sz w:val="20"/>
          <w:szCs w:val="20"/>
        </w:rPr>
      </w:pPr>
      <w:r>
        <w:rPr>
          <w:rFonts w:ascii="Verdana" w:hAnsi="Verdana" w:cs="Arial"/>
          <w:noProof/>
          <w:sz w:val="20"/>
          <w:szCs w:val="20"/>
        </w:rPr>
        <w:lastRenderedPageBreak/>
        <w:t>In total, stakeholde</w:t>
      </w:r>
      <w:r>
        <w:rPr>
          <w:rFonts w:ascii="Verdana" w:hAnsi="Verdana" w:cs="Arial"/>
          <w:noProof/>
          <w:sz w:val="20"/>
          <w:szCs w:val="20"/>
        </w:rPr>
        <w:t xml:space="preserve">rs provided around </w:t>
      </w:r>
      <w:r>
        <w:rPr>
          <w:rFonts w:ascii="Verdana" w:hAnsi="Verdana" w:cs="Arial"/>
          <w:b/>
          <w:noProof/>
          <w:sz w:val="20"/>
          <w:szCs w:val="20"/>
        </w:rPr>
        <w:t>200</w:t>
      </w:r>
      <w:r>
        <w:rPr>
          <w:rFonts w:ascii="Verdana" w:hAnsi="Verdana" w:cs="Arial"/>
          <w:noProof/>
          <w:sz w:val="20"/>
          <w:szCs w:val="20"/>
        </w:rPr>
        <w:t xml:space="preserve"> </w:t>
      </w:r>
      <w:r>
        <w:rPr>
          <w:rFonts w:ascii="Verdana" w:hAnsi="Verdana" w:cs="Arial"/>
          <w:b/>
          <w:noProof/>
          <w:sz w:val="20"/>
          <w:szCs w:val="20"/>
        </w:rPr>
        <w:t>position papers</w:t>
      </w:r>
      <w:r>
        <w:rPr>
          <w:rStyle w:val="FootnoteReference"/>
          <w:rFonts w:ascii="Verdana" w:hAnsi="Verdana" w:cs="Arial"/>
          <w:noProof/>
          <w:sz w:val="20"/>
          <w:szCs w:val="20"/>
        </w:rPr>
        <w:footnoteReference w:id="7"/>
      </w:r>
      <w:r>
        <w:rPr>
          <w:rFonts w:ascii="Verdana" w:hAnsi="Verdana" w:cs="Arial"/>
          <w:noProof/>
          <w:sz w:val="20"/>
          <w:szCs w:val="20"/>
        </w:rPr>
        <w:t xml:space="preserve">. Input arrived also </w:t>
      </w:r>
      <w:r>
        <w:rPr>
          <w:rFonts w:ascii="Verdana" w:hAnsi="Verdana" w:cs="Arial"/>
          <w:b/>
          <w:noProof/>
          <w:sz w:val="20"/>
          <w:szCs w:val="20"/>
        </w:rPr>
        <w:t>online</w:t>
      </w:r>
      <w:r>
        <w:rPr>
          <w:rFonts w:ascii="Verdana" w:hAnsi="Verdana" w:cs="Arial"/>
          <w:noProof/>
          <w:sz w:val="20"/>
          <w:szCs w:val="20"/>
        </w:rPr>
        <w:t xml:space="preserve"> through a </w:t>
      </w:r>
      <w:r>
        <w:rPr>
          <w:rFonts w:ascii="Verdana" w:hAnsi="Verdana" w:cs="Arial"/>
          <w:b/>
          <w:noProof/>
          <w:sz w:val="20"/>
          <w:szCs w:val="20"/>
        </w:rPr>
        <w:t>questionnaire</w:t>
      </w:r>
      <w:r>
        <w:rPr>
          <w:rFonts w:ascii="Verdana" w:hAnsi="Verdana" w:cs="Arial"/>
          <w:noProof/>
          <w:sz w:val="20"/>
          <w:szCs w:val="20"/>
        </w:rPr>
        <w:t xml:space="preserve">, with more than </w:t>
      </w:r>
      <w:r>
        <w:rPr>
          <w:rFonts w:ascii="Verdana" w:hAnsi="Verdana" w:cs="Arial"/>
          <w:b/>
          <w:noProof/>
          <w:sz w:val="20"/>
          <w:szCs w:val="20"/>
        </w:rPr>
        <w:t>16,560 replies</w:t>
      </w:r>
      <w:r>
        <w:rPr>
          <w:rFonts w:ascii="Verdana" w:hAnsi="Verdana" w:cs="Arial"/>
          <w:noProof/>
          <w:sz w:val="20"/>
          <w:szCs w:val="20"/>
        </w:rPr>
        <w:t xml:space="preserve"> received. The vast majority of online replies (more than 15,500) were a standard text in a campaign launched by the European Trade Uni</w:t>
      </w:r>
      <w:r>
        <w:rPr>
          <w:rFonts w:ascii="Verdana" w:hAnsi="Verdana" w:cs="Arial"/>
          <w:noProof/>
          <w:sz w:val="20"/>
          <w:szCs w:val="20"/>
        </w:rPr>
        <w:t>on Confederation (ETUC)</w:t>
      </w:r>
      <w:r>
        <w:rPr>
          <w:rStyle w:val="FootnoteReference"/>
          <w:rFonts w:ascii="Verdana" w:hAnsi="Verdana" w:cs="Times New Roman"/>
          <w:noProof/>
          <w:sz w:val="20"/>
          <w:szCs w:val="20"/>
        </w:rPr>
        <w:footnoteReference w:id="8"/>
      </w:r>
      <w:r>
        <w:rPr>
          <w:rFonts w:ascii="Verdana" w:hAnsi="Verdana" w:cs="Arial"/>
          <w:noProof/>
          <w:sz w:val="20"/>
          <w:szCs w:val="20"/>
        </w:rPr>
        <w:t xml:space="preserve"> and similar actions organised by Spanish and Italian organisations</w:t>
      </w:r>
      <w:r>
        <w:rPr>
          <w:rStyle w:val="FootnoteReference"/>
          <w:rFonts w:ascii="Verdana" w:hAnsi="Verdana" w:cs="Arial"/>
          <w:noProof/>
          <w:sz w:val="20"/>
          <w:szCs w:val="20"/>
        </w:rPr>
        <w:footnoteReference w:id="9"/>
      </w:r>
      <w:r>
        <w:rPr>
          <w:rFonts w:ascii="Verdana" w:hAnsi="Verdana" w:cs="Arial"/>
          <w:noProof/>
          <w:sz w:val="20"/>
          <w:szCs w:val="20"/>
        </w:rPr>
        <w:t>. The rest - a</w:t>
      </w:r>
      <w:r>
        <w:rPr>
          <w:rFonts w:ascii="Verdana" w:hAnsi="Verdana" w:cs="Times New Roman"/>
          <w:noProof/>
          <w:sz w:val="20"/>
          <w:szCs w:val="20"/>
        </w:rPr>
        <w:t xml:space="preserve">lmost 1,000 replies – were unique responses from organisations (400) and individuals (555) (see Figure 1).  </w:t>
      </w:r>
    </w:p>
    <w:p w:rsidR="001E527A" w:rsidRDefault="00CD69DA">
      <w:pPr>
        <w:jc w:val="both"/>
        <w:rPr>
          <w:rFonts w:ascii="Verdana" w:hAnsi="Verdana" w:cs="Arial"/>
          <w:i/>
          <w:noProof/>
          <w:sz w:val="20"/>
          <w:szCs w:val="20"/>
        </w:rPr>
      </w:pPr>
      <w:r>
        <w:rPr>
          <w:rFonts w:ascii="Verdana" w:hAnsi="Verdana" w:cs="Arial"/>
          <w:i/>
          <w:noProof/>
          <w:sz w:val="20"/>
          <w:szCs w:val="20"/>
        </w:rPr>
        <w:t>Figure 1 - Who replied to the online ques</w:t>
      </w:r>
      <w:r>
        <w:rPr>
          <w:rFonts w:ascii="Verdana" w:hAnsi="Verdana" w:cs="Arial"/>
          <w:i/>
          <w:noProof/>
          <w:sz w:val="20"/>
          <w:szCs w:val="20"/>
        </w:rPr>
        <w:t>tionnaire</w:t>
      </w:r>
    </w:p>
    <w:p w:rsidR="001E527A" w:rsidRDefault="00CD69DA">
      <w:pPr>
        <w:rPr>
          <w:rFonts w:ascii="Verdana" w:hAnsi="Verdana"/>
          <w:noProof/>
          <w:color w:val="000000" w:themeColor="text1"/>
          <w:sz w:val="20"/>
          <w:szCs w:val="20"/>
        </w:rPr>
      </w:pPr>
      <w:r>
        <w:rPr>
          <w:rFonts w:ascii="Verdana" w:hAnsi="Verdana"/>
          <w:noProof/>
          <w:sz w:val="20"/>
          <w:szCs w:val="20"/>
          <w:lang w:eastAsia="en-GB"/>
        </w:rPr>
        <w:drawing>
          <wp:inline distT="0" distB="0" distL="0" distR="0">
            <wp:extent cx="5760720" cy="172888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t="5687" b="11549"/>
                    <a:stretch/>
                  </pic:blipFill>
                  <pic:spPr bwMode="auto">
                    <a:xfrm>
                      <a:off x="0" y="0"/>
                      <a:ext cx="5760720" cy="1728886"/>
                    </a:xfrm>
                    <a:prstGeom prst="rect">
                      <a:avLst/>
                    </a:prstGeom>
                    <a:noFill/>
                    <a:ln>
                      <a:noFill/>
                    </a:ln>
                    <a:extLst>
                      <a:ext uri="{53640926-AAD7-44D8-BBD7-CCE9431645EC}">
                        <a14:shadowObscured xmlns:a14="http://schemas.microsoft.com/office/drawing/2010/main"/>
                      </a:ext>
                    </a:extLst>
                  </pic:spPr>
                </pic:pic>
              </a:graphicData>
            </a:graphic>
          </wp:inline>
        </w:drawing>
      </w:r>
    </w:p>
    <w:p w:rsidR="001E527A" w:rsidRDefault="00CD69DA">
      <w:pPr>
        <w:rPr>
          <w:rFonts w:ascii="Verdana" w:hAnsi="Verdana"/>
          <w:i/>
          <w:noProof/>
          <w:color w:val="000000" w:themeColor="text1"/>
          <w:sz w:val="18"/>
          <w:szCs w:val="18"/>
        </w:rPr>
      </w:pPr>
      <w:r>
        <w:rPr>
          <w:rFonts w:ascii="Verdana" w:hAnsi="Verdana"/>
          <w:i/>
          <w:noProof/>
          <w:color w:val="000000" w:themeColor="text1"/>
          <w:sz w:val="18"/>
          <w:szCs w:val="18"/>
        </w:rPr>
        <w:t>Source: ICF analysis, online public consultation as of 03/01/2017</w:t>
      </w:r>
    </w:p>
    <w:p w:rsidR="001E527A" w:rsidRDefault="00CD69DA">
      <w:pPr>
        <w:jc w:val="both"/>
        <w:rPr>
          <w:rFonts w:ascii="Verdana" w:hAnsi="Verdana" w:cs="Arial"/>
          <w:noProof/>
          <w:sz w:val="20"/>
          <w:szCs w:val="20"/>
        </w:rPr>
      </w:pPr>
      <w:r>
        <w:rPr>
          <w:rFonts w:ascii="Verdana" w:hAnsi="Verdana" w:cs="Arial"/>
          <w:noProof/>
          <w:sz w:val="20"/>
          <w:szCs w:val="20"/>
        </w:rPr>
        <w:t xml:space="preserve">A </w:t>
      </w:r>
      <w:r>
        <w:rPr>
          <w:rFonts w:ascii="Verdana" w:hAnsi="Verdana" w:cs="Arial"/>
          <w:b/>
          <w:noProof/>
          <w:sz w:val="20"/>
          <w:szCs w:val="20"/>
        </w:rPr>
        <w:t>high level conference</w:t>
      </w:r>
      <w:r>
        <w:rPr>
          <w:rFonts w:ascii="Verdana" w:hAnsi="Verdana" w:cs="Arial"/>
          <w:noProof/>
          <w:sz w:val="20"/>
          <w:szCs w:val="20"/>
        </w:rPr>
        <w:t xml:space="preserve"> on the Pillar </w:t>
      </w:r>
      <w:r>
        <w:rPr>
          <w:rFonts w:ascii="Verdana" w:hAnsi="Verdana" w:cs="Arial"/>
          <w:b/>
          <w:noProof/>
          <w:sz w:val="20"/>
          <w:szCs w:val="20"/>
        </w:rPr>
        <w:t>'Going forward together'</w:t>
      </w:r>
      <w:r>
        <w:rPr>
          <w:rFonts w:ascii="Verdana" w:hAnsi="Verdana" w:cs="Arial"/>
          <w:noProof/>
          <w:sz w:val="20"/>
          <w:szCs w:val="20"/>
        </w:rPr>
        <w:t xml:space="preserve"> was held in Brussels on 23 January 2017. This conference was the first sounding board after the 10 month public consultation. The conference was an important milestone in wrapping up the consultation and defining the future direction of the Pillar. It bro</w:t>
      </w:r>
      <w:r>
        <w:rPr>
          <w:rFonts w:ascii="Verdana" w:hAnsi="Verdana" w:cs="Arial"/>
          <w:noProof/>
          <w:sz w:val="20"/>
          <w:szCs w:val="20"/>
        </w:rPr>
        <w:t>ught together over 600 participants, of which 26 national Ministers or Secretaries of State, 140 other national representatives, 100 social partners, 200 stakeholders and 40 experts; and from EU institutions the President of the European Commission, one Vi</w:t>
      </w:r>
      <w:r>
        <w:rPr>
          <w:rFonts w:ascii="Verdana" w:hAnsi="Verdana" w:cs="Arial"/>
          <w:noProof/>
          <w:sz w:val="20"/>
          <w:szCs w:val="20"/>
        </w:rPr>
        <w:t>ce-President and 8 Commissioners, the President of the European Parliament, several MEPs, the European Economic and Social Committee, the Committee of the Regions and the European Central Bank.</w:t>
      </w:r>
    </w:p>
    <w:p w:rsidR="001E527A" w:rsidRDefault="00CD69DA">
      <w:pPr>
        <w:jc w:val="both"/>
        <w:rPr>
          <w:rFonts w:ascii="Verdana" w:hAnsi="Verdana" w:cs="Arial"/>
          <w:b/>
          <w:noProof/>
          <w:sz w:val="20"/>
          <w:szCs w:val="20"/>
        </w:rPr>
      </w:pPr>
      <w:r>
        <w:rPr>
          <w:rFonts w:ascii="Verdana" w:hAnsi="Verdana" w:cs="Arial"/>
          <w:noProof/>
          <w:sz w:val="20"/>
          <w:szCs w:val="20"/>
        </w:rPr>
        <w:t>Finally, the Commission actively promoted the debate on social</w:t>
      </w:r>
      <w:r>
        <w:rPr>
          <w:rFonts w:ascii="Verdana" w:hAnsi="Verdana" w:cs="Arial"/>
          <w:noProof/>
          <w:sz w:val="20"/>
          <w:szCs w:val="20"/>
        </w:rPr>
        <w:t xml:space="preserve"> media: </w:t>
      </w:r>
      <w:r>
        <w:rPr>
          <w:rFonts w:ascii="Verdana" w:hAnsi="Verdana" w:cs="Arial"/>
          <w:b/>
          <w:noProof/>
          <w:sz w:val="20"/>
          <w:szCs w:val="20"/>
        </w:rPr>
        <w:t xml:space="preserve">90,000 users </w:t>
      </w:r>
      <w:r>
        <w:rPr>
          <w:rFonts w:ascii="Verdana" w:hAnsi="Verdana" w:cs="Arial"/>
          <w:noProof/>
          <w:sz w:val="20"/>
          <w:szCs w:val="20"/>
        </w:rPr>
        <w:t>were reached</w:t>
      </w:r>
      <w:r>
        <w:rPr>
          <w:rFonts w:ascii="Verdana" w:hAnsi="Verdana" w:cs="Arial"/>
          <w:b/>
          <w:noProof/>
          <w:sz w:val="20"/>
          <w:szCs w:val="20"/>
        </w:rPr>
        <w:t xml:space="preserve"> via Facebook</w:t>
      </w:r>
      <w:r>
        <w:rPr>
          <w:rFonts w:ascii="Verdana" w:hAnsi="Verdana" w:cs="Arial"/>
          <w:noProof/>
          <w:sz w:val="20"/>
          <w:szCs w:val="20"/>
        </w:rPr>
        <w:t xml:space="preserve">, and there were almost </w:t>
      </w:r>
      <w:r>
        <w:rPr>
          <w:rFonts w:ascii="Verdana" w:hAnsi="Verdana" w:cs="Arial"/>
          <w:b/>
          <w:noProof/>
          <w:sz w:val="20"/>
          <w:szCs w:val="20"/>
        </w:rPr>
        <w:t>1 million views of #SocialRights</w:t>
      </w:r>
      <w:r>
        <w:rPr>
          <w:rFonts w:ascii="Verdana" w:hAnsi="Verdana" w:cs="Arial"/>
          <w:noProof/>
          <w:sz w:val="20"/>
          <w:szCs w:val="20"/>
        </w:rPr>
        <w:t xml:space="preserve"> dedicated to the Pillar. The Conference's social media coverage was also significant, with </w:t>
      </w:r>
      <w:r>
        <w:rPr>
          <w:rFonts w:ascii="Verdana" w:hAnsi="Verdana" w:cs="Arial"/>
          <w:b/>
          <w:noProof/>
          <w:sz w:val="20"/>
          <w:szCs w:val="20"/>
        </w:rPr>
        <w:t>1,200 tweets</w:t>
      </w:r>
      <w:r>
        <w:rPr>
          <w:rFonts w:ascii="Verdana" w:hAnsi="Verdana" w:cs="Arial"/>
          <w:noProof/>
          <w:sz w:val="20"/>
          <w:szCs w:val="20"/>
        </w:rPr>
        <w:t xml:space="preserve"> from about 500 users and a total estimated reach </w:t>
      </w:r>
      <w:r>
        <w:rPr>
          <w:rFonts w:ascii="Verdana" w:hAnsi="Verdana" w:cs="Arial"/>
          <w:noProof/>
          <w:sz w:val="20"/>
          <w:szCs w:val="20"/>
        </w:rPr>
        <w:t xml:space="preserve">of about </w:t>
      </w:r>
      <w:r>
        <w:rPr>
          <w:rFonts w:ascii="Verdana" w:hAnsi="Verdana" w:cs="Arial"/>
          <w:b/>
          <w:noProof/>
          <w:sz w:val="20"/>
          <w:szCs w:val="20"/>
        </w:rPr>
        <w:t>2.5 million users.</w:t>
      </w:r>
    </w:p>
    <w:p w:rsidR="001E527A" w:rsidRDefault="00CD69DA">
      <w:pPr>
        <w:pStyle w:val="Heading2"/>
        <w:rPr>
          <w:noProof/>
        </w:rPr>
      </w:pPr>
      <w:bookmarkStart w:id="5" w:name="_Toc479349449"/>
      <w:r>
        <w:rPr>
          <w:noProof/>
        </w:rPr>
        <w:t>2. Main stakeholders involved</w:t>
      </w:r>
      <w:bookmarkEnd w:id="5"/>
    </w:p>
    <w:p w:rsidR="001E527A" w:rsidRDefault="00CD69DA">
      <w:pPr>
        <w:jc w:val="both"/>
        <w:rPr>
          <w:rFonts w:ascii="Verdana" w:hAnsi="Verdana"/>
          <w:b/>
          <w:noProof/>
          <w:sz w:val="20"/>
          <w:szCs w:val="20"/>
        </w:rPr>
      </w:pPr>
      <w:r>
        <w:rPr>
          <w:rFonts w:ascii="Verdana" w:hAnsi="Verdana"/>
          <w:b/>
          <w:noProof/>
          <w:sz w:val="20"/>
          <w:szCs w:val="20"/>
        </w:rPr>
        <w:t>Citizens</w:t>
      </w:r>
    </w:p>
    <w:p w:rsidR="001E527A" w:rsidRDefault="00CD69DA">
      <w:pPr>
        <w:jc w:val="both"/>
        <w:rPr>
          <w:rFonts w:ascii="Verdana" w:hAnsi="Verdana"/>
          <w:noProof/>
          <w:sz w:val="20"/>
          <w:szCs w:val="20"/>
        </w:rPr>
      </w:pPr>
      <w:r>
        <w:rPr>
          <w:rFonts w:ascii="Verdana" w:hAnsi="Verdana"/>
          <w:noProof/>
          <w:sz w:val="20"/>
          <w:szCs w:val="20"/>
        </w:rPr>
        <w:t xml:space="preserve">The Pillar featured in so-called </w:t>
      </w:r>
      <w:r>
        <w:rPr>
          <w:rFonts w:ascii="Verdana" w:hAnsi="Verdana"/>
          <w:b/>
          <w:noProof/>
          <w:sz w:val="20"/>
          <w:szCs w:val="20"/>
        </w:rPr>
        <w:t>Citizens' Dialogues</w:t>
      </w:r>
      <w:r>
        <w:rPr>
          <w:rFonts w:ascii="Verdana" w:hAnsi="Verdana"/>
          <w:noProof/>
          <w:sz w:val="20"/>
          <w:szCs w:val="20"/>
        </w:rPr>
        <w:t>, open discussion fora taking place across the EU where people have a chance to talk directly with members of the European Commission about policies and decisions being made. In addition, the Commission's Communication department trained 50 Europe Direct I</w:t>
      </w:r>
      <w:r>
        <w:rPr>
          <w:rFonts w:ascii="Verdana" w:hAnsi="Verdana"/>
          <w:noProof/>
          <w:sz w:val="20"/>
          <w:szCs w:val="20"/>
        </w:rPr>
        <w:t xml:space="preserve">nformation Centres which organised local outreach events on the Pillar, directly targeting citizens. The consultation also reached out specifically to </w:t>
      </w:r>
      <w:r>
        <w:rPr>
          <w:rFonts w:ascii="Verdana" w:hAnsi="Verdana"/>
          <w:b/>
          <w:noProof/>
          <w:sz w:val="20"/>
          <w:szCs w:val="20"/>
        </w:rPr>
        <w:t>young people</w:t>
      </w:r>
      <w:r>
        <w:rPr>
          <w:rFonts w:ascii="Verdana" w:hAnsi="Verdana"/>
          <w:noProof/>
          <w:sz w:val="20"/>
          <w:szCs w:val="20"/>
        </w:rPr>
        <w:t xml:space="preserve">, in particular through two events: </w:t>
      </w:r>
      <w:r>
        <w:rPr>
          <w:rFonts w:ascii="Verdana" w:hAnsi="Verdana" w:cs="Arial"/>
          <w:noProof/>
          <w:sz w:val="20"/>
          <w:szCs w:val="20"/>
        </w:rPr>
        <w:t xml:space="preserve">in Sofia </w:t>
      </w:r>
      <w:r>
        <w:rPr>
          <w:rFonts w:ascii="Verdana" w:hAnsi="Verdana"/>
          <w:noProof/>
          <w:sz w:val="20"/>
          <w:szCs w:val="20"/>
        </w:rPr>
        <w:t>o</w:t>
      </w:r>
      <w:r>
        <w:rPr>
          <w:rFonts w:ascii="Verdana" w:hAnsi="Verdana" w:cs="Arial"/>
          <w:noProof/>
          <w:sz w:val="20"/>
          <w:szCs w:val="20"/>
        </w:rPr>
        <w:t>n 16-18 October 2016, organised by the European</w:t>
      </w:r>
      <w:r>
        <w:rPr>
          <w:rFonts w:ascii="Verdana" w:hAnsi="Verdana" w:cs="Arial"/>
          <w:noProof/>
          <w:sz w:val="20"/>
          <w:szCs w:val="20"/>
        </w:rPr>
        <w:t xml:space="preserve"> Youth Forum in cooperation with the Friedrich Ebert Foundation, to discuss </w:t>
      </w:r>
      <w:r>
        <w:rPr>
          <w:rFonts w:ascii="Verdana" w:hAnsi="Verdana" w:cs="Arial"/>
          <w:noProof/>
          <w:sz w:val="20"/>
          <w:szCs w:val="20"/>
        </w:rPr>
        <w:lastRenderedPageBreak/>
        <w:t>young people’s access to social rights;</w:t>
      </w:r>
      <w:r>
        <w:rPr>
          <w:rFonts w:ascii="Verdana" w:hAnsi="Verdana"/>
          <w:noProof/>
          <w:sz w:val="20"/>
          <w:szCs w:val="20"/>
        </w:rPr>
        <w:t xml:space="preserve"> and a dialogue meeting with young people organised by the Commission on 8 December 2016 in Brussels.</w:t>
      </w:r>
    </w:p>
    <w:p w:rsidR="001E527A" w:rsidRDefault="00CD69DA">
      <w:pPr>
        <w:jc w:val="both"/>
        <w:rPr>
          <w:rFonts w:ascii="Verdana" w:hAnsi="Verdana"/>
          <w:b/>
          <w:noProof/>
          <w:sz w:val="20"/>
          <w:szCs w:val="20"/>
        </w:rPr>
      </w:pPr>
      <w:r>
        <w:rPr>
          <w:rFonts w:ascii="Verdana" w:hAnsi="Verdana"/>
          <w:b/>
          <w:noProof/>
          <w:sz w:val="20"/>
          <w:szCs w:val="20"/>
        </w:rPr>
        <w:t>Member States</w:t>
      </w:r>
    </w:p>
    <w:p w:rsidR="001E527A" w:rsidRDefault="00CD69DA">
      <w:pPr>
        <w:jc w:val="both"/>
        <w:rPr>
          <w:rFonts w:ascii="Verdana" w:hAnsi="Verdana" w:cs="Times New Roman"/>
          <w:noProof/>
          <w:sz w:val="20"/>
          <w:szCs w:val="20"/>
        </w:rPr>
      </w:pPr>
      <w:r>
        <w:rPr>
          <w:rFonts w:ascii="Verdana" w:hAnsi="Verdana" w:cs="Times New Roman"/>
          <w:noProof/>
          <w:sz w:val="20"/>
          <w:szCs w:val="20"/>
        </w:rPr>
        <w:t>Member States engaged act</w:t>
      </w:r>
      <w:r>
        <w:rPr>
          <w:rFonts w:ascii="Verdana" w:hAnsi="Verdana" w:cs="Times New Roman"/>
          <w:noProof/>
          <w:sz w:val="20"/>
          <w:szCs w:val="20"/>
        </w:rPr>
        <w:t>ively in the consultation. The Commission received contributions from 21 national governments or their responsible ministries: Austria, Belgium, the Czech Republic, Denmark, Estonia, France, Germany, Greece, Hungary, Ireland, Italy, Latvia, Lithuania, Luxe</w:t>
      </w:r>
      <w:r>
        <w:rPr>
          <w:rFonts w:ascii="Verdana" w:hAnsi="Verdana" w:cs="Times New Roman"/>
          <w:noProof/>
          <w:sz w:val="20"/>
          <w:szCs w:val="20"/>
        </w:rPr>
        <w:t xml:space="preserve">mbourg, the Netherlands, Poland, Portugal, Romania, Slovakia, Sweden and the UK. Moreover, five national parliaments (the German Bundesrat, the French Assemblée Nationale, Italy's Camera dei Deputati, the Czech Senate and Romania's Camera Deputaților) and </w:t>
      </w:r>
      <w:r>
        <w:rPr>
          <w:rFonts w:ascii="Verdana" w:hAnsi="Verdana" w:cs="Times New Roman"/>
          <w:noProof/>
          <w:sz w:val="20"/>
          <w:szCs w:val="20"/>
        </w:rPr>
        <w:t xml:space="preserve">a number of regional governments and authorities handed in their replies. </w:t>
      </w:r>
    </w:p>
    <w:p w:rsidR="001E527A" w:rsidRDefault="00CD69DA">
      <w:pPr>
        <w:jc w:val="both"/>
        <w:rPr>
          <w:rFonts w:ascii="Verdana" w:hAnsi="Verdana" w:cs="Times New Roman"/>
          <w:noProof/>
          <w:sz w:val="20"/>
          <w:szCs w:val="20"/>
        </w:rPr>
      </w:pPr>
      <w:r>
        <w:rPr>
          <w:rFonts w:ascii="Verdana" w:hAnsi="Verdana" w:cs="Times New Roman"/>
          <w:noProof/>
          <w:sz w:val="20"/>
          <w:szCs w:val="20"/>
        </w:rPr>
        <w:t>The Council of the EU was involved too. Employment and social affairs ministers held discussions several times and generally endorsed an opinion on the Pillar in October 2016, prepa</w:t>
      </w:r>
      <w:r>
        <w:rPr>
          <w:rFonts w:ascii="Verdana" w:hAnsi="Verdana" w:cs="Times New Roman"/>
          <w:noProof/>
          <w:sz w:val="20"/>
          <w:szCs w:val="20"/>
        </w:rPr>
        <w:t>red by the Employment Committee and the Social Protection Committee. The Pillar was also addressed by ministers responsible for economic affairs in the competitiveness Council formation. On the economic side, the Economic Policy Committee took a stand, whi</w:t>
      </w:r>
      <w:r>
        <w:rPr>
          <w:rFonts w:ascii="Verdana" w:hAnsi="Verdana" w:cs="Times New Roman"/>
          <w:noProof/>
          <w:sz w:val="20"/>
          <w:szCs w:val="20"/>
        </w:rPr>
        <w:t xml:space="preserve">ch was discussed at the Economic and Financial Committee. </w:t>
      </w:r>
    </w:p>
    <w:p w:rsidR="001E527A" w:rsidRDefault="00CD69DA">
      <w:pPr>
        <w:jc w:val="both"/>
        <w:rPr>
          <w:rFonts w:ascii="Verdana" w:hAnsi="Verdana" w:cs="Times New Roman"/>
          <w:b/>
          <w:noProof/>
          <w:sz w:val="20"/>
          <w:szCs w:val="20"/>
        </w:rPr>
      </w:pPr>
      <w:r>
        <w:rPr>
          <w:rFonts w:ascii="Verdana" w:hAnsi="Verdana" w:cs="Times New Roman"/>
          <w:b/>
          <w:noProof/>
          <w:sz w:val="20"/>
          <w:szCs w:val="20"/>
        </w:rPr>
        <w:t xml:space="preserve">EU institutions </w:t>
      </w:r>
    </w:p>
    <w:p w:rsidR="001E527A" w:rsidRDefault="00CD69DA">
      <w:pPr>
        <w:jc w:val="both"/>
        <w:rPr>
          <w:rFonts w:ascii="Verdana" w:hAnsi="Verdana" w:cs="Times New Roman"/>
          <w:noProof/>
          <w:sz w:val="20"/>
          <w:szCs w:val="20"/>
        </w:rPr>
      </w:pPr>
      <w:r>
        <w:rPr>
          <w:rFonts w:ascii="Verdana" w:hAnsi="Verdana" w:cs="Times New Roman"/>
          <w:noProof/>
          <w:sz w:val="20"/>
          <w:szCs w:val="20"/>
        </w:rPr>
        <w:t>The European Parliament adopted a Resolution on the Pillar on 19</w:t>
      </w:r>
      <w:r>
        <w:rPr>
          <w:rFonts w:ascii="Verdana" w:hAnsi="Verdana" w:cs="Arial"/>
          <w:noProof/>
          <w:sz w:val="20"/>
          <w:szCs w:val="20"/>
        </w:rPr>
        <w:t> </w:t>
      </w:r>
      <w:r>
        <w:rPr>
          <w:rFonts w:ascii="Verdana" w:hAnsi="Verdana" w:cs="Times New Roman"/>
          <w:noProof/>
          <w:sz w:val="20"/>
          <w:szCs w:val="20"/>
        </w:rPr>
        <w:t>January 2017</w:t>
      </w:r>
      <w:r>
        <w:rPr>
          <w:rStyle w:val="FootnoteReference"/>
          <w:rFonts w:ascii="Verdana" w:hAnsi="Verdana" w:cs="Times New Roman"/>
          <w:noProof/>
          <w:sz w:val="20"/>
          <w:szCs w:val="20"/>
        </w:rPr>
        <w:footnoteReference w:id="10"/>
      </w:r>
      <w:r>
        <w:rPr>
          <w:rFonts w:ascii="Verdana" w:hAnsi="Verdana" w:cs="Times New Roman"/>
          <w:noProof/>
          <w:sz w:val="20"/>
          <w:szCs w:val="20"/>
        </w:rPr>
        <w:t>. The Committee of the Regions adopted its opinion on 11 October 2016</w:t>
      </w:r>
      <w:r>
        <w:rPr>
          <w:rStyle w:val="FootnoteReference"/>
          <w:rFonts w:ascii="Verdana" w:hAnsi="Verdana" w:cs="Times New Roman"/>
          <w:noProof/>
          <w:sz w:val="20"/>
          <w:szCs w:val="20"/>
        </w:rPr>
        <w:footnoteReference w:id="11"/>
      </w:r>
      <w:r>
        <w:rPr>
          <w:rFonts w:ascii="Verdana" w:hAnsi="Verdana" w:cs="Times New Roman"/>
          <w:noProof/>
          <w:sz w:val="20"/>
          <w:szCs w:val="20"/>
        </w:rPr>
        <w:t xml:space="preserve">, and the European Economic and </w:t>
      </w:r>
      <w:r>
        <w:rPr>
          <w:rFonts w:ascii="Verdana" w:hAnsi="Verdana" w:cs="Times New Roman"/>
          <w:noProof/>
          <w:sz w:val="20"/>
          <w:szCs w:val="20"/>
        </w:rPr>
        <w:t>Social Committee on 25 January 2017</w:t>
      </w:r>
      <w:r>
        <w:rPr>
          <w:rStyle w:val="FootnoteReference"/>
          <w:rFonts w:ascii="Verdana" w:hAnsi="Verdana" w:cs="Times New Roman"/>
          <w:noProof/>
          <w:sz w:val="20"/>
          <w:szCs w:val="20"/>
        </w:rPr>
        <w:footnoteReference w:id="12"/>
      </w:r>
      <w:r>
        <w:rPr>
          <w:rFonts w:ascii="Verdana" w:hAnsi="Verdana" w:cs="Times New Roman"/>
          <w:noProof/>
          <w:sz w:val="20"/>
          <w:szCs w:val="20"/>
        </w:rPr>
        <w:t xml:space="preserve">. </w:t>
      </w:r>
    </w:p>
    <w:p w:rsidR="001E527A" w:rsidRDefault="00CD69DA">
      <w:pPr>
        <w:jc w:val="both"/>
        <w:rPr>
          <w:rFonts w:ascii="Verdana" w:hAnsi="Verdana"/>
          <w:b/>
          <w:noProof/>
          <w:sz w:val="20"/>
          <w:szCs w:val="20"/>
        </w:rPr>
      </w:pPr>
      <w:r>
        <w:rPr>
          <w:rFonts w:ascii="Verdana" w:hAnsi="Verdana"/>
          <w:b/>
          <w:noProof/>
          <w:sz w:val="20"/>
          <w:szCs w:val="20"/>
        </w:rPr>
        <w:t>Social partners</w:t>
      </w:r>
    </w:p>
    <w:p w:rsidR="001E527A" w:rsidRDefault="00CD69DA">
      <w:pPr>
        <w:jc w:val="both"/>
        <w:rPr>
          <w:rFonts w:ascii="Verdana" w:hAnsi="Verdana" w:cs="Times New Roman"/>
          <w:noProof/>
          <w:sz w:val="20"/>
          <w:szCs w:val="20"/>
        </w:rPr>
      </w:pPr>
      <w:r>
        <w:rPr>
          <w:rFonts w:ascii="Verdana" w:eastAsia="Times New Roman" w:hAnsi="Verdana" w:cs="Times New Roman"/>
          <w:noProof/>
          <w:sz w:val="20"/>
          <w:szCs w:val="20"/>
          <w:lang w:eastAsia="en-GB"/>
        </w:rPr>
        <w:t>EU level social partners played a special role in the consultation: the Commission organised two hearings (on 6 June and 14 October 2016) with delegations of each side of industry representing EU cross</w:t>
      </w:r>
      <w:r>
        <w:rPr>
          <w:rFonts w:ascii="Verdana" w:eastAsia="Times New Roman" w:hAnsi="Verdana" w:cs="Times New Roman"/>
          <w:noProof/>
          <w:sz w:val="20"/>
          <w:szCs w:val="20"/>
          <w:lang w:eastAsia="en-GB"/>
        </w:rPr>
        <w:t>-industry secretariats (ETUC, BusinessEurope, CEEP</w:t>
      </w:r>
      <w:r>
        <w:rPr>
          <w:rStyle w:val="FootnoteReference"/>
          <w:rFonts w:ascii="Verdana" w:eastAsia="Times New Roman" w:hAnsi="Verdana" w:cs="Times New Roman"/>
          <w:noProof/>
          <w:sz w:val="20"/>
          <w:szCs w:val="20"/>
          <w:lang w:eastAsia="en-GB"/>
        </w:rPr>
        <w:footnoteReference w:id="13"/>
      </w:r>
      <w:r>
        <w:rPr>
          <w:rFonts w:ascii="Verdana" w:eastAsia="Times New Roman" w:hAnsi="Verdana" w:cs="Times New Roman"/>
          <w:noProof/>
          <w:sz w:val="20"/>
          <w:szCs w:val="20"/>
          <w:lang w:eastAsia="en-GB"/>
        </w:rPr>
        <w:t xml:space="preserve"> and UEAPME</w:t>
      </w:r>
      <w:r>
        <w:rPr>
          <w:rStyle w:val="FootnoteReference"/>
          <w:rFonts w:ascii="Verdana" w:eastAsia="Times New Roman" w:hAnsi="Verdana" w:cs="Times New Roman"/>
          <w:noProof/>
          <w:sz w:val="20"/>
          <w:szCs w:val="20"/>
          <w:lang w:eastAsia="en-GB"/>
        </w:rPr>
        <w:footnoteReference w:id="14"/>
      </w:r>
      <w:r>
        <w:rPr>
          <w:rFonts w:ascii="Verdana" w:eastAsia="Times New Roman" w:hAnsi="Verdana" w:cs="Times New Roman"/>
          <w:noProof/>
          <w:sz w:val="20"/>
          <w:szCs w:val="20"/>
          <w:lang w:eastAsia="en-GB"/>
        </w:rPr>
        <w:t>), national cross-industry organisations and EU sectoral federations. Leaders of EU social partners had two exchanges at political level on the Pillar (on 11 April and 9 December 2016). Since the launch of the consultation, the Pillar was also addressed at</w:t>
      </w:r>
      <w:r>
        <w:rPr>
          <w:rFonts w:ascii="Verdana" w:eastAsia="Times New Roman" w:hAnsi="Verdana" w:cs="Times New Roman"/>
          <w:noProof/>
          <w:sz w:val="20"/>
          <w:szCs w:val="20"/>
          <w:lang w:eastAsia="en-GB"/>
        </w:rPr>
        <w:t xml:space="preserve"> all meetings of the Tripartite Social Summit, the Social Dialogue Committee, the Liaison Forum and many Sectoral Social Dialogue Committees. </w:t>
      </w:r>
    </w:p>
    <w:p w:rsidR="001E527A" w:rsidRDefault="00CD69DA">
      <w:pPr>
        <w:jc w:val="both"/>
        <w:rPr>
          <w:rFonts w:ascii="Verdana" w:hAnsi="Verdana"/>
          <w:b/>
          <w:noProof/>
          <w:sz w:val="20"/>
          <w:szCs w:val="20"/>
        </w:rPr>
      </w:pPr>
      <w:r>
        <w:rPr>
          <w:rFonts w:ascii="Verdana" w:hAnsi="Verdana"/>
          <w:b/>
          <w:noProof/>
          <w:sz w:val="20"/>
          <w:szCs w:val="20"/>
        </w:rPr>
        <w:t>Civil society</w:t>
      </w:r>
    </w:p>
    <w:p w:rsidR="001E527A" w:rsidRDefault="00CD69DA">
      <w:pPr>
        <w:jc w:val="both"/>
        <w:rPr>
          <w:rFonts w:ascii="Verdana" w:hAnsi="Verdana" w:cs="Arial"/>
          <w:noProof/>
          <w:sz w:val="20"/>
          <w:szCs w:val="20"/>
        </w:rPr>
      </w:pPr>
      <w:r>
        <w:rPr>
          <w:rFonts w:ascii="Verdana" w:hAnsi="Verdana" w:cs="Times New Roman"/>
          <w:noProof/>
          <w:sz w:val="20"/>
          <w:szCs w:val="20"/>
        </w:rPr>
        <w:t xml:space="preserve">A wide variety of both EU-level and national NGOs contributed to the consultation, ranging from anti-poverty activists to youth organisations and persons with disabilities' organisations. </w:t>
      </w:r>
      <w:r>
        <w:rPr>
          <w:rFonts w:ascii="Verdana" w:hAnsi="Verdana" w:cs="Arial"/>
          <w:noProof/>
          <w:sz w:val="20"/>
          <w:szCs w:val="20"/>
        </w:rPr>
        <w:t>Civil society organisations were consulted through the Annual Conven</w:t>
      </w:r>
      <w:r>
        <w:rPr>
          <w:rFonts w:ascii="Verdana" w:hAnsi="Verdana" w:cs="Arial"/>
          <w:noProof/>
          <w:sz w:val="20"/>
          <w:szCs w:val="20"/>
        </w:rPr>
        <w:t>tion for Inclusive Growth (21 March 2016), which brought together close to 400 participants, and strategic dialogue meetings on the "EU Social Acquis" (8 June 2016) and on the "Future of work and welfare" (6 July 2016). The Pillar was discussed in many oth</w:t>
      </w:r>
      <w:r>
        <w:rPr>
          <w:rFonts w:ascii="Verdana" w:hAnsi="Verdana" w:cs="Arial"/>
          <w:noProof/>
          <w:sz w:val="20"/>
          <w:szCs w:val="20"/>
        </w:rPr>
        <w:t xml:space="preserve">er events organised by civil society organisations directly, including a meeting with people experiencing poverty (on 15-16 November 2016), organised with the Commission's support. </w:t>
      </w:r>
    </w:p>
    <w:p w:rsidR="001E527A" w:rsidRDefault="00CD69DA">
      <w:pPr>
        <w:jc w:val="both"/>
        <w:rPr>
          <w:rFonts w:ascii="Verdana" w:hAnsi="Verdana" w:cs="Times New Roman"/>
          <w:b/>
          <w:noProof/>
          <w:sz w:val="20"/>
          <w:szCs w:val="20"/>
        </w:rPr>
      </w:pPr>
      <w:r>
        <w:rPr>
          <w:rFonts w:ascii="Verdana" w:hAnsi="Verdana" w:cs="Times New Roman"/>
          <w:b/>
          <w:noProof/>
          <w:sz w:val="20"/>
          <w:szCs w:val="20"/>
        </w:rPr>
        <w:lastRenderedPageBreak/>
        <w:t xml:space="preserve">The European research community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Commission's Directorate-General for </w:t>
      </w:r>
      <w:r>
        <w:rPr>
          <w:rFonts w:ascii="Verdana" w:hAnsi="Verdana" w:cs="Times New Roman"/>
          <w:noProof/>
          <w:sz w:val="20"/>
          <w:szCs w:val="20"/>
        </w:rPr>
        <w:t>Research and Innovation organised a one day seminar on 'Work, Welfare and Inequalities in Europe – The Research Perspective' (10 October 2016 in Brussels) to present scientific evidence in the frame of the public consultation on the European Pillar of Soci</w:t>
      </w:r>
      <w:r>
        <w:rPr>
          <w:rFonts w:ascii="Verdana" w:hAnsi="Verdana" w:cs="Times New Roman"/>
          <w:noProof/>
          <w:sz w:val="20"/>
          <w:szCs w:val="20"/>
        </w:rPr>
        <w:t>al Rights</w:t>
      </w:r>
      <w:r>
        <w:rPr>
          <w:rStyle w:val="FootnoteReference"/>
          <w:rFonts w:ascii="Verdana" w:hAnsi="Verdana" w:cs="Times New Roman"/>
          <w:noProof/>
          <w:sz w:val="20"/>
          <w:szCs w:val="20"/>
        </w:rPr>
        <w:footnoteReference w:id="15"/>
      </w:r>
      <w:r>
        <w:rPr>
          <w:rFonts w:ascii="Verdana" w:hAnsi="Verdana" w:cs="Times New Roman"/>
          <w:noProof/>
          <w:sz w:val="20"/>
          <w:szCs w:val="20"/>
        </w:rPr>
        <w:t>. The seminar brought together leading European researchers in the fields of welfare policies, labour markets and employment, social investment and poverty with EU policy makers, international experts and other relevant stakeholders. During the s</w:t>
      </w:r>
      <w:r>
        <w:rPr>
          <w:rFonts w:ascii="Verdana" w:hAnsi="Verdana" w:cs="Times New Roman"/>
          <w:noProof/>
          <w:sz w:val="20"/>
          <w:szCs w:val="20"/>
        </w:rPr>
        <w:t>eminar, a Policy Review entitled "Fighting poverty and exclusion through social investment: A European research perspective" was also presented. The Review presents evidence from twenty research projects on issues pertaining to employment and social polici</w:t>
      </w:r>
      <w:r>
        <w:rPr>
          <w:rFonts w:ascii="Verdana" w:hAnsi="Verdana" w:cs="Times New Roman"/>
          <w:noProof/>
          <w:sz w:val="20"/>
          <w:szCs w:val="20"/>
        </w:rPr>
        <w:t>es funded by the EU through the 7</w:t>
      </w:r>
      <w:r>
        <w:rPr>
          <w:rFonts w:ascii="Verdana" w:hAnsi="Verdana" w:cs="Times New Roman"/>
          <w:noProof/>
          <w:sz w:val="20"/>
          <w:szCs w:val="20"/>
          <w:vertAlign w:val="superscript"/>
        </w:rPr>
        <w:t>th</w:t>
      </w:r>
      <w:r>
        <w:rPr>
          <w:rFonts w:ascii="Verdana" w:hAnsi="Verdana" w:cs="Times New Roman"/>
          <w:noProof/>
          <w:sz w:val="20"/>
          <w:szCs w:val="20"/>
        </w:rPr>
        <w:t xml:space="preserve"> Framework Programme for Research and Technological Development</w:t>
      </w:r>
      <w:r>
        <w:rPr>
          <w:rStyle w:val="FootnoteReference"/>
          <w:rFonts w:ascii="Verdana" w:hAnsi="Verdana" w:cs="Times New Roman"/>
          <w:noProof/>
          <w:sz w:val="20"/>
          <w:szCs w:val="20"/>
        </w:rPr>
        <w:footnoteReference w:id="16"/>
      </w:r>
      <w:r>
        <w:rPr>
          <w:rFonts w:ascii="Verdana" w:hAnsi="Verdana" w:cs="Times New Roman"/>
          <w:noProof/>
          <w:sz w:val="20"/>
          <w:szCs w:val="20"/>
        </w:rPr>
        <w:t xml:space="preserve">. </w:t>
      </w:r>
    </w:p>
    <w:p w:rsidR="001E527A" w:rsidRDefault="00CD69DA">
      <w:pPr>
        <w:jc w:val="both"/>
        <w:rPr>
          <w:rFonts w:ascii="Verdana" w:hAnsi="Verdana" w:cs="Arial"/>
          <w:b/>
          <w:noProof/>
          <w:sz w:val="20"/>
          <w:szCs w:val="20"/>
        </w:rPr>
      </w:pPr>
      <w:r>
        <w:rPr>
          <w:rFonts w:ascii="Verdana" w:hAnsi="Verdana" w:cs="Arial"/>
          <w:b/>
          <w:noProof/>
          <w:sz w:val="20"/>
          <w:szCs w:val="20"/>
        </w:rPr>
        <w:t>Other organisations</w:t>
      </w:r>
    </w:p>
    <w:p w:rsidR="001E527A" w:rsidRDefault="00CD69DA">
      <w:pPr>
        <w:jc w:val="both"/>
        <w:rPr>
          <w:rFonts w:ascii="Verdana" w:hAnsi="Verdana" w:cs="Times New Roman"/>
          <w:noProof/>
          <w:sz w:val="20"/>
          <w:szCs w:val="20"/>
        </w:rPr>
      </w:pPr>
      <w:r>
        <w:rPr>
          <w:rFonts w:ascii="Verdana" w:hAnsi="Verdana"/>
          <w:noProof/>
          <w:sz w:val="20"/>
          <w:szCs w:val="20"/>
        </w:rPr>
        <w:t xml:space="preserve">International organisations like the Council of Europe, the International Labour Organization (ILO), the International Monetary Fund, </w:t>
      </w:r>
      <w:r>
        <w:rPr>
          <w:rFonts w:ascii="Verdana" w:hAnsi="Verdana"/>
          <w:noProof/>
          <w:sz w:val="20"/>
          <w:szCs w:val="20"/>
        </w:rPr>
        <w:t>the World Bank, the Organisation for Economic Co-operation and Development (OECD) as well as experts from academia and think tanks provided written contributions or were consulted in dedicated meetings.</w:t>
      </w:r>
      <w:r>
        <w:rPr>
          <w:rFonts w:ascii="Verdana" w:hAnsi="Verdana" w:cs="Times New Roman"/>
          <w:noProof/>
          <w:sz w:val="20"/>
          <w:szCs w:val="20"/>
        </w:rPr>
        <w:t xml:space="preserve"> Other stakeholders, like managers' associations or ch</w:t>
      </w:r>
      <w:r>
        <w:rPr>
          <w:rFonts w:ascii="Verdana" w:hAnsi="Verdana" w:cs="Times New Roman"/>
          <w:noProof/>
          <w:sz w:val="20"/>
          <w:szCs w:val="20"/>
        </w:rPr>
        <w:t xml:space="preserve">ambers of craft trades, shared their views. </w:t>
      </w:r>
    </w:p>
    <w:p w:rsidR="001E527A" w:rsidRDefault="00CD69DA">
      <w:pPr>
        <w:pStyle w:val="Heading2"/>
        <w:rPr>
          <w:noProof/>
        </w:rPr>
      </w:pPr>
      <w:bookmarkStart w:id="6" w:name="_Toc479349450"/>
      <w:r>
        <w:rPr>
          <w:noProof/>
        </w:rPr>
        <w:t>3. The most pressing priorities identified</w:t>
      </w:r>
      <w:bookmarkEnd w:id="6"/>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During consultation events and work streams discussions, four key priority trends emerged which the Pillar should address: </w:t>
      </w:r>
    </w:p>
    <w:p w:rsidR="001E527A" w:rsidRDefault="00CD69DA">
      <w:pPr>
        <w:pStyle w:val="ListParagraph"/>
        <w:numPr>
          <w:ilvl w:val="0"/>
          <w:numId w:val="14"/>
        </w:numPr>
        <w:spacing w:after="200" w:line="276" w:lineRule="auto"/>
        <w:rPr>
          <w:rFonts w:ascii="Verdana" w:hAnsi="Verdana"/>
          <w:noProof/>
          <w:sz w:val="20"/>
        </w:rPr>
      </w:pPr>
      <w:r>
        <w:rPr>
          <w:rFonts w:ascii="Verdana" w:hAnsi="Verdana"/>
          <w:noProof/>
          <w:sz w:val="20"/>
        </w:rPr>
        <w:t>The social consequences of the financial cri</w:t>
      </w:r>
      <w:r>
        <w:rPr>
          <w:rFonts w:ascii="Verdana" w:hAnsi="Verdana"/>
          <w:noProof/>
          <w:sz w:val="20"/>
        </w:rPr>
        <w:t xml:space="preserve">sis, with increasing poverty, social exclusion, inequalities and unemployment, particularly long-term unemployment and among young people, and the long period of economic stagnation, with low growth and competitiveness; </w:t>
      </w:r>
    </w:p>
    <w:p w:rsidR="001E527A" w:rsidRDefault="00CD69DA">
      <w:pPr>
        <w:pStyle w:val="ListParagraph"/>
        <w:numPr>
          <w:ilvl w:val="0"/>
          <w:numId w:val="14"/>
        </w:numPr>
        <w:spacing w:after="200" w:line="276" w:lineRule="auto"/>
        <w:rPr>
          <w:rFonts w:ascii="Verdana" w:hAnsi="Verdana"/>
          <w:noProof/>
          <w:sz w:val="20"/>
        </w:rPr>
      </w:pPr>
      <w:r>
        <w:rPr>
          <w:rFonts w:ascii="Verdana" w:hAnsi="Verdana"/>
          <w:noProof/>
          <w:sz w:val="20"/>
        </w:rPr>
        <w:t>Technological progress and automati</w:t>
      </w:r>
      <w:r>
        <w:rPr>
          <w:rFonts w:ascii="Verdana" w:hAnsi="Verdana"/>
          <w:noProof/>
          <w:sz w:val="20"/>
        </w:rPr>
        <w:t xml:space="preserve">on; the future of work, the emerging digital labour market, education and reskilling; </w:t>
      </w:r>
    </w:p>
    <w:p w:rsidR="001E527A" w:rsidRDefault="00CD69DA">
      <w:pPr>
        <w:pStyle w:val="ListParagraph"/>
        <w:numPr>
          <w:ilvl w:val="0"/>
          <w:numId w:val="14"/>
        </w:numPr>
        <w:spacing w:after="200" w:line="276" w:lineRule="auto"/>
        <w:rPr>
          <w:rFonts w:ascii="Verdana" w:hAnsi="Verdana"/>
          <w:noProof/>
          <w:sz w:val="20"/>
        </w:rPr>
      </w:pPr>
      <w:r>
        <w:rPr>
          <w:rFonts w:ascii="Verdana" w:hAnsi="Verdana"/>
          <w:noProof/>
          <w:sz w:val="20"/>
        </w:rPr>
        <w:t>Demographic developments, with the ageing of Europe's population; the modernisation of social protection and welfare systems; and</w:t>
      </w:r>
    </w:p>
    <w:p w:rsidR="001E527A" w:rsidRDefault="00CD69DA">
      <w:pPr>
        <w:pStyle w:val="ListParagraph"/>
        <w:numPr>
          <w:ilvl w:val="0"/>
          <w:numId w:val="14"/>
        </w:numPr>
        <w:spacing w:after="200" w:line="276" w:lineRule="auto"/>
        <w:rPr>
          <w:rFonts w:ascii="Verdana" w:hAnsi="Verdana"/>
          <w:noProof/>
          <w:sz w:val="20"/>
        </w:rPr>
      </w:pPr>
      <w:r>
        <w:rPr>
          <w:rFonts w:ascii="Verdana" w:hAnsi="Verdana"/>
          <w:noProof/>
          <w:sz w:val="20"/>
        </w:rPr>
        <w:t>Economic divergence across Member State</w:t>
      </w:r>
      <w:r>
        <w:rPr>
          <w:rFonts w:ascii="Verdana" w:hAnsi="Verdana"/>
          <w:noProof/>
          <w:sz w:val="20"/>
        </w:rPr>
        <w:t xml:space="preserve">s. </w:t>
      </w:r>
      <w:r>
        <w:rPr>
          <w:rFonts w:ascii="Verdana" w:hAnsi="Verdana"/>
          <w:noProof/>
          <w:sz w:val="20"/>
        </w:rPr>
        <w:tab/>
      </w:r>
    </w:p>
    <w:p w:rsidR="001E527A" w:rsidRDefault="00CD69DA">
      <w:pPr>
        <w:jc w:val="both"/>
        <w:rPr>
          <w:rFonts w:ascii="Verdana" w:hAnsi="Verdana" w:cs="Times New Roman"/>
          <w:noProof/>
          <w:sz w:val="20"/>
          <w:szCs w:val="20"/>
        </w:rPr>
      </w:pPr>
      <w:r>
        <w:rPr>
          <w:rFonts w:ascii="Verdana" w:hAnsi="Verdana" w:cs="Times New Roman"/>
          <w:noProof/>
          <w:sz w:val="20"/>
          <w:szCs w:val="20"/>
        </w:rPr>
        <w:t>In the online consultation, tackling unemployment, including youth unemployment,</w:t>
      </w:r>
      <w:r>
        <w:rPr>
          <w:rFonts w:ascii="Verdana" w:hAnsi="Verdana"/>
          <w:noProof/>
        </w:rPr>
        <w:t xml:space="preserve"> </w:t>
      </w:r>
      <w:r>
        <w:rPr>
          <w:rFonts w:ascii="Verdana" w:hAnsi="Verdana" w:cs="Times New Roman"/>
          <w:noProof/>
          <w:sz w:val="20"/>
          <w:szCs w:val="20"/>
        </w:rPr>
        <w:t>was put forward as the most important priority overall, and there was also a clear focus on the socio-economic integration of younger generations, with youth employment a</w:t>
      </w:r>
      <w:r>
        <w:rPr>
          <w:rFonts w:ascii="Verdana" w:hAnsi="Verdana" w:cs="Times New Roman"/>
          <w:noProof/>
          <w:sz w:val="20"/>
          <w:szCs w:val="20"/>
        </w:rPr>
        <w:t>nd education being identified as priorities. An overview of the 10 most frequent priorities to be addressed by the Pillar as resulted from the 955 single replies in the online consultation is provided in Figure 2. The most pressing priorities identified by</w:t>
      </w:r>
      <w:r>
        <w:rPr>
          <w:rFonts w:ascii="Verdana" w:hAnsi="Verdana" w:cs="Times New Roman"/>
          <w:noProof/>
          <w:sz w:val="20"/>
          <w:szCs w:val="20"/>
        </w:rPr>
        <w:t xml:space="preserve"> the campaign launched by trade unions included improving job security, job quality and living standards, and ensuring access to essential services for all.</w:t>
      </w:r>
    </w:p>
    <w:p w:rsidR="001E527A" w:rsidRDefault="00CD69DA">
      <w:pPr>
        <w:rPr>
          <w:rFonts w:ascii="Verdana" w:hAnsi="Verdana" w:cs="Times New Roman"/>
          <w:i/>
          <w:noProof/>
          <w:sz w:val="20"/>
          <w:szCs w:val="20"/>
        </w:rPr>
      </w:pPr>
      <w:r>
        <w:rPr>
          <w:rFonts w:ascii="Verdana" w:hAnsi="Verdana" w:cs="Times New Roman"/>
          <w:i/>
          <w:noProof/>
          <w:sz w:val="20"/>
          <w:szCs w:val="20"/>
        </w:rPr>
        <w:br w:type="page"/>
      </w:r>
    </w:p>
    <w:p w:rsidR="001E527A" w:rsidRDefault="00CD69DA">
      <w:pPr>
        <w:jc w:val="both"/>
        <w:rPr>
          <w:rFonts w:ascii="Verdana" w:hAnsi="Verdana" w:cs="Times New Roman"/>
          <w:i/>
          <w:noProof/>
          <w:sz w:val="20"/>
          <w:szCs w:val="20"/>
        </w:rPr>
      </w:pPr>
      <w:r>
        <w:rPr>
          <w:rFonts w:ascii="Verdana" w:hAnsi="Verdana" w:cs="Times New Roman"/>
          <w:i/>
          <w:noProof/>
          <w:sz w:val="20"/>
          <w:szCs w:val="20"/>
        </w:rPr>
        <w:lastRenderedPageBreak/>
        <w:t>Figure 2 - 10 most pressing priorities (% of single replies, N=955)</w:t>
      </w:r>
    </w:p>
    <w:p w:rsidR="001E527A" w:rsidRDefault="00CD69DA">
      <w:pPr>
        <w:jc w:val="both"/>
        <w:rPr>
          <w:rFonts w:ascii="Verdana" w:hAnsi="Verdana" w:cs="Times New Roman"/>
          <w:noProof/>
          <w:sz w:val="20"/>
          <w:szCs w:val="20"/>
        </w:rPr>
      </w:pPr>
      <w:r>
        <w:rPr>
          <w:rFonts w:ascii="Verdana" w:hAnsi="Verdana"/>
          <w:noProof/>
          <w:lang w:eastAsia="en-GB"/>
        </w:rPr>
        <w:drawing>
          <wp:inline distT="0" distB="0" distL="0" distR="0">
            <wp:extent cx="4404732" cy="285230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7831" cy="2860791"/>
                    </a:xfrm>
                    <a:prstGeom prst="rect">
                      <a:avLst/>
                    </a:prstGeom>
                    <a:noFill/>
                  </pic:spPr>
                </pic:pic>
              </a:graphicData>
            </a:graphic>
          </wp:inline>
        </w:drawing>
      </w:r>
    </w:p>
    <w:p w:rsidR="001E527A" w:rsidRDefault="00CD69DA">
      <w:pPr>
        <w:rPr>
          <w:rFonts w:ascii="Verdana" w:eastAsiaTheme="majorEastAsia" w:hAnsi="Verdana" w:cstheme="majorBidi"/>
          <w:b/>
          <w:bCs/>
          <w:noProof/>
          <w:color w:val="0070C0"/>
          <w:sz w:val="28"/>
          <w:szCs w:val="20"/>
        </w:rPr>
      </w:pPr>
      <w:r>
        <w:rPr>
          <w:rFonts w:ascii="Verdana" w:hAnsi="Verdana" w:cs="Times New Roman"/>
          <w:i/>
          <w:noProof/>
          <w:sz w:val="18"/>
          <w:szCs w:val="20"/>
        </w:rPr>
        <w:t xml:space="preserve">Source: ICF analysis, </w:t>
      </w:r>
      <w:r>
        <w:rPr>
          <w:rFonts w:ascii="Verdana" w:hAnsi="Verdana" w:cs="Times New Roman"/>
          <w:i/>
          <w:noProof/>
          <w:sz w:val="18"/>
          <w:szCs w:val="20"/>
        </w:rPr>
        <w:t>online public consultation as of 03/01/2017</w:t>
      </w:r>
    </w:p>
    <w:p w:rsidR="001E527A" w:rsidRDefault="00CD69DA">
      <w:pPr>
        <w:rPr>
          <w:rFonts w:ascii="Verdana" w:eastAsiaTheme="majorEastAsia" w:hAnsi="Verdana" w:cstheme="majorBidi"/>
          <w:b/>
          <w:bCs/>
          <w:noProof/>
          <w:color w:val="0070C0"/>
          <w:sz w:val="32"/>
          <w:szCs w:val="20"/>
        </w:rPr>
      </w:pPr>
      <w:bookmarkStart w:id="7" w:name="_Toc479349451"/>
      <w:r>
        <w:rPr>
          <w:noProof/>
        </w:rPr>
        <w:br w:type="page"/>
      </w:r>
    </w:p>
    <w:p w:rsidR="001E527A" w:rsidRDefault="00CD69DA">
      <w:pPr>
        <w:pStyle w:val="Heading1"/>
        <w:spacing w:before="0" w:after="200" w:line="276" w:lineRule="auto"/>
        <w:ind w:left="0" w:firstLine="0"/>
        <w:rPr>
          <w:noProof/>
        </w:rPr>
      </w:pPr>
      <w:r>
        <w:rPr>
          <w:noProof/>
        </w:rPr>
        <w:lastRenderedPageBreak/>
        <w:t>II. Discussions on the role and the nature of the Pillar</w:t>
      </w:r>
      <w:bookmarkEnd w:id="7"/>
      <w:r>
        <w:rPr>
          <w:noProof/>
        </w:rPr>
        <w:t xml:space="preserve"> </w:t>
      </w:r>
    </w:p>
    <w:p w:rsidR="001E527A" w:rsidRDefault="00CD69DA">
      <w:pPr>
        <w:pStyle w:val="Heading2"/>
        <w:rPr>
          <w:noProof/>
        </w:rPr>
      </w:pPr>
      <w:bookmarkStart w:id="8" w:name="_Toc479349452"/>
      <w:r>
        <w:rPr>
          <w:noProof/>
        </w:rPr>
        <w:t>1. The purpose</w:t>
      </w:r>
      <w:bookmarkEnd w:id="8"/>
      <w:r>
        <w:rPr>
          <w:noProof/>
        </w:rPr>
        <w:t xml:space="preserve"> </w:t>
      </w:r>
    </w:p>
    <w:p w:rsidR="001E527A" w:rsidRDefault="00CD69DA">
      <w:pPr>
        <w:pStyle w:val="Heading3"/>
        <w:pBdr>
          <w:left w:val="single" w:sz="4" w:space="5" w:color="auto"/>
        </w:pBdr>
        <w:rPr>
          <w:noProof/>
        </w:rPr>
      </w:pPr>
      <w:bookmarkStart w:id="9" w:name="_Toc479349453"/>
      <w:r>
        <w:rPr>
          <w:noProof/>
        </w:rPr>
        <w:t>Fostering convergence towards higher social standards, improving fairness and equal opportunities, bringing together social and economic</w:t>
      </w:r>
      <w:r>
        <w:rPr>
          <w:noProof/>
        </w:rPr>
        <w:t xml:space="preserve"> considerations…</w:t>
      </w:r>
      <w:bookmarkEnd w:id="9"/>
    </w:p>
    <w:p w:rsidR="001E527A" w:rsidRDefault="00CD69DA">
      <w:pPr>
        <w:jc w:val="both"/>
        <w:rPr>
          <w:rFonts w:ascii="Verdana" w:hAnsi="Verdana"/>
          <w:noProof/>
          <w:sz w:val="20"/>
          <w:szCs w:val="20"/>
        </w:rPr>
      </w:pPr>
      <w:r>
        <w:rPr>
          <w:rFonts w:ascii="Verdana" w:hAnsi="Verdana"/>
          <w:noProof/>
          <w:sz w:val="20"/>
          <w:szCs w:val="20"/>
        </w:rPr>
        <w:t xml:space="preserve">The Pillar was broadly seen as an opportunity to deliver on a </w:t>
      </w:r>
      <w:r>
        <w:rPr>
          <w:rFonts w:ascii="Verdana" w:hAnsi="Verdana"/>
          <w:b/>
          <w:noProof/>
          <w:sz w:val="20"/>
          <w:szCs w:val="20"/>
        </w:rPr>
        <w:t>more social Europe</w:t>
      </w:r>
      <w:r>
        <w:rPr>
          <w:rFonts w:ascii="Verdana" w:hAnsi="Verdana"/>
          <w:noProof/>
          <w:sz w:val="20"/>
          <w:szCs w:val="20"/>
        </w:rPr>
        <w:t>, rebalancing economic policies with social considerations, and reconnecting with European citizens, while at the same time addressing key issues related to ch</w:t>
      </w:r>
      <w:r>
        <w:rPr>
          <w:rFonts w:ascii="Verdana" w:hAnsi="Verdana"/>
          <w:noProof/>
          <w:sz w:val="20"/>
          <w:szCs w:val="20"/>
        </w:rPr>
        <w:t xml:space="preserve">anges in the world of work and society more generally. The consultation confirmed the expectation that economic, social and employment policies should work together coherently. </w:t>
      </w:r>
    </w:p>
    <w:p w:rsidR="001E527A" w:rsidRDefault="00CD69DA">
      <w:pPr>
        <w:jc w:val="both"/>
        <w:rPr>
          <w:rFonts w:ascii="Verdana" w:hAnsi="Verdana"/>
          <w:noProof/>
          <w:sz w:val="20"/>
          <w:szCs w:val="20"/>
        </w:rPr>
      </w:pPr>
      <w:r>
        <w:rPr>
          <w:rFonts w:ascii="Verdana" w:hAnsi="Verdana"/>
          <w:noProof/>
          <w:sz w:val="20"/>
          <w:szCs w:val="20"/>
        </w:rPr>
        <w:t>For experts, the debate should not be about ‘more or less Europe’, but about p</w:t>
      </w:r>
      <w:r>
        <w:rPr>
          <w:rFonts w:ascii="Verdana" w:hAnsi="Verdana"/>
          <w:noProof/>
          <w:sz w:val="20"/>
          <w:szCs w:val="20"/>
        </w:rPr>
        <w:t xml:space="preserve">utting ‘citizens-first’ to provide security, opportunity and resilience in times of change. </w:t>
      </w:r>
      <w:r>
        <w:rPr>
          <w:rFonts w:ascii="Verdana" w:hAnsi="Verdana" w:cs="Times New Roman"/>
          <w:noProof/>
          <w:sz w:val="20"/>
          <w:szCs w:val="20"/>
        </w:rPr>
        <w:t>The consultation highlighted</w:t>
      </w:r>
      <w:r>
        <w:rPr>
          <w:rFonts w:ascii="Verdana" w:hAnsi="Verdana"/>
          <w:noProof/>
          <w:lang w:eastAsia="en-GB"/>
        </w:rPr>
        <mc:AlternateContent>
          <mc:Choice Requires="wps">
            <w:drawing>
              <wp:anchor distT="0" distB="0" distL="71755" distR="71755" simplePos="0" relativeHeight="251790336" behindDoc="1" locked="1" layoutInCell="0" allowOverlap="1">
                <wp:simplePos x="0" y="0"/>
                <wp:positionH relativeFrom="margin">
                  <wp:posOffset>4585335</wp:posOffset>
                </wp:positionH>
                <wp:positionV relativeFrom="paragraph">
                  <wp:posOffset>-1474470</wp:posOffset>
                </wp:positionV>
                <wp:extent cx="999490" cy="2157730"/>
                <wp:effectExtent l="297180" t="7620" r="2540" b="2540"/>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999490" cy="2157730"/>
                        </a:xfrm>
                        <a:prstGeom prst="wedgeRoundRectCallout">
                          <a:avLst>
                            <a:gd name="adj1" fmla="val -32226"/>
                            <a:gd name="adj2" fmla="val 63383"/>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German Federal Government: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 xml:space="preserve">“We should … aim for a European social market economy that is highly competitive and has high social </w:t>
                            </w:r>
                            <w:r>
                              <w:rPr>
                                <w:rFonts w:asciiTheme="majorHAnsi" w:eastAsiaTheme="majorEastAsia" w:hAnsiTheme="majorHAnsi" w:cstheme="majorBidi"/>
                                <w:i/>
                                <w:iCs/>
                                <w:color w:val="FFFFFF" w:themeColor="background1"/>
                                <w:sz w:val="18"/>
                                <w:szCs w:val="20"/>
                              </w:rPr>
                              <w:t>standards."</w:t>
                            </w:r>
                          </w:p>
                          <w:p w:rsidR="001E527A" w:rsidRDefault="001E527A">
                            <w:pPr>
                              <w:spacing w:after="0" w:line="240" w:lineRule="auto"/>
                              <w:jc w:val="center"/>
                              <w:rPr>
                                <w:rFonts w:asciiTheme="majorHAnsi" w:eastAsiaTheme="majorEastAsia" w:hAnsiTheme="majorHAnsi" w:cstheme="majorBidi"/>
                                <w:b/>
                                <w:i/>
                                <w:iCs/>
                                <w:color w:val="FFFFFF" w:themeColor="background1"/>
                                <w:sz w:val="18"/>
                                <w:szCs w:val="18"/>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61.05pt;margin-top:-116.1pt;width:78.7pt;height:169.9pt;rotation:-90;flip:x;z-index:-25152614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PqPQMAAM0GAAAOAAAAZHJzL2Uyb0RvYy54bWysVV1v2zYUfS+w/0DwXdG3ZQlRitix2wJZ&#10;WzQt9kyLlMWNIjWSjpwN+++9pJREafYwbLMBgRTJy3vOPffo8u25F+ieacOVrHF8EWHEZKMol8ca&#10;f/u6D9YYGUskJUJJVuMHZvDbq5/eXI5DxRLVKUGZRhBEmmocatxZO1RhaJqO9cRcqIFJWGyV7omF&#10;qT6GVJMRovciTKJoFY5K00GrhhkDb2+mRXzl47cta+yntjXMIlFjyM36p/bPg3uGV5ekOmoydLyZ&#10;0yD/IouecAmXPoW6IZagk+avQvW80cqo1l40qg9V2/KGeQyAJo5+QHPXkYF5LECOGZ5oMv9f2Obj&#10;/WeNOIXaFRhJ0kONrk9W+atR4vgZB1PBtrvhs3YIzXCrmt8MkmrbEXlk11qrsWOEQlax2x++OOAm&#10;Bo6iw/izohCdQHRP1bnVPdIKSpJnkfth1Ao+vHdh3EVADjr7Sj08VYqdLWrgZVmWWQkHGlhK4rwo&#10;Ul/KkFQuqjs9aGPfMdUjN6jxyOiRfVEnSb+AJrZECHWy/hpyf2usLx2d8RP6awy59AKUcE8ECtIk&#10;SVazVBabkuWmVZqu09d70uWeeLVaFZ4iUs3XQsaPmXpyleB0z4XwE308bIVGkANwss/K4mY+bJbb&#10;gJMZgWPHi+7PMk6yaJOUwX61LoJsn+VBWUTrIIrLTbmKsjK72f/l4MdZ1XFKmbzlkj02QJz9M4HN&#10;rThJ17cAGmucxkXumX2RpVmCybfrdJP9HRjtSuSb0klqN48t4WIahy8zBrWRCmA7up7RX+/zqMjS&#10;dVAUeRpk6S4KNuv9NrjeQgWK3Wa72cUv0e+8VZj/ToBPxAebawIyY/quoyOi3AkxzcsE1EU5mFBS&#10;zLon4gju2ViNXUP8wm3n+8/J/pUQ1pH7T9IVQ0cmeeS+gVz3QYdOVPvx0/UTU8+ZLYicwT9zOXHq&#10;Afhmdv07+YA9H86zJRwUfYC29g0MnQjfAEDXKf0HRiP4aY3N7yeiGUbigwRrKOMscwbsJ1leJDDR&#10;y5XDcoXIBkLV+IDRNNzaybRPg+bHDm6aPEIqZ1Ytt4++M2UFUJzvgGd6ULO/O1Nezv2u56/Q1XcA&#10;AAD//wMAUEsDBBQABgAIAAAAIQCUHo7M4wAAAAsBAAAPAAAAZHJzL2Rvd25yZXYueG1sTI9BS8NA&#10;EIXvBf/DMoK3dhMtSRuzKUUUDxasrSLettkxCWZnQ3abpv56x5Meh/l473v5arStGLD3jSMF8SwC&#10;gVQ601Cl4HX/MF2A8EGT0a0jVHBGD6viYpLrzLgTveCwC5XgEPKZVlCH0GVS+rJGq/3MdUj8+3S9&#10;1YHPvpKm1ycOt628jqJEWt0QN9S6w7say6/d0Sp4robt+nuzfUoe34ePvXlbxPfpRqmry3F9CyLg&#10;GP5g+NVndSjY6eCOZLxoFSQ30ZJRBdN4HvMqRpZplII4MJvMQRa5/L+h+AEAAP//AwBQSwECLQAU&#10;AAYACAAAACEAtoM4kv4AAADhAQAAEwAAAAAAAAAAAAAAAAAAAAAAW0NvbnRlbnRfVHlwZXNdLnht&#10;bFBLAQItABQABgAIAAAAIQA4/SH/1gAAAJQBAAALAAAAAAAAAAAAAAAAAC8BAABfcmVscy8ucmVs&#10;c1BLAQItABQABgAIAAAAIQD5rlPqPQMAAM0GAAAOAAAAAAAAAAAAAAAAAC4CAABkcnMvZTJvRG9j&#10;LnhtbFBLAQItABQABgAIAAAAIQCUHo7M4wAAAAsBAAAPAAAAAAAAAAAAAAAAAJcFAABkcnMvZG93&#10;bnJldi54bWxQSwUGAAAAAAQABADzAAAApwYAAAAA&#10;" o:allowincell="f" adj="3839,24491"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German Federal Government: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“We should … aim for a European social market economy that is highly competitive and has high social standards."</w:t>
                      </w:r>
                    </w:p>
                    <w:p>
                      <w:pPr>
                        <w:spacing w:after="0" w:line="240" w:lineRule="auto"/>
                        <w:jc w:val="center"/>
                        <w:rPr>
                          <w:rFonts w:asciiTheme="majorHAnsi" w:eastAsiaTheme="majorEastAsia" w:hAnsiTheme="majorHAnsi" w:cstheme="majorBidi"/>
                          <w:b/>
                          <w:i/>
                          <w:iCs/>
                          <w:color w:val="FFFFFF" w:themeColor="background1"/>
                          <w:sz w:val="18"/>
                          <w:szCs w:val="18"/>
                        </w:rPr>
                      </w:pPr>
                    </w:p>
                  </w:txbxContent>
                </v:textbox>
                <w10:wrap type="square" anchorx="margin"/>
                <w10:anchorlock/>
              </v:shape>
            </w:pict>
          </mc:Fallback>
        </mc:AlternateContent>
      </w:r>
      <w:r>
        <w:rPr>
          <w:rFonts w:ascii="Verdana" w:hAnsi="Verdana" w:cs="Times New Roman"/>
          <w:noProof/>
          <w:sz w:val="20"/>
          <w:szCs w:val="20"/>
        </w:rPr>
        <w:t xml:space="preserve"> that the challenges of societies and </w:t>
      </w:r>
      <w:r>
        <w:rPr>
          <w:rFonts w:ascii="Verdana" w:hAnsi="Verdana"/>
          <w:noProof/>
          <w:sz w:val="20"/>
          <w:szCs w:val="20"/>
        </w:rPr>
        <w:t>the world of work are often similar across Member States. Therefore, the Pillar was seen as a means to set the conditions for sustainable  convergence towards better employment and social outcomes, by creating a common consensus on social goals against whi</w:t>
      </w:r>
      <w:r>
        <w:rPr>
          <w:rFonts w:ascii="Verdana" w:hAnsi="Verdana"/>
          <w:noProof/>
          <w:sz w:val="20"/>
          <w:szCs w:val="20"/>
        </w:rPr>
        <w:t xml:space="preserve">ch reforms can be pursued. </w:t>
      </w:r>
    </w:p>
    <w:p w:rsidR="001E527A" w:rsidRDefault="00CD69DA">
      <w:pPr>
        <w:jc w:val="both"/>
        <w:rPr>
          <w:rFonts w:ascii="Verdana" w:hAnsi="Verdana" w:cs="Times New Roman"/>
          <w:noProof/>
          <w:sz w:val="20"/>
          <w:szCs w:val="20"/>
        </w:rPr>
      </w:pPr>
      <w:r>
        <w:rPr>
          <w:rFonts w:ascii="Verdana" w:hAnsi="Verdana" w:cs="Times New Roman"/>
          <w:noProof/>
          <w:sz w:val="20"/>
          <w:szCs w:val="20"/>
        </w:rPr>
        <w:t>However, it was underlined that national specificities should be respected and the purpose of the Pillar should not be to harmonise social policy across the Union, or create a supranational European Social Union.</w:t>
      </w:r>
      <w:r>
        <w:rPr>
          <w:rFonts w:ascii="Verdana" w:hAnsi="Verdana" w:cs="Times New Roman"/>
          <w:bCs/>
          <w:noProof/>
          <w:sz w:val="20"/>
          <w:szCs w:val="20"/>
        </w:rPr>
        <w:t xml:space="preserve"> </w:t>
      </w:r>
      <w:r>
        <w:rPr>
          <w:rFonts w:ascii="Verdana" w:hAnsi="Verdana" w:cs="Times New Roman"/>
          <w:noProof/>
          <w:sz w:val="20"/>
          <w:szCs w:val="20"/>
        </w:rPr>
        <w:t xml:space="preserve"> </w:t>
      </w:r>
    </w:p>
    <w:p w:rsidR="001E527A" w:rsidRDefault="00CD69DA">
      <w:pPr>
        <w:pStyle w:val="Heading3"/>
        <w:rPr>
          <w:noProof/>
        </w:rPr>
      </w:pPr>
      <w:bookmarkStart w:id="10" w:name="_Toc479349454"/>
      <w:r>
        <w:rPr>
          <w:noProof/>
        </w:rPr>
        <w:t>… while addre</w:t>
      </w:r>
      <w:r>
        <w:rPr>
          <w:noProof/>
        </w:rPr>
        <w:t>ssing competitiveness considerations, and ensuring a well-functioning single market and EMU</w:t>
      </w:r>
      <w:bookmarkEnd w:id="10"/>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Especially among employers, stakeholders put forward the need to address the </w:t>
      </w:r>
      <w:r>
        <w:rPr>
          <w:rFonts w:ascii="Verdana" w:hAnsi="Verdana" w:cs="Arial"/>
          <w:b/>
          <w:noProof/>
          <w:color w:val="000000"/>
          <w:sz w:val="20"/>
          <w:szCs w:val="20"/>
        </w:rPr>
        <w:t xml:space="preserve">lack of competitiveness </w:t>
      </w:r>
      <w:r>
        <w:rPr>
          <w:rFonts w:ascii="Verdana" w:hAnsi="Verdana" w:cs="Arial"/>
          <w:noProof/>
          <w:color w:val="000000"/>
          <w:sz w:val="20"/>
          <w:szCs w:val="20"/>
        </w:rPr>
        <w:t xml:space="preserve">and the </w:t>
      </w:r>
      <w:r>
        <w:rPr>
          <w:rFonts w:ascii="Verdana" w:hAnsi="Verdana" w:cs="Arial"/>
          <w:b/>
          <w:noProof/>
          <w:color w:val="000000"/>
          <w:sz w:val="20"/>
          <w:szCs w:val="20"/>
        </w:rPr>
        <w:t>productivity deficit</w:t>
      </w:r>
      <w:r>
        <w:rPr>
          <w:rFonts w:ascii="Verdana" w:hAnsi="Verdana" w:cs="Arial"/>
          <w:noProof/>
          <w:color w:val="000000"/>
          <w:sz w:val="20"/>
          <w:szCs w:val="20"/>
        </w:rPr>
        <w:t xml:space="preserve"> as pre-conditions for the success </w:t>
      </w:r>
      <w:r>
        <w:rPr>
          <w:rFonts w:ascii="Verdana" w:hAnsi="Verdana" w:cs="Arial"/>
          <w:noProof/>
          <w:color w:val="000000"/>
          <w:sz w:val="20"/>
          <w:szCs w:val="20"/>
        </w:rPr>
        <w:t>of inclusive social policies</w:t>
      </w:r>
      <w:r>
        <w:rPr>
          <w:rStyle w:val="FootnoteReference"/>
          <w:rFonts w:ascii="Verdana" w:hAnsi="Verdana" w:cs="Times New Roman"/>
          <w:noProof/>
          <w:sz w:val="20"/>
          <w:szCs w:val="20"/>
        </w:rPr>
        <w:footnoteReference w:id="17"/>
      </w:r>
      <w:r>
        <w:rPr>
          <w:rFonts w:ascii="Verdana" w:hAnsi="Verdana" w:cs="Times New Roman"/>
          <w:noProof/>
          <w:sz w:val="20"/>
          <w:szCs w:val="20"/>
        </w:rPr>
        <w:t xml:space="preserve">. </w:t>
      </w:r>
    </w:p>
    <w:p w:rsidR="001E527A" w:rsidRDefault="00CD69DA">
      <w:pPr>
        <w:jc w:val="both"/>
        <w:rPr>
          <w:rFonts w:ascii="Verdana" w:hAnsi="Verdana"/>
          <w:noProof/>
          <w:sz w:val="20"/>
          <w:szCs w:val="20"/>
        </w:rPr>
      </w:pPr>
      <w:r>
        <w:rPr>
          <w:rFonts w:ascii="Verdana" w:hAnsi="Verdana" w:cs="Times New Roman"/>
          <w:noProof/>
          <w:sz w:val="20"/>
          <w:szCs w:val="20"/>
          <w:lang w:eastAsia="en-GB"/>
        </w:rPr>
        <mc:AlternateContent>
          <mc:Choice Requires="wps">
            <w:drawing>
              <wp:anchor distT="0" distB="0" distL="0" distR="0" simplePos="0" relativeHeight="251673600" behindDoc="1" locked="1" layoutInCell="0" allowOverlap="1">
                <wp:simplePos x="0" y="0"/>
                <wp:positionH relativeFrom="margin">
                  <wp:posOffset>4309745</wp:posOffset>
                </wp:positionH>
                <wp:positionV relativeFrom="paragraph">
                  <wp:posOffset>558800</wp:posOffset>
                </wp:positionV>
                <wp:extent cx="1536065" cy="2123440"/>
                <wp:effectExtent l="258763" t="7937" r="0" b="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6065" cy="2123440"/>
                        </a:xfrm>
                        <a:prstGeom prst="wedgeRoundRectCallout">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Business Europe: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 xml:space="preserve">"Our social challenges will only be tackled through economic growth, creation of new wealth and expansion of employment… The objective is to create in all member states the framework conditions for </w:t>
                            </w:r>
                            <w:r>
                              <w:rPr>
                                <w:rFonts w:asciiTheme="majorHAnsi" w:eastAsiaTheme="majorEastAsia" w:hAnsiTheme="majorHAnsi" w:cstheme="majorBidi"/>
                                <w:i/>
                                <w:iCs/>
                                <w:color w:val="FFFFFF" w:themeColor="background1"/>
                                <w:sz w:val="18"/>
                                <w:szCs w:val="20"/>
                              </w:rPr>
                              <w:t>companies to provide the best possible opportunities for employment for all"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62" style="position:absolute;left:0;text-align:left;margin-left:339.35pt;margin-top:44pt;width:120.95pt;height:167.2pt;rotation:90;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uoCAMAAFcGAAAOAAAAZHJzL2Uyb0RvYy54bWysVduO0zAQfUfiHyy/Z3Np0jTVpqhNG4S0&#10;wGoXxLObOI1FYgfbbbog/p2xk+0FeEDArhRlYns858w509tXx7ZBByoVEzzF/o2HEeWFKBnfpfjj&#10;h9yZYaQ04SVpBKcpfqIKv1q8fHHbd3MaiFo0JZUIknA177sU11p3c9dVRU1bom5ERzksVkK2REMo&#10;d24pSQ/Z28YNPG/q9kKWnRQFVQq+rodFvLD5q4oW+n1VKapRk2KoTduntM+tebqLWzLfSdLVrBjL&#10;IH9RRUsYh0tPqdZEE7SX7JdULSukUKLSN4VoXVFVrKAWA6DxvZ/QPNakoxYLkKO6E03q/6Ut3h3u&#10;JWIl9C7EiJMWerTca2GvRoHhp+/UHLY9dvfSIFTdnSg+K8RFVhO+o0spRV9TUkJVvtnvXh0wgYKj&#10;aNu/FSVkJ5DdUnWsZIukgJZEoWf+7FegBB1tf55O/aFHjQr46EeTqTeNMCpgLfCDSRjaDrpkbpKZ&#10;6jqp9GsqWmReUtzTckcfxJ6XDyCFjDSN2Gt7DzncKW2qPZ+x6ETDypw1jQ3kbps1Eh0IqMfPwyRe&#10;W4BAwuU2KA9ymQOmUNv1b4kfhN4qSJx8OoudMA8jJ4m9meP5ySqZemESrvPvphA/nNesLCm/Y5w+&#10;K9AP/6zDoxcG7VgNoj7FEz+OLMarKtUlmCibTVbh78BIQ5Z1henpZnzXhDXDu3tdsSUQYF+jX+aR&#10;F4eTmRPH0cQJJxvPWc3yzFlm/nQab1bZauNfo99Yr6p/J8AWYpONPYGGU/lYlz0qmZHEJEoCH0MA&#10;UyCIB+Eh0uxgfBVaYqPIT0zX1gBGgSbhFXczz/wPImq6mgzyiKyCB0GN2y03p+sHps6VXRA5gj9z&#10;CaJ8FpV1kzHQYER93B4Huz5bcyvKJ7CXNRJMOJjFALIW8itGPcy1FKsveyIpRs0bDhZNfGMapG0Q&#10;RnEAgbxc2V6uEF5AqpGZIcj0MD73nWS7Gu7yLRVcmLFRMespY/qhLsBkApheFt04ac14vIztrvPv&#10;weIHAAAA//8DAFBLAwQUAAYACAAAACEAxBWcvuIAAAALAQAADwAAAGRycy9kb3ducmV2LnhtbEyP&#10;y07DMBBF90j8gzVIbFDrPMC0IU6FEHRRIdEW1LUTD0lEPI5stw1/j1nBcnSP7j1TriYzsBM631uS&#10;kM4TYEiN1T21Ej7eX2YLYD4o0mqwhBK+0cOqurwoVaHtmXZ42oeWxRLyhZLQhTAWnPumQ6P83I5I&#10;Mfu0zqgQT9dy7dQ5lpuBZ0kiuFE9xYVOjfjUYfO1PxoJff12YzZrcaBX1zwvnNge0vVWyuur6fEB&#10;WMAp/MHwqx/VoYpOtT2S9myQIPLsLqIxyG8zYJFYCrEEVkvI70UKvCr5/x+qHwAAAP//AwBQSwEC&#10;LQAUAAYACAAAACEAtoM4kv4AAADhAQAAEwAAAAAAAAAAAAAAAAAAAAAAW0NvbnRlbnRfVHlwZXNd&#10;LnhtbFBLAQItABQABgAIAAAAIQA4/SH/1gAAAJQBAAALAAAAAAAAAAAAAAAAAC8BAABfcmVscy8u&#10;cmVsc1BLAQItABQABgAIAAAAIQDrsAuoCAMAAFcGAAAOAAAAAAAAAAAAAAAAAC4CAABkcnMvZTJv&#10;RG9jLnhtbFBLAQItABQABgAIAAAAIQDEFZy+4gAAAAsBAAAPAAAAAAAAAAAAAAAAAGIFAABkcnMv&#10;ZG93bnJldi54bWxQSwUGAAAAAAQABADzAAAAcQYAAAAA&#10;" o:allowincell="f" adj="6300,24300"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Business Europe: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"Our social challenges will only be tackled through economic growth, creation of new wealth and expansion of employment… The objective is to create in all member states the framework conditions for companies to provide the best possible opportunities for employment for all"</w:t>
                      </w:r>
                    </w:p>
                  </w:txbxContent>
                </v:textbox>
                <w10:wrap type="square" anchorx="margin"/>
                <w10:anchorlock/>
              </v:shape>
            </w:pict>
          </mc:Fallback>
        </mc:AlternateContent>
      </w:r>
      <w:r>
        <w:rPr>
          <w:rFonts w:ascii="Verdana" w:hAnsi="Verdana"/>
          <w:noProof/>
          <w:sz w:val="20"/>
          <w:szCs w:val="20"/>
        </w:rPr>
        <w:t xml:space="preserve">In particular, some Member States </w:t>
      </w:r>
      <w:r>
        <w:rPr>
          <w:rFonts w:ascii="Verdana" w:hAnsi="Verdana" w:cs="Arial"/>
          <w:noProof/>
          <w:color w:val="000000"/>
          <w:sz w:val="20"/>
          <w:szCs w:val="20"/>
        </w:rPr>
        <w:t xml:space="preserve">feared the Pillar would pose a threat to competitiveness, and that too high standards may lead to countries opting out from the initiative. Some </w:t>
      </w:r>
      <w:r>
        <w:rPr>
          <w:rFonts w:ascii="Verdana" w:hAnsi="Verdana" w:cs="Arial"/>
          <w:noProof/>
          <w:color w:val="000000"/>
          <w:sz w:val="20"/>
          <w:szCs w:val="20"/>
        </w:rPr>
        <w:t>also pointed to f</w:t>
      </w:r>
      <w:r>
        <w:rPr>
          <w:rFonts w:ascii="Verdana" w:hAnsi="Verdana"/>
          <w:noProof/>
          <w:sz w:val="20"/>
          <w:szCs w:val="20"/>
        </w:rPr>
        <w:t xml:space="preserve">iscal sustainability concerns. The focus of the Pillar should not be on social rights as such, but on increased productivity and job creation as the primary means to ensure a sustainable economic and social model. </w:t>
      </w:r>
    </w:p>
    <w:p w:rsidR="001E527A" w:rsidRDefault="00CD69DA">
      <w:pPr>
        <w:jc w:val="both"/>
        <w:rPr>
          <w:rFonts w:ascii="Verdana" w:hAnsi="Verdana" w:cs="Arial"/>
          <w:noProof/>
          <w:color w:val="000000"/>
          <w:sz w:val="20"/>
          <w:szCs w:val="20"/>
        </w:rPr>
      </w:pPr>
      <w:r>
        <w:rPr>
          <w:rFonts w:ascii="Verdana" w:hAnsi="Verdana"/>
          <w:noProof/>
          <w:sz w:val="20"/>
          <w:szCs w:val="20"/>
        </w:rPr>
        <w:t>According to employer or</w:t>
      </w:r>
      <w:r>
        <w:rPr>
          <w:rFonts w:ascii="Verdana" w:hAnsi="Verdana"/>
          <w:noProof/>
          <w:sz w:val="20"/>
          <w:szCs w:val="20"/>
        </w:rPr>
        <w:t>ganisations the Pillar should help shape a comprehensive economic and social strategy for increased</w:t>
      </w:r>
      <w:r>
        <w:rPr>
          <w:rFonts w:ascii="Verdana" w:hAnsi="Verdana" w:cs="Arial"/>
          <w:noProof/>
          <w:color w:val="000000"/>
          <w:sz w:val="20"/>
          <w:szCs w:val="20"/>
        </w:rPr>
        <w:t xml:space="preserve"> competitiveness and social cohesion by supporting reforms and better coordination of national policies. Convergence towards higher living standards will be </w:t>
      </w:r>
      <w:r>
        <w:rPr>
          <w:rFonts w:ascii="Verdana" w:hAnsi="Verdana" w:cs="Arial"/>
          <w:noProof/>
          <w:color w:val="000000"/>
          <w:sz w:val="20"/>
          <w:szCs w:val="20"/>
        </w:rPr>
        <w:t xml:space="preserve">achieved through policies that restore competitiveness, increase productivity and foster employment and growth. </w:t>
      </w:r>
    </w:p>
    <w:p w:rsidR="001E527A" w:rsidRDefault="00CD69DA">
      <w:pPr>
        <w:pStyle w:val="Heading2"/>
        <w:rPr>
          <w:noProof/>
        </w:rPr>
      </w:pPr>
      <w:bookmarkStart w:id="11" w:name="_Toc479349455"/>
      <w:r>
        <w:rPr>
          <w:noProof/>
        </w:rPr>
        <w:lastRenderedPageBreak/>
        <w:t>2. The scope</w:t>
      </w:r>
      <w:bookmarkEnd w:id="11"/>
      <w:r>
        <w:rPr>
          <w:noProof/>
        </w:rPr>
        <w:t xml:space="preserve"> </w:t>
      </w:r>
    </w:p>
    <w:bookmarkStart w:id="12" w:name="_Toc479349456"/>
    <w:p w:rsidR="001E527A" w:rsidRDefault="00CD69DA">
      <w:pPr>
        <w:pStyle w:val="Heading3"/>
        <w:rPr>
          <w:noProof/>
        </w:rPr>
      </w:pPr>
      <w:r>
        <w:rPr>
          <w:rFonts w:cs="Times New Roman"/>
          <w:noProof/>
          <w:szCs w:val="20"/>
          <w:lang w:eastAsia="en-GB"/>
        </w:rPr>
        <mc:AlternateContent>
          <mc:Choice Requires="wps">
            <w:drawing>
              <wp:anchor distT="0" distB="0" distL="114300" distR="114300" simplePos="0" relativeHeight="251729920" behindDoc="1" locked="1" layoutInCell="0" allowOverlap="1">
                <wp:simplePos x="0" y="0"/>
                <wp:positionH relativeFrom="margin">
                  <wp:posOffset>4452620</wp:posOffset>
                </wp:positionH>
                <wp:positionV relativeFrom="paragraph">
                  <wp:posOffset>-187325</wp:posOffset>
                </wp:positionV>
                <wp:extent cx="1110615" cy="2213610"/>
                <wp:effectExtent l="286703" t="0" r="0" b="0"/>
                <wp:wrapSquare wrapText="bothSides"/>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0615" cy="2213610"/>
                        </a:xfrm>
                        <a:prstGeom prst="wedgeRoundRectCallout">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Verdana" w:hAnsi="Verdana"/>
                                <w:color w:val="FFFFFF" w:themeColor="background1"/>
                                <w:sz w:val="18"/>
                                <w:szCs w:val="20"/>
                              </w:rPr>
                            </w:pPr>
                            <w:r>
                              <w:rPr>
                                <w:rFonts w:asciiTheme="majorHAnsi" w:eastAsiaTheme="majorEastAsia" w:hAnsiTheme="majorHAnsi" w:cstheme="majorBidi"/>
                                <w:b/>
                                <w:i/>
                                <w:iCs/>
                                <w:color w:val="FFFFFF" w:themeColor="background1"/>
                                <w:sz w:val="18"/>
                                <w:szCs w:val="20"/>
                              </w:rPr>
                              <w:t>Social Platform:</w:t>
                            </w:r>
                            <w:r>
                              <w:rPr>
                                <w:rFonts w:asciiTheme="majorHAnsi" w:eastAsiaTheme="majorEastAsia" w:hAnsiTheme="majorHAnsi" w:cstheme="majorBidi"/>
                                <w:i/>
                                <w:iCs/>
                                <w:color w:val="FFFFFF" w:themeColor="background1"/>
                                <w:sz w:val="18"/>
                                <w:szCs w:val="20"/>
                              </w:rPr>
                              <w:t xml:space="preserve"> </w:t>
                            </w:r>
                            <w:r>
                              <w:rPr>
                                <w:rFonts w:asciiTheme="majorHAnsi" w:eastAsiaTheme="majorEastAsia" w:hAnsiTheme="majorHAnsi" w:cstheme="majorBidi"/>
                                <w:i/>
                                <w:iCs/>
                                <w:color w:val="FFFFFF" w:themeColor="background1"/>
                                <w:sz w:val="18"/>
                                <w:szCs w:val="20"/>
                              </w:rPr>
                              <w:br/>
                              <w:t xml:space="preserve">"The Pillar of Social Rights needs to be about so much more than just jobs. Social inclusion means creating </w:t>
                            </w:r>
                            <w:r>
                              <w:rPr>
                                <w:rFonts w:asciiTheme="majorHAnsi" w:eastAsiaTheme="majorEastAsia" w:hAnsiTheme="majorHAnsi" w:cstheme="majorBidi"/>
                                <w:i/>
                                <w:iCs/>
                                <w:color w:val="FFFFFF" w:themeColor="background1"/>
                                <w:sz w:val="18"/>
                                <w:szCs w:val="20"/>
                              </w:rPr>
                              <w:t>an environment where everybody can realise their potential and can contribute to society."</w:t>
                            </w:r>
                          </w:p>
                          <w:p w:rsidR="001E527A" w:rsidRDefault="001E527A">
                            <w:pPr>
                              <w:spacing w:line="288" w:lineRule="auto"/>
                              <w:jc w:val="center"/>
                              <w:rPr>
                                <w:rFonts w:asciiTheme="majorHAnsi" w:eastAsiaTheme="majorEastAsia" w:hAnsiTheme="majorHAnsi" w:cstheme="majorBidi"/>
                                <w:b/>
                                <w:i/>
                                <w:iCs/>
                                <w:color w:val="D2DFEE" w:themeColor="accent1" w:themeTint="4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margin-left:350.6pt;margin-top:-14.75pt;width:87.45pt;height:174.3pt;rotation:90;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2KBwMAAFcGAAAOAAAAZHJzL2Uyb0RvYy54bWysVduO0zAQfUfiHyy/ZxOnSdNUm6JeEdIC&#10;q10Qz27iNBaJHWy36YL4d8ZOthfgAQG7UpSJ7fE5Z85Mb18dmxodmNJcigyTmwAjJnJZcLHL8McP&#10;G2+CkTZUFLSWgmX4iWn8avbyxW3XTlkoK1kXTCFIIvS0azNcGdNOfV/nFWuovpEtE7BYStVQA6Ha&#10;+YWiHWRvaj8MgrHfSVW0SuZMa/i66hfxzOUvS5ab92WpmUF1hgGbcU/lnlv79Ge3dLpTtK14PsCg&#10;f4GioVzApadUK2oo2iv+S6qG50pqWZqbXDa+LEueM8cB2JDgJzaPFW2Z4wLi6PYkk/5/afN3h3uF&#10;eJHhcIyRoA3UaL430l2NQqtP1+opbHts75VlqNs7mX/WSMhlRcWOzZWSXcVoAaiI3e9fHbCBhqNo&#10;272VBWSnkN1JdSxVg5SEksRRYP/cV5AEHV19nk71YUeDcvhICAnGJMYoh7UwJKMxcRX06dQms+ha&#10;pc1rJhtkXzLcsWLHHuReFA9ghSWta7k37h56uNPGoj2fcexkzYsNr2sXqN12WSt0oOAesonSZOUI&#10;ggiX2wAe5LIHLFBX9W8pCaNgEabeZjxJvGgTxV6aBBMvIOkiHQdRGq023y0QEk0rXhRM3HHBnh1I&#10;oj+r8NALvXecB1GX4RFJYsfxCqW+JBMvJ6NF9DsyyorlusLWdD28G8rr/t2/RuwEBNrX7OebOEii&#10;0cRLknjkRaN14C0mm6U3X5LxOFkvlos1uWa/dr2q/10AB8QlG2oCBWfqsSo6VHBriVGchgRDAFMg&#10;THrjIVrvYHzlRmHryE/cVK4BrANtwivtJoH9701UtxXt7RE7B/eGGrY7bU7X90qdkV0IOZA/awmm&#10;fDaV6ybbQH0jmuP22Lfrc2tuZfEE7eUaCSYczGIgWUn1FaMO5lqG9Zc9VQyj+o2AFk1JFNlB6IIo&#10;TkII1OXK9nKFihxSDcr0wdL043PfKr6r4C7ipBDSjo2Su56yTd/jAk42gOnl2A2T1o7Hy9jtOv8e&#10;zH4AAAD//wMAUEsDBBQABgAIAAAAIQCz95MR4gAAAAoBAAAPAAAAZHJzL2Rvd25yZXYueG1sTI/L&#10;TsMwEEX3SPyDNUhsUOs8iikhToUQdFEh0RbUtRObJCIeR7bbhr9nWMFyNEf3nluuJjuwk/Ghdygh&#10;nSfADDZO99hK+Hh/mS2BhahQq8GhkfBtAqyqy4tSFdqdcWdO+9gyCsFQKAldjGPBeWg6Y1WYu9Eg&#10;/T6dtyrS6VuuvTpTuB14liSCW9UjNXRqNE+dab72Ryuhr99u7GYtDvjqm+elF9tDut5KeX01PT4A&#10;i2aKfzD86pM6VORUuyPqwAYJIl0sCJVwe5cDI+Be5DSulpDlWQa8Kvn/CdUPAAAA//8DAFBLAQIt&#10;ABQABgAIAAAAIQC2gziS/gAAAOEBAAATAAAAAAAAAAAAAAAAAAAAAABbQ29udGVudF9UeXBlc10u&#10;eG1sUEsBAi0AFAAGAAgAAAAhADj9If/WAAAAlAEAAAsAAAAAAAAAAAAAAAAALwEAAF9yZWxzLy5y&#10;ZWxzUEsBAi0AFAAGAAgAAAAhAEkLLYoHAwAAVwYAAA4AAAAAAAAAAAAAAAAALgIAAGRycy9lMm9E&#10;b2MueG1sUEsBAi0AFAAGAAgAAAAhALP3kxHiAAAACgEAAA8AAAAAAAAAAAAAAAAAYQUAAGRycy9k&#10;b3ducmV2LnhtbFBLBQYAAAAABAAEAPMAAABwBgAAAAA=&#10;" o:allowincell="f" adj="6300,24300" fillcolor="#1f497d" stroked="f" strokecolor="#5c83b4" strokeweight=".25pt">
                <v:stroke joinstyle="round"/>
                <v:shadow opacity=".5"/>
                <v:textbox>
                  <w:txbxContent>
                    <w:p>
                      <w:pPr>
                        <w:spacing w:line="240" w:lineRule="auto"/>
                        <w:jc w:val="center"/>
                        <w:rPr>
                          <w:rFonts w:ascii="Verdana" w:hAnsi="Verdana"/>
                          <w:color w:val="FFFFFF" w:themeColor="background1"/>
                          <w:sz w:val="18"/>
                          <w:szCs w:val="20"/>
                        </w:rPr>
                      </w:pPr>
                      <w:r>
                        <w:rPr>
                          <w:rFonts w:asciiTheme="majorHAnsi" w:eastAsiaTheme="majorEastAsia" w:hAnsiTheme="majorHAnsi" w:cstheme="majorBidi"/>
                          <w:b/>
                          <w:i/>
                          <w:iCs/>
                          <w:color w:val="FFFFFF" w:themeColor="background1"/>
                          <w:sz w:val="18"/>
                          <w:szCs w:val="20"/>
                        </w:rPr>
                        <w:t>Social Platform:</w:t>
                      </w:r>
                      <w:r>
                        <w:rPr>
                          <w:rFonts w:asciiTheme="majorHAnsi" w:eastAsiaTheme="majorEastAsia" w:hAnsiTheme="majorHAnsi" w:cstheme="majorBidi"/>
                          <w:i/>
                          <w:iCs/>
                          <w:color w:val="FFFFFF" w:themeColor="background1"/>
                          <w:sz w:val="18"/>
                          <w:szCs w:val="20"/>
                        </w:rPr>
                        <w:t xml:space="preserve"> </w:t>
                      </w:r>
                      <w:r>
                        <w:rPr>
                          <w:rFonts w:asciiTheme="majorHAnsi" w:eastAsiaTheme="majorEastAsia" w:hAnsiTheme="majorHAnsi" w:cstheme="majorBidi"/>
                          <w:i/>
                          <w:iCs/>
                          <w:color w:val="FFFFFF" w:themeColor="background1"/>
                          <w:sz w:val="18"/>
                          <w:szCs w:val="20"/>
                        </w:rPr>
                        <w:br/>
                        <w:t>"The Pillar of Social Rights needs to be about so much more than just jobs. Social inclusion means creating an environment where everybody can realise their potential and can contribute to society."</w:t>
                      </w:r>
                    </w:p>
                    <w:p>
                      <w:pPr>
                        <w:spacing w:line="288" w:lineRule="auto"/>
                        <w:jc w:val="center"/>
                        <w:rPr>
                          <w:rFonts w:asciiTheme="majorHAnsi" w:eastAsiaTheme="majorEastAsia" w:hAnsiTheme="majorHAnsi" w:cstheme="majorBidi"/>
                          <w:b/>
                          <w:i/>
                          <w:iCs/>
                          <w:color w:val="D2DFEE" w:themeColor="accent1" w:themeTint="40"/>
                          <w:sz w:val="20"/>
                          <w:szCs w:val="20"/>
                        </w:rPr>
                      </w:pPr>
                    </w:p>
                  </w:txbxContent>
                </v:textbox>
                <w10:wrap type="square" anchorx="margin"/>
                <w10:anchorlock/>
              </v:shape>
            </w:pict>
          </mc:Fallback>
        </mc:AlternateContent>
      </w:r>
      <w:r>
        <w:rPr>
          <w:noProof/>
        </w:rPr>
        <w:t>The thematic scope: "societal" principles beyond employment and social issues</w:t>
      </w:r>
      <w:bookmarkEnd w:id="12"/>
    </w:p>
    <w:p w:rsidR="001E527A" w:rsidRDefault="00CD69DA">
      <w:pPr>
        <w:jc w:val="both"/>
        <w:rPr>
          <w:rFonts w:ascii="Verdana" w:eastAsia="Calibri" w:hAnsi="Verdana" w:cs="Arial"/>
          <w:noProof/>
          <w:sz w:val="20"/>
          <w:szCs w:val="20"/>
        </w:rPr>
      </w:pPr>
      <w:r>
        <w:rPr>
          <w:rFonts w:ascii="Verdana" w:hAnsi="Verdana"/>
          <w:noProof/>
          <w:sz w:val="20"/>
          <w:szCs w:val="20"/>
        </w:rPr>
        <w:t xml:space="preserve">The consultation confirmed overall agreement with the approach proposed for establishing the Pillar and </w:t>
      </w:r>
      <w:r>
        <w:rPr>
          <w:rFonts w:ascii="Verdana" w:hAnsi="Verdana" w:cs="Times New Roman"/>
          <w:noProof/>
          <w:sz w:val="20"/>
          <w:szCs w:val="20"/>
        </w:rPr>
        <w:t xml:space="preserve">its thematic scope, which extends to areas beyond employment and social matters in a strict sense, </w:t>
      </w:r>
      <w:r>
        <w:rPr>
          <w:rFonts w:ascii="Verdana" w:hAnsi="Verdana" w:cs="Times New Roman"/>
          <w:b/>
          <w:noProof/>
          <w:sz w:val="20"/>
          <w:szCs w:val="20"/>
        </w:rPr>
        <w:t>to cover broader "societal" considerations</w:t>
      </w:r>
      <w:r>
        <w:rPr>
          <w:rFonts w:ascii="Verdana" w:hAnsi="Verdana" w:cs="Times New Roman"/>
          <w:noProof/>
          <w:sz w:val="20"/>
          <w:szCs w:val="20"/>
        </w:rPr>
        <w:t xml:space="preserve"> such as ed</w:t>
      </w:r>
      <w:r>
        <w:rPr>
          <w:rFonts w:ascii="Verdana" w:hAnsi="Verdana" w:cs="Times New Roman"/>
          <w:noProof/>
          <w:sz w:val="20"/>
          <w:szCs w:val="20"/>
        </w:rPr>
        <w:t>ucation and health, to address issues of both competitiveness and social cohesion, and not one dimension at the expense of the other.</w:t>
      </w:r>
      <w:r>
        <w:rPr>
          <w:rFonts w:ascii="Verdana" w:eastAsia="Calibri" w:hAnsi="Verdana" w:cs="Arial"/>
          <w:noProof/>
          <w:sz w:val="20"/>
          <w:szCs w:val="20"/>
        </w:rPr>
        <w:t xml:space="preserve"> </w:t>
      </w:r>
    </w:p>
    <w:p w:rsidR="001E527A" w:rsidRDefault="00CD69DA">
      <w:pPr>
        <w:jc w:val="both"/>
        <w:rPr>
          <w:rFonts w:ascii="Verdana" w:hAnsi="Verdana"/>
          <w:noProof/>
          <w:sz w:val="20"/>
          <w:szCs w:val="20"/>
        </w:rPr>
      </w:pPr>
      <w:r>
        <w:rPr>
          <w:rFonts w:ascii="Verdana" w:hAnsi="Verdana" w:cs="Times New Roman"/>
          <w:noProof/>
          <w:szCs w:val="20"/>
          <w:lang w:eastAsia="en-GB"/>
        </w:rPr>
        <mc:AlternateContent>
          <mc:Choice Requires="wps">
            <w:drawing>
              <wp:anchor distT="0" distB="0" distL="114300" distR="114300" simplePos="0" relativeHeight="251752448" behindDoc="1" locked="1" layoutInCell="0" allowOverlap="1">
                <wp:simplePos x="0" y="0"/>
                <wp:positionH relativeFrom="margin">
                  <wp:posOffset>4303395</wp:posOffset>
                </wp:positionH>
                <wp:positionV relativeFrom="paragraph">
                  <wp:posOffset>-311785</wp:posOffset>
                </wp:positionV>
                <wp:extent cx="1352550" cy="2258695"/>
                <wp:effectExtent l="289877" t="0" r="4128" b="4127"/>
                <wp:wrapSquare wrapText="bothSides"/>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2550" cy="2258695"/>
                        </a:xfrm>
                        <a:prstGeom prst="wedgeRoundRectCallout">
                          <a:avLst>
                            <a:gd name="adj1" fmla="val -22047"/>
                            <a:gd name="adj2" fmla="val 62205"/>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UEAPME:</w:t>
                            </w:r>
                            <w:r>
                              <w:rPr>
                                <w:rFonts w:asciiTheme="majorHAnsi" w:eastAsiaTheme="majorEastAsia" w:hAnsiTheme="majorHAnsi" w:cstheme="majorBidi"/>
                                <w:i/>
                                <w:iCs/>
                                <w:color w:val="FFFFFF" w:themeColor="background1"/>
                                <w:sz w:val="18"/>
                                <w:szCs w:val="20"/>
                              </w:rPr>
                              <w:t>" The better integration of economic and social dimensions is a key priority for a fair and inclusive labour ma</w:t>
                            </w:r>
                            <w:r>
                              <w:rPr>
                                <w:rFonts w:asciiTheme="majorHAnsi" w:eastAsiaTheme="majorEastAsia" w:hAnsiTheme="majorHAnsi" w:cstheme="majorBidi"/>
                                <w:i/>
                                <w:iCs/>
                                <w:color w:val="FFFFFF" w:themeColor="background1"/>
                                <w:sz w:val="18"/>
                                <w:szCs w:val="20"/>
                              </w:rPr>
                              <w:t>rket and well-functioning welfare systems since the two dimensions are interdependent."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338.85pt;margin-top:-24.55pt;width:106.5pt;height:177.85pt;rotation:90;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hOwMAAM0GAAAOAAAAZHJzL2Uyb0RvYy54bWysVdtu4zYQfS+w/0DwXdHdsoQ4i9ixiwLZ&#10;drFp0WdapCy2EqmSdOS06L93OFISpduHYndtQOBlNDPnzJnR9ftL35FHYazUakPjq4gSoWrNpTpt&#10;6C8/H4I1JdYxxVmnldjQJ2Hp+5t3312PQyUS3eqOC0PAibLVOGxo69xQhaGtW9Eze6UHoeCy0aZn&#10;DrbmFHLDRvDed2ESRatw1IYPRtfCWji9my7pDfpvGlG7n5rGCke6DYXcHD4NPo/+Gd5cs+pk2NDK&#10;ek6DfUEWPZMKgr64umOOkbORn7nqZW201Y27qnUf6qaRtUAMgCaO/oXmoWWDQCxAjh1eaLLfzm39&#10;4+NHQySH2pWUKNZDjW7PTmNoknh+xsFWYPYwfDQeoR3udf27JUrvWqZO4tYYPbaCccgq9vbhmxf8&#10;xsKr5Dh+0By8M/COVF0a0xOjoSR5FvkfngIl5IL1eXqpj7g4UsNhnOZJnkMZa7hLkny9KnOMyCrv&#10;zGc3GOu+F7onfrGho+An8UmfFf8EUtixrtNnh3HY4711WDE+w2b8t5iSpu9AAI+sI0GSRFkxK2Rh&#10;lCyNVmCEOUDpFzbp0iZerVboJ2TVHBZWz5kip7qT/CC7DjfmdNx1hkAOAPmQlcXdDNIuzYCUGYGn&#10;B7X2VxknWbRNyuCwWhdBdsjyoCyidRDF5bZcRVmZ3R3+9vDjrGol50LdSyWedR9n/09XcwdOikXl&#10;k3FD07jIkdk3WdolmHy3TrfZf4ExvkTYi15J+3ntmOymdfg2YxAZqwC2p+sV/e0hj4osXQdFkadB&#10;lu6jYLs+7ILbHVSg2G932338Fv0eJ4T9egIwEXQ21wRkJsxDy0fCpRdimpcJqItLmD1JMcmdsO4E&#10;Q7N2hvo++FW6FtvO6/4zIawj/5+k2w0tm+SRY9/4poPGnKjG9Uv4ianXzBZEzuBfuZw4RQDYw75t&#10;p/Z3l+MFh0Tqi+db+qj5EzQ1ti80JHwBAGSrzZ+UjDBNN9T+cWZGUNL9oGAwlHGW+fGLmywvEtiY&#10;5c1xecNUDa5mZqbNzk1D+zwYeWohVoxUKO2HVSPd89yZ8gJMPkmYmYhunu9+KC/3aPX6Fbr5BwAA&#10;//8DAFBLAwQUAAYACAAAACEAP1rIrtwAAAAKAQAADwAAAGRycy9kb3ducmV2LnhtbEyPQU/DMAyF&#10;70j8h8hI3FhKKgLrmk6AQJzXcdnNa0JbrXGqJt3Kv8ec4GTZ7+n5e+V28YM4uyn2gQzcrzIQjppg&#10;e2oNfO7f755AxIRkcQjkDHy7CNvq+qrEwoYL7dy5Tq3gEIoFGuhSGgspY9M5j3EVRkesfYXJY+J1&#10;aqWd8MLhfpAqy7T02BN/6HB0r51rTvXsDeyUn/ENsT48xl4fwod9Gee1Mbc3y/MGRHJL+jPDLz6j&#10;Q8VMxzCTjWIwoDOds9WAUjzZsNaKyx35kD/kIKtS/q9Q/QAAAP//AwBQSwECLQAUAAYACAAAACEA&#10;toM4kv4AAADhAQAAEwAAAAAAAAAAAAAAAAAAAAAAW0NvbnRlbnRfVHlwZXNdLnhtbFBLAQItABQA&#10;BgAIAAAAIQA4/SH/1gAAAJQBAAALAAAAAAAAAAAAAAAAAC8BAABfcmVscy8ucmVsc1BLAQItABQA&#10;BgAIAAAAIQAUStEhOwMAAM0GAAAOAAAAAAAAAAAAAAAAAC4CAABkcnMvZTJvRG9jLnhtbFBLAQIt&#10;ABQABgAIAAAAIQA/Wsiu3AAAAAoBAAAPAAAAAAAAAAAAAAAAAJUFAABkcnMvZG93bnJldi54bWxQ&#10;SwUGAAAAAAQABADzAAAAngYAAAAA&#10;" o:allowincell="f" adj="6038,24236"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UEAPME:</w:t>
                      </w:r>
                      <w:r>
                        <w:rPr>
                          <w:rFonts w:asciiTheme="majorHAnsi" w:eastAsiaTheme="majorEastAsia" w:hAnsiTheme="majorHAnsi" w:cstheme="majorBidi"/>
                          <w:i/>
                          <w:iCs/>
                          <w:color w:val="FFFFFF" w:themeColor="background1"/>
                          <w:sz w:val="18"/>
                          <w:szCs w:val="20"/>
                        </w:rPr>
                        <w:t>" The better integration of economic and social dimensions is a key priority for a fair and inclusive labour market and well-functioning welfare systems since the two dimensions are interdependent."</w:t>
                      </w:r>
                    </w:p>
                  </w:txbxContent>
                </v:textbox>
                <w10:wrap type="square" anchorx="margin"/>
                <w10:anchorlock/>
              </v:shape>
            </w:pict>
          </mc:Fallback>
        </mc:AlternateContent>
      </w:r>
      <w:r>
        <w:rPr>
          <w:rFonts w:ascii="Verdana" w:hAnsi="Verdana"/>
          <w:noProof/>
          <w:sz w:val="20"/>
          <w:szCs w:val="20"/>
        </w:rPr>
        <w:t xml:space="preserve">However, contrasting views emerged as regards the </w:t>
      </w:r>
      <w:r>
        <w:rPr>
          <w:rFonts w:ascii="Verdana" w:hAnsi="Verdana"/>
          <w:b/>
          <w:noProof/>
          <w:sz w:val="20"/>
          <w:szCs w:val="20"/>
        </w:rPr>
        <w:t>balance</w:t>
      </w:r>
      <w:r>
        <w:rPr>
          <w:rFonts w:ascii="Verdana" w:hAnsi="Verdana"/>
          <w:noProof/>
          <w:sz w:val="20"/>
          <w:szCs w:val="20"/>
        </w:rPr>
        <w:t xml:space="preserve"> in the Pillar </w:t>
      </w:r>
      <w:r>
        <w:rPr>
          <w:rFonts w:ascii="Verdana" w:hAnsi="Verdana"/>
          <w:b/>
          <w:noProof/>
          <w:sz w:val="20"/>
          <w:szCs w:val="20"/>
        </w:rPr>
        <w:t>between economic and social considerations</w:t>
      </w:r>
      <w:r>
        <w:rPr>
          <w:rFonts w:ascii="Verdana" w:hAnsi="Verdana"/>
          <w:noProof/>
          <w:sz w:val="20"/>
          <w:szCs w:val="20"/>
        </w:rPr>
        <w:t xml:space="preserve">. This discrepancy related to the perception - mainly </w:t>
      </w:r>
      <w:r>
        <w:rPr>
          <w:rFonts w:ascii="Verdana" w:hAnsi="Verdana"/>
          <w:noProof/>
          <w:sz w:val="20"/>
          <w:szCs w:val="20"/>
        </w:rPr>
        <w:t xml:space="preserve">among the NGOs and trade unions - that the Pillar focused too much on employment to the detriment of the social dimension. While less critical overall, employer organisations tended to believe that the Pillar’s approach did not sufficiently focus on areas </w:t>
      </w:r>
      <w:r>
        <w:rPr>
          <w:rFonts w:ascii="Verdana" w:hAnsi="Verdana"/>
          <w:noProof/>
          <w:sz w:val="20"/>
          <w:szCs w:val="20"/>
        </w:rPr>
        <w:t>that can generate growth and improve competitiveness, and that more consideration could be given to free enterprise as a driver of inclusive growth, for instance by emphasising the need for a regulatory framework that reduces administrative burden.</w:t>
      </w:r>
    </w:p>
    <w:p w:rsidR="001E527A" w:rsidRDefault="00CD69DA">
      <w:pPr>
        <w:jc w:val="both"/>
        <w:rPr>
          <w:rFonts w:ascii="Verdana" w:hAnsi="Verdana" w:cs="Times New Roman"/>
          <w:noProof/>
          <w:sz w:val="20"/>
          <w:szCs w:val="20"/>
        </w:rPr>
      </w:pPr>
      <w:r>
        <w:rPr>
          <w:rFonts w:ascii="Verdana" w:hAnsi="Verdana" w:cs="Times New Roman"/>
          <w:noProof/>
          <w:sz w:val="20"/>
          <w:szCs w:val="20"/>
        </w:rPr>
        <w:t>Stakeho</w:t>
      </w:r>
      <w:r>
        <w:rPr>
          <w:rFonts w:ascii="Verdana" w:hAnsi="Verdana" w:cs="Times New Roman"/>
          <w:noProof/>
          <w:sz w:val="20"/>
          <w:szCs w:val="20"/>
        </w:rPr>
        <w:t>lders generally noted that the issues of free movement (intra-EU mobility of EU citizens)</w:t>
      </w:r>
      <w:r>
        <w:rPr>
          <w:rStyle w:val="FootnoteReference"/>
          <w:rFonts w:ascii="Verdana" w:hAnsi="Verdana" w:cs="Times New Roman"/>
          <w:noProof/>
          <w:sz w:val="20"/>
          <w:szCs w:val="20"/>
        </w:rPr>
        <w:footnoteReference w:id="18"/>
      </w:r>
      <w:r>
        <w:rPr>
          <w:rFonts w:ascii="Verdana" w:hAnsi="Verdana" w:cs="Times New Roman"/>
          <w:noProof/>
          <w:sz w:val="20"/>
          <w:szCs w:val="20"/>
        </w:rPr>
        <w:t>, migration and the inclusion of third-country nationals</w:t>
      </w:r>
      <w:r>
        <w:rPr>
          <w:rStyle w:val="FootnoteReference"/>
          <w:rFonts w:ascii="Verdana" w:hAnsi="Verdana" w:cs="Times New Roman"/>
          <w:noProof/>
          <w:sz w:val="20"/>
          <w:szCs w:val="20"/>
        </w:rPr>
        <w:footnoteReference w:id="19"/>
      </w:r>
      <w:r>
        <w:rPr>
          <w:rFonts w:ascii="Verdana" w:hAnsi="Verdana" w:cs="Times New Roman"/>
          <w:noProof/>
          <w:sz w:val="20"/>
          <w:szCs w:val="20"/>
        </w:rPr>
        <w:t xml:space="preserve"> were not properly addressed, and </w:t>
      </w:r>
      <w:r>
        <w:rPr>
          <w:rFonts w:ascii="Verdana" w:hAnsi="Verdana" w:cs="Times New Roman"/>
          <w:b/>
          <w:noProof/>
          <w:sz w:val="20"/>
          <w:szCs w:val="20"/>
        </w:rPr>
        <w:t>more emphasis</w:t>
      </w:r>
      <w:r>
        <w:rPr>
          <w:rFonts w:ascii="Verdana" w:hAnsi="Verdana" w:cs="Times New Roman"/>
          <w:noProof/>
          <w:sz w:val="20"/>
          <w:szCs w:val="20"/>
        </w:rPr>
        <w:t xml:space="preserve"> could be given to discrimination on grounds of ethnic origin or the rights of undocumented migrants as well as social rights and fair treatment of EU mobile citizens. In particular, civil society organisations argued for more attention on creating inclusi</w:t>
      </w:r>
      <w:r>
        <w:rPr>
          <w:rFonts w:ascii="Verdana" w:hAnsi="Verdana" w:cs="Times New Roman"/>
          <w:noProof/>
          <w:sz w:val="20"/>
          <w:szCs w:val="20"/>
        </w:rPr>
        <w:t>ve and not just well-performing labour markets, and a strong focus on inclusion of people who are out of work and in most vulnerable situations.</w:t>
      </w:r>
      <w:r>
        <w:rPr>
          <w:rStyle w:val="FootnoteReference"/>
          <w:rFonts w:ascii="Verdana" w:hAnsi="Verdana" w:cs="Times New Roman"/>
          <w:noProof/>
          <w:sz w:val="20"/>
          <w:szCs w:val="20"/>
        </w:rPr>
        <w:footnoteReference w:id="20"/>
      </w:r>
      <w:r>
        <w:rPr>
          <w:rFonts w:ascii="Verdana" w:hAnsi="Verdana" w:cs="Times New Roman"/>
          <w:noProof/>
          <w:sz w:val="20"/>
          <w:szCs w:val="20"/>
        </w:rPr>
        <w:t xml:space="preserve"> </w:t>
      </w:r>
    </w:p>
    <w:p w:rsidR="001E527A" w:rsidRDefault="00CD69DA">
      <w:pPr>
        <w:jc w:val="both"/>
        <w:rPr>
          <w:rFonts w:ascii="Verdana" w:hAnsi="Verdana"/>
          <w:noProof/>
          <w:sz w:val="20"/>
          <w:szCs w:val="20"/>
        </w:rPr>
      </w:pPr>
      <w:r>
        <w:rPr>
          <w:rFonts w:ascii="Verdana" w:hAnsi="Verdana"/>
          <w:noProof/>
          <w:sz w:val="20"/>
          <w:szCs w:val="20"/>
        </w:rPr>
        <w:t xml:space="preserve">Among the consulted stakeholders, </w:t>
      </w:r>
      <w:r>
        <w:rPr>
          <w:rFonts w:ascii="Verdana" w:hAnsi="Verdana" w:cs="Times New Roman"/>
          <w:noProof/>
          <w:szCs w:val="20"/>
          <w:lang w:eastAsia="en-GB"/>
        </w:rPr>
        <mc:AlternateContent>
          <mc:Choice Requires="wps">
            <w:drawing>
              <wp:anchor distT="0" distB="0" distL="114300" distR="114300" simplePos="0" relativeHeight="251754496" behindDoc="1" locked="1" layoutInCell="0" allowOverlap="1">
                <wp:simplePos x="0" y="0"/>
                <wp:positionH relativeFrom="margin">
                  <wp:posOffset>4587240</wp:posOffset>
                </wp:positionH>
                <wp:positionV relativeFrom="margin">
                  <wp:posOffset>9457690</wp:posOffset>
                </wp:positionV>
                <wp:extent cx="1167130" cy="2052320"/>
                <wp:effectExtent l="262255" t="4445" r="9525" b="9525"/>
                <wp:wrapSquare wrapText="bothSides"/>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7130" cy="2052320"/>
                        </a:xfrm>
                        <a:prstGeom prst="wedgeRoundRectCallout">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jc w:val="center"/>
                              <w:rPr>
                                <w:rFonts w:asciiTheme="majorHAnsi" w:eastAsiaTheme="majorEastAsia" w:hAnsiTheme="majorHAnsi" w:cstheme="majorBidi"/>
                                <w:i/>
                                <w:iCs/>
                                <w:color w:val="D2DFEE" w:themeColor="accent1" w:themeTint="40"/>
                                <w:sz w:val="18"/>
                                <w:szCs w:val="20"/>
                              </w:rPr>
                            </w:pPr>
                            <w:r>
                              <w:rPr>
                                <w:rFonts w:asciiTheme="majorHAnsi" w:eastAsiaTheme="majorEastAsia" w:hAnsiTheme="majorHAnsi" w:cstheme="majorBidi"/>
                                <w:b/>
                                <w:i/>
                                <w:iCs/>
                                <w:color w:val="D2DFEE" w:themeColor="accent1" w:themeTint="40"/>
                                <w:sz w:val="18"/>
                                <w:szCs w:val="20"/>
                              </w:rPr>
                              <w:t>UEAPME:</w:t>
                            </w:r>
                            <w:r>
                              <w:rPr>
                                <w:rFonts w:asciiTheme="majorHAnsi" w:eastAsiaTheme="majorEastAsia" w:hAnsiTheme="majorHAnsi" w:cstheme="majorBidi"/>
                                <w:i/>
                                <w:iCs/>
                                <w:color w:val="D2DFEE" w:themeColor="accent1" w:themeTint="40"/>
                                <w:sz w:val="18"/>
                                <w:szCs w:val="20"/>
                              </w:rPr>
                              <w:t xml:space="preserve">" The better integration of economic and social dimensions is a </w:t>
                            </w:r>
                            <w:r>
                              <w:rPr>
                                <w:rFonts w:asciiTheme="majorHAnsi" w:eastAsiaTheme="majorEastAsia" w:hAnsiTheme="majorHAnsi" w:cstheme="majorBidi"/>
                                <w:i/>
                                <w:iCs/>
                                <w:color w:val="D2DFEE" w:themeColor="accent1" w:themeTint="40"/>
                                <w:sz w:val="18"/>
                                <w:szCs w:val="20"/>
                              </w:rPr>
                              <w:t>key priority for a fair and inclusive labour market and well-functioning welfare systems since the two dimensions are interdependent."</w:t>
                            </w:r>
                          </w:p>
                          <w:p w:rsidR="001E527A" w:rsidRDefault="001E527A">
                            <w:pPr>
                              <w:jc w:val="center"/>
                              <w:rPr>
                                <w:rFonts w:asciiTheme="majorHAnsi" w:eastAsiaTheme="majorEastAsia" w:hAnsiTheme="majorHAnsi" w:cstheme="majorBidi"/>
                                <w:b/>
                                <w:i/>
                                <w:iCs/>
                                <w:color w:val="D2DFEE" w:themeColor="accent1" w:themeTint="4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left:0;text-align:left;margin-left:361.2pt;margin-top:744.7pt;width:91.9pt;height:161.6pt;rotation:90;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MeCwMAAFcGAAAOAAAAZHJzL2Uyb0RvYy54bWysVcFu4zYQvRfoPxC8KxJlybKMKIvYsRcF&#10;0m6w2aJnWqQsohKpJenI2aL/vsORN7a3PRRtE0DQiORw3pv3xrfvjn1HXqR1yuiKspuEEqlrI5Te&#10;V/TXT9toQYnzXAveGS0r+iodfXf34w+347CUqWlNJ6QlkES75ThUtPV+WMaxq1vZc3djBqlhsTG2&#10;5x5Cu4+F5SNk77s4TZJ5PBorBmtq6Rx8fZgW6R3mbxpZ+w9N46QnXUWhNo9Pi89deMZ3t3y5t3xo&#10;VX0qg/+LKnquNFz6luqBe04OVv0lVa9qa5xp/E1t+tg0jaolYgA0LPkOzXPLB4lYgBw3vNHk/r+0&#10;9S8vT5YoUdGUUaJ5Dz26P3iDV5M08DMObgnbnocnGxC64dHUvzuizbrlei/vrTVjK7mAqljYH18d&#10;CIGDo2Q3/mwEZOeQHak6NrYn1kBL8iwJf/gVKCFH7M/rW3/k0ZMaPjI2L9gM2ljDWprk6SzFDsZ8&#10;GZKF6gbr/HtpehJeKjpKsZcfzUGLjyCFNe86c/B4D395dD5Uez6D6EynxFZ1HQZ2v1t3lrxwUA/b&#10;ZmXxgACBhMttUB7kCgdCodj1P0qWZskqLaPtfFFE2TbLo7JIFlHCylU5T7Iye9j+GQph2bJVQkj9&#10;qLT8pkCW/bMOn7wwaQc1SMaKzliRI8arKt0lmHy9mK2yvwNjA1noitDTzendc9VN7/F1xUggwL5G&#10;f7/NkyKbLaKiyGdRNtsk0WqxXUf3azafF5vVerVh1+g36FX33wnAQjDZqSfQcGmfWzESoYIkZnkZ&#10;pC4UTIG0mIRHeLeH8VV7S4Mif1O+RQMEBYaEV9wtkvA/iagbWj7JI0cFT4I6bUdu3q6fmDpXdkHk&#10;CfyZSxDlN1Ghm4KBJiP64+6IdsXmBXPtjHgFe6GRwBowiwFka+wXSkaYaxV1nw/cSkq6nzRYtGRZ&#10;FgYhBllegIOIvVzZXa5wXUOqEzNTsPbT+DwMVu1buIshFdqEsdEo9NS5LsAUApheiO40acN4vIxx&#10;1/n34O4rAAAA//8DAFBLAwQUAAYACAAAACEAkTYCOuMAAAANAQAADwAAAGRycy9kb3ducmV2Lnht&#10;bEyPwU7DMAyG70i8Q2QkLoilrWi7lqYTQrADmsTYpp3TJrQVjVMl2VbeHnOCo/1/+v25Ws1mZGft&#10;/GBRQLyIgGlsrRqwE3DYv94vgfkgUcnRohbwrT2s6uurSpbKXvBDn3ehY1SCvpQC+hCmknPf9tpI&#10;v7CTRso+rTMy0Og6rpy8ULkZeRJFGTdyQLrQy0k/97r92p2MgKF5vzNv6+yIG9e+LF22PcbrrRC3&#10;N/PTI7Cg5/AHw68+qUNNTo09ofJsFJClSU4oBWlaxMAIKfK0ANbQKn9ICuB1xf9/Uf8AAAD//wMA&#10;UEsBAi0AFAAGAAgAAAAhALaDOJL+AAAA4QEAABMAAAAAAAAAAAAAAAAAAAAAAFtDb250ZW50X1R5&#10;cGVzXS54bWxQSwECLQAUAAYACAAAACEAOP0h/9YAAACUAQAACwAAAAAAAAAAAAAAAAAvAQAAX3Jl&#10;bHMvLnJlbHNQSwECLQAUAAYACAAAACEAlEMDHgsDAABXBgAADgAAAAAAAAAAAAAAAAAuAgAAZHJz&#10;L2Uyb0RvYy54bWxQSwECLQAUAAYACAAAACEAkTYCOuMAAAANAQAADwAAAAAAAAAAAAAAAABlBQAA&#10;ZHJzL2Rvd25yZXYueG1sUEsFBgAAAAAEAAQA8wAAAHUGAAAAAA==&#10;" o:allowincell="f" adj="6300,24300" fillcolor="#1f497d" stroked="f" strokecolor="#5c83b4" strokeweight=".25pt">
                <v:stroke joinstyle="round"/>
                <v:shadow opacity=".5"/>
                <v:textbox>
                  <w:txbxContent>
                    <w:p>
                      <w:pPr>
                        <w:jc w:val="center"/>
                        <w:rPr>
                          <w:rFonts w:asciiTheme="majorHAnsi" w:eastAsiaTheme="majorEastAsia" w:hAnsiTheme="majorHAnsi" w:cstheme="majorBidi"/>
                          <w:i/>
                          <w:iCs/>
                          <w:color w:val="D2DFEE" w:themeColor="accent1" w:themeTint="40"/>
                          <w:sz w:val="18"/>
                          <w:szCs w:val="20"/>
                        </w:rPr>
                      </w:pPr>
                      <w:r>
                        <w:rPr>
                          <w:rFonts w:asciiTheme="majorHAnsi" w:eastAsiaTheme="majorEastAsia" w:hAnsiTheme="majorHAnsi" w:cstheme="majorBidi"/>
                          <w:b/>
                          <w:i/>
                          <w:iCs/>
                          <w:color w:val="D2DFEE" w:themeColor="accent1" w:themeTint="40"/>
                          <w:sz w:val="18"/>
                          <w:szCs w:val="20"/>
                        </w:rPr>
                        <w:t>UEAPME:</w:t>
                      </w:r>
                      <w:r>
                        <w:rPr>
                          <w:rFonts w:asciiTheme="majorHAnsi" w:eastAsiaTheme="majorEastAsia" w:hAnsiTheme="majorHAnsi" w:cstheme="majorBidi"/>
                          <w:i/>
                          <w:iCs/>
                          <w:color w:val="D2DFEE" w:themeColor="accent1" w:themeTint="40"/>
                          <w:sz w:val="18"/>
                          <w:szCs w:val="20"/>
                        </w:rPr>
                        <w:t>" The better integration of economic and social dimensions is a key priority for a fair and inclusive labour market and well-functioning welfare systems since the two dimensions are interdependent."</w:t>
                      </w:r>
                    </w:p>
                    <w:p>
                      <w:pPr>
                        <w:jc w:val="center"/>
                        <w:rPr>
                          <w:rFonts w:asciiTheme="majorHAnsi" w:eastAsiaTheme="majorEastAsia" w:hAnsiTheme="majorHAnsi" w:cstheme="majorBidi"/>
                          <w:b/>
                          <w:i/>
                          <w:iCs/>
                          <w:color w:val="D2DFEE" w:themeColor="accent1" w:themeTint="40"/>
                          <w:sz w:val="20"/>
                          <w:szCs w:val="20"/>
                        </w:rPr>
                      </w:pPr>
                    </w:p>
                  </w:txbxContent>
                </v:textbox>
                <w10:wrap type="square" anchorx="margin" anchory="margin"/>
                <w10:anchorlock/>
              </v:shape>
            </w:pict>
          </mc:Fallback>
        </mc:AlternateContent>
      </w:r>
      <w:r>
        <w:rPr>
          <w:rFonts w:ascii="Verdana" w:hAnsi="Verdana"/>
          <w:noProof/>
          <w:sz w:val="20"/>
          <w:szCs w:val="20"/>
        </w:rPr>
        <w:t xml:space="preserve">trade unions and NGOs were active in suggesting </w:t>
      </w:r>
      <w:r>
        <w:rPr>
          <w:rFonts w:ascii="Verdana" w:hAnsi="Verdana"/>
          <w:b/>
          <w:noProof/>
          <w:sz w:val="20"/>
          <w:szCs w:val="20"/>
        </w:rPr>
        <w:t>additional</w:t>
      </w:r>
      <w:r>
        <w:rPr>
          <w:rFonts w:ascii="Verdana" w:hAnsi="Verdana"/>
          <w:noProof/>
          <w:sz w:val="20"/>
          <w:szCs w:val="20"/>
        </w:rPr>
        <w:t xml:space="preserve"> </w:t>
      </w:r>
      <w:r>
        <w:rPr>
          <w:rFonts w:ascii="Verdana" w:hAnsi="Verdana"/>
          <w:b/>
          <w:noProof/>
          <w:sz w:val="20"/>
          <w:szCs w:val="20"/>
        </w:rPr>
        <w:t>principles</w:t>
      </w:r>
      <w:r>
        <w:rPr>
          <w:rFonts w:ascii="Verdana" w:hAnsi="Verdana"/>
          <w:noProof/>
          <w:sz w:val="20"/>
          <w:szCs w:val="20"/>
        </w:rPr>
        <w:t xml:space="preserve"> for inclusion in the Pillar, namely: fair taxation</w:t>
      </w:r>
      <w:r>
        <w:rPr>
          <w:rStyle w:val="FootnoteReference"/>
          <w:rFonts w:ascii="Verdana" w:hAnsi="Verdana"/>
          <w:noProof/>
          <w:sz w:val="20"/>
          <w:szCs w:val="20"/>
        </w:rPr>
        <w:footnoteReference w:id="21"/>
      </w:r>
      <w:r>
        <w:rPr>
          <w:rFonts w:ascii="Verdana" w:hAnsi="Verdana"/>
          <w:noProof/>
          <w:sz w:val="20"/>
          <w:szCs w:val="20"/>
        </w:rPr>
        <w:t xml:space="preserve">, social investment and the social economy, </w:t>
      </w:r>
      <w:r>
        <w:rPr>
          <w:rFonts w:ascii="Verdana" w:hAnsi="Verdana" w:cs="Times New Roman"/>
          <w:noProof/>
          <w:sz w:val="20"/>
          <w:szCs w:val="20"/>
        </w:rPr>
        <w:t xml:space="preserve">collective workers' rights such as </w:t>
      </w:r>
      <w:r>
        <w:rPr>
          <w:rFonts w:ascii="Verdana" w:hAnsi="Verdana"/>
          <w:noProof/>
          <w:sz w:val="20"/>
          <w:szCs w:val="20"/>
        </w:rPr>
        <w:t xml:space="preserve">collective bargaining </w:t>
      </w:r>
      <w:r>
        <w:rPr>
          <w:rFonts w:ascii="Verdana" w:hAnsi="Verdana" w:cs="Times New Roman"/>
          <w:noProof/>
          <w:sz w:val="20"/>
          <w:szCs w:val="20"/>
        </w:rPr>
        <w:t>in enterprises</w:t>
      </w:r>
      <w:r>
        <w:rPr>
          <w:rFonts w:ascii="Verdana" w:hAnsi="Verdana"/>
          <w:noProof/>
          <w:sz w:val="20"/>
          <w:szCs w:val="20"/>
        </w:rPr>
        <w:t xml:space="preserve">, more protection for vulnerable groups (children, persons with disabilities, migrants and refugees), and informal care. </w:t>
      </w:r>
    </w:p>
    <w:p w:rsidR="001E527A" w:rsidRDefault="00CD69DA">
      <w:pPr>
        <w:jc w:val="both"/>
        <w:rPr>
          <w:rFonts w:ascii="Verdana" w:hAnsi="Verdana" w:cs="Times New Roman"/>
          <w:noProof/>
          <w:sz w:val="20"/>
          <w:szCs w:val="20"/>
        </w:rPr>
      </w:pPr>
      <w:r>
        <w:rPr>
          <w:rFonts w:ascii="Verdana" w:hAnsi="Verdana" w:cs="Times New Roman"/>
          <w:noProof/>
          <w:sz w:val="20"/>
          <w:szCs w:val="20"/>
        </w:rPr>
        <w:lastRenderedPageBreak/>
        <w:t xml:space="preserve">A common view was that gender equality, equal opportunities and the rights of persons with disabilities should be </w:t>
      </w:r>
      <w:r>
        <w:rPr>
          <w:rFonts w:ascii="Verdana" w:hAnsi="Verdana" w:cs="Times New Roman"/>
          <w:b/>
          <w:noProof/>
          <w:sz w:val="20"/>
          <w:szCs w:val="20"/>
        </w:rPr>
        <w:t>mainstreamed</w:t>
      </w:r>
      <w:r>
        <w:rPr>
          <w:rFonts w:ascii="Verdana" w:hAnsi="Verdana" w:cs="Times New Roman"/>
          <w:noProof/>
          <w:sz w:val="20"/>
          <w:szCs w:val="20"/>
        </w:rPr>
        <w:t xml:space="preserve"> across the Pillar, and not be limited to labour market considerations or access to benefits. According to trade unions, social di</w:t>
      </w:r>
      <w:r>
        <w:rPr>
          <w:rFonts w:ascii="Verdana" w:hAnsi="Verdana" w:cs="Times New Roman"/>
          <w:noProof/>
          <w:sz w:val="20"/>
          <w:szCs w:val="20"/>
        </w:rPr>
        <w:t>alogue could also form a horizontal principle applying to both fair working conditions and equal access to the labour market</w:t>
      </w:r>
      <w:r>
        <w:rPr>
          <w:rStyle w:val="FootnoteReference"/>
          <w:rFonts w:ascii="Verdana" w:hAnsi="Verdana" w:cs="Times New Roman"/>
          <w:noProof/>
          <w:sz w:val="20"/>
          <w:szCs w:val="20"/>
        </w:rPr>
        <w:footnoteReference w:id="22"/>
      </w:r>
      <w:r>
        <w:rPr>
          <w:rFonts w:ascii="Verdana" w:hAnsi="Verdana" w:cs="Times New Roman"/>
          <w:noProof/>
          <w:sz w:val="20"/>
          <w:szCs w:val="20"/>
        </w:rPr>
        <w:t xml:space="preserve">. </w:t>
      </w:r>
      <w:r>
        <w:rPr>
          <w:rFonts w:ascii="Verdana" w:hAnsi="Verdana" w:cs="Times New Roman"/>
          <w:noProof/>
          <w:szCs w:val="20"/>
          <w:lang w:eastAsia="en-GB"/>
        </w:rPr>
        <mc:AlternateContent>
          <mc:Choice Requires="wps">
            <w:drawing>
              <wp:anchor distT="0" distB="0" distL="252095" distR="114300" simplePos="0" relativeHeight="251875328" behindDoc="1" locked="1" layoutInCell="0" allowOverlap="0">
                <wp:simplePos x="0" y="0"/>
                <wp:positionH relativeFrom="margin">
                  <wp:posOffset>4540885</wp:posOffset>
                </wp:positionH>
                <wp:positionV relativeFrom="paragraph">
                  <wp:posOffset>-476250</wp:posOffset>
                </wp:positionV>
                <wp:extent cx="1189990" cy="2092960"/>
                <wp:effectExtent l="329565" t="0" r="0" b="0"/>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89990" cy="2092960"/>
                        </a:xfrm>
                        <a:prstGeom prst="wedgeRoundRectCallout">
                          <a:avLst>
                            <a:gd name="adj1" fmla="val -17732"/>
                            <a:gd name="adj2" fmla="val 65426"/>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b/>
                                <w:i/>
                                <w:iCs/>
                                <w:color w:val="FFFFFF" w:themeColor="background1"/>
                                <w:sz w:val="20"/>
                                <w:szCs w:val="20"/>
                              </w:rPr>
                            </w:pPr>
                            <w:r>
                              <w:rPr>
                                <w:rFonts w:asciiTheme="majorHAnsi" w:eastAsiaTheme="majorEastAsia" w:hAnsiTheme="majorHAnsi" w:cstheme="majorBidi"/>
                                <w:b/>
                                <w:i/>
                                <w:iCs/>
                                <w:color w:val="FFFFFF" w:themeColor="background1"/>
                                <w:sz w:val="18"/>
                                <w:szCs w:val="20"/>
                              </w:rPr>
                              <w:t>European Disability Forum</w:t>
                            </w:r>
                            <w:r>
                              <w:rPr>
                                <w:rFonts w:asciiTheme="majorHAnsi" w:eastAsiaTheme="majorEastAsia" w:hAnsiTheme="majorHAnsi" w:cstheme="majorBidi"/>
                                <w:i/>
                                <w:iCs/>
                                <w:color w:val="FFFFFF" w:themeColor="background1"/>
                                <w:sz w:val="18"/>
                                <w:szCs w:val="20"/>
                              </w:rPr>
                              <w:t>: "The rights of persons with disabilities are not adequately expressed and covered as they are limit</w:t>
                            </w:r>
                            <w:r>
                              <w:rPr>
                                <w:rFonts w:asciiTheme="majorHAnsi" w:eastAsiaTheme="majorEastAsia" w:hAnsiTheme="majorHAnsi" w:cstheme="majorBidi"/>
                                <w:i/>
                                <w:iCs/>
                                <w:color w:val="FFFFFF" w:themeColor="background1"/>
                                <w:sz w:val="18"/>
                                <w:szCs w:val="20"/>
                              </w:rPr>
                              <w:t>ed to disability benefits."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62" style="position:absolute;left:0;text-align:left;margin-left:357.55pt;margin-top:-37.5pt;width:93.7pt;height:164.8pt;rotation:90;z-index:-251441152;visibility:visible;mso-wrap-style:square;mso-width-percent:0;mso-height-percent:0;mso-wrap-distance-left:19.85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PQMAAMwGAAAOAAAAZHJzL2Uyb0RvYy54bWysVU1v4zYQvRfY/0DwrujDkmUJURaxYxcF&#10;su1i06JnWqQsthKpknTktOh/73CkJEq3h2J3bUDgiMPhvDdvRtfvL31HHoWxUquKxlcRJULVmkt1&#10;qugvPx+CDSXWMcVZp5Wo6JOw9P3Nu++ux6EUiW51x4UhEETZchwq2jo3lGFo61b0zF7pQSjYbLTp&#10;mQPTnEJu2AjR+y5MomgdjtrwwehaWAtv76ZNeoPxm0bU7qemscKRrqKQm8OnwefRP8Oba1aeDBta&#10;Wc9psC/IomdSwaUvoe6YY+Rs5GehelkbbXXjrmrdh7ppZC0QA6CJo3+heWjZIBALkGOHF5rstwtb&#10;//j40RDJKwqFUqyHEt2encabSeLpGQdbgtfD8NF4gHa41/Xvlii9a5k6iVtj9NgKxiGp2PuHbw54&#10;w8JRchw/aA7RGURHpi6N6YnRUJEsjfwP3wIj5ILleXopj7g4UsPLON4URQFVrGEviYqkWGMBQ1b6&#10;YD67wVj3vdA98YuKjoKfxCd9VvwTKGHHuk6fHd7DHu+tw4LxGTbjv8WUNH0H9X9kHQniPF8hA1DV&#10;hVOydFpnabKeRbTwWS194vV6nSMzrJyvhYyfM0VOdSf5QXYdGuZ03HWGQA4A+ZAW+d182C7dgJQZ&#10;gacHpfZXESdptE2K4LDe5EF6SLOgyKNNEMXFFrhKi/Tu8LeHH6dlKzkX6l4q8Sz7OP1/spobcBIs&#10;Cp+MFV3FeYbMvsnSLsFku81qm/4XGONLhK3olbSf147JblqHbzMGkbESYHu6XtHfHrIoT1ebIM+z&#10;VZCu9lGw3Rx2we0OKpDvt7vtPn6Lfo8Dwn49AZgIBptrAjIT5qHlI+HSC3GVFQmoi0sYPUk+yZ2w&#10;7gQzs3aG+j74VboW287r/jMhbCL/n6TbDS2b5JFh3/img8acqMb1y/UTU6+ZLYicwb9yOXGKALCH&#10;fdtO7e8uxwvOiMwXz7f0UfMnaGpsX2hI+AAAyFabPykZYZhW1P5xZkZQ0v2gYDAUcZr66YtGmuUJ&#10;GGa5c1zuMFVDqJmZydi5aWafByNPLdwVIxVK+2HVSPc8d6a8AJNPEkYmopvHu5/JSxu9Xj9CN/8A&#10;AAD//wMAUEsDBBQABgAIAAAAIQDrqCm74AAAAAoBAAAPAAAAZHJzL2Rvd25yZXYueG1sTI9BT4NA&#10;EIXvJv6HzZh4a5dKCy2yNGqi8dqK8bosI2DZWWS3LfrrHU96nMyX976XbyfbixOOvnOkYDGPQCAZ&#10;V3fUKChfHmdrED5oqnXvCBV8oYdtcXmR66x2Z9rhaR8awSHkM62gDWHIpPSmRav93A1I/Ht3o9WB&#10;z7GR9ajPHG57eRNFibS6I25o9YAPLZrD/mgVHBarZzTJ94d9K5/uX81naqoyVer6arq7BRFwCn8w&#10;/OqzOhTsVLkj1V70CpLlkrcEBbN4A4KBTRonICom1/EKZJHL/xOKHwAAAP//AwBQSwECLQAUAAYA&#10;CAAAACEAtoM4kv4AAADhAQAAEwAAAAAAAAAAAAAAAAAAAAAAW0NvbnRlbnRfVHlwZXNdLnhtbFBL&#10;AQItABQABgAIAAAAIQA4/SH/1gAAAJQBAAALAAAAAAAAAAAAAAAAAC8BAABfcmVscy8ucmVsc1BL&#10;AQItABQABgAIAAAAIQBU+F/4PQMAAMwGAAAOAAAAAAAAAAAAAAAAAC4CAABkcnMvZTJvRG9jLnht&#10;bFBLAQItABQABgAIAAAAIQDrqCm74AAAAAoBAAAPAAAAAAAAAAAAAAAAAJcFAABkcnMvZG93bnJl&#10;di54bWxQSwUGAAAAAAQABADzAAAApAYAAAAA&#10;" o:allowincell="f" o:allowoverlap="f" adj="6970,24932"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b/>
                          <w:i/>
                          <w:iCs/>
                          <w:color w:val="FFFFFF" w:themeColor="background1"/>
                          <w:sz w:val="20"/>
                          <w:szCs w:val="20"/>
                        </w:rPr>
                      </w:pPr>
                      <w:r>
                        <w:rPr>
                          <w:rFonts w:asciiTheme="majorHAnsi" w:eastAsiaTheme="majorEastAsia" w:hAnsiTheme="majorHAnsi" w:cstheme="majorBidi"/>
                          <w:b/>
                          <w:i/>
                          <w:iCs/>
                          <w:color w:val="FFFFFF" w:themeColor="background1"/>
                          <w:sz w:val="18"/>
                          <w:szCs w:val="20"/>
                        </w:rPr>
                        <w:t>European Disability Forum</w:t>
                      </w:r>
                      <w:r>
                        <w:rPr>
                          <w:rFonts w:asciiTheme="majorHAnsi" w:eastAsiaTheme="majorEastAsia" w:hAnsiTheme="majorHAnsi" w:cstheme="majorBidi"/>
                          <w:i/>
                          <w:iCs/>
                          <w:color w:val="FFFFFF" w:themeColor="background1"/>
                          <w:sz w:val="18"/>
                          <w:szCs w:val="20"/>
                        </w:rPr>
                        <w:t>: "The rights of persons with disabilities are not adequately expressed and covered as they are limited to disability benefits."</w:t>
                      </w:r>
                    </w:p>
                  </w:txbxContent>
                </v:textbox>
                <w10:wrap type="square" anchorx="margin"/>
                <w10:anchorlock/>
              </v:shape>
            </w:pict>
          </mc:Fallback>
        </mc:AlternateContent>
      </w:r>
    </w:p>
    <w:p w:rsidR="001E527A" w:rsidRDefault="00CD69DA">
      <w:pPr>
        <w:pStyle w:val="Heading3"/>
        <w:rPr>
          <w:noProof/>
        </w:rPr>
      </w:pPr>
      <w:bookmarkStart w:id="13" w:name="_Toc479349457"/>
      <w:r>
        <w:rPr>
          <w:noProof/>
        </w:rPr>
        <w:t>The geographical scope: a Pillar for the euro area</w:t>
      </w:r>
      <w:bookmarkEnd w:id="13"/>
      <w:r>
        <w:rPr>
          <w:noProof/>
        </w:rPr>
        <w:t xml:space="preserve"> </w:t>
      </w:r>
    </w:p>
    <w:p w:rsidR="001E527A" w:rsidRDefault="00CD69DA">
      <w:pPr>
        <w:jc w:val="both"/>
        <w:rPr>
          <w:rFonts w:ascii="Verdana" w:hAnsi="Verdana"/>
          <w:noProof/>
          <w:sz w:val="20"/>
          <w:szCs w:val="20"/>
          <w:lang w:eastAsia="en-GB"/>
        </w:rPr>
      </w:pPr>
      <w:r>
        <w:rPr>
          <w:rFonts w:ascii="Verdana" w:hAnsi="Verdana"/>
          <w:noProof/>
          <w:sz w:val="20"/>
          <w:szCs w:val="20"/>
          <w:lang w:eastAsia="de-DE"/>
        </w:rPr>
        <w:t>In t</w:t>
      </w:r>
      <w:r>
        <w:rPr>
          <w:rFonts w:ascii="Verdana" w:hAnsi="Verdana"/>
          <w:noProof/>
          <w:sz w:val="20"/>
          <w:szCs w:val="20"/>
          <w:lang w:eastAsia="en-GB"/>
        </w:rPr>
        <w:t>he initial Commission's proposal, the Pillar was conceived, first and foremost, to support the deepening of the EMU, targeting the euro area, while being applicable to all</w:t>
      </w:r>
      <w:r>
        <w:rPr>
          <w:rFonts w:ascii="Verdana" w:hAnsi="Verdana"/>
          <w:noProof/>
          <w:sz w:val="20"/>
          <w:szCs w:val="20"/>
          <w:lang w:eastAsia="en-GB"/>
        </w:rPr>
        <w:t xml:space="preserve"> Member States that wish to be part of it.</w:t>
      </w:r>
    </w:p>
    <w:p w:rsidR="001E527A" w:rsidRDefault="00CD69DA">
      <w:pPr>
        <w:jc w:val="both"/>
        <w:rPr>
          <w:rFonts w:ascii="Verdana" w:hAnsi="Verdana"/>
          <w:noProof/>
          <w:sz w:val="20"/>
          <w:szCs w:val="20"/>
          <w:lang w:eastAsia="en-GB"/>
        </w:rPr>
      </w:pPr>
      <w:r>
        <w:rPr>
          <w:rFonts w:ascii="Verdana" w:hAnsi="Verdana"/>
          <w:noProof/>
          <w:sz w:val="20"/>
          <w:szCs w:val="20"/>
          <w:lang w:eastAsia="en-GB"/>
        </w:rPr>
        <w:t xml:space="preserve">In the consultation, it was recognised that more </w:t>
      </w:r>
      <w:r>
        <w:rPr>
          <w:rFonts w:ascii="Verdana" w:hAnsi="Verdana"/>
          <w:b/>
          <w:noProof/>
          <w:sz w:val="20"/>
          <w:szCs w:val="20"/>
          <w:lang w:eastAsia="en-GB"/>
        </w:rPr>
        <w:t xml:space="preserve">in-depth action to stimulate convergence </w:t>
      </w:r>
      <w:r>
        <w:rPr>
          <w:rFonts w:ascii="Verdana" w:hAnsi="Verdana"/>
          <w:noProof/>
          <w:sz w:val="20"/>
          <w:szCs w:val="20"/>
        </w:rPr>
        <w:t xml:space="preserve">towards better employment and social outcomes </w:t>
      </w:r>
      <w:r>
        <w:rPr>
          <w:rFonts w:ascii="Verdana" w:hAnsi="Verdana"/>
          <w:b/>
          <w:noProof/>
          <w:sz w:val="20"/>
          <w:szCs w:val="20"/>
          <w:lang w:eastAsia="en-GB"/>
        </w:rPr>
        <w:t>in the euro area</w:t>
      </w:r>
      <w:r>
        <w:rPr>
          <w:rFonts w:ascii="Verdana" w:hAnsi="Verdana"/>
          <w:noProof/>
          <w:sz w:val="20"/>
          <w:szCs w:val="20"/>
          <w:lang w:eastAsia="en-GB"/>
        </w:rPr>
        <w:t xml:space="preserve"> would be key to make its single monetary policy suitable for</w:t>
      </w:r>
      <w:r>
        <w:rPr>
          <w:rFonts w:ascii="Verdana" w:hAnsi="Verdana"/>
          <w:noProof/>
          <w:sz w:val="20"/>
          <w:szCs w:val="20"/>
          <w:lang w:eastAsia="en-GB"/>
        </w:rPr>
        <w:t xml:space="preserve"> all its members, to improve its functioning, and to reinforce the EMU's economic, social and political resilience. The European Parliament for instance considered that the constraints of euro area membership call for additional specific </w:t>
      </w:r>
      <w:r>
        <w:rPr>
          <w:rFonts w:ascii="Verdana" w:hAnsi="Verdana"/>
          <w:b/>
          <w:noProof/>
          <w:sz w:val="20"/>
          <w:szCs w:val="20"/>
          <w:lang w:eastAsia="en-GB"/>
        </w:rPr>
        <w:t>social targets and</w:t>
      </w:r>
      <w:r>
        <w:rPr>
          <w:rFonts w:ascii="Verdana" w:hAnsi="Verdana"/>
          <w:b/>
          <w:noProof/>
          <w:sz w:val="20"/>
          <w:szCs w:val="20"/>
          <w:lang w:eastAsia="en-GB"/>
        </w:rPr>
        <w:t xml:space="preserve"> standards</w:t>
      </w:r>
      <w:r>
        <w:rPr>
          <w:rFonts w:ascii="Verdana" w:hAnsi="Verdana"/>
          <w:noProof/>
          <w:sz w:val="20"/>
          <w:szCs w:val="20"/>
          <w:lang w:eastAsia="en-GB"/>
        </w:rPr>
        <w:t xml:space="preserve"> to be established and relevant financial support to be considered at the euro area level, while remaining open to non-euro area Member States on a voluntary basis</w:t>
      </w:r>
      <w:r>
        <w:rPr>
          <w:rStyle w:val="FootnoteReference"/>
          <w:rFonts w:ascii="Verdana" w:hAnsi="Verdana"/>
          <w:noProof/>
          <w:sz w:val="20"/>
          <w:szCs w:val="20"/>
          <w:lang w:eastAsia="en-GB"/>
        </w:rPr>
        <w:footnoteReference w:id="23"/>
      </w:r>
      <w:r>
        <w:rPr>
          <w:rFonts w:ascii="Verdana" w:hAnsi="Verdana"/>
          <w:noProof/>
          <w:sz w:val="20"/>
          <w:szCs w:val="20"/>
          <w:lang w:eastAsia="en-GB"/>
        </w:rPr>
        <w:t xml:space="preserve">. </w:t>
      </w:r>
    </w:p>
    <w:p w:rsidR="001E527A" w:rsidRDefault="00CD69DA">
      <w:pPr>
        <w:jc w:val="both"/>
        <w:rPr>
          <w:rFonts w:ascii="Verdana" w:hAnsi="Verdana"/>
          <w:noProof/>
          <w:sz w:val="20"/>
          <w:szCs w:val="20"/>
        </w:rPr>
      </w:pPr>
      <w:r>
        <w:rPr>
          <w:rFonts w:ascii="Verdana" w:hAnsi="Verdana"/>
          <w:noProof/>
          <w:sz w:val="20"/>
          <w:szCs w:val="20"/>
          <w:lang w:eastAsia="en-GB"/>
        </w:rPr>
        <w:t>S</w:t>
      </w:r>
      <w:r>
        <w:rPr>
          <w:rFonts w:ascii="Verdana" w:hAnsi="Verdana"/>
          <w:noProof/>
          <w:sz w:val="20"/>
          <w:szCs w:val="20"/>
        </w:rPr>
        <w:t>ome Member States, in particular Hungary, Poland, Germany, Portugal and the UK</w:t>
      </w:r>
      <w:r>
        <w:rPr>
          <w:rFonts w:ascii="Verdana" w:hAnsi="Verdana"/>
          <w:noProof/>
          <w:sz w:val="20"/>
          <w:szCs w:val="20"/>
        </w:rPr>
        <w:t xml:space="preserve">, supported the idea that </w:t>
      </w:r>
      <w:r>
        <w:rPr>
          <w:rFonts w:ascii="Verdana" w:hAnsi="Verdana"/>
          <w:b/>
          <w:noProof/>
          <w:sz w:val="20"/>
          <w:szCs w:val="20"/>
        </w:rPr>
        <w:t>non-euro area Member States should have the flexibility to choose</w:t>
      </w:r>
      <w:r>
        <w:rPr>
          <w:rFonts w:ascii="Verdana" w:hAnsi="Verdana"/>
          <w:noProof/>
          <w:sz w:val="20"/>
          <w:szCs w:val="20"/>
        </w:rPr>
        <w:t xml:space="preserve"> whether to be part of the Pillar. </w:t>
      </w:r>
    </w:p>
    <w:p w:rsidR="001E527A" w:rsidRDefault="00CD69DA">
      <w:pPr>
        <w:jc w:val="both"/>
        <w:rPr>
          <w:rFonts w:ascii="Verdana" w:hAnsi="Verdana"/>
          <w:noProof/>
          <w:sz w:val="20"/>
          <w:szCs w:val="20"/>
          <w:vertAlign w:val="superscript"/>
          <w:lang w:eastAsia="en-GB"/>
        </w:rPr>
      </w:pPr>
      <w:r>
        <w:rPr>
          <w:rFonts w:ascii="Verdana" w:hAnsi="Verdana"/>
          <w:noProof/>
          <w:sz w:val="20"/>
          <w:szCs w:val="20"/>
        </w:rPr>
        <w:t>On the other hand, a number of stakeholders argued that the Pillar should</w:t>
      </w:r>
      <w:r>
        <w:rPr>
          <w:rFonts w:ascii="Verdana" w:hAnsi="Verdana"/>
          <w:b/>
          <w:noProof/>
          <w:sz w:val="20"/>
          <w:szCs w:val="20"/>
        </w:rPr>
        <w:t xml:space="preserve"> </w:t>
      </w:r>
      <w:r>
        <w:rPr>
          <w:rFonts w:ascii="Verdana" w:hAnsi="Verdana"/>
          <w:noProof/>
          <w:sz w:val="20"/>
          <w:szCs w:val="20"/>
        </w:rPr>
        <w:t xml:space="preserve">be a cohesive goal and avoid creating gaps between the </w:t>
      </w:r>
      <w:r>
        <w:rPr>
          <w:rFonts w:ascii="Verdana" w:hAnsi="Verdana"/>
          <w:noProof/>
          <w:sz w:val="20"/>
          <w:szCs w:val="20"/>
        </w:rPr>
        <w:t xml:space="preserve">euro area and the rest of the Member States in social policies and standards, or </w:t>
      </w:r>
      <w:r>
        <w:rPr>
          <w:rFonts w:ascii="Verdana" w:hAnsi="Verdana"/>
          <w:noProof/>
          <w:sz w:val="20"/>
          <w:szCs w:val="20"/>
          <w:lang w:eastAsia="en-GB"/>
        </w:rPr>
        <w:t>cause uncertainty about the application of the EU social acquis. They saw a mutually reinforcing relation between the Pillar and the Single Market. On the one hand, increased</w:t>
      </w:r>
      <w:r>
        <w:rPr>
          <w:rFonts w:ascii="Verdana" w:hAnsi="Verdana"/>
          <w:noProof/>
          <w:sz w:val="20"/>
          <w:szCs w:val="20"/>
        </w:rPr>
        <w:t xml:space="preserve"> </w:t>
      </w:r>
      <w:r>
        <w:rPr>
          <w:rFonts w:ascii="Verdana" w:hAnsi="Verdana"/>
          <w:noProof/>
          <w:sz w:val="20"/>
          <w:szCs w:val="20"/>
        </w:rPr>
        <w:t xml:space="preserve">convergence in working and social conditions across the Union would contribute to a more level </w:t>
      </w:r>
      <w:r>
        <w:rPr>
          <w:rFonts w:ascii="Verdana" w:hAnsi="Verdana"/>
          <w:noProof/>
          <w:sz w:val="20"/>
          <w:szCs w:val="20"/>
          <w:lang w:eastAsia="en-GB"/>
        </w:rPr>
        <w:t xml:space="preserve">playing field and a </w:t>
      </w:r>
      <w:r>
        <w:rPr>
          <w:rFonts w:ascii="Verdana" w:hAnsi="Verdana"/>
          <w:b/>
          <w:noProof/>
          <w:sz w:val="20"/>
          <w:szCs w:val="20"/>
          <w:lang w:eastAsia="en-GB"/>
        </w:rPr>
        <w:t>better functioning market</w:t>
      </w:r>
      <w:r>
        <w:rPr>
          <w:rFonts w:ascii="Verdana" w:hAnsi="Verdana"/>
          <w:noProof/>
          <w:sz w:val="20"/>
          <w:szCs w:val="20"/>
          <w:lang w:eastAsia="en-GB"/>
        </w:rPr>
        <w:t xml:space="preserve">, including by preventing social dumping. On the other hand, </w:t>
      </w:r>
      <w:r>
        <w:rPr>
          <w:rFonts w:ascii="Verdana" w:hAnsi="Verdana"/>
          <w:noProof/>
          <w:sz w:val="20"/>
          <w:szCs w:val="20"/>
        </w:rPr>
        <w:t>the Single Market</w:t>
      </w:r>
      <w:r>
        <w:rPr>
          <w:rFonts w:ascii="Verdana" w:hAnsi="Verdana"/>
          <w:noProof/>
          <w:sz w:val="20"/>
          <w:szCs w:val="20"/>
          <w:lang w:eastAsia="en-GB"/>
        </w:rPr>
        <w:t xml:space="preserve"> is seen as an engine for convergence </w:t>
      </w:r>
      <w:r>
        <w:rPr>
          <w:rFonts w:ascii="Verdana" w:hAnsi="Verdana"/>
          <w:noProof/>
          <w:sz w:val="20"/>
          <w:szCs w:val="20"/>
          <w:lang w:eastAsia="en-GB"/>
        </w:rPr>
        <w:t>towards higher living standards through better utilisation of skills, increased competitiveness, productivity growth, job creation, and cohesion across the EU, thereby contributing to social progress in Europe</w:t>
      </w:r>
      <w:r>
        <w:rPr>
          <w:rFonts w:ascii="Verdana" w:hAnsi="Verdana"/>
          <w:noProof/>
          <w:sz w:val="20"/>
          <w:szCs w:val="20"/>
          <w:vertAlign w:val="superscript"/>
        </w:rPr>
        <w:footnoteReference w:id="24"/>
      </w:r>
      <w:r>
        <w:rPr>
          <w:rFonts w:ascii="Verdana" w:hAnsi="Verdana"/>
          <w:noProof/>
          <w:sz w:val="20"/>
          <w:szCs w:val="20"/>
          <w:lang w:eastAsia="en-GB"/>
        </w:rPr>
        <w:t>.</w:t>
      </w:r>
      <w:r>
        <w:rPr>
          <w:rFonts w:ascii="Verdana" w:hAnsi="Verdana"/>
          <w:noProof/>
          <w:sz w:val="20"/>
          <w:szCs w:val="20"/>
          <w:vertAlign w:val="superscript"/>
          <w:lang w:eastAsia="en-GB"/>
        </w:rPr>
        <w:t xml:space="preserve"> </w:t>
      </w:r>
    </w:p>
    <w:p w:rsidR="001E527A" w:rsidRDefault="00CD69DA">
      <w:pPr>
        <w:jc w:val="both"/>
        <w:rPr>
          <w:rFonts w:ascii="Verdana" w:hAnsi="Verdana"/>
          <w:noProof/>
          <w:sz w:val="20"/>
          <w:szCs w:val="20"/>
          <w:lang w:eastAsia="en-GB"/>
        </w:rPr>
      </w:pPr>
      <w:r>
        <w:rPr>
          <w:rFonts w:ascii="Verdana" w:hAnsi="Verdana"/>
          <w:noProof/>
          <w:sz w:val="20"/>
          <w:szCs w:val="20"/>
          <w:lang w:eastAsia="en-GB"/>
        </w:rPr>
        <w:t xml:space="preserve">The role of the Pillar as part of a deeper </w:t>
      </w:r>
      <w:r>
        <w:rPr>
          <w:rFonts w:ascii="Verdana" w:hAnsi="Verdana"/>
          <w:noProof/>
          <w:sz w:val="20"/>
          <w:szCs w:val="20"/>
          <w:lang w:eastAsia="en-GB"/>
        </w:rPr>
        <w:t>and fairer EMU was discussed in-depth with experts and stakeholders through specialised discussions in work stream 3. The main points highlighted in those discussions are summarised in the section below.</w:t>
      </w:r>
    </w:p>
    <w:p w:rsidR="001E527A" w:rsidRDefault="00CD69DA">
      <w:pPr>
        <w:rPr>
          <w:rFonts w:ascii="Verdana" w:hAnsi="Verdana"/>
          <w:noProof/>
          <w:sz w:val="20"/>
          <w:szCs w:val="20"/>
          <w:lang w:eastAsia="en-GB"/>
        </w:rPr>
      </w:pPr>
      <w:r>
        <w:rPr>
          <w:rFonts w:ascii="Verdana" w:hAnsi="Verdana"/>
          <w:noProof/>
          <w:sz w:val="20"/>
          <w:szCs w:val="20"/>
          <w:lang w:eastAsia="en-GB"/>
        </w:rPr>
        <w:br w:type="page"/>
      </w:r>
    </w:p>
    <w:p w:rsidR="001E527A" w:rsidRDefault="00CD69DA">
      <w:pPr>
        <w:shd w:val="clear" w:color="auto" w:fill="EAF1DD" w:themeFill="accent3" w:themeFillTint="33"/>
        <w:jc w:val="both"/>
        <w:rPr>
          <w:rFonts w:ascii="Verdana" w:hAnsi="Verdana" w:cs="Times New Roman"/>
          <w:i/>
          <w:noProof/>
          <w:sz w:val="20"/>
          <w:szCs w:val="20"/>
        </w:rPr>
      </w:pPr>
      <w:r>
        <w:rPr>
          <w:rFonts w:ascii="Verdana" w:hAnsi="Verdana" w:cs="Times New Roman"/>
          <w:b/>
          <w:i/>
          <w:noProof/>
          <w:sz w:val="20"/>
          <w:szCs w:val="20"/>
        </w:rPr>
        <w:lastRenderedPageBreak/>
        <w:t xml:space="preserve">Feedback from Work Stream 3: The role of the </w:t>
      </w:r>
      <w:r>
        <w:rPr>
          <w:rFonts w:ascii="Verdana" w:hAnsi="Verdana" w:cs="Times New Roman"/>
          <w:b/>
          <w:i/>
          <w:noProof/>
          <w:sz w:val="20"/>
          <w:szCs w:val="20"/>
        </w:rPr>
        <w:t>Pillar as part of a deeper and fairer EMU</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noProof/>
          <w:sz w:val="20"/>
          <w:szCs w:val="20"/>
        </w:rPr>
        <w:t>Work stream 3 drew on the input of a number of experts from academia, international organisations and think tanks, in particular through three dedicated hearings (on 10 and 23 May, and 17 June 2016).</w:t>
      </w:r>
    </w:p>
    <w:p w:rsidR="001E527A" w:rsidRDefault="00CD69DA">
      <w:pPr>
        <w:shd w:val="clear" w:color="auto" w:fill="EAF1DD" w:themeFill="accent3" w:themeFillTint="33"/>
        <w:jc w:val="both"/>
        <w:rPr>
          <w:rFonts w:ascii="Verdana" w:hAnsi="Verdana" w:cs="Arial"/>
          <w:noProof/>
          <w:sz w:val="20"/>
          <w:szCs w:val="20"/>
        </w:rPr>
      </w:pPr>
      <w:r>
        <w:rPr>
          <w:rFonts w:ascii="Verdana" w:hAnsi="Verdana" w:cs="Times New Roman"/>
          <w:noProof/>
          <w:sz w:val="20"/>
          <w:szCs w:val="20"/>
        </w:rPr>
        <w:t>Experts claime</w:t>
      </w:r>
      <w:r>
        <w:rPr>
          <w:rFonts w:ascii="Verdana" w:hAnsi="Verdana" w:cs="Times New Roman"/>
          <w:noProof/>
          <w:sz w:val="20"/>
          <w:szCs w:val="20"/>
        </w:rPr>
        <w:t>d that for the EMU to be sustainable, its member countries, in the absence of an autonomous monetary policy, need to have in place economic structures and institutions similarly resilient to economic shocks.</w:t>
      </w:r>
      <w:r>
        <w:rPr>
          <w:rFonts w:ascii="Verdana" w:eastAsia="Calibri" w:hAnsi="Verdana" w:cs="Arial"/>
          <w:noProof/>
          <w:sz w:val="20"/>
          <w:szCs w:val="20"/>
        </w:rPr>
        <w:t xml:space="preserve"> This means that the effects of a shock are short</w:t>
      </w:r>
      <w:r>
        <w:rPr>
          <w:rFonts w:ascii="Verdana" w:eastAsia="Calibri" w:hAnsi="Verdana" w:cs="Arial"/>
          <w:noProof/>
          <w:sz w:val="20"/>
          <w:szCs w:val="20"/>
        </w:rPr>
        <w:t xml:space="preserve">-lived and do not leave lasting social scars such as widespread </w:t>
      </w:r>
      <w:r>
        <w:rPr>
          <w:rFonts w:ascii="Verdana" w:hAnsi="Verdana"/>
          <w:noProof/>
          <w:sz w:val="20"/>
          <w:szCs w:val="20"/>
        </w:rPr>
        <w:t>and long-term unemployment</w:t>
      </w:r>
      <w:r>
        <w:rPr>
          <w:rFonts w:ascii="Verdana" w:eastAsia="Calibri" w:hAnsi="Verdana" w:cs="Arial"/>
          <w:noProof/>
          <w:sz w:val="20"/>
          <w:szCs w:val="20"/>
        </w:rPr>
        <w:t>. In addition, a good functioning EMU would require some degree of upward convergence in terms of growth potential and living standards.</w:t>
      </w:r>
      <w:r>
        <w:rPr>
          <w:rFonts w:ascii="Verdana" w:hAnsi="Verdana" w:cs="Arial"/>
          <w:noProof/>
          <w:sz w:val="20"/>
          <w:szCs w:val="20"/>
        </w:rPr>
        <w:t xml:space="preserve">  </w:t>
      </w:r>
    </w:p>
    <w:p w:rsidR="001E527A" w:rsidRDefault="00CD69DA">
      <w:pPr>
        <w:shd w:val="clear" w:color="auto" w:fill="EAF1DD" w:themeFill="accent3" w:themeFillTint="33"/>
        <w:jc w:val="both"/>
        <w:rPr>
          <w:rFonts w:ascii="Verdana" w:hAnsi="Verdana" w:cs="Arial"/>
          <w:noProof/>
          <w:sz w:val="20"/>
          <w:szCs w:val="20"/>
        </w:rPr>
      </w:pPr>
      <w:r>
        <w:rPr>
          <w:rFonts w:ascii="Verdana" w:hAnsi="Verdana" w:cs="Arial"/>
          <w:noProof/>
          <w:sz w:val="20"/>
          <w:szCs w:val="20"/>
        </w:rPr>
        <w:t>Three aspects were identifi</w:t>
      </w:r>
      <w:r>
        <w:rPr>
          <w:rFonts w:ascii="Verdana" w:hAnsi="Verdana" w:cs="Arial"/>
          <w:noProof/>
          <w:sz w:val="20"/>
          <w:szCs w:val="20"/>
        </w:rPr>
        <w:t xml:space="preserve">ed where the Pillar could play a specific role to improve the functioning and sustainability of the EMU. </w:t>
      </w:r>
    </w:p>
    <w:p w:rsidR="001E527A" w:rsidRDefault="00CD69DA">
      <w:pPr>
        <w:shd w:val="clear" w:color="auto" w:fill="EAF1DD" w:themeFill="accent3" w:themeFillTint="33"/>
        <w:jc w:val="both"/>
        <w:rPr>
          <w:rFonts w:ascii="Verdana" w:hAnsi="Verdana" w:cs="Arial"/>
          <w:noProof/>
          <w:sz w:val="20"/>
          <w:szCs w:val="20"/>
        </w:rPr>
      </w:pPr>
      <w:r>
        <w:rPr>
          <w:rFonts w:ascii="Verdana" w:hAnsi="Verdana" w:cs="Times New Roman"/>
          <w:noProof/>
          <w:sz w:val="20"/>
          <w:szCs w:val="20"/>
        </w:rPr>
        <w:t>First,</w:t>
      </w:r>
      <w:r>
        <w:rPr>
          <w:rFonts w:ascii="Verdana" w:hAnsi="Verdana" w:cs="Arial"/>
          <w:noProof/>
          <w:sz w:val="20"/>
          <w:szCs w:val="20"/>
        </w:rPr>
        <w:t xml:space="preserve"> the Pillar would help to build up a </w:t>
      </w:r>
      <w:r>
        <w:rPr>
          <w:rFonts w:ascii="Verdana" w:hAnsi="Verdana" w:cs="Arial"/>
          <w:b/>
          <w:noProof/>
          <w:sz w:val="20"/>
          <w:szCs w:val="20"/>
        </w:rPr>
        <w:t>consensus on the key features of social policies</w:t>
      </w:r>
      <w:r>
        <w:rPr>
          <w:rFonts w:ascii="Verdana" w:hAnsi="Verdana" w:cs="Arial"/>
          <w:noProof/>
          <w:sz w:val="20"/>
          <w:szCs w:val="20"/>
        </w:rPr>
        <w:t xml:space="preserve"> that are especially relevant for the EMU, and this would b</w:t>
      </w:r>
      <w:r>
        <w:rPr>
          <w:rFonts w:ascii="Verdana" w:hAnsi="Verdana" w:cs="Arial"/>
          <w:noProof/>
          <w:sz w:val="20"/>
          <w:szCs w:val="20"/>
        </w:rPr>
        <w:t xml:space="preserve">e essential to the political legitimacy of the EMU itself. </w:t>
      </w:r>
    </w:p>
    <w:p w:rsidR="001E527A" w:rsidRDefault="00CD69DA">
      <w:pPr>
        <w:shd w:val="clear" w:color="auto" w:fill="EAF1DD" w:themeFill="accent3" w:themeFillTint="33"/>
        <w:jc w:val="both"/>
        <w:rPr>
          <w:rFonts w:ascii="Verdana" w:hAnsi="Verdana" w:cs="Arial"/>
          <w:noProof/>
          <w:sz w:val="20"/>
          <w:szCs w:val="20"/>
        </w:rPr>
      </w:pPr>
      <w:r>
        <w:rPr>
          <w:rFonts w:ascii="Verdana" w:hAnsi="Verdana" w:cs="Arial"/>
          <w:noProof/>
          <w:sz w:val="20"/>
          <w:szCs w:val="20"/>
        </w:rPr>
        <w:t xml:space="preserve">Second, the implementation of a number of principles in the Pillar would </w:t>
      </w:r>
      <w:r>
        <w:rPr>
          <w:rFonts w:ascii="Verdana" w:hAnsi="Verdana"/>
          <w:noProof/>
          <w:sz w:val="20"/>
          <w:szCs w:val="20"/>
        </w:rPr>
        <w:t xml:space="preserve">help to enhance resilience and </w:t>
      </w:r>
      <w:r>
        <w:rPr>
          <w:rFonts w:ascii="Verdana" w:hAnsi="Verdana" w:cs="Arial"/>
          <w:noProof/>
          <w:sz w:val="20"/>
          <w:szCs w:val="20"/>
        </w:rPr>
        <w:t xml:space="preserve">support upward convergence in employment and social outcomes </w:t>
      </w:r>
      <w:r>
        <w:rPr>
          <w:rFonts w:ascii="Verdana" w:hAnsi="Verdana"/>
          <w:noProof/>
          <w:sz w:val="20"/>
          <w:szCs w:val="20"/>
        </w:rPr>
        <w:t xml:space="preserve">by contributing to the </w:t>
      </w:r>
      <w:r>
        <w:rPr>
          <w:rFonts w:ascii="Verdana" w:hAnsi="Verdana"/>
          <w:b/>
          <w:noProof/>
          <w:sz w:val="20"/>
          <w:szCs w:val="20"/>
        </w:rPr>
        <w:t>developm</w:t>
      </w:r>
      <w:r>
        <w:rPr>
          <w:rFonts w:ascii="Verdana" w:hAnsi="Verdana"/>
          <w:b/>
          <w:noProof/>
          <w:sz w:val="20"/>
          <w:szCs w:val="20"/>
        </w:rPr>
        <w:t>ent of well-designed labour market and social policies</w:t>
      </w:r>
      <w:r>
        <w:rPr>
          <w:rFonts w:ascii="Verdana" w:hAnsi="Verdana"/>
          <w:noProof/>
          <w:sz w:val="20"/>
          <w:szCs w:val="20"/>
        </w:rPr>
        <w:t xml:space="preserve"> together with growth-friendly and fair taxation. </w:t>
      </w:r>
      <w:r>
        <w:rPr>
          <w:rFonts w:ascii="Verdana" w:hAnsi="Verdana" w:cs="Times New Roman"/>
          <w:noProof/>
          <w:color w:val="000000" w:themeColor="text1"/>
          <w:sz w:val="20"/>
          <w:szCs w:val="20"/>
        </w:rPr>
        <w:t>This can happen either by promoting institutional convergence in labour market and social policy settings, or by developing a weaker form of convergence</w:t>
      </w:r>
      <w:r>
        <w:rPr>
          <w:rFonts w:ascii="Verdana" w:hAnsi="Verdana" w:cs="Times New Roman"/>
          <w:noProof/>
          <w:color w:val="000000" w:themeColor="text1"/>
          <w:sz w:val="20"/>
          <w:szCs w:val="20"/>
        </w:rPr>
        <w:t xml:space="preserve"> based on shared values and objectives while keeping different systems. Many pointed out that </w:t>
      </w:r>
      <w:r>
        <w:rPr>
          <w:rFonts w:ascii="Verdana" w:hAnsi="Verdana" w:cs="Arial"/>
          <w:noProof/>
          <w:sz w:val="20"/>
          <w:szCs w:val="20"/>
        </w:rPr>
        <w:t>different models - including ways of funding these policies - can be equally fit for purpose, and that what</w:t>
      </w:r>
      <w:r>
        <w:rPr>
          <w:rFonts w:ascii="Verdana" w:eastAsia="Times New Roman" w:hAnsi="Verdana" w:cs="Arial"/>
          <w:noProof/>
          <w:sz w:val="20"/>
          <w:szCs w:val="20"/>
        </w:rPr>
        <w:t xml:space="preserve"> matters </w:t>
      </w:r>
      <w:r>
        <w:rPr>
          <w:rFonts w:ascii="Verdana" w:hAnsi="Verdana" w:cs="Arial"/>
          <w:noProof/>
          <w:sz w:val="20"/>
          <w:szCs w:val="20"/>
        </w:rPr>
        <w:t>for upward convergence</w:t>
      </w:r>
      <w:r>
        <w:rPr>
          <w:rFonts w:ascii="Verdana" w:eastAsia="Times New Roman" w:hAnsi="Verdana" w:cs="Arial"/>
          <w:noProof/>
          <w:sz w:val="20"/>
          <w:szCs w:val="20"/>
        </w:rPr>
        <w:t xml:space="preserve"> in living standards is </w:t>
      </w:r>
      <w:r>
        <w:rPr>
          <w:rFonts w:ascii="Verdana" w:eastAsia="Times New Roman" w:hAnsi="Verdana" w:cs="Arial"/>
          <w:noProof/>
          <w:sz w:val="20"/>
          <w:szCs w:val="20"/>
        </w:rPr>
        <w:t>the quality of institutions and of governance, and their cost-effectiveness in delivering the desired outcomes</w:t>
      </w:r>
      <w:r>
        <w:rPr>
          <w:rFonts w:ascii="Verdana" w:hAnsi="Verdana" w:cs="Arial"/>
          <w:noProof/>
          <w:sz w:val="20"/>
          <w:szCs w:val="20"/>
        </w:rPr>
        <w:t xml:space="preserve">. </w:t>
      </w:r>
    </w:p>
    <w:p w:rsidR="001E527A" w:rsidRDefault="00CD69DA">
      <w:pPr>
        <w:shd w:val="clear" w:color="auto" w:fill="EAF1DD" w:themeFill="accent3" w:themeFillTint="33"/>
        <w:jc w:val="both"/>
        <w:rPr>
          <w:rFonts w:ascii="Verdana" w:hAnsi="Verdana" w:cs="Arial"/>
          <w:noProof/>
          <w:sz w:val="20"/>
          <w:szCs w:val="20"/>
        </w:rPr>
      </w:pPr>
      <w:r>
        <w:rPr>
          <w:rFonts w:ascii="Verdana" w:hAnsi="Verdana" w:cs="Arial"/>
          <w:noProof/>
          <w:sz w:val="20"/>
          <w:szCs w:val="20"/>
        </w:rPr>
        <w:t xml:space="preserve">Third, </w:t>
      </w:r>
      <w:r>
        <w:rPr>
          <w:rFonts w:ascii="Verdana" w:eastAsia="Times New Roman" w:hAnsi="Verdana" w:cs="Arial"/>
          <w:noProof/>
          <w:sz w:val="20"/>
          <w:szCs w:val="20"/>
        </w:rPr>
        <w:t xml:space="preserve">there was broad agreement that the Pillar (or at least some of its elements) could help prepare the ground or serve to define the conditions for </w:t>
      </w:r>
      <w:r>
        <w:rPr>
          <w:rFonts w:ascii="Verdana" w:eastAsia="Times New Roman" w:hAnsi="Verdana" w:cs="Arial"/>
          <w:b/>
          <w:noProof/>
          <w:sz w:val="20"/>
          <w:szCs w:val="20"/>
        </w:rPr>
        <w:t>setting up and accessing a possible supranational automatic stabilisation mechanism</w:t>
      </w:r>
      <w:r>
        <w:rPr>
          <w:rFonts w:ascii="Verdana" w:eastAsia="Times New Roman" w:hAnsi="Verdana" w:cs="Arial"/>
          <w:noProof/>
          <w:sz w:val="20"/>
          <w:szCs w:val="20"/>
        </w:rPr>
        <w:t xml:space="preserve">. </w:t>
      </w:r>
      <w:r>
        <w:rPr>
          <w:rFonts w:ascii="Verdana" w:hAnsi="Verdana"/>
          <w:noProof/>
          <w:sz w:val="20"/>
          <w:szCs w:val="20"/>
        </w:rPr>
        <w:t>Its primary function would</w:t>
      </w:r>
      <w:r>
        <w:rPr>
          <w:rFonts w:ascii="Verdana" w:hAnsi="Verdana"/>
          <w:noProof/>
          <w:sz w:val="20"/>
          <w:szCs w:val="20"/>
        </w:rPr>
        <w:t xml:space="preserve"> be to provide some forms of risk sharing and a strengthened macroeconomic stabilisation capacity for the euro area in case of asymmetric shocks. </w:t>
      </w:r>
      <w:r>
        <w:rPr>
          <w:rFonts w:ascii="Verdana" w:eastAsia="Times New Roman" w:hAnsi="Verdana" w:cs="Arial"/>
          <w:noProof/>
          <w:sz w:val="20"/>
          <w:szCs w:val="20"/>
        </w:rPr>
        <w:t>In case such a mechanism took the form of an EMU-wide unemployment benefit scheme, it would require some degre</w:t>
      </w:r>
      <w:r>
        <w:rPr>
          <w:rFonts w:ascii="Verdana" w:eastAsia="Times New Roman" w:hAnsi="Verdana" w:cs="Arial"/>
          <w:noProof/>
          <w:sz w:val="20"/>
          <w:szCs w:val="20"/>
        </w:rPr>
        <w:t xml:space="preserve">e of convergence </w:t>
      </w:r>
      <w:r>
        <w:rPr>
          <w:rFonts w:ascii="Verdana" w:hAnsi="Verdana"/>
          <w:noProof/>
          <w:sz w:val="20"/>
          <w:szCs w:val="20"/>
        </w:rPr>
        <w:t xml:space="preserve">and Member States’ cooperation in the design of labour market policy settings, in particular of the relevant components of national systems, such as unemployment benefits and active labour market policies, </w:t>
      </w:r>
      <w:r>
        <w:rPr>
          <w:rFonts w:ascii="Verdana" w:eastAsia="Times New Roman" w:hAnsi="Verdana" w:cs="Arial"/>
          <w:noProof/>
          <w:sz w:val="20"/>
          <w:szCs w:val="20"/>
        </w:rPr>
        <w:t>to help tackle moral hazard, ensu</w:t>
      </w:r>
      <w:r>
        <w:rPr>
          <w:rFonts w:ascii="Verdana" w:eastAsia="Times New Roman" w:hAnsi="Verdana" w:cs="Arial"/>
          <w:noProof/>
          <w:sz w:val="20"/>
          <w:szCs w:val="20"/>
        </w:rPr>
        <w:t>re its effectiveness and build up mutual trust among the countries joining the scheme. In this context, t</w:t>
      </w:r>
      <w:r>
        <w:rPr>
          <w:rFonts w:ascii="Verdana" w:hAnsi="Verdana" w:cs="Arial"/>
          <w:noProof/>
          <w:sz w:val="20"/>
          <w:szCs w:val="20"/>
        </w:rPr>
        <w:t xml:space="preserve">he Pillar could be seen as providing a 'quality insurance' framework and paving the way for the criteria necessary for joining such a scheme. </w:t>
      </w:r>
    </w:p>
    <w:p w:rsidR="001E527A" w:rsidRDefault="00CD69DA">
      <w:pPr>
        <w:shd w:val="clear" w:color="auto" w:fill="EAF1DD" w:themeFill="accent3" w:themeFillTint="33"/>
        <w:jc w:val="both"/>
        <w:rPr>
          <w:rFonts w:ascii="Verdana" w:hAnsi="Verdana" w:cs="Times New Roman"/>
          <w:noProof/>
          <w:color w:val="000000" w:themeColor="text1"/>
          <w:sz w:val="20"/>
          <w:szCs w:val="20"/>
        </w:rPr>
      </w:pPr>
      <w:r>
        <w:rPr>
          <w:rFonts w:ascii="Verdana" w:hAnsi="Verdana"/>
          <w:noProof/>
          <w:sz w:val="20"/>
          <w:szCs w:val="20"/>
        </w:rPr>
        <w:t>While ma</w:t>
      </w:r>
      <w:r>
        <w:rPr>
          <w:rFonts w:ascii="Verdana" w:hAnsi="Verdana"/>
          <w:noProof/>
          <w:sz w:val="20"/>
          <w:szCs w:val="20"/>
        </w:rPr>
        <w:t xml:space="preserve">ny if not nearly all of the principles proposed in the Pillar were considered as equally </w:t>
      </w:r>
      <w:r>
        <w:rPr>
          <w:rFonts w:ascii="Verdana" w:hAnsi="Verdana" w:cs="Times New Roman"/>
          <w:noProof/>
          <w:color w:val="000000" w:themeColor="text1"/>
          <w:sz w:val="20"/>
          <w:szCs w:val="20"/>
        </w:rPr>
        <w:t xml:space="preserve">important </w:t>
      </w:r>
      <w:r>
        <w:rPr>
          <w:rFonts w:ascii="Verdana" w:hAnsi="Verdana"/>
          <w:noProof/>
          <w:sz w:val="20"/>
          <w:szCs w:val="20"/>
        </w:rPr>
        <w:t xml:space="preserve">for both the EMU and the EU as a whole, </w:t>
      </w:r>
      <w:r>
        <w:rPr>
          <w:rFonts w:ascii="Verdana" w:hAnsi="Verdana" w:cs="Times New Roman"/>
          <w:noProof/>
          <w:color w:val="000000" w:themeColor="text1"/>
          <w:sz w:val="20"/>
          <w:szCs w:val="20"/>
        </w:rPr>
        <w:t xml:space="preserve">a number of </w:t>
      </w:r>
      <w:r>
        <w:rPr>
          <w:rFonts w:ascii="Verdana" w:hAnsi="Verdana" w:cs="Times New Roman"/>
          <w:b/>
          <w:noProof/>
          <w:color w:val="000000" w:themeColor="text1"/>
          <w:sz w:val="20"/>
          <w:szCs w:val="20"/>
        </w:rPr>
        <w:t>dimensions</w:t>
      </w:r>
      <w:r>
        <w:rPr>
          <w:rFonts w:ascii="Verdana" w:hAnsi="Verdana" w:cs="Times New Roman"/>
          <w:noProof/>
          <w:color w:val="000000" w:themeColor="text1"/>
          <w:sz w:val="20"/>
          <w:szCs w:val="20"/>
        </w:rPr>
        <w:t xml:space="preserve"> emerged as </w:t>
      </w:r>
      <w:r>
        <w:rPr>
          <w:rFonts w:ascii="Verdana" w:hAnsi="Verdana" w:cs="Times New Roman"/>
          <w:b/>
          <w:noProof/>
          <w:color w:val="000000" w:themeColor="text1"/>
          <w:sz w:val="20"/>
          <w:szCs w:val="20"/>
        </w:rPr>
        <w:t xml:space="preserve">particularly </w:t>
      </w:r>
      <w:r>
        <w:rPr>
          <w:rFonts w:ascii="Verdana" w:hAnsi="Verdana"/>
          <w:b/>
          <w:noProof/>
          <w:sz w:val="20"/>
          <w:szCs w:val="20"/>
        </w:rPr>
        <w:t xml:space="preserve">relevant </w:t>
      </w:r>
      <w:r>
        <w:rPr>
          <w:rFonts w:ascii="Verdana" w:hAnsi="Verdana" w:cs="Times New Roman"/>
          <w:b/>
          <w:noProof/>
          <w:color w:val="000000" w:themeColor="text1"/>
          <w:sz w:val="20"/>
          <w:szCs w:val="20"/>
        </w:rPr>
        <w:t>for a good functioning EMU</w:t>
      </w:r>
      <w:r>
        <w:rPr>
          <w:rFonts w:ascii="Verdana" w:hAnsi="Verdana" w:cs="Times New Roman"/>
          <w:noProof/>
          <w:color w:val="000000" w:themeColor="text1"/>
          <w:sz w:val="20"/>
          <w:szCs w:val="20"/>
        </w:rPr>
        <w:t xml:space="preserve">. Specific reference was also made </w:t>
      </w:r>
      <w:r>
        <w:rPr>
          <w:rFonts w:ascii="Verdana" w:hAnsi="Verdana" w:cs="Times New Roman"/>
          <w:noProof/>
          <w:color w:val="000000" w:themeColor="text1"/>
          <w:sz w:val="20"/>
          <w:szCs w:val="20"/>
        </w:rPr>
        <w:t>to the need for labour market settings conducive to a good labour market adjustment capacity through an efficient allocation of human resources and wages smoothly responding to economic change. There was consensus on the role played by national automatic s</w:t>
      </w:r>
      <w:r>
        <w:rPr>
          <w:rFonts w:ascii="Verdana" w:hAnsi="Verdana" w:cs="Times New Roman"/>
          <w:noProof/>
          <w:color w:val="000000" w:themeColor="text1"/>
          <w:sz w:val="20"/>
          <w:szCs w:val="20"/>
        </w:rPr>
        <w:t xml:space="preserve">tabilisers, including unemployment benefit systems (and where relevant minimum incomes or other </w:t>
      </w:r>
      <w:r>
        <w:rPr>
          <w:rFonts w:ascii="Verdana" w:hAnsi="Verdana" w:cs="Times New Roman"/>
          <w:noProof/>
          <w:color w:val="000000" w:themeColor="text1"/>
          <w:sz w:val="20"/>
          <w:szCs w:val="20"/>
        </w:rPr>
        <w:lastRenderedPageBreak/>
        <w:t xml:space="preserve">benefits) as well as policies supporting job matching to ease adjustment, and hence on the importance of their design. </w:t>
      </w:r>
      <w:r>
        <w:rPr>
          <w:rFonts w:ascii="Verdana" w:hAnsi="Verdana"/>
          <w:noProof/>
          <w:sz w:val="20"/>
          <w:szCs w:val="20"/>
        </w:rPr>
        <w:t xml:space="preserve">Skills, education and lifelong learning, </w:t>
      </w:r>
      <w:r>
        <w:rPr>
          <w:rFonts w:ascii="Verdana" w:hAnsi="Verdana"/>
          <w:noProof/>
          <w:sz w:val="20"/>
          <w:szCs w:val="20"/>
        </w:rPr>
        <w:t xml:space="preserve">and more generally </w:t>
      </w:r>
      <w:r>
        <w:rPr>
          <w:rFonts w:ascii="Verdana" w:hAnsi="Verdana" w:cs="Times New Roman"/>
          <w:noProof/>
          <w:color w:val="000000" w:themeColor="text1"/>
          <w:sz w:val="20"/>
          <w:szCs w:val="20"/>
        </w:rPr>
        <w:t xml:space="preserve">human capital development, were seen as favouring the adaptability of the labour force to demand shifts, and were considered key drivers of long-term growth, and necessary for more sustainable upward socio-economic convergence. Finally, </w:t>
      </w:r>
      <w:r>
        <w:rPr>
          <w:rFonts w:ascii="Verdana" w:hAnsi="Verdana" w:cs="Times New Roman"/>
          <w:noProof/>
          <w:color w:val="000000" w:themeColor="text1"/>
          <w:sz w:val="20"/>
          <w:szCs w:val="20"/>
        </w:rPr>
        <w:t>i</w:t>
      </w:r>
      <w:r>
        <w:rPr>
          <w:rFonts w:ascii="Verdana" w:hAnsi="Verdana" w:cs="Arial"/>
          <w:noProof/>
          <w:sz w:val="20"/>
          <w:szCs w:val="20"/>
        </w:rPr>
        <w:t xml:space="preserve">t was widely acknowledged that labour mobility is a key channel of adjustment within the </w:t>
      </w:r>
      <w:r>
        <w:rPr>
          <w:rFonts w:ascii="Verdana" w:hAnsi="Verdana"/>
          <w:noProof/>
          <w:sz w:val="20"/>
          <w:szCs w:val="20"/>
        </w:rPr>
        <w:t>EMU</w:t>
      </w:r>
      <w:r>
        <w:rPr>
          <w:rFonts w:ascii="Verdana" w:hAnsi="Verdana" w:cs="Times New Roman"/>
          <w:noProof/>
          <w:color w:val="000000" w:themeColor="text1"/>
          <w:sz w:val="20"/>
          <w:szCs w:val="20"/>
        </w:rPr>
        <w:t>; the importance of ensuring a fair degree of portability of social rights, both within and across countries, was underlined in this respect.</w:t>
      </w:r>
    </w:p>
    <w:p w:rsidR="001E527A" w:rsidRDefault="00CD69DA">
      <w:pPr>
        <w:shd w:val="clear" w:color="auto" w:fill="EAF1DD" w:themeFill="accent3" w:themeFillTint="33"/>
        <w:jc w:val="both"/>
        <w:rPr>
          <w:rFonts w:ascii="Verdana" w:hAnsi="Verdana"/>
          <w:noProof/>
          <w:szCs w:val="24"/>
        </w:rPr>
      </w:pPr>
      <w:r>
        <w:rPr>
          <w:rFonts w:ascii="Verdana" w:hAnsi="Verdana"/>
          <w:noProof/>
          <w:sz w:val="20"/>
          <w:szCs w:val="20"/>
        </w:rPr>
        <w:t xml:space="preserve">Experts identified </w:t>
      </w:r>
      <w:r>
        <w:rPr>
          <w:rFonts w:ascii="Verdana" w:hAnsi="Verdana"/>
          <w:b/>
          <w:noProof/>
          <w:sz w:val="20"/>
          <w:szCs w:val="20"/>
        </w:rPr>
        <w:t>be</w:t>
      </w:r>
      <w:r>
        <w:rPr>
          <w:rFonts w:ascii="Verdana" w:hAnsi="Verdana"/>
          <w:b/>
          <w:noProof/>
          <w:sz w:val="20"/>
          <w:szCs w:val="20"/>
        </w:rPr>
        <w:t>nchmarking</w:t>
      </w:r>
      <w:r>
        <w:rPr>
          <w:rFonts w:ascii="Verdana" w:hAnsi="Verdana"/>
          <w:noProof/>
          <w:sz w:val="20"/>
          <w:szCs w:val="20"/>
        </w:rPr>
        <w:t xml:space="preserve"> as a possible tool to support convergence in the design of labour market and social policy systems in the euro area towards better outcomes. The main objective of benchmarking is to support the reform process in the Member States by cross-examin</w:t>
      </w:r>
      <w:r>
        <w:rPr>
          <w:rFonts w:ascii="Verdana" w:hAnsi="Verdana"/>
          <w:noProof/>
          <w:sz w:val="20"/>
          <w:szCs w:val="20"/>
        </w:rPr>
        <w:t xml:space="preserve">ing relative performance, identifying challenges and promoting convergence towards good policy practices. The comparative examination of Member States' performance and policies in different areas would further support the identification of reform needs in </w:t>
      </w:r>
      <w:r>
        <w:rPr>
          <w:rFonts w:ascii="Verdana" w:hAnsi="Verdana"/>
          <w:noProof/>
          <w:sz w:val="20"/>
          <w:szCs w:val="20"/>
        </w:rPr>
        <w:t xml:space="preserve">individual countries and help formulate appropriate policy responses, drawing from the examination of different practices and their results. </w:t>
      </w:r>
    </w:p>
    <w:p w:rsidR="001E527A" w:rsidRDefault="00CD69DA">
      <w:pPr>
        <w:rPr>
          <w:rFonts w:ascii="Verdana" w:eastAsiaTheme="majorEastAsia" w:hAnsi="Verdana" w:cstheme="majorBidi"/>
          <w:b/>
          <w:bCs/>
          <w:noProof/>
          <w:color w:val="0070C0"/>
          <w:sz w:val="28"/>
          <w:szCs w:val="26"/>
        </w:rPr>
      </w:pPr>
      <w:r>
        <w:rPr>
          <w:rFonts w:ascii="Verdana" w:hAnsi="Verdana"/>
          <w:noProof/>
        </w:rPr>
        <w:br w:type="page"/>
      </w:r>
    </w:p>
    <w:p w:rsidR="001E527A" w:rsidRDefault="00CD69DA">
      <w:pPr>
        <w:pStyle w:val="Heading2"/>
        <w:rPr>
          <w:noProof/>
        </w:rPr>
      </w:pPr>
      <w:bookmarkStart w:id="14" w:name="_Toc479349458"/>
      <w:r>
        <w:rPr>
          <w:noProof/>
        </w:rPr>
        <w:lastRenderedPageBreak/>
        <w:t>3. The legal nature</w:t>
      </w:r>
      <w:bookmarkEnd w:id="14"/>
      <w:r>
        <w:rPr>
          <w:noProof/>
        </w:rPr>
        <w:t xml:space="preserve"> </w:t>
      </w:r>
    </w:p>
    <w:p w:rsidR="001E527A" w:rsidRDefault="00CD69DA">
      <w:pPr>
        <w:pStyle w:val="Heading3"/>
        <w:rPr>
          <w:noProof/>
        </w:rPr>
      </w:pPr>
      <w:bookmarkStart w:id="15" w:name="_Toc479349459"/>
      <w:r>
        <w:rPr>
          <w:noProof/>
        </w:rPr>
        <w:t>The debate on the binding versus non-binding nature of the Pillar</w:t>
      </w:r>
      <w:bookmarkEnd w:id="15"/>
      <w:r>
        <w:rPr>
          <w:noProof/>
        </w:rPr>
        <w:t xml:space="preserve"> </w:t>
      </w:r>
    </w:p>
    <w:p w:rsidR="001E527A" w:rsidRDefault="00CD69DA">
      <w:pPr>
        <w:jc w:val="both"/>
        <w:rPr>
          <w:rFonts w:ascii="Verdana" w:hAnsi="Verdana"/>
          <w:noProof/>
          <w:sz w:val="20"/>
          <w:szCs w:val="20"/>
        </w:rPr>
      </w:pPr>
      <w:r>
        <w:rPr>
          <w:rFonts w:ascii="Verdana" w:hAnsi="Verdana"/>
          <w:noProof/>
          <w:sz w:val="20"/>
          <w:szCs w:val="20"/>
        </w:rPr>
        <w:t>The choice of the legal instrument for establishing the Pillar was left open in the Commission Communication launching the public consultation on 8 March 2016. This point was much debated during the consultation, with many questions arising on the final fo</w:t>
      </w:r>
      <w:r>
        <w:rPr>
          <w:rFonts w:ascii="Verdana" w:hAnsi="Verdana"/>
          <w:noProof/>
          <w:sz w:val="20"/>
          <w:szCs w:val="20"/>
        </w:rPr>
        <w:t xml:space="preserve">rm that the Pillar will take, and contrasting positions on whether it should have a legally binding nature.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Stakeholders generally shared the view that discussions on the choice of instruments for the Pillar itself should </w:t>
      </w:r>
      <w:r>
        <w:rPr>
          <w:rFonts w:ascii="Verdana" w:hAnsi="Verdana" w:cs="Times New Roman"/>
          <w:b/>
          <w:noProof/>
          <w:sz w:val="20"/>
          <w:szCs w:val="20"/>
        </w:rPr>
        <w:t>follow from an agreement on the s</w:t>
      </w:r>
      <w:r>
        <w:rPr>
          <w:rFonts w:ascii="Verdana" w:hAnsi="Verdana" w:cs="Times New Roman"/>
          <w:b/>
          <w:noProof/>
          <w:sz w:val="20"/>
          <w:szCs w:val="20"/>
        </w:rPr>
        <w:t>ubstance</w:t>
      </w:r>
      <w:r>
        <w:rPr>
          <w:rFonts w:ascii="Verdana" w:hAnsi="Verdana" w:cs="Times New Roman"/>
          <w:noProof/>
          <w:sz w:val="20"/>
          <w:szCs w:val="20"/>
        </w:rPr>
        <w:t xml:space="preserve"> of the initiative. This is because the preliminary draft Pillar consisted of a broad range of principles, with each of them reflecting a different nature and degree of EU competence</w:t>
      </w:r>
      <w:r>
        <w:rPr>
          <w:rStyle w:val="FootnoteReference"/>
          <w:rFonts w:ascii="Verdana" w:hAnsi="Verdana" w:cs="Times New Roman"/>
          <w:noProof/>
          <w:sz w:val="20"/>
          <w:szCs w:val="20"/>
        </w:rPr>
        <w:footnoteReference w:id="25"/>
      </w:r>
      <w:r>
        <w:rPr>
          <w:rFonts w:ascii="Verdana" w:hAnsi="Verdana" w:cs="Times New Roman"/>
          <w:noProof/>
          <w:sz w:val="20"/>
          <w:szCs w:val="20"/>
        </w:rPr>
        <w:t xml:space="preserve">. As a result, the final form of the Pillar will have to reflect </w:t>
      </w:r>
      <w:r>
        <w:rPr>
          <w:rFonts w:ascii="Verdana" w:hAnsi="Verdana" w:cs="Times New Roman"/>
          <w:noProof/>
          <w:sz w:val="20"/>
          <w:szCs w:val="20"/>
        </w:rPr>
        <w:t xml:space="preserve">such diversification, in full respect for the division of competences between the EU and Member States, and subsidiarity. </w:t>
      </w:r>
    </w:p>
    <w:p w:rsidR="001E527A" w:rsidRDefault="00CD69DA">
      <w:pPr>
        <w:jc w:val="both"/>
        <w:rPr>
          <w:rFonts w:ascii="Verdana" w:hAnsi="Verdana"/>
          <w:noProof/>
          <w:sz w:val="20"/>
          <w:szCs w:val="20"/>
        </w:rPr>
      </w:pPr>
      <w:r>
        <w:rPr>
          <w:rFonts w:ascii="Verdana" w:hAnsi="Verdana"/>
          <w:noProof/>
          <w:sz w:val="20"/>
          <w:szCs w:val="20"/>
        </w:rPr>
        <w:t xml:space="preserve">Support for a </w:t>
      </w:r>
      <w:r>
        <w:rPr>
          <w:rFonts w:ascii="Verdana" w:hAnsi="Verdana"/>
          <w:b/>
          <w:noProof/>
          <w:sz w:val="20"/>
          <w:szCs w:val="20"/>
        </w:rPr>
        <w:t>binding</w:t>
      </w:r>
      <w:r>
        <w:rPr>
          <w:rFonts w:ascii="Verdana" w:hAnsi="Verdana"/>
          <w:noProof/>
          <w:sz w:val="20"/>
          <w:szCs w:val="20"/>
        </w:rPr>
        <w:t xml:space="preserve"> Pillar was strongest among trade unions and NGOs. On the other hand, national government representatives in a m</w:t>
      </w:r>
      <w:r>
        <w:rPr>
          <w:rFonts w:ascii="Verdana" w:hAnsi="Verdana"/>
          <w:noProof/>
          <w:sz w:val="20"/>
          <w:szCs w:val="20"/>
        </w:rPr>
        <w:t xml:space="preserve">ajority of Member States and employer organisations expressed their disagreement over the potentially prescriptive nature of the principles and favoured the use of </w:t>
      </w:r>
      <w:r>
        <w:rPr>
          <w:rFonts w:ascii="Verdana" w:hAnsi="Verdana"/>
          <w:b/>
          <w:noProof/>
          <w:sz w:val="20"/>
          <w:szCs w:val="20"/>
        </w:rPr>
        <w:t>soft policy</w:t>
      </w:r>
      <w:r>
        <w:rPr>
          <w:rFonts w:ascii="Verdana" w:hAnsi="Verdana"/>
          <w:noProof/>
          <w:sz w:val="20"/>
          <w:szCs w:val="20"/>
        </w:rPr>
        <w:t>.</w:t>
      </w:r>
    </w:p>
    <w:p w:rsidR="001E527A" w:rsidRDefault="00CD69DA">
      <w:pPr>
        <w:jc w:val="both"/>
        <w:rPr>
          <w:rFonts w:ascii="Verdana" w:hAnsi="Verdana"/>
          <w:noProof/>
          <w:sz w:val="20"/>
          <w:szCs w:val="20"/>
        </w:rPr>
      </w:pPr>
      <w:r>
        <w:rPr>
          <w:rFonts w:ascii="Verdana" w:hAnsi="Verdana"/>
          <w:noProof/>
          <w:sz w:val="20"/>
          <w:szCs w:val="20"/>
        </w:rPr>
        <w:t>A number of parameters were identified for</w:t>
      </w:r>
      <w:r>
        <w:rPr>
          <w:rFonts w:ascii="Verdana" w:hAnsi="Verdana"/>
          <w:b/>
          <w:noProof/>
          <w:sz w:val="20"/>
          <w:szCs w:val="20"/>
        </w:rPr>
        <w:t xml:space="preserve"> consideration in the choice of the i</w:t>
      </w:r>
      <w:r>
        <w:rPr>
          <w:rFonts w:ascii="Verdana" w:hAnsi="Verdana"/>
          <w:b/>
          <w:noProof/>
          <w:sz w:val="20"/>
          <w:szCs w:val="20"/>
        </w:rPr>
        <w:t>nstrument</w:t>
      </w:r>
      <w:r>
        <w:rPr>
          <w:rFonts w:ascii="Verdana" w:hAnsi="Verdana"/>
          <w:noProof/>
          <w:sz w:val="20"/>
          <w:szCs w:val="20"/>
        </w:rPr>
        <w:t>, including political visibility, the involvement of the different Union institutions and social partners, possibilities for application to the euro area only, the degree to which it can encompass both a legislative and non-legislative agenda, and</w:t>
      </w:r>
      <w:r>
        <w:rPr>
          <w:rFonts w:ascii="Verdana" w:hAnsi="Verdana"/>
          <w:noProof/>
          <w:sz w:val="20"/>
          <w:szCs w:val="20"/>
        </w:rPr>
        <w:t xml:space="preserve"> the links to the European Semester.</w:t>
      </w:r>
    </w:p>
    <w:tbl>
      <w:tblPr>
        <w:tblStyle w:val="TableGrid"/>
        <w:tblpPr w:leftFromText="180" w:rightFromText="180" w:vertAnchor="text" w:horzAnchor="margin" w:tblpX="108" w:tblpY="100"/>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1E527A">
        <w:trPr>
          <w:trHeight w:val="277"/>
        </w:trPr>
        <w:tc>
          <w:tcPr>
            <w:tcW w:w="9639" w:type="dxa"/>
            <w:shd w:val="clear" w:color="auto" w:fill="DAEEF3" w:themeFill="accent5" w:themeFillTint="33"/>
          </w:tcPr>
          <w:p w:rsidR="001E527A" w:rsidRDefault="00CD69DA">
            <w:pPr>
              <w:spacing w:after="200" w:line="276" w:lineRule="auto"/>
              <w:jc w:val="both"/>
              <w:rPr>
                <w:rFonts w:ascii="Verdana" w:hAnsi="Verdana"/>
                <w:b/>
                <w:noProof/>
                <w:sz w:val="20"/>
                <w:szCs w:val="20"/>
              </w:rPr>
            </w:pPr>
            <w:r>
              <w:rPr>
                <w:rFonts w:ascii="Verdana" w:hAnsi="Verdana"/>
                <w:b/>
                <w:noProof/>
                <w:sz w:val="20"/>
                <w:szCs w:val="20"/>
              </w:rPr>
              <w:t xml:space="preserve">Box 1: Instruments to establish the Pillar </w:t>
            </w:r>
          </w:p>
          <w:p w:rsidR="001E527A" w:rsidRDefault="00CD69DA">
            <w:pPr>
              <w:jc w:val="both"/>
              <w:rPr>
                <w:rFonts w:ascii="Verdana" w:hAnsi="Verdana"/>
                <w:noProof/>
                <w:sz w:val="20"/>
                <w:szCs w:val="20"/>
              </w:rPr>
            </w:pPr>
            <w:r>
              <w:rPr>
                <w:rFonts w:ascii="Verdana" w:hAnsi="Verdana"/>
                <w:noProof/>
                <w:sz w:val="20"/>
                <w:szCs w:val="20"/>
              </w:rPr>
              <w:t xml:space="preserve">Concrete ideas on how the Pillar itself could be established were raised during the consultation and included: </w:t>
            </w:r>
          </w:p>
          <w:p w:rsidR="001E527A" w:rsidRDefault="001E527A">
            <w:pPr>
              <w:jc w:val="both"/>
              <w:rPr>
                <w:rFonts w:ascii="Verdana" w:hAnsi="Verdana"/>
                <w:noProof/>
                <w:sz w:val="20"/>
                <w:szCs w:val="20"/>
              </w:rPr>
            </w:pPr>
          </w:p>
          <w:p w:rsidR="001E527A" w:rsidRDefault="00CD69DA">
            <w:pPr>
              <w:pStyle w:val="Bullet1"/>
              <w:spacing w:before="0" w:after="200" w:line="276" w:lineRule="auto"/>
              <w:jc w:val="both"/>
              <w:rPr>
                <w:noProof/>
                <w:szCs w:val="20"/>
              </w:rPr>
            </w:pPr>
            <w:r>
              <w:rPr>
                <w:noProof/>
                <w:szCs w:val="20"/>
              </w:rPr>
              <w:t xml:space="preserve">An instrument of primary law: for example a Treaty change, or </w:t>
            </w:r>
            <w:r>
              <w:rPr>
                <w:noProof/>
                <w:szCs w:val="20"/>
              </w:rPr>
              <w:t>a social progress protocol to be included in the EU Treaties</w:t>
            </w:r>
            <w:r>
              <w:rPr>
                <w:noProof/>
                <w:vertAlign w:val="superscript"/>
              </w:rPr>
              <w:footnoteReference w:id="26"/>
            </w:r>
            <w:r>
              <w:rPr>
                <w:noProof/>
                <w:szCs w:val="20"/>
              </w:rPr>
              <w:t>;</w:t>
            </w:r>
          </w:p>
          <w:p w:rsidR="001E527A" w:rsidRDefault="00CD69DA">
            <w:pPr>
              <w:pStyle w:val="Bullet1"/>
              <w:spacing w:before="0" w:after="200" w:line="276" w:lineRule="auto"/>
              <w:jc w:val="both"/>
              <w:rPr>
                <w:noProof/>
                <w:szCs w:val="20"/>
              </w:rPr>
            </w:pPr>
            <w:r>
              <w:rPr>
                <w:noProof/>
                <w:szCs w:val="20"/>
              </w:rPr>
              <w:t>Enhanced cooperation to build a social Union</w:t>
            </w:r>
            <w:r>
              <w:rPr>
                <w:noProof/>
                <w:szCs w:val="20"/>
                <w:vertAlign w:val="superscript"/>
              </w:rPr>
              <w:footnoteReference w:id="27"/>
            </w:r>
            <w:r>
              <w:rPr>
                <w:noProof/>
                <w:szCs w:val="20"/>
              </w:rPr>
              <w:t xml:space="preserve">; </w:t>
            </w:r>
          </w:p>
          <w:p w:rsidR="001E527A" w:rsidRDefault="00CD69DA">
            <w:pPr>
              <w:pStyle w:val="Bullet1"/>
              <w:spacing w:before="0" w:after="200" w:line="276" w:lineRule="auto"/>
              <w:jc w:val="both"/>
              <w:rPr>
                <w:noProof/>
                <w:szCs w:val="20"/>
              </w:rPr>
            </w:pPr>
            <w:r>
              <w:rPr>
                <w:noProof/>
                <w:szCs w:val="20"/>
              </w:rPr>
              <w:t xml:space="preserve">An agreement between the Commission, the European Parliament and the Member States / European Council with the full involvement of the social </w:t>
            </w:r>
            <w:r>
              <w:rPr>
                <w:noProof/>
                <w:szCs w:val="20"/>
              </w:rPr>
              <w:t>partners</w:t>
            </w:r>
            <w:r>
              <w:rPr>
                <w:rStyle w:val="FootnoteReference"/>
                <w:noProof/>
                <w:szCs w:val="20"/>
              </w:rPr>
              <w:footnoteReference w:id="28"/>
            </w:r>
            <w:r>
              <w:rPr>
                <w:noProof/>
                <w:szCs w:val="20"/>
              </w:rPr>
              <w:t>;</w:t>
            </w:r>
          </w:p>
          <w:p w:rsidR="001E527A" w:rsidRDefault="00CD69DA">
            <w:pPr>
              <w:pStyle w:val="Bullet1"/>
              <w:spacing w:before="0" w:after="200" w:line="276" w:lineRule="auto"/>
              <w:jc w:val="both"/>
              <w:rPr>
                <w:noProof/>
                <w:szCs w:val="20"/>
              </w:rPr>
            </w:pPr>
            <w:r>
              <w:rPr>
                <w:noProof/>
                <w:szCs w:val="20"/>
              </w:rPr>
              <w:t>An instrument of secondary law, including binding tools</w:t>
            </w:r>
            <w:r>
              <w:rPr>
                <w:rStyle w:val="FootnoteReference"/>
                <w:noProof/>
                <w:szCs w:val="20"/>
              </w:rPr>
              <w:footnoteReference w:id="29"/>
            </w:r>
            <w:r>
              <w:rPr>
                <w:noProof/>
                <w:szCs w:val="20"/>
              </w:rPr>
              <w:t xml:space="preserve"> such as directives and regulations, or non-binding ones such as a recommendation</w:t>
            </w:r>
            <w:r>
              <w:rPr>
                <w:noProof/>
                <w:vertAlign w:val="superscript"/>
              </w:rPr>
              <w:footnoteReference w:id="30"/>
            </w:r>
            <w:r>
              <w:rPr>
                <w:noProof/>
                <w:szCs w:val="20"/>
              </w:rPr>
              <w:t>;</w:t>
            </w:r>
          </w:p>
          <w:p w:rsidR="001E527A" w:rsidRDefault="00CD69DA">
            <w:pPr>
              <w:pStyle w:val="Bullet1"/>
              <w:spacing w:before="0" w:after="200" w:line="276" w:lineRule="auto"/>
              <w:jc w:val="both"/>
              <w:rPr>
                <w:noProof/>
                <w:szCs w:val="20"/>
              </w:rPr>
            </w:pPr>
            <w:r>
              <w:rPr>
                <w:noProof/>
                <w:szCs w:val="20"/>
              </w:rPr>
              <w:t xml:space="preserve">Other instruments such as an Action Plan, a Communication or a Green Paper; </w:t>
            </w:r>
          </w:p>
          <w:p w:rsidR="001E527A" w:rsidRDefault="00CD69DA">
            <w:pPr>
              <w:pStyle w:val="Bullet1"/>
              <w:spacing w:before="0" w:after="200" w:line="276" w:lineRule="auto"/>
              <w:jc w:val="both"/>
              <w:rPr>
                <w:noProof/>
                <w:szCs w:val="20"/>
              </w:rPr>
            </w:pPr>
            <w:r>
              <w:rPr>
                <w:noProof/>
                <w:szCs w:val="20"/>
              </w:rPr>
              <w:t>A package including multiple</w:t>
            </w:r>
            <w:r>
              <w:rPr>
                <w:noProof/>
                <w:szCs w:val="20"/>
              </w:rPr>
              <w:t xml:space="preserve"> instruments. </w:t>
            </w:r>
          </w:p>
        </w:tc>
      </w:tr>
    </w:tbl>
    <w:p w:rsidR="001E527A" w:rsidRDefault="00CD69DA">
      <w:pPr>
        <w:pStyle w:val="Heading3"/>
        <w:rPr>
          <w:noProof/>
        </w:rPr>
      </w:pPr>
      <w:bookmarkStart w:id="16" w:name="_Toc479349460"/>
      <w:r>
        <w:rPr>
          <w:noProof/>
        </w:rPr>
        <w:lastRenderedPageBreak/>
        <w:t>The difference between rights and principles</w:t>
      </w:r>
      <w:bookmarkEnd w:id="16"/>
    </w:p>
    <w:p w:rsidR="001E527A" w:rsidRDefault="00CD69DA">
      <w:pPr>
        <w:jc w:val="both"/>
        <w:rPr>
          <w:rFonts w:ascii="Verdana" w:hAnsi="Verdana"/>
          <w:noProof/>
          <w:sz w:val="20"/>
          <w:szCs w:val="20"/>
        </w:rPr>
      </w:pPr>
      <w:r>
        <w:rPr>
          <w:rFonts w:ascii="Verdana" w:hAnsi="Verdana"/>
          <w:noProof/>
          <w:sz w:val="20"/>
          <w:szCs w:val="20"/>
        </w:rPr>
        <w:t xml:space="preserve">Stakeholders raised questions about the distinction between rights and principles in the initial Commission's draft, and how they relate to values and rights that feature in the EU acquis. A common view was that this relationship could be </w:t>
      </w:r>
      <w:r>
        <w:rPr>
          <w:rFonts w:ascii="Verdana" w:hAnsi="Verdana"/>
          <w:b/>
          <w:noProof/>
          <w:sz w:val="20"/>
          <w:szCs w:val="20"/>
        </w:rPr>
        <w:t>further clarified</w:t>
      </w:r>
      <w:r>
        <w:rPr>
          <w:rFonts w:ascii="Verdana" w:hAnsi="Verdana"/>
          <w:noProof/>
          <w:sz w:val="20"/>
          <w:szCs w:val="20"/>
        </w:rPr>
        <w:t>, and that alignment of individual principles with the relevant provisions of the Charter of Fundamental Rights of the European Union could improve legal certainty</w:t>
      </w:r>
      <w:r>
        <w:rPr>
          <w:rStyle w:val="FootnoteReference"/>
          <w:rFonts w:ascii="Verdana" w:hAnsi="Verdana"/>
          <w:noProof/>
          <w:sz w:val="20"/>
          <w:szCs w:val="20"/>
        </w:rPr>
        <w:footnoteReference w:id="31"/>
      </w:r>
      <w:r>
        <w:rPr>
          <w:rFonts w:ascii="Verdana" w:hAnsi="Verdana"/>
          <w:noProof/>
          <w:sz w:val="20"/>
          <w:szCs w:val="20"/>
        </w:rPr>
        <w:t xml:space="preserve">. </w:t>
      </w:r>
    </w:p>
    <w:p w:rsidR="001E527A" w:rsidRDefault="00CD69DA">
      <w:pPr>
        <w:jc w:val="both"/>
        <w:rPr>
          <w:rFonts w:ascii="Verdana" w:hAnsi="Verdana"/>
          <w:noProof/>
          <w:sz w:val="20"/>
          <w:szCs w:val="20"/>
        </w:rPr>
      </w:pPr>
      <w:r>
        <w:rPr>
          <w:rFonts w:ascii="Verdana" w:hAnsi="Verdana"/>
          <w:noProof/>
          <w:sz w:val="20"/>
          <w:szCs w:val="20"/>
        </w:rPr>
        <w:t xml:space="preserve">The importance of ensuring </w:t>
      </w:r>
      <w:r>
        <w:rPr>
          <w:rFonts w:ascii="Verdana" w:hAnsi="Verdana"/>
          <w:b/>
          <w:noProof/>
          <w:sz w:val="20"/>
          <w:szCs w:val="20"/>
        </w:rPr>
        <w:t xml:space="preserve">consistency with </w:t>
      </w:r>
      <w:r>
        <w:rPr>
          <w:rFonts w:ascii="Verdana" w:hAnsi="Verdana"/>
          <w:b/>
          <w:noProof/>
          <w:sz w:val="20"/>
          <w:szCs w:val="20"/>
          <w:lang w:eastAsia="en-GB"/>
        </w:rPr>
        <w:t>international law</w:t>
      </w:r>
      <w:r>
        <w:rPr>
          <w:rFonts w:ascii="Verdana" w:hAnsi="Verdana"/>
          <w:noProof/>
          <w:sz w:val="20"/>
          <w:szCs w:val="20"/>
          <w:lang w:eastAsia="en-GB"/>
        </w:rPr>
        <w:t xml:space="preserve"> instruments such as the Cou</w:t>
      </w:r>
      <w:r>
        <w:rPr>
          <w:rFonts w:ascii="Verdana" w:hAnsi="Verdana"/>
          <w:noProof/>
          <w:sz w:val="20"/>
          <w:szCs w:val="20"/>
          <w:lang w:eastAsia="en-GB"/>
        </w:rPr>
        <w:t>ncil of Europe Social Charter and ILO Conventions and Recommendations was also underlined. Concretely, E</w:t>
      </w:r>
      <w:r>
        <w:rPr>
          <w:rFonts w:ascii="Verdana" w:hAnsi="Verdana"/>
          <w:noProof/>
          <w:sz w:val="20"/>
          <w:szCs w:val="20"/>
        </w:rPr>
        <w:t>U-level social partners asked for clarification around sources of law and areas of EU/Member State competence for each of the 20 principles proposed, to</w:t>
      </w:r>
      <w:r>
        <w:rPr>
          <w:rFonts w:ascii="Verdana" w:hAnsi="Verdana"/>
          <w:noProof/>
          <w:sz w:val="20"/>
          <w:szCs w:val="20"/>
        </w:rPr>
        <w:t xml:space="preserve"> identify possible options for policy action.</w:t>
      </w:r>
    </w:p>
    <w:p w:rsidR="001E527A" w:rsidRDefault="00CD69DA">
      <w:pPr>
        <w:jc w:val="both"/>
        <w:rPr>
          <w:rFonts w:ascii="Verdana" w:hAnsi="Verdana"/>
          <w:noProof/>
          <w:sz w:val="20"/>
          <w:szCs w:val="20"/>
        </w:rPr>
      </w:pPr>
      <w:r>
        <w:rPr>
          <w:rFonts w:ascii="Verdana" w:hAnsi="Verdana"/>
          <w:noProof/>
          <w:sz w:val="20"/>
          <w:szCs w:val="20"/>
        </w:rPr>
        <w:t xml:space="preserve">It was also noted that the draft text of the Pillar combined rights directed at individuals with principles targeting employment and social systems. Therefore, many considered that the final Pillar should draw </w:t>
      </w:r>
      <w:r>
        <w:rPr>
          <w:rFonts w:ascii="Verdana" w:hAnsi="Verdana"/>
          <w:noProof/>
          <w:sz w:val="20"/>
          <w:szCs w:val="20"/>
        </w:rPr>
        <w:t xml:space="preserve">a </w:t>
      </w:r>
      <w:r>
        <w:rPr>
          <w:rFonts w:ascii="Verdana" w:hAnsi="Verdana"/>
          <w:b/>
          <w:noProof/>
          <w:sz w:val="20"/>
          <w:szCs w:val="20"/>
        </w:rPr>
        <w:t>clearer distinction between individual rights and systemic principles</w:t>
      </w:r>
      <w:r>
        <w:rPr>
          <w:rFonts w:ascii="Verdana" w:hAnsi="Verdana"/>
          <w:noProof/>
          <w:sz w:val="20"/>
          <w:szCs w:val="20"/>
        </w:rPr>
        <w:t xml:space="preserve">. </w:t>
      </w:r>
    </w:p>
    <w:p w:rsidR="001E527A" w:rsidRDefault="00CD69DA">
      <w:pPr>
        <w:jc w:val="both"/>
        <w:rPr>
          <w:rFonts w:ascii="Verdana" w:hAnsi="Verdana"/>
          <w:noProof/>
          <w:sz w:val="20"/>
          <w:szCs w:val="20"/>
        </w:rPr>
      </w:pPr>
      <w:r>
        <w:rPr>
          <w:rFonts w:ascii="Verdana" w:hAnsi="Verdana"/>
          <w:noProof/>
          <w:sz w:val="20"/>
          <w:szCs w:val="20"/>
        </w:rPr>
        <w:t xml:space="preserve">The </w:t>
      </w:r>
      <w:r>
        <w:rPr>
          <w:rFonts w:ascii="Verdana" w:hAnsi="Verdana"/>
          <w:b/>
          <w:noProof/>
          <w:sz w:val="20"/>
          <w:szCs w:val="20"/>
        </w:rPr>
        <w:t>personal scope</w:t>
      </w:r>
      <w:r>
        <w:rPr>
          <w:rFonts w:ascii="Verdana" w:hAnsi="Verdana"/>
          <w:noProof/>
          <w:sz w:val="20"/>
          <w:szCs w:val="20"/>
        </w:rPr>
        <w:t xml:space="preserve"> </w:t>
      </w:r>
      <w:r>
        <w:rPr>
          <w:rFonts w:ascii="Verdana" w:hAnsi="Verdana"/>
          <w:b/>
          <w:noProof/>
          <w:sz w:val="20"/>
          <w:szCs w:val="20"/>
        </w:rPr>
        <w:t>of application</w:t>
      </w:r>
      <w:r>
        <w:rPr>
          <w:rFonts w:ascii="Verdana" w:hAnsi="Verdana"/>
          <w:noProof/>
          <w:sz w:val="20"/>
          <w:szCs w:val="20"/>
        </w:rPr>
        <w:t xml:space="preserve"> should also be clarified, with some arguing that the rights should apply to everyone in the EU, while others being in favour of a distinction betwee</w:t>
      </w:r>
      <w:r>
        <w:rPr>
          <w:rFonts w:ascii="Verdana" w:hAnsi="Verdana"/>
          <w:noProof/>
          <w:sz w:val="20"/>
          <w:szCs w:val="20"/>
        </w:rPr>
        <w:t xml:space="preserve">n EU citizens and third-country legal residents. </w:t>
      </w:r>
    </w:p>
    <w:p w:rsidR="001E527A" w:rsidRDefault="00CD69DA">
      <w:pPr>
        <w:jc w:val="both"/>
        <w:rPr>
          <w:rFonts w:ascii="Verdana" w:hAnsi="Verdana"/>
          <w:noProof/>
          <w:sz w:val="20"/>
          <w:szCs w:val="20"/>
        </w:rPr>
      </w:pPr>
      <w:r>
        <w:rPr>
          <w:rFonts w:ascii="Verdana" w:hAnsi="Verdana"/>
          <w:noProof/>
          <w:sz w:val="20"/>
          <w:szCs w:val="20"/>
        </w:rPr>
        <w:t xml:space="preserve">Certain stakeholders put forward that more clarity on access to and </w:t>
      </w:r>
      <w:r>
        <w:rPr>
          <w:rFonts w:ascii="Verdana" w:hAnsi="Verdana"/>
          <w:b/>
          <w:noProof/>
          <w:sz w:val="20"/>
          <w:szCs w:val="20"/>
        </w:rPr>
        <w:t>enforceability</w:t>
      </w:r>
      <w:r>
        <w:rPr>
          <w:rFonts w:ascii="Verdana" w:hAnsi="Verdana"/>
          <w:noProof/>
          <w:sz w:val="20"/>
          <w:szCs w:val="20"/>
        </w:rPr>
        <w:t xml:space="preserve"> of rights would be important to make the Pillar more visible and operational for citizens and all players involved in imple</w:t>
      </w:r>
      <w:r>
        <w:rPr>
          <w:rFonts w:ascii="Verdana" w:hAnsi="Verdana"/>
          <w:noProof/>
          <w:sz w:val="20"/>
          <w:szCs w:val="20"/>
        </w:rPr>
        <w:t xml:space="preserve">mentation. </w:t>
      </w:r>
    </w:p>
    <w:p w:rsidR="001E527A" w:rsidRDefault="00CD69DA">
      <w:pPr>
        <w:pStyle w:val="Heading3"/>
        <w:rPr>
          <w:noProof/>
        </w:rPr>
      </w:pPr>
      <w:bookmarkStart w:id="17" w:name="_Toc479349461"/>
      <w:r>
        <w:rPr>
          <w:noProof/>
        </w:rPr>
        <w:t>The importance of broad political commitment regardless of the final legal framework chosen</w:t>
      </w:r>
      <w:bookmarkEnd w:id="17"/>
      <w:r>
        <w:rPr>
          <w:noProof/>
        </w:rPr>
        <w:t xml:space="preserve"> </w:t>
      </w:r>
    </w:p>
    <w:p w:rsidR="001E527A" w:rsidRDefault="00CD69DA">
      <w:pPr>
        <w:jc w:val="both"/>
        <w:rPr>
          <w:rFonts w:ascii="Verdana" w:hAnsi="Verdana"/>
          <w:noProof/>
          <w:sz w:val="20"/>
          <w:szCs w:val="20"/>
          <w:lang w:eastAsia="en-GB"/>
        </w:rPr>
      </w:pPr>
      <w:r>
        <w:rPr>
          <w:rFonts w:ascii="Verdana" w:hAnsi="Verdana" w:cs="Times New Roman"/>
          <w:noProof/>
          <w:sz w:val="20"/>
          <w:szCs w:val="20"/>
          <w:lang w:eastAsia="en-GB"/>
        </w:rPr>
        <mc:AlternateContent>
          <mc:Choice Requires="wps">
            <w:drawing>
              <wp:anchor distT="0" distB="0" distL="180340" distR="114300" simplePos="0" relativeHeight="251717632" behindDoc="1" locked="0" layoutInCell="0" allowOverlap="1">
                <wp:simplePos x="0" y="0"/>
                <wp:positionH relativeFrom="margin">
                  <wp:posOffset>4409440</wp:posOffset>
                </wp:positionH>
                <wp:positionV relativeFrom="margin">
                  <wp:posOffset>6141085</wp:posOffset>
                </wp:positionV>
                <wp:extent cx="1246505" cy="2244725"/>
                <wp:effectExtent l="300990" t="3810" r="6985" b="6985"/>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46505" cy="2244725"/>
                        </a:xfrm>
                        <a:prstGeom prst="wedgeRoundRectCallout">
                          <a:avLst>
                            <a:gd name="adj1" fmla="val -13836"/>
                            <a:gd name="adj2" fmla="val 63079"/>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b/>
                                <w:i/>
                                <w:iCs/>
                                <w:color w:val="FFFFFF" w:themeColor="background1"/>
                                <w:sz w:val="18"/>
                                <w:szCs w:val="18"/>
                              </w:rPr>
                            </w:pPr>
                            <w:r>
                              <w:rPr>
                                <w:rFonts w:asciiTheme="majorHAnsi" w:eastAsiaTheme="majorEastAsia" w:hAnsiTheme="majorHAnsi" w:cstheme="majorBidi"/>
                                <w:i/>
                                <w:iCs/>
                                <w:color w:val="FFFFFF" w:themeColor="background1"/>
                                <w:sz w:val="18"/>
                                <w:szCs w:val="18"/>
                              </w:rPr>
                              <w:t xml:space="preserve">The </w:t>
                            </w:r>
                            <w:r>
                              <w:rPr>
                                <w:rFonts w:asciiTheme="majorHAnsi" w:eastAsiaTheme="majorEastAsia" w:hAnsiTheme="majorHAnsi" w:cstheme="majorBidi"/>
                                <w:b/>
                                <w:i/>
                                <w:iCs/>
                                <w:color w:val="FFFFFF" w:themeColor="background1"/>
                                <w:sz w:val="18"/>
                                <w:szCs w:val="18"/>
                              </w:rPr>
                              <w:t>European Parliament</w:t>
                            </w:r>
                            <w:r>
                              <w:rPr>
                                <w:rFonts w:asciiTheme="majorHAnsi" w:eastAsiaTheme="majorEastAsia" w:hAnsiTheme="majorHAnsi" w:cstheme="majorBidi"/>
                                <w:i/>
                                <w:iCs/>
                                <w:color w:val="FFFFFF" w:themeColor="background1"/>
                                <w:sz w:val="18"/>
                                <w:szCs w:val="18"/>
                              </w:rPr>
                              <w:t xml:space="preserve"> in its Resolution on the Pillar "considers that the Pillar should be adopted in 2017 as an agreement between Parliament, the Commission and the European Council, involving the social partners and civil society at the highest level."</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62" style="position:absolute;left:0;text-align:left;margin-left:347.2pt;margin-top:483.55pt;width:98.15pt;height:176.75pt;rotation:90;z-index:-251598848;visibility:visible;mso-wrap-style:square;mso-width-percent:0;mso-height-percent:0;mso-wrap-distance-left:14.2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1CMwMAAMQGAAAOAAAAZHJzL2Uyb0RvYy54bWysVU1v2zgQvS+w/4HgXdG3ZBlRitixFwuk&#10;26Jp0TMtUhZbitSSdOS02P/eIaXETtND0W4CCCQ1Gs578+b58tWxF+ieacOVrHF8EWHEZKMol/sa&#10;f3i/DRYYGUskJUJJVuMHZvCrqz//uByHJUtUpwRlGkESaZbjUOPO2mEZhqbpWE/MhRqYhJet0j2x&#10;sNX7kGoyQvZehEkUFeGoNB20apgxcHozvcRXPn/bssa+aVvDLBI1htqsf2r/3LlneHVJlntNho43&#10;cxnkF6roCZdw6VOqG2IJOmj+IlXPG62Mau1Fo/pQtS1vmMcAaOLoOzR3HRmYxwLkmOGJJvP/pW3+&#10;uX+rEac1zjCSpIcWXR+s8jejxNEzDmYJUXfDW+0AmuFWNZ8NkmrdEbln11qrsWOEQlGxiw+ffeA2&#10;Bj5Fu/G1opCdQHbP1LHVPdIKOpJnkfvzp8AIOvr2PDy1hx0tauAwTrIij3KMGniXJFlWJrm/kSxd&#10;MlfdoI39i6keuUWNR0b37J06SPoOlLAmQqiD9feQ+1tjfcPoDJvQTzFGbS+g//dEoCBOF2kxC+Qs&#10;KDkPKtKorF7GpOcxcVEU5VznfG14qtRzqgSnWy6E3+j9bi00ghoA8jarypv5Y3MeBqTMCBw9Xmpf&#10;K2AoWiVVsC0WZZBtszyoymgRRHG1qoooq7Kb7X8OfpwtO04pk7dcskfZx9nPyWoewEmwXvhorHEa&#10;l7ln9lmV5hxMvl6kq+xHYLRrkR9Fp6TNvLaEi2kdPq8YREaWANvRdUJ/vc2jMksXQVnmaZClmyhY&#10;Lbbr4HoNHSg3q/VqEz9Hv/EGYX6fAF+ITzb3BGTG9F1HR0S5E2KaVwmoi3KwnqSc5I6I2INnNlZj&#10;Nwcfue382DndvxDCInL/k3TF0JFJHrmfGzd0MJgT1X79dP3E1KmyMyJn8CcuJ049AD/Dbmyn8bfH&#10;3dF7hB8HN9I7RR9gqP34gq3CDwCA7JT+gtEIZlpj8++BaIaR+FuCMZRg1c59/QYW+vx093hKZAMp&#10;ZkamzdpOXn0YNN93cEfsKZDKmVTL7aPfTPUAFlccWKVHNdu68+LzvY86/fhcfQMAAP//AwBQSwME&#10;FAAGAAgAAAAhANbo8iPfAAAADQEAAA8AAABkcnMvZG93bnJldi54bWxMj81OwzAQhO9IvIO1SFwQ&#10;tRMaQ0OcCoHKnYA4b2M3ieqfKHabwNOznOA4O6OZb6vt4iw7mykOwSvIVgKY8W3Qg+8UfLzvbh+A&#10;xYReow3eKPgyEbb15UWFpQ6zfzPnJnWMSnwsUUGf0lhyHtveOIyrMBpP3iFMDhPJqeN6wpnKneW5&#10;EJI7HDwt9Dia5960x+bkFMyZkN+HRu5uRtu9HsMLys9CKnV9tTw9AktmSX9h+MUndKiJaR9OXkdm&#10;FcisIPREhlgX98AospGbO2B7OuXrXACvK/7/i/oHAAD//wMAUEsBAi0AFAAGAAgAAAAhALaDOJL+&#10;AAAA4QEAABMAAAAAAAAAAAAAAAAAAAAAAFtDb250ZW50X1R5cGVzXS54bWxQSwECLQAUAAYACAAA&#10;ACEAOP0h/9YAAACUAQAACwAAAAAAAAAAAAAAAAAvAQAAX3JlbHMvLnJlbHNQSwECLQAUAAYACAAA&#10;ACEAT6mtQjMDAADEBgAADgAAAAAAAAAAAAAAAAAuAgAAZHJzL2Uyb0RvYy54bWxQSwECLQAUAAYA&#10;CAAAACEA1ujyI98AAAANAQAADwAAAAAAAAAAAAAAAACNBQAAZHJzL2Rvd25yZXYueG1sUEsFBgAA&#10;AAAEAAQA8wAAAJkGAAAAAA==&#10;" o:allowincell="f" adj="7811,24425" fillcolor="#1f497d" stroked="f" strokecolor="#5c83b4" strokeweight=".25pt">
                <v:stroke joinstyle="round"/>
                <v:shadow opacity=".5"/>
                <v:textbox inset="2mm,0,2mm,0">
                  <w:txbxContent>
                    <w:p>
                      <w:pPr>
                        <w:spacing w:line="240" w:lineRule="auto"/>
                        <w:jc w:val="center"/>
                        <w:rPr>
                          <w:rFonts w:asciiTheme="majorHAnsi" w:eastAsiaTheme="majorEastAsia" w:hAnsiTheme="majorHAnsi" w:cstheme="majorBidi"/>
                          <w:b/>
                          <w:i/>
                          <w:iCs/>
                          <w:color w:val="FFFFFF" w:themeColor="background1"/>
                          <w:sz w:val="18"/>
                          <w:szCs w:val="18"/>
                        </w:rPr>
                      </w:pPr>
                      <w:r>
                        <w:rPr>
                          <w:rFonts w:asciiTheme="majorHAnsi" w:eastAsiaTheme="majorEastAsia" w:hAnsiTheme="majorHAnsi" w:cstheme="majorBidi"/>
                          <w:i/>
                          <w:iCs/>
                          <w:color w:val="FFFFFF" w:themeColor="background1"/>
                          <w:sz w:val="18"/>
                          <w:szCs w:val="18"/>
                        </w:rPr>
                        <w:t xml:space="preserve">The </w:t>
                      </w:r>
                      <w:r>
                        <w:rPr>
                          <w:rFonts w:asciiTheme="majorHAnsi" w:eastAsiaTheme="majorEastAsia" w:hAnsiTheme="majorHAnsi" w:cstheme="majorBidi"/>
                          <w:b/>
                          <w:i/>
                          <w:iCs/>
                          <w:color w:val="FFFFFF" w:themeColor="background1"/>
                          <w:sz w:val="18"/>
                          <w:szCs w:val="18"/>
                        </w:rPr>
                        <w:t>European Parliament</w:t>
                      </w:r>
                      <w:r>
                        <w:rPr>
                          <w:rFonts w:asciiTheme="majorHAnsi" w:eastAsiaTheme="majorEastAsia" w:hAnsiTheme="majorHAnsi" w:cstheme="majorBidi"/>
                          <w:i/>
                          <w:iCs/>
                          <w:color w:val="FFFFFF" w:themeColor="background1"/>
                          <w:sz w:val="18"/>
                          <w:szCs w:val="18"/>
                        </w:rPr>
                        <w:t xml:space="preserve"> in its Resolution on the Pillar "considers that the Pillar should be adopted in 2017 as an agreement between Parliament, the Commission and the European Council, involving the social partners and civil society at the highest level."</w:t>
                      </w:r>
                    </w:p>
                  </w:txbxContent>
                </v:textbox>
                <w10:wrap type="square" anchorx="margin" anchory="margin"/>
              </v:shape>
            </w:pict>
          </mc:Fallback>
        </mc:AlternateContent>
      </w:r>
      <w:r>
        <w:rPr>
          <w:rFonts w:ascii="Verdana" w:hAnsi="Verdana" w:cs="Times New Roman"/>
          <w:noProof/>
          <w:sz w:val="20"/>
          <w:szCs w:val="20"/>
        </w:rPr>
        <w:t>Regardless of the lega</w:t>
      </w:r>
      <w:r>
        <w:rPr>
          <w:rFonts w:ascii="Verdana" w:hAnsi="Verdana" w:cs="Times New Roman"/>
          <w:noProof/>
          <w:sz w:val="20"/>
          <w:szCs w:val="20"/>
        </w:rPr>
        <w:t xml:space="preserve">l form finally chosen to establish the Pillar itself, </w:t>
      </w:r>
      <w:r>
        <w:rPr>
          <w:rFonts w:ascii="Verdana" w:hAnsi="Verdana"/>
          <w:noProof/>
          <w:sz w:val="20"/>
          <w:szCs w:val="20"/>
          <w:lang w:eastAsia="en-GB"/>
        </w:rPr>
        <w:t xml:space="preserve">the consultation emphasised that this initiative should first of all mark a </w:t>
      </w:r>
      <w:r>
        <w:rPr>
          <w:rFonts w:ascii="Verdana" w:hAnsi="Verdana"/>
          <w:b/>
          <w:noProof/>
          <w:sz w:val="20"/>
          <w:szCs w:val="20"/>
          <w:lang w:eastAsia="en-GB"/>
        </w:rPr>
        <w:t>strong political commitment</w:t>
      </w:r>
      <w:r>
        <w:rPr>
          <w:rFonts w:ascii="Verdana" w:hAnsi="Verdana"/>
          <w:noProof/>
          <w:sz w:val="20"/>
          <w:szCs w:val="20"/>
          <w:lang w:eastAsia="en-GB"/>
        </w:rPr>
        <w:t xml:space="preserve"> to a renewed agenda for inclusive growth that benefits individuals, the economy and society at lar</w:t>
      </w:r>
      <w:r>
        <w:rPr>
          <w:rFonts w:ascii="Verdana" w:hAnsi="Verdana"/>
          <w:noProof/>
          <w:sz w:val="20"/>
          <w:szCs w:val="20"/>
          <w:lang w:eastAsia="en-GB"/>
        </w:rPr>
        <w:t xml:space="preserve">ge. </w:t>
      </w:r>
      <w:r>
        <w:rPr>
          <w:rFonts w:ascii="Verdana" w:hAnsi="Verdana"/>
          <w:noProof/>
          <w:lang w:eastAsia="en-GB"/>
        </w:rPr>
        <mc:AlternateContent>
          <mc:Choice Requires="wps">
            <w:drawing>
              <wp:anchor distT="0" distB="0" distL="71755" distR="71755" simplePos="0" relativeHeight="251786240" behindDoc="1" locked="1" layoutInCell="0" allowOverlap="1">
                <wp:simplePos x="0" y="0"/>
                <wp:positionH relativeFrom="margin">
                  <wp:posOffset>4309110</wp:posOffset>
                </wp:positionH>
                <wp:positionV relativeFrom="paragraph">
                  <wp:posOffset>-415290</wp:posOffset>
                </wp:positionV>
                <wp:extent cx="1385570" cy="2225675"/>
                <wp:effectExtent l="322897" t="953" r="4128" b="4127"/>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385570" cy="2225675"/>
                        </a:xfrm>
                        <a:prstGeom prst="wedgeRoundRectCallout">
                          <a:avLst>
                            <a:gd name="adj1" fmla="val 19024"/>
                            <a:gd name="adj2" fmla="val 64094"/>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40" w:lineRule="auto"/>
                              <w:jc w:val="center"/>
                              <w:rPr>
                                <w:rFonts w:asciiTheme="majorHAnsi" w:eastAsiaTheme="majorEastAsia" w:hAnsiTheme="majorHAnsi" w:cstheme="majorBidi"/>
                                <w:b/>
                                <w:i/>
                                <w:iCs/>
                                <w:color w:val="FFFFFF" w:themeColor="background1"/>
                                <w:sz w:val="18"/>
                                <w:szCs w:val="18"/>
                              </w:rPr>
                            </w:pPr>
                            <w:r>
                              <w:rPr>
                                <w:rFonts w:asciiTheme="majorHAnsi" w:eastAsiaTheme="majorEastAsia" w:hAnsiTheme="majorHAnsi" w:cstheme="majorBidi"/>
                                <w:b/>
                                <w:i/>
                                <w:iCs/>
                                <w:color w:val="FFFFFF" w:themeColor="background1"/>
                                <w:sz w:val="18"/>
                                <w:szCs w:val="18"/>
                              </w:rPr>
                              <w:t xml:space="preserve">European Anti-Poverty Network: </w:t>
                            </w:r>
                            <w:r>
                              <w:rPr>
                                <w:rFonts w:asciiTheme="majorHAnsi" w:eastAsiaTheme="majorEastAsia" w:hAnsiTheme="majorHAnsi" w:cstheme="majorBidi"/>
                                <w:b/>
                                <w:i/>
                                <w:iCs/>
                                <w:color w:val="FFFFFF" w:themeColor="background1"/>
                                <w:sz w:val="18"/>
                                <w:szCs w:val="18"/>
                              </w:rPr>
                              <w:br/>
                            </w:r>
                            <w:r>
                              <w:rPr>
                                <w:rFonts w:asciiTheme="majorHAnsi" w:eastAsiaTheme="majorEastAsia" w:hAnsiTheme="majorHAnsi" w:cstheme="majorBidi"/>
                                <w:i/>
                                <w:iCs/>
                                <w:color w:val="FFFFFF" w:themeColor="background1"/>
                                <w:sz w:val="18"/>
                                <w:szCs w:val="18"/>
                              </w:rPr>
                              <w:t xml:space="preserve">"The EU needs a new vision and a new plan […] This should demonstrate that the EU is committed to developing an economy that can deliver shared prosperity and sustainable development, underpinned by social rights and </w:t>
                            </w:r>
                            <w:r>
                              <w:rPr>
                                <w:rFonts w:asciiTheme="majorHAnsi" w:eastAsiaTheme="majorEastAsia" w:hAnsiTheme="majorHAnsi" w:cstheme="majorBidi"/>
                                <w:i/>
                                <w:iCs/>
                                <w:color w:val="FFFFFF" w:themeColor="background1"/>
                                <w:sz w:val="18"/>
                                <w:szCs w:val="18"/>
                              </w:rPr>
                              <w:t>social and environmental standards."</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62" style="position:absolute;left:0;text-align:left;margin-left:339.3pt;margin-top:-32.7pt;width:109.1pt;height:175.25pt;rotation:-90;flip:x;z-index:-251530240;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26PgMAANQGAAAOAAAAZHJzL2Uyb0RvYy54bWysVdtu4zYQfS/QfyD4ruhiXSwjShA7dlsg&#10;uw2SFn2mRcpiS5EqSUfOLvbfd0gpsdIWxWJ3bUAgxeHMnDNnRpfXp06gJ6YNV7LC8UWEEZO1olwe&#10;Kvz7b7tgiZGxRFIilGQVfmYGX1/9+MPl0K9YololKNMInEizGvoKt9b2qzA0dcs6Yi5UzyQcNkp3&#10;xMJWH0KqyQDeOxEmUZSHg9K016pmxsDb2/EQX3n/TcNq+2vTGGaRqDDkZv1T++fePcOrS7I6aNK3&#10;vJ7SIF+RRUe4hKCvrm6JJeio+b9cdbzWyqjGXtSqC1XT8Jp5DIAmjv6B5rElPfNYgBzTv9Jkvp/b&#10;+v3TvUacQu1yjCTpoEY3R6t8aJQ4foberMDssb/XDqHp71T9l0FSbVoiD+xGazW0jFDIKnb24ZsL&#10;bmPgKtoP7xQF7wS8e6pOje6QVlCSLI3cD6NG8P5n58YFAnLQyVfq+bVS7GRRDS/jxTLLCrhRw1mS&#10;JFleZD42WTm37nqvjf2JqQ65RYUHRg/sQR0lfQBRbIgQ6mh9HPJ0Z6yvHZ0IIPTPGJLpBEjhiQgU&#10;l1GSTlKZ2SRzmzyNyv+wWcxt4jzPiynNKWp4TtSTqwSnOy6E3+jDfiM0ghQA8S4ti9vpspmbAScT&#10;AMeOF93HMk7SaJ2UwS5fFkG6S7OgLKJlEMXlusyjtExvd58c+jhdtZxSJu+4ZC8NEKdfJrCpFUfp&#10;+hZAQ4UXMdTi/8Fkm+Vi7dkC/G/AaFch35ROUttpbQkX4zp8mzGojawAtgt3Rn+zy6IiXSyDosgW&#10;QbrYRsF6udsENxuoQLFdb9bb+C36rR8V5tsJ8Il4Z1NNQGVMP7Z0QJQ7HS6yMgFxUQ5DKCkm3RNx&#10;gOlZW41dQ/zBbev7z8neEzkXwjJy/1G5om/JKI/MN5DrPiB0NPfr1/AjU+fMZkRO4M9cjpx6AL6Z&#10;Xf+Oc8Ce9ic/LbyMXW/vFX2G7vZ9DP0InwIA2Sr9AaMBxmqFzd9HohlG4hcJE6KM09TNYb9JsyKB&#10;jZ6f7OcnRNbgqsJ7jMblxo6z+9hrfmgh0jgqpHIzq+H2ZfyMWQEilyKMTo9tGvNuNs/33ur8Mbr6&#10;DAAA//8DAFBLAwQUAAYACAAAACEANp4db94AAAAIAQAADwAAAGRycy9kb3ducmV2LnhtbEyPQUvD&#10;QBSE74L/YXmCN7tJKNHEvBQpFDyo0NridZt9JsHs25DdtvHf+zzpcZhh5ptqNbtBnWkKvWeEdJGA&#10;Im687blF2L9v7h5AhWjYmsEzIXxTgFV9fVWZ0voLb+m8i62SEg6lQehiHEutQ9ORM2HhR2LxPv3k&#10;TBQ5tdpO5iLlbtBZkuTamZ5loTMjrTtqvnYnh/D63H7Ywe43h8PbeunvX+ZAxRbx9mZ+egQVaY5/&#10;YfjFF3SohenoT2yDGhDyNFtKFEEOiF3kWQHqiJClRQK6rvT/A/UPAAAA//8DAFBLAQItABQABgAI&#10;AAAAIQC2gziS/gAAAOEBAAATAAAAAAAAAAAAAAAAAAAAAABbQ29udGVudF9UeXBlc10ueG1sUEsB&#10;Ai0AFAAGAAgAAAAhADj9If/WAAAAlAEAAAsAAAAAAAAAAAAAAAAALwEAAF9yZWxzLy5yZWxzUEsB&#10;Ai0AFAAGAAgAAAAhAAkbLbo+AwAA1AYAAA4AAAAAAAAAAAAAAAAALgIAAGRycy9lMm9Eb2MueG1s&#10;UEsBAi0AFAAGAAgAAAAhADaeHW/eAAAACAEAAA8AAAAAAAAAAAAAAAAAmAUAAGRycy9kb3ducmV2&#10;LnhtbFBLBQYAAAAABAAEAPMAAACjBgAAAAA=&#10;" o:allowincell="f" adj="14909,24644" fillcolor="#1f497d" stroked="f" strokecolor="#5c83b4" strokeweight=".25pt">
                <v:stroke joinstyle="round"/>
                <v:shadow opacity=".5"/>
                <v:textbox>
                  <w:txbxContent>
                    <w:p>
                      <w:pPr>
                        <w:spacing w:after="0" w:line="240" w:lineRule="auto"/>
                        <w:jc w:val="center"/>
                        <w:rPr>
                          <w:rFonts w:asciiTheme="majorHAnsi" w:eastAsiaTheme="majorEastAsia" w:hAnsiTheme="majorHAnsi" w:cstheme="majorBidi"/>
                          <w:b/>
                          <w:i/>
                          <w:iCs/>
                          <w:color w:val="FFFFFF" w:themeColor="background1"/>
                          <w:sz w:val="18"/>
                          <w:szCs w:val="18"/>
                        </w:rPr>
                      </w:pPr>
                      <w:r>
                        <w:rPr>
                          <w:rFonts w:asciiTheme="majorHAnsi" w:eastAsiaTheme="majorEastAsia" w:hAnsiTheme="majorHAnsi" w:cstheme="majorBidi"/>
                          <w:b/>
                          <w:i/>
                          <w:iCs/>
                          <w:color w:val="FFFFFF" w:themeColor="background1"/>
                          <w:sz w:val="18"/>
                          <w:szCs w:val="18"/>
                        </w:rPr>
                        <w:t xml:space="preserve">European Anti-Poverty Network: </w:t>
                      </w:r>
                      <w:r>
                        <w:rPr>
                          <w:rFonts w:asciiTheme="majorHAnsi" w:eastAsiaTheme="majorEastAsia" w:hAnsiTheme="majorHAnsi" w:cstheme="majorBidi"/>
                          <w:b/>
                          <w:i/>
                          <w:iCs/>
                          <w:color w:val="FFFFFF" w:themeColor="background1"/>
                          <w:sz w:val="18"/>
                          <w:szCs w:val="18"/>
                        </w:rPr>
                        <w:br/>
                      </w:r>
                      <w:r>
                        <w:rPr>
                          <w:rFonts w:asciiTheme="majorHAnsi" w:eastAsiaTheme="majorEastAsia" w:hAnsiTheme="majorHAnsi" w:cstheme="majorBidi"/>
                          <w:i/>
                          <w:iCs/>
                          <w:color w:val="FFFFFF" w:themeColor="background1"/>
                          <w:sz w:val="18"/>
                          <w:szCs w:val="18"/>
                        </w:rPr>
                        <w:t>"The EU needs a new vision and a new plan […] This should demonstrate that the EU is committed to developing an economy that can deliver shared prosperity and sustainable development, underpinned by social rights and social and environmental standards."</w:t>
                      </w:r>
                    </w:p>
                  </w:txbxContent>
                </v:textbox>
                <w10:wrap type="square" anchorx="margin"/>
                <w10:anchorlock/>
              </v:shape>
            </w:pict>
          </mc:Fallback>
        </mc:AlternateContent>
      </w:r>
    </w:p>
    <w:p w:rsidR="001E527A" w:rsidRDefault="00CD69DA">
      <w:pPr>
        <w:jc w:val="both"/>
        <w:rPr>
          <w:rFonts w:ascii="Verdana" w:eastAsiaTheme="majorEastAsia" w:hAnsi="Verdana" w:cstheme="majorBidi"/>
          <w:b/>
          <w:bCs/>
          <w:noProof/>
          <w:color w:val="0070C0"/>
          <w:sz w:val="28"/>
          <w:szCs w:val="26"/>
        </w:rPr>
      </w:pPr>
      <w:r>
        <w:rPr>
          <w:rFonts w:ascii="Verdana" w:eastAsia="Calibri" w:hAnsi="Verdana" w:cs="Arial"/>
          <w:noProof/>
          <w:sz w:val="20"/>
          <w:szCs w:val="20"/>
        </w:rPr>
        <w:t xml:space="preserve">In order to respect </w:t>
      </w:r>
      <w:r>
        <w:rPr>
          <w:rFonts w:ascii="Verdana" w:eastAsia="Calibri" w:hAnsi="Verdana" w:cs="Arial"/>
          <w:b/>
          <w:noProof/>
          <w:sz w:val="20"/>
          <w:szCs w:val="20"/>
        </w:rPr>
        <w:t>subsidiarity</w:t>
      </w:r>
      <w:r>
        <w:rPr>
          <w:rFonts w:ascii="Verdana" w:eastAsia="Calibri" w:hAnsi="Verdana" w:cs="Arial"/>
          <w:noProof/>
          <w:sz w:val="20"/>
          <w:szCs w:val="20"/>
        </w:rPr>
        <w:t xml:space="preserve">, the Pillar will need to </w:t>
      </w:r>
      <w:r>
        <w:rPr>
          <w:rFonts w:ascii="Verdana" w:hAnsi="Verdana" w:cs="Times New Roman"/>
          <w:noProof/>
          <w:sz w:val="20"/>
          <w:szCs w:val="20"/>
        </w:rPr>
        <w:t xml:space="preserve">ensure </w:t>
      </w:r>
      <w:r>
        <w:rPr>
          <w:rFonts w:ascii="Verdana" w:hAnsi="Verdana" w:cs="Times New Roman"/>
          <w:b/>
          <w:noProof/>
          <w:sz w:val="20"/>
          <w:szCs w:val="20"/>
        </w:rPr>
        <w:t>ownership at all levels of governance</w:t>
      </w:r>
      <w:r>
        <w:rPr>
          <w:rFonts w:ascii="Verdana" w:hAnsi="Verdana" w:cs="Times New Roman"/>
          <w:noProof/>
          <w:sz w:val="20"/>
          <w:szCs w:val="20"/>
        </w:rPr>
        <w:t xml:space="preserve"> and mobilise broad support for its implementation through joint efforts by all players involved, from EU institutions to Member States and authorities at regional and local levels, social </w:t>
      </w:r>
      <w:r>
        <w:rPr>
          <w:rFonts w:ascii="Verdana" w:eastAsia="Calibri" w:hAnsi="Verdana" w:cs="Arial"/>
          <w:noProof/>
          <w:sz w:val="20"/>
          <w:szCs w:val="20"/>
        </w:rPr>
        <w:t xml:space="preserve">partners and civil society. </w:t>
      </w:r>
      <w:r>
        <w:rPr>
          <w:rFonts w:ascii="Verdana" w:hAnsi="Verdana"/>
          <w:noProof/>
        </w:rPr>
        <w:br w:type="page"/>
      </w:r>
    </w:p>
    <w:p w:rsidR="001E527A" w:rsidRDefault="00CD69DA">
      <w:pPr>
        <w:pStyle w:val="Heading2"/>
        <w:rPr>
          <w:noProof/>
        </w:rPr>
      </w:pPr>
      <w:bookmarkStart w:id="18" w:name="_Toc479349462"/>
      <w:r>
        <w:rPr>
          <w:noProof/>
        </w:rPr>
        <w:lastRenderedPageBreak/>
        <w:t>4. The implementation</w:t>
      </w:r>
      <w:bookmarkEnd w:id="18"/>
      <w:r>
        <w:rPr>
          <w:noProof/>
        </w:rPr>
        <w:t xml:space="preserve"> </w:t>
      </w:r>
    </w:p>
    <w:p w:rsidR="001E527A" w:rsidRDefault="00CD69DA">
      <w:pPr>
        <w:pStyle w:val="Heading3"/>
        <w:rPr>
          <w:noProof/>
        </w:rPr>
      </w:pPr>
      <w:bookmarkStart w:id="19" w:name="_Toc479349463"/>
      <w:r>
        <w:rPr>
          <w:noProof/>
        </w:rPr>
        <w:t xml:space="preserve">A mix of </w:t>
      </w:r>
      <w:r>
        <w:rPr>
          <w:noProof/>
        </w:rPr>
        <w:t>tools, respecting subsidiarity and involving different players</w:t>
      </w:r>
      <w:bookmarkEnd w:id="19"/>
    </w:p>
    <w:p w:rsidR="001E527A" w:rsidRDefault="00CD69DA">
      <w:pPr>
        <w:jc w:val="both"/>
        <w:rPr>
          <w:rFonts w:ascii="Verdana" w:eastAsia="Calibri" w:hAnsi="Verdana" w:cs="Arial"/>
          <w:noProof/>
          <w:sz w:val="20"/>
          <w:szCs w:val="20"/>
        </w:rPr>
      </w:pPr>
      <w:r>
        <w:rPr>
          <w:rFonts w:ascii="Verdana" w:eastAsia="Times New Roman" w:hAnsi="Verdana"/>
          <w:noProof/>
          <w:sz w:val="20"/>
          <w:szCs w:val="20"/>
          <w:lang w:eastAsia="en-GB"/>
        </w:rPr>
        <w:t>The consultation confirmed the need for the Pillar to be accompanied by concrete deliverables</w:t>
      </w:r>
      <w:r>
        <w:rPr>
          <w:rFonts w:ascii="Verdana" w:hAnsi="Verdana" w:cs="Times New Roman"/>
          <w:noProof/>
          <w:sz w:val="20"/>
          <w:szCs w:val="20"/>
        </w:rPr>
        <w:t xml:space="preserve"> and that its success will ultimately depend on how it will be made operational. </w:t>
      </w:r>
      <w:r>
        <w:rPr>
          <w:rFonts w:ascii="Verdana" w:eastAsia="Calibri" w:hAnsi="Verdana" w:cs="Arial"/>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lang w:eastAsia="en-GB"/>
        </w:rPr>
        <mc:AlternateContent>
          <mc:Choice Requires="wps">
            <w:drawing>
              <wp:anchor distT="0" distB="0" distL="114300" distR="114300" simplePos="0" relativeHeight="251719680" behindDoc="1" locked="1" layoutInCell="1" allowOverlap="1">
                <wp:simplePos x="0" y="0"/>
                <wp:positionH relativeFrom="margin">
                  <wp:posOffset>4157980</wp:posOffset>
                </wp:positionH>
                <wp:positionV relativeFrom="paragraph">
                  <wp:posOffset>949960</wp:posOffset>
                </wp:positionV>
                <wp:extent cx="1630680" cy="2261870"/>
                <wp:effectExtent l="294005" t="0" r="0" b="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30680" cy="2261870"/>
                        </a:xfrm>
                        <a:prstGeom prst="wedgeRoundRectCallout">
                          <a:avLst>
                            <a:gd name="adj1" fmla="val -17414"/>
                            <a:gd name="adj2" fmla="val 61947"/>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The Committee </w:t>
                            </w:r>
                            <w:r>
                              <w:rPr>
                                <w:rFonts w:asciiTheme="majorHAnsi" w:eastAsiaTheme="majorEastAsia" w:hAnsiTheme="majorHAnsi" w:cstheme="majorBidi"/>
                                <w:b/>
                                <w:i/>
                                <w:iCs/>
                                <w:color w:val="FFFFFF" w:themeColor="background1"/>
                                <w:sz w:val="18"/>
                                <w:szCs w:val="20"/>
                              </w:rPr>
                              <w:t>of the Regions</w:t>
                            </w:r>
                            <w:r>
                              <w:rPr>
                                <w:rFonts w:asciiTheme="majorHAnsi" w:eastAsiaTheme="majorEastAsia" w:hAnsiTheme="majorHAnsi" w:cstheme="majorBidi"/>
                                <w:i/>
                                <w:iCs/>
                                <w:color w:val="FFFFFF" w:themeColor="background1"/>
                                <w:sz w:val="18"/>
                                <w:szCs w:val="20"/>
                              </w:rPr>
                              <w:t xml:space="preserve"> “highlights the need for closer cooperation between the different levels of government, sectors and stakeholders, including a stronger role for social partners and the introduction of an efficient instrument for civil dialogue, which would s</w:t>
                            </w:r>
                            <w:r>
                              <w:rPr>
                                <w:rFonts w:asciiTheme="majorHAnsi" w:eastAsiaTheme="majorEastAsia" w:hAnsiTheme="majorHAnsi" w:cstheme="majorBidi"/>
                                <w:i/>
                                <w:iCs/>
                                <w:color w:val="FFFFFF" w:themeColor="background1"/>
                                <w:sz w:val="18"/>
                                <w:szCs w:val="20"/>
                              </w:rPr>
                              <w:t>trengthen the democratic legitimacy of the Union.”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327.4pt;margin-top:74.8pt;width:128.4pt;height:178.1pt;rotation:90;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DROwMAAMwGAAAOAAAAZHJzL2Uyb0RvYy54bWysVV1v6zYMfR+w/yDo3bXlOP4I6l40aTIM&#10;6LaL2w17Viw51mZbnqTU6Yb991G02zrry7AtAQxRoimew0P69tOla8mzNFbpvqTsJqJE9pUWqj+V&#10;9KcfD0FOiXW8F7zVvSzpi7T0093XX92Ow0bGutGtkIZAkN5uxqGkjXPDJgxt1ciO2xs9yB4Oa206&#10;7sA0p1AYPkL0rg3jKErDURsxGF1Ja2H3YTqkdxi/rmXlfqhrKx1pSwq5OXwafB79M7y75ZuT4UOj&#10;qjkN/i+y6Ljq4dK3UA/ccXI26kOoTlVGW127m0p3oa5rVUnEAGhY9Dc0Tw0fJGIBcuzwRpP9/8JW&#10;3z9/NkSJkmaU9LyDEt2fncabSezpGQe7Aa+n4bPxAO3wqKtfLen1ruH9Sd4bo8dGcgFJMe8fXr3g&#10;DQuvkuP4nRYQnUN0ZOpSm44YDRVZJ5H/4S4wQi5Ynpe38siLIxVssnQVpTlUsYKzOE5ZnmEBQ77x&#10;wXx2g7HuG6k74hclHaU4yS/63IsvoIQdb1t9dngPf360DgsmZthc/MIoqbsW6v/MWxKwLGHJLJCF&#10;U7x0SlmRZB99VksflqYp+kCe87Wwes0UOdWtEgfVtmiY03HXGgI5AORDUmQPSCtQv3QDUmYEnh6U&#10;2h8Fi5NoGxfBIc2zIDkk66DIojyIWLEt0igpkofDnx4+SzaNEkL2j6qXr7JnyT+T1dyAk2BR+GQs&#10;6Ypla2T2Kku7BLPe5astMgr4r9yMLxG2olfSfl47rtppHV5nDCLjG4Dt6XpHf39YR1myyoMsW6+C&#10;ZLWPgm1+2AX3O6hAtt/utnt2jX6PA8L+dwIwEQw21wRkJs1TI0YilBfial3EoC6hYPTE2SR3wtsT&#10;zMzKGer74GflGmw7r/sPQsgj/5+k2w4Nn+Sxxr7xTQeETlTj+u36ian3zBZEzuDfuZw4RQDYw75t&#10;p/Z3l+MFZ0Tulehb+qjFCzQ1ti80JHwAAGSjze+UjDBMS2p/O3MjKWm/7WEwFCxJ/PRFI1lnMRhm&#10;eXJcnvC+glAzM5Oxc9PMPg9GnRq4iyEVvfbDqlbude5MeQEmnySMTEQ3j3c/k5c2er1/hO7+AgAA&#10;//8DAFBLAwQUAAYACAAAACEADZmocuAAAAALAQAADwAAAGRycy9kb3ducmV2LnhtbEyPwU7DMAyG&#10;70i8Q2QkbiwtoxHpmk4IacchsSHBblmTtdUSpzTZVt4ec2I3W/+n35+r5eQdO9sx9gEV5LMMmMUm&#10;mB5bBR/b1cMzsJg0Gu0CWgU/NsKyvr2pdGnCBd/teZNaRiUYS62gS2koOY9NZ72OszBYpOwQRq8T&#10;rWPLzagvVO4df8wywb3ukS50erCvnW2Om5NXsFqj2Inw5rYHP6znX0dZfH5Lpe7vppcFsGSn9A/D&#10;nz6pQ01O+3BCE5lTILIiJ5QCKefAiJAip2Gv4KkQOfC64tc/1L8AAAD//wMAUEsBAi0AFAAGAAgA&#10;AAAhALaDOJL+AAAA4QEAABMAAAAAAAAAAAAAAAAAAAAAAFtDb250ZW50X1R5cGVzXS54bWxQSwEC&#10;LQAUAAYACAAAACEAOP0h/9YAAACUAQAACwAAAAAAAAAAAAAAAAAvAQAAX3JlbHMvLnJlbHNQSwEC&#10;LQAUAAYACAAAACEASKmg0TsDAADMBgAADgAAAAAAAAAAAAAAAAAuAgAAZHJzL2Uyb0RvYy54bWxQ&#10;SwECLQAUAAYACAAAACEADZmocuAAAAALAQAADwAAAAAAAAAAAAAAAACVBQAAZHJzL2Rvd25yZXYu&#10;eG1sUEsFBgAAAAAEAAQA8wAAAKIGAAAAAA==&#10;" adj="7039,24181" fillcolor="#1f497d" stroked="f" strokecolor="#5c83b4" strokeweight=".25pt">
                <v:stroke joinstyle="round"/>
                <v:shadow opacity=".5"/>
                <v:textbox>
                  <w:txbxContent>
                    <w:p>
                      <w:pPr>
                        <w:spacing w:after="0"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The Committee of the Regions</w:t>
                      </w:r>
                      <w:r>
                        <w:rPr>
                          <w:rFonts w:asciiTheme="majorHAnsi" w:eastAsiaTheme="majorEastAsia" w:hAnsiTheme="majorHAnsi" w:cstheme="majorBidi"/>
                          <w:i/>
                          <w:iCs/>
                          <w:color w:val="FFFFFF" w:themeColor="background1"/>
                          <w:sz w:val="18"/>
                          <w:szCs w:val="20"/>
                        </w:rPr>
                        <w:t xml:space="preserve"> “highlights the need for closer cooperation between the different levels of government, sectors and stakeholders, including a stronger role for social partners and the introduction of an efficient instrument for civil dialogue, which would strengthen the democratic legitimacy of the Union.”</w:t>
                      </w:r>
                    </w:p>
                  </w:txbxContent>
                </v:textbox>
                <w10:wrap type="square" anchorx="margin"/>
                <w10:anchorlock/>
              </v:shape>
            </w:pict>
          </mc:Fallback>
        </mc:AlternateContent>
      </w:r>
      <w:r>
        <w:rPr>
          <w:rFonts w:ascii="Verdana" w:hAnsi="Verdana" w:cs="Times New Roman"/>
          <w:noProof/>
          <w:sz w:val="20"/>
          <w:szCs w:val="20"/>
        </w:rPr>
        <w:t>There was agreement that the Pillar should be implemented by a</w:t>
      </w:r>
      <w:r>
        <w:rPr>
          <w:rFonts w:ascii="Verdana" w:hAnsi="Verdana" w:cs="Times New Roman"/>
          <w:b/>
          <w:noProof/>
          <w:sz w:val="20"/>
          <w:szCs w:val="20"/>
        </w:rPr>
        <w:t xml:space="preserve"> mix of appropriate and effective </w:t>
      </w:r>
      <w:r>
        <w:rPr>
          <w:rFonts w:ascii="Verdana" w:hAnsi="Verdana" w:cs="Times New Roman"/>
          <w:noProof/>
          <w:sz w:val="20"/>
          <w:szCs w:val="20"/>
          <w:lang w:eastAsia="en-GB"/>
        </w:rPr>
        <mc:AlternateContent>
          <mc:Choice Requires="wps">
            <w:drawing>
              <wp:anchor distT="0" distB="0" distL="180340" distR="114300" simplePos="0" relativeHeight="251877376" behindDoc="1" locked="1" layoutInCell="1" allowOverlap="1">
                <wp:simplePos x="0" y="0"/>
                <wp:positionH relativeFrom="margin">
                  <wp:posOffset>4544060</wp:posOffset>
                </wp:positionH>
                <wp:positionV relativeFrom="paragraph">
                  <wp:posOffset>-1021080</wp:posOffset>
                </wp:positionV>
                <wp:extent cx="966470" cy="2148840"/>
                <wp:effectExtent l="247015" t="635" r="4445" b="4445"/>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6470" cy="2148840"/>
                        </a:xfrm>
                        <a:prstGeom prst="wedgeRoundRectCallout">
                          <a:avLst>
                            <a:gd name="adj1" fmla="val -20833"/>
                            <a:gd name="adj2" fmla="val 61454"/>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European Parliament: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The Pillar should “not be limited to a declaration of principles or good intentions"</w:t>
                            </w:r>
                          </w:p>
                          <w:p w:rsidR="001E527A" w:rsidRDefault="001E527A">
                            <w:pPr>
                              <w:spacing w:line="240" w:lineRule="auto"/>
                              <w:jc w:val="center"/>
                              <w:rPr>
                                <w:rFonts w:asciiTheme="majorHAnsi" w:eastAsiaTheme="majorEastAsia" w:hAnsiTheme="majorHAnsi" w:cstheme="majorBidi"/>
                                <w:i/>
                                <w:iCs/>
                                <w:color w:val="FFFFFF" w:themeColor="background1"/>
                                <w:sz w:val="18"/>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357.8pt;margin-top:-80.4pt;width:76.1pt;height:169.2pt;rotation:90;z-index:-251439104;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54OgMAAMsGAAAOAAAAZHJzL2Uyb0RvYy54bWysVdtu4zYQfV+g/0DwXdGNuiLKInbsYoG0&#10;G2y26DMtUhZbSVRJOnJa7L/vkFISuXkp2iaAQIqj4TlnzoyvP577Dj1xpYUcKhxeBRjxoZZMDMcK&#10;//J17+UYaUMHRjs58Ao/c40/3vzw4XoaSx7JVnaMKwRJBl1OY4VbY8bS93Xd8p7qKznyAQ4bqXpq&#10;YKuOPlN0gux950dBkPqTVGxUsuZaw9u7+RDfuPxNw2vzuWk0N6irMGAz7qnc82Cf/s01LY+Kjq2o&#10;Fxj0X6DoqRjg0tdUd9RQdFLiXape1Epq2ZirWva+bBpRc8cB2ITB39g8tnTkjguIo8dXmfT/l7b+&#10;+elBIcEqnGA00B5KdHsy0t2MIivPNOoSoh7HB2UJ6vFe1r9rNMhtS4cjv1VKTi2nDECFNt6/+MBu&#10;NHyKDtNPkkF2CtmdUudG9UhJqEhCAvvn3oIi6OzK8/xaHn42qIaXRZqSDIpYw1EUkjwnrn4+LW0u&#10;C25U2vzIZY/sosITZ0f+RZ4G9gWMsKVdJ0/GXUOf7rVx9WILa8p+CzFq+g7K/0Q75EVBHseLP1ZB&#10;0TooDUlC3sfE65gwTdPMCUPL5VpA/ILUSSo7wfai69xGHQ/bTiHAAILuSZHdLR/rdRhosjCw6jin&#10;/VWEEQk2UeHt0zzzyJ4kXpEFuReExaZIA1KQu/03Sz8kZSsY48O9GPiL60Pyz1y19N/sV+d7NFU4&#10;DrPEKXuBUq/JJNs83ji1gP9FmLIlcp1ojbRb1oaKbl77l4jBY7QE2lauN/a3+yTISJx7WZbEHol3&#10;gbfJ91vvdgsVyHab7WYXXrLfufmg/7sADohLttQEbMbVY8smxIQ1YpwUEbiLCZg8UTa7HdHuCCOz&#10;NgrbNvhVmNZ1nbX9OyPkgf2frduNLZ3tkbi2sT0Hgs5Su/Xr9bNSb8hWQi7k37ScNXUEXAvbrp27&#10;35wPZzciCutE29EHyZ6hp133QkPC/AeSrVR/YjTBLK2w/uNEFceo+zTAXChCAq2KjNuQJItgo9Yn&#10;h/UJHWpItSgzb7ZmHtmnUYljC3eFTopB2lnVCPMydmZcwMmChInp2C3T3Y7k9d5Fvf0G3XwHAAD/&#10;/wMAUEsDBBQABgAIAAAAIQBuq6gI4gAAAAoBAAAPAAAAZHJzL2Rvd25yZXYueG1sTI/LTsMwEEX3&#10;SPyDNUjsWoeoTduQSYUqHgu6gIIq2LnxkETE42A7bfh7zAqWo3t075liPZpOHMn51jLC1TQBQVxZ&#10;3XKN8PpyN1mC8EGxVp1lQvgmD+vy/KxQubYnfqbjLtQilrDPFUITQp9L6auGjPJT2xPH7MM6o0I8&#10;XS21U6dYbjqZJkkmjWo5LjSqp01D1eduMAi3b/t7px+2+80gn2bm/euRg3OIlxfjzTWIQGP4g+FX&#10;P6pDGZ0OdmDtRYeQpek8ogiTbLEAEYlVlqxAHBCWsznIspD/Xyh/AAAA//8DAFBLAQItABQABgAI&#10;AAAAIQC2gziS/gAAAOEBAAATAAAAAAAAAAAAAAAAAAAAAABbQ29udGVudF9UeXBlc10ueG1sUEsB&#10;Ai0AFAAGAAgAAAAhADj9If/WAAAAlAEAAAsAAAAAAAAAAAAAAAAALwEAAF9yZWxzLy5yZWxzUEsB&#10;Ai0AFAAGAAgAAAAhAOZvPng6AwAAywYAAA4AAAAAAAAAAAAAAAAALgIAAGRycy9lMm9Eb2MueG1s&#10;UEsBAi0AFAAGAAgAAAAhAG6rqAjiAAAACgEAAA8AAAAAAAAAAAAAAAAAlAUAAGRycy9kb3ducmV2&#10;LnhtbFBLBQYAAAAABAAEAPMAAACjBgAAAAA=&#10;" adj="6300,24074"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European Parliament: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The Pillar should “not be limited to a declaration of principles or good intentions"</w:t>
                      </w:r>
                    </w:p>
                    <w:p>
                      <w:pPr>
                        <w:spacing w:line="240" w:lineRule="auto"/>
                        <w:jc w:val="center"/>
                        <w:rPr>
                          <w:rFonts w:asciiTheme="majorHAnsi" w:eastAsiaTheme="majorEastAsia" w:hAnsiTheme="majorHAnsi" w:cstheme="majorBidi"/>
                          <w:i/>
                          <w:iCs/>
                          <w:color w:val="FFFFFF" w:themeColor="background1"/>
                          <w:sz w:val="18"/>
                          <w:szCs w:val="20"/>
                        </w:rPr>
                      </w:pPr>
                    </w:p>
                  </w:txbxContent>
                </v:textbox>
                <w10:wrap type="square" anchorx="margin"/>
                <w10:anchorlock/>
              </v:shape>
            </w:pict>
          </mc:Fallback>
        </mc:AlternateContent>
      </w:r>
      <w:r>
        <w:rPr>
          <w:rFonts w:ascii="Verdana" w:hAnsi="Verdana" w:cs="Times New Roman"/>
          <w:b/>
          <w:noProof/>
          <w:sz w:val="20"/>
          <w:szCs w:val="20"/>
        </w:rPr>
        <w:t>deliverable tools</w:t>
      </w:r>
      <w:r>
        <w:rPr>
          <w:rFonts w:ascii="Verdana" w:hAnsi="Verdana" w:cs="Times New Roman"/>
          <w:noProof/>
          <w:sz w:val="20"/>
          <w:szCs w:val="20"/>
        </w:rPr>
        <w:t xml:space="preserve">, deployed at the appropriate level, involving all relevant dimensions of governance, and avoiding duplications. </w:t>
      </w:r>
    </w:p>
    <w:p w:rsidR="001E527A" w:rsidRDefault="00CD69DA">
      <w:pPr>
        <w:jc w:val="both"/>
        <w:rPr>
          <w:rFonts w:ascii="Verdana" w:hAnsi="Verdana"/>
          <w:noProof/>
          <w:sz w:val="20"/>
          <w:szCs w:val="20"/>
        </w:rPr>
      </w:pPr>
      <w:r>
        <w:rPr>
          <w:rFonts w:ascii="Verdana" w:hAnsi="Verdana" w:cs="Times New Roman"/>
          <w:noProof/>
          <w:sz w:val="20"/>
          <w:szCs w:val="20"/>
        </w:rPr>
        <w:t xml:space="preserve">A strong point coming from the consultation was the need to respect the distribution of </w:t>
      </w:r>
      <w:r>
        <w:rPr>
          <w:rFonts w:ascii="Verdana" w:hAnsi="Verdana" w:cs="Times New Roman"/>
          <w:b/>
          <w:noProof/>
          <w:sz w:val="20"/>
          <w:szCs w:val="20"/>
        </w:rPr>
        <w:t>competences</w:t>
      </w:r>
      <w:r>
        <w:rPr>
          <w:rFonts w:ascii="Verdana" w:hAnsi="Verdana" w:cs="Times New Roman"/>
          <w:noProof/>
          <w:sz w:val="20"/>
          <w:szCs w:val="20"/>
        </w:rPr>
        <w:t xml:space="preserve"> at EU, national and sub</w:t>
      </w:r>
      <w:r>
        <w:rPr>
          <w:rFonts w:ascii="Verdana" w:hAnsi="Verdana" w:cs="Times New Roman"/>
          <w:noProof/>
          <w:sz w:val="20"/>
          <w:szCs w:val="20"/>
        </w:rPr>
        <w:t xml:space="preserve">-national levels, </w:t>
      </w:r>
      <w:r>
        <w:rPr>
          <w:rFonts w:ascii="Verdana" w:hAnsi="Verdana" w:cs="Times New Roman"/>
          <w:b/>
          <w:noProof/>
          <w:sz w:val="20"/>
          <w:szCs w:val="20"/>
        </w:rPr>
        <w:t>subsidiarity</w:t>
      </w:r>
      <w:r>
        <w:rPr>
          <w:rFonts w:ascii="Verdana" w:hAnsi="Verdana" w:cs="Times New Roman"/>
          <w:noProof/>
          <w:sz w:val="20"/>
          <w:szCs w:val="20"/>
        </w:rPr>
        <w:t xml:space="preserve">, and the </w:t>
      </w:r>
      <w:r>
        <w:rPr>
          <w:rFonts w:ascii="Verdana" w:hAnsi="Verdana" w:cs="Times New Roman"/>
          <w:b/>
          <w:noProof/>
          <w:sz w:val="20"/>
          <w:szCs w:val="20"/>
        </w:rPr>
        <w:t>autonomy of social partners</w:t>
      </w:r>
      <w:r>
        <w:rPr>
          <w:rStyle w:val="FootnoteReference"/>
          <w:rFonts w:ascii="Verdana" w:hAnsi="Verdana"/>
          <w:noProof/>
          <w:sz w:val="20"/>
          <w:szCs w:val="20"/>
        </w:rPr>
        <w:footnoteReference w:id="32"/>
      </w:r>
      <w:r>
        <w:rPr>
          <w:rFonts w:ascii="Verdana" w:hAnsi="Verdana" w:cs="Times New Roman"/>
          <w:noProof/>
          <w:sz w:val="20"/>
          <w:szCs w:val="20"/>
        </w:rPr>
        <w:t xml:space="preserve">. </w:t>
      </w:r>
      <w:r>
        <w:rPr>
          <w:rFonts w:ascii="Verdana" w:hAnsi="Verdana"/>
          <w:noProof/>
        </w:rPr>
        <w:t>T</w:t>
      </w:r>
      <w:r>
        <w:rPr>
          <w:rFonts w:ascii="Verdana" w:eastAsia="Times New Roman" w:hAnsi="Verdana"/>
          <w:noProof/>
          <w:sz w:val="20"/>
          <w:szCs w:val="20"/>
          <w:lang w:eastAsia="en-GB"/>
        </w:rPr>
        <w:t xml:space="preserve">he instruments deployed should reflect the primary responsibility of national governments and social partners in making social rights and principles </w:t>
      </w:r>
      <w:r>
        <w:rPr>
          <w:rFonts w:ascii="Verdana" w:hAnsi="Verdana"/>
          <w:noProof/>
          <w:sz w:val="20"/>
          <w:szCs w:val="20"/>
        </w:rPr>
        <w:t xml:space="preserve">operational on the ground. </w:t>
      </w:r>
      <w:r>
        <w:rPr>
          <w:rFonts w:ascii="Verdana" w:hAnsi="Verdana" w:cs="Times New Roman"/>
          <w:noProof/>
          <w:sz w:val="20"/>
          <w:szCs w:val="20"/>
          <w:lang w:eastAsia="en-GB"/>
        </w:rPr>
        <mc:AlternateContent>
          <mc:Choice Requires="wps">
            <w:drawing>
              <wp:anchor distT="0" distB="0" distL="180340" distR="114300" simplePos="0" relativeHeight="251744256" behindDoc="1" locked="1" layoutInCell="1" allowOverlap="1">
                <wp:simplePos x="0" y="0"/>
                <wp:positionH relativeFrom="margin">
                  <wp:posOffset>4509135</wp:posOffset>
                </wp:positionH>
                <wp:positionV relativeFrom="paragraph">
                  <wp:posOffset>1664335</wp:posOffset>
                </wp:positionV>
                <wp:extent cx="966470" cy="2148840"/>
                <wp:effectExtent l="247015" t="635" r="4445" b="444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6470" cy="2148840"/>
                        </a:xfrm>
                        <a:prstGeom prst="wedgeRoundRectCallout">
                          <a:avLst>
                            <a:gd name="adj1" fmla="val -20833"/>
                            <a:gd name="adj2" fmla="val 61454"/>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Social</w:t>
                            </w:r>
                            <w:r>
                              <w:rPr>
                                <w:rFonts w:asciiTheme="majorHAnsi" w:eastAsiaTheme="majorEastAsia" w:hAnsiTheme="majorHAnsi" w:cstheme="majorBidi"/>
                                <w:b/>
                                <w:i/>
                                <w:iCs/>
                                <w:color w:val="FFFFFF" w:themeColor="background1"/>
                                <w:sz w:val="18"/>
                                <w:szCs w:val="20"/>
                              </w:rPr>
                              <w:t xml:space="preserve"> Platform: </w:t>
                            </w:r>
                            <w:r>
                              <w:rPr>
                                <w:rFonts w:asciiTheme="majorHAnsi" w:eastAsiaTheme="majorEastAsia" w:hAnsiTheme="majorHAnsi" w:cstheme="majorBidi"/>
                                <w:i/>
                                <w:iCs/>
                                <w:color w:val="FFFFFF" w:themeColor="background1"/>
                                <w:sz w:val="18"/>
                                <w:szCs w:val="20"/>
                              </w:rPr>
                              <w:t>“Now is the time to empower civil society and to give us an active role. It will be difficult to deliver on Europe’s ambitious social agenda without 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55.05pt;margin-top:131.05pt;width:76.1pt;height:169.2pt;rotation:90;z-index:-251572224;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NGOAMAAMwGAAAOAAAAZHJzL2Uyb0RvYy54bWysVV1v7DQQfUfiP1h5T/PlfKrbq+52FyEV&#10;uLoF8eyNnY3BsYPtbbYg/jtjJ22z9AUBu1IUx5PxnDPnTG4/XQaBnpk2XMlNkNzEAWKyVZTL0yb4&#10;6cdDWAXIWCIpEUqyTfDCTPDp7uuvbqexYanqlaBMI0giTTONm6C3dmyiyLQ9G4i5USOTsNkpPRAL&#10;S32KqCYTZB9ElMZxEU1K01GrlhkDTx/mzeDO5+861tofus4wi8QmgNqsv2p/PbprdHdLmpMmY8/b&#10;pQzyL6oYCJdw6FuqB2IJOmv+IdXAW62M6uxNq4ZIdR1vmccAaJL4b2ieejIyjwXIMeMbTeb/S9t+&#10;//xZI06hdwGSZIAW3Z+t8iej1NEzjaaBqKfxs3YAzfio2l8NkmrXE3li91qrqWeEQlGJi4+uXnAL&#10;A6+i4/SdopCdQHbP1KXTA9IKOpLj2P38U2AEXXx7Xt7awy4WtfCwLgpcQhNb2EoTXFXY9y8ijcvl&#10;ihu1sd8wNSB3swkmRk/sizpL+gWEsCNCqLP1x5DnR2N9v+iCmtBfgIFuEND+ZyJQmMZVli36WAWl&#10;66AiwTn+GJOtY5KiKEpPDGmWY6Hi10o9pUpweuBC+IU+HXdCI6gBCD3gunxYXjbrMOBkQeDY8Ur7&#10;o05SHG/TOjwUVRniA87DuoyrME7qbV3EuMYPhz8d/AQ3PaeUyUcu2avqE/zPVLX4b9ar1z2aNkGW&#10;lLln9qpKswaT76ps69kC/Fdh2rXIO9EJab/cW8LFfB9dVwwaIw3AdnS9o78/5HGJsyosyzwLcbaP&#10;w2112IX3O+hAud/utvvkGv3ezwfz3wnwhfhkS09AZkw/9XRClDshZnmdgrooh8mTlrPaEREnGJmt&#10;1YGzwc/c9t51TvYfhFDF7j9LV4w9meWRe9s4zwGhM9X+/u34man3ylZELuDfuZw59QC8hZ1rZ/fb&#10;y/EyjwjvN2fpo6IvYGpvX3AkfAAAZa/07wGaYJhuAvPbmWgWIPGthMFQJxi8iqxf4LxMYaHXO8f1&#10;DpEtpFqomRc7O8/s86j5qYezEs+FVG5Yddy+zp25LgDlioSR6eEt493N5PXaR71/hO7+AgAA//8D&#10;AFBLAwQUAAYACAAAACEAimLYJ+MAAAALAQAADwAAAGRycy9kb3ducmV2LnhtbEyPzU7DMBCE70i8&#10;g7VI3KjTkrQlZFOhip8DHKBFFdzceEki4nWwnTa8PeYEx9GMZr4pVqPpxIGcby0jTCcJCOLK6pZr&#10;hNft3cUShA+KteosE8I3eViVpyeFyrU98gsdNqEWsYR9rhCaEPpcSl81ZJSf2J44eh/WGRWidLXU&#10;Th1juenkLEnm0qiW40Kjelo3VH1uBoNw+7a7d/rhabce5HNq3r8eOTiHeH423lyDCDSGvzD84kd0&#10;KCPT3g6svegQ5tNF/BIQLrNsBiImrrIsBbFHyJJFCrIs5P8P5Q8AAAD//wMAUEsBAi0AFAAGAAgA&#10;AAAhALaDOJL+AAAA4QEAABMAAAAAAAAAAAAAAAAAAAAAAFtDb250ZW50X1R5cGVzXS54bWxQSwEC&#10;LQAUAAYACAAAACEAOP0h/9YAAACUAQAACwAAAAAAAAAAAAAAAAAvAQAAX3JlbHMvLnJlbHNQSwEC&#10;LQAUAAYACAAAACEAkkCTRjgDAADMBgAADgAAAAAAAAAAAAAAAAAuAgAAZHJzL2Uyb0RvYy54bWxQ&#10;SwECLQAUAAYACAAAACEAimLYJ+MAAAALAQAADwAAAAAAAAAAAAAAAACSBQAAZHJzL2Rvd25yZXYu&#10;eG1sUEsFBgAAAAAEAAQA8wAAAKIGAAAAAA==&#10;" adj="6300,24074"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Social Platform: </w:t>
                      </w:r>
                      <w:r>
                        <w:rPr>
                          <w:rFonts w:asciiTheme="majorHAnsi" w:eastAsiaTheme="majorEastAsia" w:hAnsiTheme="majorHAnsi" w:cstheme="majorBidi"/>
                          <w:i/>
                          <w:iCs/>
                          <w:color w:val="FFFFFF" w:themeColor="background1"/>
                          <w:sz w:val="18"/>
                          <w:szCs w:val="20"/>
                        </w:rPr>
                        <w:t>“Now is the time to empower civil society and to give us an active role. It will be difficult to deliver on Europe’s ambitious social agenda without us.”</w:t>
                      </w:r>
                    </w:p>
                  </w:txbxContent>
                </v:textbox>
                <w10:wrap type="square" anchorx="margin"/>
                <w10:anchorlock/>
              </v:shape>
            </w:pict>
          </mc:Fallback>
        </mc:AlternateContent>
      </w:r>
      <w:r>
        <w:rPr>
          <w:rFonts w:ascii="Verdana" w:hAnsi="Verdana"/>
          <w:noProof/>
          <w:sz w:val="20"/>
          <w:szCs w:val="20"/>
        </w:rPr>
        <w:t>There were also concerns about a “</w:t>
      </w:r>
      <w:r>
        <w:rPr>
          <w:rFonts w:ascii="Verdana" w:hAnsi="Verdana"/>
          <w:b/>
          <w:noProof/>
          <w:sz w:val="20"/>
          <w:szCs w:val="20"/>
        </w:rPr>
        <w:t>one size fits all” approach</w:t>
      </w:r>
      <w:r>
        <w:rPr>
          <w:rFonts w:ascii="Verdana" w:hAnsi="Verdana"/>
          <w:noProof/>
          <w:sz w:val="20"/>
          <w:szCs w:val="20"/>
        </w:rPr>
        <w:t xml:space="preserve">, arguing that national social policy specificities should be taken into account in the Pillar's implementation. </w:t>
      </w:r>
    </w:p>
    <w:p w:rsidR="001E527A" w:rsidRDefault="00CD69DA">
      <w:pPr>
        <w:jc w:val="both"/>
        <w:rPr>
          <w:rFonts w:ascii="Verdana" w:hAnsi="Verdana"/>
          <w:noProof/>
          <w:sz w:val="20"/>
          <w:szCs w:val="20"/>
        </w:rPr>
      </w:pPr>
      <w:r>
        <w:rPr>
          <w:rFonts w:ascii="Verdana" w:hAnsi="Verdana"/>
          <w:noProof/>
          <w:sz w:val="20"/>
          <w:szCs w:val="20"/>
        </w:rPr>
        <w:t xml:space="preserve">Another point was the central function of </w:t>
      </w:r>
      <w:r>
        <w:rPr>
          <w:rFonts w:ascii="Verdana" w:hAnsi="Verdana"/>
          <w:b/>
          <w:noProof/>
          <w:sz w:val="20"/>
          <w:szCs w:val="20"/>
        </w:rPr>
        <w:t>stakeholder dialogue</w:t>
      </w:r>
      <w:r>
        <w:rPr>
          <w:rFonts w:ascii="Verdana" w:hAnsi="Verdana"/>
          <w:noProof/>
          <w:sz w:val="20"/>
          <w:szCs w:val="20"/>
        </w:rPr>
        <w:t xml:space="preserve"> in the implementation of the Pillar and of multi-stakeholder cooperation</w:t>
      </w:r>
      <w:r>
        <w:rPr>
          <w:rStyle w:val="FootnoteReference"/>
          <w:rFonts w:ascii="Verdana" w:hAnsi="Verdana"/>
          <w:noProof/>
          <w:sz w:val="20"/>
          <w:szCs w:val="20"/>
        </w:rPr>
        <w:footnoteReference w:id="33"/>
      </w:r>
      <w:r>
        <w:rPr>
          <w:rFonts w:ascii="Verdana" w:hAnsi="Verdana"/>
          <w:noProof/>
          <w:sz w:val="20"/>
          <w:szCs w:val="20"/>
        </w:rPr>
        <w:t xml:space="preserve"> to im</w:t>
      </w:r>
      <w:r>
        <w:rPr>
          <w:rFonts w:ascii="Verdana" w:hAnsi="Verdana"/>
          <w:noProof/>
          <w:sz w:val="20"/>
          <w:szCs w:val="20"/>
        </w:rPr>
        <w:t xml:space="preserve">prove the relevance of social policies. The EESC and NGOs called for a stronger role for </w:t>
      </w:r>
      <w:r>
        <w:rPr>
          <w:rFonts w:ascii="Verdana" w:hAnsi="Verdana"/>
          <w:b/>
          <w:noProof/>
          <w:sz w:val="20"/>
          <w:szCs w:val="20"/>
        </w:rPr>
        <w:t xml:space="preserve">civil society </w:t>
      </w:r>
      <w:r>
        <w:rPr>
          <w:rFonts w:ascii="Verdana" w:hAnsi="Verdana"/>
          <w:noProof/>
          <w:sz w:val="20"/>
          <w:szCs w:val="20"/>
        </w:rPr>
        <w:t>and civil dialogue to ensure that everyone, including young people and those in vulnerable situations or facing discrimination, can participate in policy</w:t>
      </w:r>
      <w:r>
        <w:rPr>
          <w:rFonts w:ascii="Verdana" w:hAnsi="Verdana"/>
          <w:noProof/>
          <w:sz w:val="20"/>
          <w:szCs w:val="20"/>
        </w:rPr>
        <w:t>-making</w:t>
      </w:r>
      <w:r>
        <w:rPr>
          <w:rStyle w:val="FootnoteReference"/>
          <w:rFonts w:ascii="Verdana" w:hAnsi="Verdana"/>
          <w:noProof/>
          <w:sz w:val="20"/>
          <w:szCs w:val="20"/>
        </w:rPr>
        <w:footnoteReference w:id="34"/>
      </w:r>
      <w:r>
        <w:rPr>
          <w:rFonts w:ascii="Verdana" w:hAnsi="Verdana"/>
          <w:noProof/>
          <w:sz w:val="20"/>
          <w:szCs w:val="20"/>
        </w:rPr>
        <w:t xml:space="preserve">. </w:t>
      </w:r>
    </w:p>
    <w:p w:rsidR="001E527A" w:rsidRDefault="00CD69DA">
      <w:pPr>
        <w:jc w:val="both"/>
        <w:rPr>
          <w:rFonts w:ascii="Verdana" w:hAnsi="Verdana"/>
          <w:noProof/>
          <w:sz w:val="20"/>
          <w:szCs w:val="20"/>
        </w:rPr>
      </w:pPr>
      <w:r>
        <w:rPr>
          <w:rFonts w:ascii="Verdana" w:hAnsi="Verdana"/>
          <w:noProof/>
          <w:sz w:val="20"/>
          <w:szCs w:val="20"/>
        </w:rPr>
        <w:t xml:space="preserve">When it comes to the </w:t>
      </w:r>
      <w:r>
        <w:rPr>
          <w:rFonts w:ascii="Verdana" w:hAnsi="Verdana"/>
          <w:b/>
          <w:noProof/>
          <w:sz w:val="20"/>
          <w:szCs w:val="20"/>
        </w:rPr>
        <w:t>preferences for concrete instruments</w:t>
      </w:r>
      <w:r>
        <w:rPr>
          <w:rFonts w:ascii="Verdana" w:hAnsi="Verdana"/>
          <w:noProof/>
          <w:sz w:val="20"/>
          <w:szCs w:val="20"/>
        </w:rPr>
        <w:t xml:space="preserve">, national government representatives in a majority of the Member States and employer organisations favoured the use of </w:t>
      </w:r>
      <w:r>
        <w:rPr>
          <w:rFonts w:ascii="Verdana" w:hAnsi="Verdana"/>
          <w:b/>
          <w:noProof/>
          <w:sz w:val="20"/>
          <w:szCs w:val="20"/>
        </w:rPr>
        <w:t>policy tools</w:t>
      </w:r>
      <w:r>
        <w:rPr>
          <w:rFonts w:ascii="Verdana" w:hAnsi="Verdana"/>
          <w:noProof/>
          <w:sz w:val="20"/>
          <w:szCs w:val="20"/>
        </w:rPr>
        <w:t>, such as benchmarking based mainly on policy learning t</w:t>
      </w:r>
      <w:r>
        <w:rPr>
          <w:rFonts w:ascii="Verdana" w:hAnsi="Verdana"/>
          <w:noProof/>
          <w:sz w:val="20"/>
          <w:szCs w:val="20"/>
        </w:rPr>
        <w:t xml:space="preserve">o achieve upward convergence in employment and social outcomes. On the other hand, support for </w:t>
      </w:r>
      <w:r>
        <w:rPr>
          <w:rFonts w:ascii="Verdana" w:hAnsi="Verdana"/>
          <w:b/>
          <w:noProof/>
          <w:sz w:val="20"/>
          <w:szCs w:val="20"/>
        </w:rPr>
        <w:t>binding</w:t>
      </w:r>
      <w:r>
        <w:rPr>
          <w:rFonts w:ascii="Verdana" w:hAnsi="Verdana"/>
          <w:noProof/>
          <w:sz w:val="20"/>
          <w:szCs w:val="20"/>
        </w:rPr>
        <w:t xml:space="preserve"> </w:t>
      </w:r>
      <w:r>
        <w:rPr>
          <w:rFonts w:ascii="Verdana" w:hAnsi="Verdana"/>
          <w:b/>
          <w:noProof/>
          <w:sz w:val="20"/>
          <w:szCs w:val="20"/>
        </w:rPr>
        <w:t>instruments</w:t>
      </w:r>
      <w:r>
        <w:rPr>
          <w:rFonts w:ascii="Verdana" w:hAnsi="Verdana"/>
          <w:noProof/>
          <w:sz w:val="20"/>
          <w:szCs w:val="20"/>
        </w:rPr>
        <w:t xml:space="preserve"> was strongest among trade unions and NGOs.</w:t>
      </w:r>
    </w:p>
    <w:p w:rsidR="001E527A" w:rsidRDefault="001E527A">
      <w:pPr>
        <w:jc w:val="both"/>
        <w:rPr>
          <w:rFonts w:ascii="Verdana" w:hAnsi="Verdana"/>
          <w:noProof/>
          <w:sz w:val="20"/>
          <w:szCs w:val="20"/>
        </w:rPr>
      </w:pPr>
    </w:p>
    <w:p w:rsidR="001E527A" w:rsidRDefault="001E527A">
      <w:pPr>
        <w:jc w:val="both"/>
        <w:rPr>
          <w:rFonts w:ascii="Verdana" w:hAnsi="Verdana"/>
          <w:noProof/>
          <w:sz w:val="20"/>
          <w:szCs w:val="20"/>
        </w:rPr>
      </w:pPr>
    </w:p>
    <w:tbl>
      <w:tblPr>
        <w:tblStyle w:val="TableGrid"/>
        <w:tblpPr w:leftFromText="180" w:rightFromText="180" w:vertAnchor="text" w:horzAnchor="margin" w:tblpX="108" w:tblpY="100"/>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1E527A">
        <w:trPr>
          <w:trHeight w:val="277"/>
        </w:trPr>
        <w:tc>
          <w:tcPr>
            <w:tcW w:w="9639" w:type="dxa"/>
            <w:shd w:val="clear" w:color="auto" w:fill="DAEEF3" w:themeFill="accent5" w:themeFillTint="33"/>
          </w:tcPr>
          <w:p w:rsidR="001E527A" w:rsidRDefault="00CD69DA">
            <w:pPr>
              <w:spacing w:after="200" w:line="276" w:lineRule="auto"/>
              <w:jc w:val="both"/>
              <w:rPr>
                <w:rFonts w:ascii="Verdana" w:hAnsi="Verdana"/>
                <w:b/>
                <w:noProof/>
                <w:sz w:val="20"/>
                <w:szCs w:val="20"/>
              </w:rPr>
            </w:pPr>
            <w:r>
              <w:rPr>
                <w:rFonts w:ascii="Verdana" w:hAnsi="Verdana"/>
                <w:b/>
                <w:noProof/>
                <w:sz w:val="20"/>
                <w:szCs w:val="20"/>
              </w:rPr>
              <w:lastRenderedPageBreak/>
              <w:t>Box 2:  Tools to implement the Pillar</w:t>
            </w:r>
          </w:p>
          <w:p w:rsidR="001E527A" w:rsidRDefault="00CD69DA">
            <w:pPr>
              <w:spacing w:after="200" w:line="276" w:lineRule="auto"/>
              <w:jc w:val="both"/>
              <w:rPr>
                <w:rFonts w:ascii="Verdana" w:hAnsi="Verdana"/>
                <w:noProof/>
                <w:sz w:val="20"/>
                <w:szCs w:val="20"/>
              </w:rPr>
            </w:pPr>
            <w:r>
              <w:rPr>
                <w:rFonts w:ascii="Verdana" w:hAnsi="Verdana"/>
                <w:noProof/>
                <w:sz w:val="20"/>
                <w:szCs w:val="20"/>
              </w:rPr>
              <w:t xml:space="preserve">Various tools to implement the Pillar were put forward in </w:t>
            </w:r>
            <w:r>
              <w:rPr>
                <w:rFonts w:ascii="Verdana" w:hAnsi="Verdana"/>
                <w:noProof/>
                <w:sz w:val="20"/>
                <w:szCs w:val="20"/>
              </w:rPr>
              <w:t>the consultation, including:</w:t>
            </w:r>
          </w:p>
          <w:p w:rsidR="001E527A" w:rsidRDefault="00CD69DA">
            <w:pPr>
              <w:pStyle w:val="Bullet1"/>
              <w:spacing w:before="0" w:after="200" w:line="276" w:lineRule="auto"/>
              <w:rPr>
                <w:noProof/>
                <w:szCs w:val="20"/>
              </w:rPr>
            </w:pPr>
            <w:r>
              <w:rPr>
                <w:noProof/>
                <w:szCs w:val="20"/>
              </w:rPr>
              <w:t xml:space="preserve">Legislation to update the EU acquis in light of new realities, fill some gaps and step up enforcement; </w:t>
            </w:r>
          </w:p>
          <w:p w:rsidR="001E527A" w:rsidRDefault="00CD69DA">
            <w:pPr>
              <w:pStyle w:val="Bullet1"/>
              <w:spacing w:before="0" w:after="200" w:line="276" w:lineRule="auto"/>
              <w:rPr>
                <w:noProof/>
                <w:szCs w:val="20"/>
              </w:rPr>
            </w:pPr>
            <w:r>
              <w:rPr>
                <w:noProof/>
                <w:szCs w:val="20"/>
              </w:rPr>
              <w:t>A strengthened European Semester covering the Pillar’s principles;</w:t>
            </w:r>
          </w:p>
          <w:p w:rsidR="001E527A" w:rsidRDefault="00CD69DA">
            <w:pPr>
              <w:pStyle w:val="Bullet1"/>
              <w:spacing w:before="0" w:after="200" w:line="276" w:lineRule="auto"/>
              <w:rPr>
                <w:noProof/>
                <w:szCs w:val="20"/>
              </w:rPr>
            </w:pPr>
            <w:r>
              <w:rPr>
                <w:rFonts w:cs="Times New Roman"/>
                <w:noProof/>
                <w:szCs w:val="20"/>
              </w:rPr>
              <w:t>Policy coordination (e.g. Open Method of Coordination)</w:t>
            </w:r>
            <w:r>
              <w:rPr>
                <w:rFonts w:eastAsia="Times New Roman"/>
                <w:noProof/>
                <w:szCs w:val="20"/>
                <w:lang w:eastAsia="en-GB"/>
              </w:rPr>
              <w:t>;</w:t>
            </w:r>
          </w:p>
          <w:p w:rsidR="001E527A" w:rsidRDefault="00CD69DA">
            <w:pPr>
              <w:pStyle w:val="Bullet1"/>
              <w:spacing w:before="0" w:after="200" w:line="276" w:lineRule="auto"/>
              <w:rPr>
                <w:noProof/>
                <w:szCs w:val="20"/>
              </w:rPr>
            </w:pPr>
            <w:r>
              <w:rPr>
                <w:noProof/>
                <w:szCs w:val="20"/>
              </w:rPr>
              <w:t>The establishment of social investment targets for the Member States;</w:t>
            </w:r>
          </w:p>
          <w:p w:rsidR="001E527A" w:rsidRDefault="00CD69DA">
            <w:pPr>
              <w:pStyle w:val="Bullet1"/>
              <w:spacing w:before="0" w:after="200" w:line="276" w:lineRule="auto"/>
              <w:rPr>
                <w:noProof/>
                <w:szCs w:val="20"/>
              </w:rPr>
            </w:pPr>
            <w:r>
              <w:rPr>
                <w:noProof/>
                <w:szCs w:val="20"/>
              </w:rPr>
              <w:t>Benchmarks, including stronger policy guidance and monitoring;</w:t>
            </w:r>
          </w:p>
          <w:p w:rsidR="001E527A" w:rsidRDefault="00CD69DA">
            <w:pPr>
              <w:pStyle w:val="Bullet1"/>
              <w:spacing w:before="0" w:after="200" w:line="276" w:lineRule="auto"/>
              <w:rPr>
                <w:noProof/>
                <w:szCs w:val="20"/>
              </w:rPr>
            </w:pPr>
            <w:r>
              <w:rPr>
                <w:noProof/>
                <w:szCs w:val="20"/>
              </w:rPr>
              <w:t>A more targeted use of EU funding instruments</w:t>
            </w:r>
            <w:r>
              <w:rPr>
                <w:rFonts w:cs="Times New Roman"/>
                <w:noProof/>
                <w:szCs w:val="20"/>
              </w:rPr>
              <w:t xml:space="preserve"> to support reforms at national level;</w:t>
            </w:r>
          </w:p>
          <w:p w:rsidR="001E527A" w:rsidRDefault="00CD69DA">
            <w:pPr>
              <w:pStyle w:val="Bullet1"/>
              <w:spacing w:before="0" w:after="200" w:line="276" w:lineRule="auto"/>
              <w:rPr>
                <w:noProof/>
                <w:szCs w:val="20"/>
              </w:rPr>
            </w:pPr>
            <w:r>
              <w:rPr>
                <w:noProof/>
              </w:rPr>
              <w:t>A sanctioning mechanism for Member Stat</w:t>
            </w:r>
            <w:r>
              <w:rPr>
                <w:noProof/>
              </w:rPr>
              <w:t>es if social criteria are not met, or a link to structural funds which could be shortened in that case;</w:t>
            </w:r>
          </w:p>
          <w:p w:rsidR="001E527A" w:rsidRDefault="00CD69DA">
            <w:pPr>
              <w:pStyle w:val="Bullet1"/>
              <w:spacing w:before="0" w:after="200" w:line="276" w:lineRule="auto"/>
              <w:rPr>
                <w:noProof/>
                <w:szCs w:val="20"/>
              </w:rPr>
            </w:pPr>
            <w:r>
              <w:rPr>
                <w:noProof/>
                <w:szCs w:val="20"/>
              </w:rPr>
              <w:t>An inclusive social dialogue process, and</w:t>
            </w:r>
            <w:r>
              <w:rPr>
                <w:rFonts w:eastAsia="Times New Roman"/>
                <w:noProof/>
                <w:szCs w:val="20"/>
                <w:lang w:eastAsia="en-GB"/>
              </w:rPr>
              <w:t xml:space="preserve"> a specific role for the EU/national social partners;</w:t>
            </w:r>
          </w:p>
          <w:p w:rsidR="001E527A" w:rsidRDefault="00CD69DA">
            <w:pPr>
              <w:pStyle w:val="Bullet1"/>
              <w:spacing w:before="0" w:after="200" w:line="276" w:lineRule="auto"/>
              <w:rPr>
                <w:noProof/>
                <w:szCs w:val="20"/>
              </w:rPr>
            </w:pPr>
            <w:r>
              <w:rPr>
                <w:noProof/>
                <w:szCs w:val="20"/>
              </w:rPr>
              <w:t>Systematic assessments of social impacts and other eviden</w:t>
            </w:r>
            <w:r>
              <w:rPr>
                <w:noProof/>
                <w:szCs w:val="20"/>
              </w:rPr>
              <w:t>ce-based methods (ex-ante and ex-post) for b</w:t>
            </w:r>
            <w:r>
              <w:rPr>
                <w:rFonts w:cs="Times New Roman"/>
                <w:noProof/>
                <w:szCs w:val="20"/>
              </w:rPr>
              <w:t>etter social and employment 'proofing' of actions;</w:t>
            </w:r>
          </w:p>
          <w:p w:rsidR="001E527A" w:rsidRDefault="00CD69DA">
            <w:pPr>
              <w:pStyle w:val="Bullet1"/>
              <w:spacing w:before="0" w:after="200" w:line="276" w:lineRule="auto"/>
              <w:rPr>
                <w:noProof/>
                <w:szCs w:val="20"/>
              </w:rPr>
            </w:pPr>
            <w:r>
              <w:rPr>
                <w:rFonts w:cs="Times New Roman"/>
                <w:noProof/>
                <w:szCs w:val="20"/>
              </w:rPr>
              <w:t xml:space="preserve">Mutual learning and </w:t>
            </w:r>
            <w:r>
              <w:rPr>
                <w:rFonts w:eastAsia="Times New Roman"/>
                <w:noProof/>
                <w:szCs w:val="20"/>
                <w:lang w:eastAsia="en-GB"/>
              </w:rPr>
              <w:t>exchange of good practices.</w:t>
            </w:r>
          </w:p>
        </w:tc>
      </w:tr>
    </w:tbl>
    <w:p w:rsidR="001E527A" w:rsidRDefault="00CD69DA">
      <w:pPr>
        <w:jc w:val="both"/>
        <w:rPr>
          <w:rFonts w:ascii="Verdana" w:hAnsi="Verdana" w:cs="Times New Roman"/>
          <w:noProof/>
          <w:sz w:val="20"/>
          <w:szCs w:val="20"/>
        </w:rPr>
      </w:pPr>
      <w:r>
        <w:rPr>
          <w:rFonts w:ascii="Verdana" w:hAnsi="Verdana" w:cs="Times New Roman"/>
          <w:noProof/>
          <w:sz w:val="20"/>
          <w:szCs w:val="20"/>
        </w:rPr>
        <w:br/>
        <w:t>Certain stakeholders</w:t>
      </w:r>
      <w:r>
        <w:rPr>
          <w:rStyle w:val="FootnoteReference"/>
          <w:rFonts w:ascii="Verdana" w:hAnsi="Verdana" w:cs="Times New Roman"/>
          <w:noProof/>
          <w:sz w:val="20"/>
          <w:szCs w:val="20"/>
        </w:rPr>
        <w:footnoteReference w:id="35"/>
      </w:r>
      <w:r>
        <w:rPr>
          <w:rFonts w:ascii="Verdana" w:hAnsi="Verdana" w:cs="Times New Roman"/>
          <w:noProof/>
          <w:sz w:val="20"/>
          <w:szCs w:val="20"/>
        </w:rPr>
        <w:t xml:space="preserve"> put forward that the coherent application of social rights </w:t>
      </w:r>
      <w:r>
        <w:rPr>
          <w:rFonts w:ascii="Verdana" w:hAnsi="Verdana" w:cs="Times New Roman"/>
          <w:b/>
          <w:noProof/>
          <w:sz w:val="20"/>
          <w:szCs w:val="20"/>
        </w:rPr>
        <w:t>across all policy areas</w:t>
      </w:r>
      <w:r>
        <w:rPr>
          <w:rFonts w:ascii="Verdana" w:hAnsi="Verdana" w:cs="Times New Roman"/>
          <w:noProof/>
          <w:sz w:val="20"/>
          <w:szCs w:val="20"/>
        </w:rPr>
        <w:t>, especially in the economic and monetary fields, but also in external action and trade agreements, was needed for the Pillar to have a real impact. The logic used in the context of the proposed European Accessibility Act was highlighted as a possible good</w:t>
      </w:r>
      <w:r>
        <w:rPr>
          <w:rFonts w:ascii="Verdana" w:hAnsi="Verdana" w:cs="Times New Roman"/>
          <w:noProof/>
          <w:sz w:val="20"/>
          <w:szCs w:val="20"/>
        </w:rPr>
        <w:t xml:space="preserve"> model for </w:t>
      </w:r>
      <w:r>
        <w:rPr>
          <w:rFonts w:ascii="Verdana" w:hAnsi="Verdana" w:cs="Times New Roman"/>
          <w:b/>
          <w:noProof/>
          <w:sz w:val="20"/>
          <w:szCs w:val="20"/>
        </w:rPr>
        <w:t>mainstreaming</w:t>
      </w:r>
      <w:r>
        <w:rPr>
          <w:rFonts w:ascii="Verdana" w:hAnsi="Verdana" w:cs="Times New Roman"/>
          <w:noProof/>
          <w:sz w:val="20"/>
          <w:szCs w:val="20"/>
        </w:rPr>
        <w:t xml:space="preserve"> to facilitate the advancement of social rights through internal market instruments. Other stakeholders argued that the modernisation of social protection and welfare systems would help to increase the resilience of labour markets t</w:t>
      </w:r>
      <w:r>
        <w:rPr>
          <w:rFonts w:ascii="Verdana" w:hAnsi="Verdana" w:cs="Times New Roman"/>
          <w:noProof/>
          <w:sz w:val="20"/>
          <w:szCs w:val="20"/>
        </w:rPr>
        <w:t>o economic shocks, while increased efficiency of policies aimed at facilitating business creation and upscaling would help to improve the efficiency of resource allocation, fostering employment growth.</w:t>
      </w:r>
    </w:p>
    <w:p w:rsidR="001E527A" w:rsidRDefault="00CD69DA">
      <w:pPr>
        <w:pStyle w:val="NormalWeb"/>
        <w:spacing w:before="0" w:beforeAutospacing="0" w:after="200" w:afterAutospacing="0" w:line="276" w:lineRule="auto"/>
        <w:jc w:val="both"/>
        <w:rPr>
          <w:rFonts w:ascii="Verdana" w:hAnsi="Verdana"/>
          <w:noProof/>
          <w:sz w:val="20"/>
          <w:szCs w:val="20"/>
        </w:rPr>
      </w:pPr>
      <w:r>
        <w:rPr>
          <w:rFonts w:ascii="Verdana" w:eastAsia="Calibri" w:hAnsi="Verdana" w:cs="Arial"/>
          <w:noProof/>
          <w:sz w:val="20"/>
          <w:szCs w:val="20"/>
        </w:rPr>
        <w:t>In its resolution on the Pillar, the European Parliame</w:t>
      </w:r>
      <w:r>
        <w:rPr>
          <w:rFonts w:ascii="Verdana" w:eastAsia="Calibri" w:hAnsi="Verdana" w:cs="Arial"/>
          <w:noProof/>
          <w:sz w:val="20"/>
          <w:szCs w:val="20"/>
        </w:rPr>
        <w:t xml:space="preserve">nt invited the Commission to put forward a clear </w:t>
      </w:r>
      <w:r>
        <w:rPr>
          <w:rFonts w:ascii="Verdana" w:eastAsia="Calibri" w:hAnsi="Verdana" w:cs="Arial"/>
          <w:b/>
          <w:noProof/>
          <w:sz w:val="20"/>
          <w:szCs w:val="20"/>
        </w:rPr>
        <w:t>roadmap</w:t>
      </w:r>
      <w:r>
        <w:rPr>
          <w:rFonts w:ascii="Verdana" w:eastAsia="Calibri" w:hAnsi="Verdana" w:cs="Arial"/>
          <w:noProof/>
          <w:sz w:val="20"/>
          <w:szCs w:val="20"/>
        </w:rPr>
        <w:t xml:space="preserve"> for implementation. Box 3 summarises the main requests made.</w:t>
      </w:r>
    </w:p>
    <w:tbl>
      <w:tblPr>
        <w:tblStyle w:val="TableGrid"/>
        <w:tblpPr w:leftFromText="180" w:rightFromText="180" w:vertAnchor="text" w:horzAnchor="margin" w:tblpX="108" w:tblpY="100"/>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512"/>
      </w:tblGrid>
      <w:tr w:rsidR="001E527A">
        <w:trPr>
          <w:trHeight w:val="277"/>
        </w:trPr>
        <w:tc>
          <w:tcPr>
            <w:tcW w:w="9512" w:type="dxa"/>
            <w:shd w:val="clear" w:color="auto" w:fill="DAEEF3" w:themeFill="accent5" w:themeFillTint="33"/>
          </w:tcPr>
          <w:p w:rsidR="001E527A" w:rsidRDefault="00CD69DA">
            <w:pPr>
              <w:spacing w:after="200" w:line="276" w:lineRule="auto"/>
              <w:jc w:val="both"/>
              <w:rPr>
                <w:rFonts w:ascii="Verdana" w:hAnsi="Verdana"/>
                <w:b/>
                <w:noProof/>
                <w:color w:val="17365D" w:themeColor="text2" w:themeShade="BF"/>
                <w:sz w:val="20"/>
                <w:szCs w:val="20"/>
              </w:rPr>
            </w:pPr>
            <w:r>
              <w:rPr>
                <w:rFonts w:ascii="Verdana" w:hAnsi="Verdana"/>
                <w:b/>
                <w:noProof/>
                <w:sz w:val="20"/>
                <w:szCs w:val="20"/>
              </w:rPr>
              <w:t>Box 3: The European Parliament resolution on the European Pillar of Social Rights</w:t>
            </w:r>
          </w:p>
          <w:p w:rsidR="001E527A" w:rsidRDefault="00CD69DA">
            <w:pPr>
              <w:spacing w:after="200" w:line="276" w:lineRule="auto"/>
              <w:jc w:val="both"/>
              <w:rPr>
                <w:rFonts w:ascii="Verdana" w:hAnsi="Verdana"/>
                <w:noProof/>
                <w:sz w:val="20"/>
                <w:szCs w:val="20"/>
              </w:rPr>
            </w:pPr>
            <w:r>
              <w:rPr>
                <w:rFonts w:ascii="Verdana" w:hAnsi="Verdana"/>
                <w:noProof/>
                <w:sz w:val="20"/>
                <w:szCs w:val="20"/>
              </w:rPr>
              <w:t>The European Parliament called for</w:t>
            </w:r>
            <w:r>
              <w:rPr>
                <w:rStyle w:val="FootnoteReference"/>
                <w:rFonts w:ascii="Verdana" w:hAnsi="Verdana"/>
                <w:noProof/>
                <w:sz w:val="20"/>
                <w:szCs w:val="20"/>
              </w:rPr>
              <w:footnoteReference w:id="36"/>
            </w:r>
            <w:r>
              <w:rPr>
                <w:rFonts w:ascii="Verdana" w:hAnsi="Verdana"/>
                <w:noProof/>
                <w:sz w:val="20"/>
                <w:szCs w:val="20"/>
              </w:rPr>
              <w:t xml:space="preserve">: </w:t>
            </w:r>
          </w:p>
          <w:p w:rsidR="001E527A" w:rsidRDefault="00CD69DA">
            <w:pPr>
              <w:pStyle w:val="Bullet1"/>
              <w:spacing w:before="0" w:after="200" w:line="276" w:lineRule="auto"/>
              <w:rPr>
                <w:rFonts w:cs="Times New Roman"/>
                <w:noProof/>
                <w:szCs w:val="20"/>
              </w:rPr>
            </w:pPr>
            <w:r>
              <w:rPr>
                <w:rFonts w:cs="Times New Roman"/>
                <w:noProof/>
                <w:szCs w:val="20"/>
              </w:rPr>
              <w:t xml:space="preserve">A framework </w:t>
            </w:r>
            <w:r>
              <w:rPr>
                <w:rFonts w:cs="Times New Roman"/>
                <w:noProof/>
                <w:szCs w:val="20"/>
              </w:rPr>
              <w:t xml:space="preserve">Directive on decent working conditions in all forms of employment to ensure relevant existing minimum standards in particular as regards internships, traineeships and apprenticeships; work intermediated by digital platforms; and limits regarding on-demand </w:t>
            </w:r>
            <w:r>
              <w:rPr>
                <w:rFonts w:cs="Times New Roman"/>
                <w:noProof/>
                <w:szCs w:val="20"/>
              </w:rPr>
              <w:t>work;</w:t>
            </w:r>
          </w:p>
          <w:p w:rsidR="001E527A" w:rsidRDefault="00CD69DA">
            <w:pPr>
              <w:pStyle w:val="Bullet1"/>
              <w:spacing w:before="0" w:after="200" w:line="276" w:lineRule="auto"/>
              <w:rPr>
                <w:rFonts w:cs="Times New Roman"/>
                <w:noProof/>
                <w:szCs w:val="20"/>
              </w:rPr>
            </w:pPr>
            <w:r>
              <w:rPr>
                <w:rFonts w:cs="Times New Roman"/>
                <w:noProof/>
                <w:szCs w:val="20"/>
              </w:rPr>
              <w:t>M</w:t>
            </w:r>
            <w:r>
              <w:rPr>
                <w:noProof/>
                <w:szCs w:val="20"/>
              </w:rPr>
              <w:t>ore effective and efficient implementation and control of existing labour standards in order to improve the enforceability of rights and tackle undeclared work;</w:t>
            </w:r>
          </w:p>
          <w:p w:rsidR="001E527A" w:rsidRDefault="00CD69DA">
            <w:pPr>
              <w:pStyle w:val="Bullet1"/>
              <w:spacing w:before="0" w:after="200" w:line="276" w:lineRule="auto"/>
              <w:rPr>
                <w:rFonts w:cs="Times New Roman"/>
                <w:noProof/>
                <w:szCs w:val="20"/>
              </w:rPr>
            </w:pPr>
            <w:r>
              <w:rPr>
                <w:rFonts w:cs="Times New Roman"/>
                <w:noProof/>
                <w:szCs w:val="20"/>
              </w:rPr>
              <w:t>A Recommendation on the establishment of national wage floors informed by a regional liv</w:t>
            </w:r>
            <w:r>
              <w:rPr>
                <w:rFonts w:cs="Times New Roman"/>
                <w:noProof/>
                <w:szCs w:val="20"/>
              </w:rPr>
              <w:t>ing wage calculation;</w:t>
            </w:r>
          </w:p>
          <w:p w:rsidR="001E527A" w:rsidRDefault="00CD69DA">
            <w:pPr>
              <w:pStyle w:val="Bullet1"/>
              <w:spacing w:before="0" w:after="200" w:line="276" w:lineRule="auto"/>
              <w:rPr>
                <w:rFonts w:cs="Times New Roman"/>
                <w:noProof/>
                <w:szCs w:val="20"/>
              </w:rPr>
            </w:pPr>
            <w:r>
              <w:rPr>
                <w:rFonts w:cs="Times New Roman"/>
                <w:noProof/>
                <w:szCs w:val="20"/>
              </w:rPr>
              <w:t xml:space="preserve">An action plan on long-term care; </w:t>
            </w:r>
          </w:p>
          <w:p w:rsidR="001E527A" w:rsidRDefault="00CD69DA">
            <w:pPr>
              <w:pStyle w:val="Bullet1"/>
              <w:spacing w:before="0" w:after="200" w:line="276" w:lineRule="auto"/>
              <w:rPr>
                <w:rFonts w:cs="Times New Roman"/>
                <w:noProof/>
                <w:szCs w:val="20"/>
              </w:rPr>
            </w:pPr>
            <w:r>
              <w:rPr>
                <w:rFonts w:cs="Times New Roman"/>
                <w:noProof/>
                <w:szCs w:val="20"/>
              </w:rPr>
              <w:t>A recommendation on social protection in all forms of employment as well as in self-</w:t>
            </w:r>
            <w:r>
              <w:rPr>
                <w:rFonts w:cs="Times New Roman"/>
                <w:noProof/>
                <w:szCs w:val="20"/>
              </w:rPr>
              <w:lastRenderedPageBreak/>
              <w:t xml:space="preserve">employment; </w:t>
            </w:r>
          </w:p>
          <w:p w:rsidR="001E527A" w:rsidRDefault="00CD69DA">
            <w:pPr>
              <w:pStyle w:val="Bullet1"/>
              <w:spacing w:before="0" w:after="200" w:line="276" w:lineRule="auto"/>
              <w:rPr>
                <w:rFonts w:cs="Times New Roman"/>
                <w:noProof/>
                <w:szCs w:val="20"/>
              </w:rPr>
            </w:pPr>
            <w:r>
              <w:rPr>
                <w:rFonts w:cs="Times New Roman"/>
                <w:noProof/>
                <w:szCs w:val="20"/>
              </w:rPr>
              <w:t xml:space="preserve">Legislation on maternity, paternity, parental and carers' leave; </w:t>
            </w:r>
          </w:p>
          <w:p w:rsidR="001E527A" w:rsidRDefault="00CD69DA">
            <w:pPr>
              <w:pStyle w:val="Bullet1"/>
              <w:spacing w:before="0" w:after="200" w:line="276" w:lineRule="auto"/>
              <w:rPr>
                <w:rFonts w:cs="Times New Roman"/>
                <w:noProof/>
                <w:szCs w:val="20"/>
              </w:rPr>
            </w:pPr>
            <w:r>
              <w:rPr>
                <w:rFonts w:cs="Times New Roman"/>
                <w:noProof/>
                <w:szCs w:val="20"/>
              </w:rPr>
              <w:t xml:space="preserve">An appropriate level of social </w:t>
            </w:r>
            <w:r>
              <w:rPr>
                <w:rFonts w:cs="Times New Roman"/>
                <w:noProof/>
                <w:szCs w:val="20"/>
              </w:rPr>
              <w:t>investments;</w:t>
            </w:r>
          </w:p>
          <w:p w:rsidR="001E527A" w:rsidRDefault="00CD69DA">
            <w:pPr>
              <w:pStyle w:val="Bullet1"/>
              <w:spacing w:before="0" w:after="200" w:line="276" w:lineRule="auto"/>
              <w:rPr>
                <w:rFonts w:cs="Times New Roman"/>
                <w:noProof/>
                <w:szCs w:val="20"/>
              </w:rPr>
            </w:pPr>
            <w:r>
              <w:rPr>
                <w:rFonts w:cs="Times New Roman"/>
                <w:noProof/>
                <w:szCs w:val="20"/>
              </w:rPr>
              <w:t>A Skills Guarantee as a new right for everyone, at every stage of life, to acquire fundamental skills for the 21st century;</w:t>
            </w:r>
          </w:p>
          <w:p w:rsidR="001E527A" w:rsidRDefault="00CD69DA">
            <w:pPr>
              <w:pStyle w:val="Bullet1"/>
              <w:spacing w:before="0" w:after="200" w:line="276" w:lineRule="auto"/>
              <w:rPr>
                <w:rFonts w:cs="Times New Roman"/>
                <w:noProof/>
                <w:szCs w:val="20"/>
              </w:rPr>
            </w:pPr>
            <w:r>
              <w:rPr>
                <w:rFonts w:cs="Times New Roman"/>
                <w:noProof/>
                <w:szCs w:val="20"/>
              </w:rPr>
              <w:t xml:space="preserve">The extension of the Youth Guarantee to all young people below the age of 30; </w:t>
            </w:r>
          </w:p>
          <w:p w:rsidR="001E527A" w:rsidRDefault="00CD69DA">
            <w:pPr>
              <w:pStyle w:val="Bullet1"/>
              <w:spacing w:before="0" w:after="200" w:line="276" w:lineRule="auto"/>
              <w:rPr>
                <w:rFonts w:cs="Times New Roman"/>
                <w:noProof/>
                <w:szCs w:val="20"/>
              </w:rPr>
            </w:pPr>
            <w:r>
              <w:rPr>
                <w:rFonts w:cs="Times New Roman"/>
                <w:noProof/>
                <w:szCs w:val="20"/>
              </w:rPr>
              <w:t>A Child Guarantee in all Member States;</w:t>
            </w:r>
          </w:p>
          <w:p w:rsidR="001E527A" w:rsidRDefault="00CD69DA">
            <w:pPr>
              <w:pStyle w:val="Bullet1"/>
              <w:spacing w:before="0" w:after="200" w:line="276" w:lineRule="auto"/>
              <w:rPr>
                <w:rFonts w:cs="Times New Roman"/>
                <w:noProof/>
                <w:szCs w:val="20"/>
              </w:rPr>
            </w:pPr>
            <w:r>
              <w:rPr>
                <w:rFonts w:cs="Times New Roman"/>
                <w:noProof/>
                <w:szCs w:val="20"/>
              </w:rPr>
              <w:t>Best practice analysis for the calculation of minimum pensions;</w:t>
            </w:r>
          </w:p>
          <w:p w:rsidR="001E527A" w:rsidRDefault="00CD69DA">
            <w:pPr>
              <w:pStyle w:val="Bullet1"/>
              <w:spacing w:before="0" w:after="200" w:line="276" w:lineRule="auto"/>
              <w:rPr>
                <w:rFonts w:cs="Times New Roman"/>
                <w:noProof/>
                <w:szCs w:val="20"/>
              </w:rPr>
            </w:pPr>
            <w:r>
              <w:rPr>
                <w:rFonts w:cs="Times New Roman"/>
                <w:noProof/>
                <w:szCs w:val="20"/>
              </w:rPr>
              <w:t>Specific social targets and standards for the euro area;</w:t>
            </w:r>
          </w:p>
          <w:p w:rsidR="001E527A" w:rsidRDefault="00CD69DA">
            <w:pPr>
              <w:pStyle w:val="Bullet1"/>
              <w:spacing w:before="0" w:after="200" w:line="276" w:lineRule="auto"/>
              <w:rPr>
                <w:rFonts w:cs="Times New Roman"/>
                <w:noProof/>
                <w:szCs w:val="20"/>
              </w:rPr>
            </w:pPr>
            <w:r>
              <w:rPr>
                <w:rFonts w:cs="Times New Roman"/>
                <w:noProof/>
                <w:szCs w:val="20"/>
              </w:rPr>
              <w:t>Transparent use of the key employment and social indicators in formulating country specific recommendations and a potential Convergence</w:t>
            </w:r>
            <w:r>
              <w:rPr>
                <w:rFonts w:cs="Times New Roman"/>
                <w:noProof/>
                <w:szCs w:val="20"/>
              </w:rPr>
              <w:t xml:space="preserve"> Code.</w:t>
            </w:r>
          </w:p>
        </w:tc>
      </w:tr>
    </w:tbl>
    <w:p w:rsidR="001E527A" w:rsidRDefault="00CD69DA">
      <w:pPr>
        <w:pStyle w:val="Heading3"/>
        <w:rPr>
          <w:noProof/>
        </w:rPr>
      </w:pPr>
      <w:bookmarkStart w:id="20" w:name="_Toc479349464"/>
      <w:r>
        <w:rPr>
          <w:noProof/>
        </w:rPr>
        <w:lastRenderedPageBreak/>
        <w:t>Legislation: gaps identified and the importance of stepping up implementation</w:t>
      </w:r>
      <w:bookmarkEnd w:id="20"/>
    </w:p>
    <w:p w:rsidR="001E527A" w:rsidRDefault="00CD69DA">
      <w:pPr>
        <w:jc w:val="both"/>
        <w:rPr>
          <w:rFonts w:ascii="Verdana" w:hAnsi="Verdana"/>
          <w:noProof/>
          <w:sz w:val="20"/>
          <w:szCs w:val="20"/>
        </w:rPr>
      </w:pPr>
      <w:r>
        <w:rPr>
          <w:rFonts w:ascii="Verdana" w:hAnsi="Verdana"/>
          <w:noProof/>
          <w:sz w:val="20"/>
          <w:szCs w:val="20"/>
        </w:rPr>
        <w:t>The consultation on the Pillar, and more specifically work stream 1, provided an opportunity to revisit the EU social acquis</w:t>
      </w:r>
      <w:r>
        <w:rPr>
          <w:rFonts w:ascii="Verdana" w:hAnsi="Verdana"/>
          <w:noProof/>
          <w:sz w:val="20"/>
          <w:szCs w:val="20"/>
          <w:vertAlign w:val="superscript"/>
        </w:rPr>
        <w:footnoteReference w:id="37"/>
      </w:r>
      <w:r>
        <w:rPr>
          <w:rFonts w:ascii="Verdana" w:hAnsi="Verdana"/>
          <w:noProof/>
          <w:sz w:val="20"/>
          <w:szCs w:val="20"/>
        </w:rPr>
        <w:t xml:space="preserve"> and its relevance in the light of new trends, and to identify possible areas for future action, at the appropriate level.</w:t>
      </w:r>
    </w:p>
    <w:p w:rsidR="001E527A" w:rsidRDefault="00CD69DA">
      <w:pPr>
        <w:jc w:val="both"/>
        <w:rPr>
          <w:rFonts w:ascii="Verdana" w:hAnsi="Verdana"/>
          <w:noProof/>
          <w:sz w:val="20"/>
          <w:szCs w:val="20"/>
        </w:rPr>
      </w:pPr>
      <w:r>
        <w:rPr>
          <w:rFonts w:ascii="Verdana" w:hAnsi="Verdana"/>
          <w:noProof/>
          <w:sz w:val="20"/>
          <w:szCs w:val="20"/>
        </w:rPr>
        <w:t>In the online consultation, a</w:t>
      </w:r>
      <w:r>
        <w:rPr>
          <w:rFonts w:ascii="Verdana" w:eastAsia="Times New Roman" w:hAnsi="Verdana" w:cs="Times New Roman"/>
          <w:noProof/>
          <w:sz w:val="20"/>
          <w:szCs w:val="20"/>
          <w:lang w:eastAsia="en-GB"/>
        </w:rPr>
        <w:t>bout half of the respondents (52%) believed that the EU social acquis ne</w:t>
      </w:r>
      <w:r>
        <w:rPr>
          <w:rFonts w:ascii="Verdana" w:hAnsi="Verdana"/>
          <w:noProof/>
          <w:sz w:val="20"/>
          <w:szCs w:val="20"/>
        </w:rPr>
        <w:t>eds updating, with views changin</w:t>
      </w:r>
      <w:r>
        <w:rPr>
          <w:rFonts w:ascii="Verdana" w:hAnsi="Verdana"/>
          <w:noProof/>
          <w:sz w:val="20"/>
          <w:szCs w:val="20"/>
        </w:rPr>
        <w:t xml:space="preserve">g according to stakeholder type (see Figure 3). </w:t>
      </w:r>
    </w:p>
    <w:p w:rsidR="001E527A" w:rsidRDefault="00CD69DA">
      <w:pPr>
        <w:jc w:val="both"/>
        <w:rPr>
          <w:rFonts w:ascii="Verdana" w:hAnsi="Verdana"/>
          <w:i/>
          <w:noProof/>
          <w:sz w:val="20"/>
          <w:szCs w:val="20"/>
        </w:rPr>
      </w:pPr>
      <w:r>
        <w:rPr>
          <w:rFonts w:ascii="Verdana" w:hAnsi="Verdana"/>
          <w:i/>
          <w:noProof/>
          <w:sz w:val="20"/>
          <w:szCs w:val="20"/>
          <w:lang w:eastAsia="en-GB"/>
        </w:rPr>
        <mc:AlternateContent>
          <mc:Choice Requires="wpg">
            <w:drawing>
              <wp:anchor distT="0" distB="0" distL="114300" distR="114300" simplePos="0" relativeHeight="251816960" behindDoc="0" locked="0" layoutInCell="1" allowOverlap="1">
                <wp:simplePos x="0" y="0"/>
                <wp:positionH relativeFrom="margin">
                  <wp:posOffset>60495</wp:posOffset>
                </wp:positionH>
                <wp:positionV relativeFrom="margin">
                  <wp:posOffset>4050711</wp:posOffset>
                </wp:positionV>
                <wp:extent cx="4568134" cy="4493942"/>
                <wp:effectExtent l="0" t="0" r="4445" b="0"/>
                <wp:wrapNone/>
                <wp:docPr id="22" name="Group 22"/>
                <wp:cNvGraphicFramePr/>
                <a:graphic xmlns:a="http://schemas.openxmlformats.org/drawingml/2006/main">
                  <a:graphicData uri="http://schemas.microsoft.com/office/word/2010/wordprocessingGroup">
                    <wpg:wgp>
                      <wpg:cNvGrpSpPr/>
                      <wpg:grpSpPr>
                        <a:xfrm>
                          <a:off x="0" y="0"/>
                          <a:ext cx="4568134" cy="4493942"/>
                          <a:chOff x="-31826" y="0"/>
                          <a:chExt cx="4474172" cy="4954803"/>
                        </a:xfrm>
                      </wpg:grpSpPr>
                      <wps:wsp>
                        <wps:cNvPr id="23" name="Rectangle 4"/>
                        <wps:cNvSpPr/>
                        <wps:spPr>
                          <a:xfrm>
                            <a:off x="231112" y="0"/>
                            <a:ext cx="2085960" cy="2085960"/>
                          </a:xfrm>
                          <a:prstGeom prst="rect">
                            <a:avLst/>
                          </a:prstGeom>
                          <a:solidFill>
                            <a:schemeClr val="bg1">
                              <a:lumMod val="95000"/>
                            </a:schemeClr>
                          </a:solidFill>
                          <a:ln>
                            <a:solidFill>
                              <a:schemeClr val="bg1"/>
                            </a:solidFill>
                          </a:ln>
                        </wps:spPr>
                        <wps:style>
                          <a:lnRef idx="2">
                            <a:schemeClr val="accent2"/>
                          </a:lnRef>
                          <a:fillRef idx="1">
                            <a:schemeClr val="lt1"/>
                          </a:fillRef>
                          <a:effectRef idx="0">
                            <a:schemeClr val="accent2"/>
                          </a:effectRef>
                          <a:fontRef idx="minor">
                            <a:schemeClr val="dk1"/>
                          </a:fontRef>
                        </wps:style>
                        <wps:bodyPr rtlCol="0" anchor="ctr"/>
                      </wps:wsp>
                      <wps:wsp>
                        <wps:cNvPr id="24" name="Rectangle 5"/>
                        <wps:cNvSpPr/>
                        <wps:spPr>
                          <a:xfrm>
                            <a:off x="231112" y="2090057"/>
                            <a:ext cx="2085960" cy="2085960"/>
                          </a:xfrm>
                          <a:prstGeom prst="rect">
                            <a:avLst/>
                          </a:prstGeom>
                          <a:solidFill>
                            <a:schemeClr val="bg1">
                              <a:lumMod val="95000"/>
                            </a:schemeClr>
                          </a:solidFill>
                          <a:ln>
                            <a:solidFill>
                              <a:schemeClr val="bg1"/>
                            </a:solidFill>
                          </a:ln>
                        </wps:spPr>
                        <wps:style>
                          <a:lnRef idx="2">
                            <a:schemeClr val="accent2"/>
                          </a:lnRef>
                          <a:fillRef idx="1">
                            <a:schemeClr val="lt1"/>
                          </a:fillRef>
                          <a:effectRef idx="0">
                            <a:schemeClr val="accent2"/>
                          </a:effectRef>
                          <a:fontRef idx="minor">
                            <a:schemeClr val="dk1"/>
                          </a:fontRef>
                        </wps:style>
                        <wps:bodyPr rtlCol="0" anchor="ctr"/>
                      </wps:wsp>
                      <wps:wsp>
                        <wps:cNvPr id="30" name="Rectangle 6"/>
                        <wps:cNvSpPr/>
                        <wps:spPr>
                          <a:xfrm>
                            <a:off x="2321169" y="0"/>
                            <a:ext cx="2085340" cy="2085340"/>
                          </a:xfrm>
                          <a:prstGeom prst="rect">
                            <a:avLst/>
                          </a:prstGeom>
                          <a:solidFill>
                            <a:schemeClr val="bg1">
                              <a:lumMod val="95000"/>
                            </a:schemeClr>
                          </a:solidFill>
                          <a:ln>
                            <a:solidFill>
                              <a:schemeClr val="bg1"/>
                            </a:solidFill>
                          </a:ln>
                        </wps:spPr>
                        <wps:style>
                          <a:lnRef idx="2">
                            <a:schemeClr val="accent2"/>
                          </a:lnRef>
                          <a:fillRef idx="1">
                            <a:schemeClr val="lt1"/>
                          </a:fillRef>
                          <a:effectRef idx="0">
                            <a:schemeClr val="accent2"/>
                          </a:effectRef>
                          <a:fontRef idx="minor">
                            <a:schemeClr val="dk1"/>
                          </a:fontRef>
                        </wps:style>
                        <wps:bodyPr rtlCol="0" anchor="ctr"/>
                      </wps:wsp>
                      <wps:wsp>
                        <wps:cNvPr id="31" name="Rectangle 7"/>
                        <wps:cNvSpPr/>
                        <wps:spPr>
                          <a:xfrm>
                            <a:off x="2321169" y="2080009"/>
                            <a:ext cx="2085340" cy="2085340"/>
                          </a:xfrm>
                          <a:prstGeom prst="rect">
                            <a:avLst/>
                          </a:prstGeom>
                          <a:solidFill>
                            <a:schemeClr val="bg1">
                              <a:lumMod val="95000"/>
                            </a:schemeClr>
                          </a:solidFill>
                          <a:ln>
                            <a:solidFill>
                              <a:schemeClr val="bg1"/>
                            </a:solidFill>
                          </a:ln>
                        </wps:spPr>
                        <wps:style>
                          <a:lnRef idx="2">
                            <a:schemeClr val="accent2"/>
                          </a:lnRef>
                          <a:fillRef idx="1">
                            <a:schemeClr val="lt1"/>
                          </a:fillRef>
                          <a:effectRef idx="0">
                            <a:schemeClr val="accent2"/>
                          </a:effectRef>
                          <a:fontRef idx="minor">
                            <a:schemeClr val="dk1"/>
                          </a:fontRef>
                        </wps:style>
                        <wps:bodyPr rtlCol="0" anchor="ctr"/>
                      </wps:wsp>
                      <wps:wsp>
                        <wps:cNvPr id="32" name="TextBox 8"/>
                        <wps:cNvSpPr txBox="1"/>
                        <wps:spPr>
                          <a:xfrm rot="16200000">
                            <a:off x="-537563" y="788707"/>
                            <a:ext cx="1457216" cy="423747"/>
                          </a:xfrm>
                          <a:prstGeom prst="rect">
                            <a:avLst/>
                          </a:prstGeom>
                          <a:noFill/>
                        </wps:spPr>
                        <wps:txbx>
                          <w:txbxContent>
                            <w:p w:rsidR="001E527A" w:rsidRDefault="00CD69DA">
                              <w:pPr>
                                <w:pStyle w:val="NormalWeb"/>
                                <w:textAlignment w:val="baseline"/>
                                <w:rPr>
                                  <w:rFonts w:ascii="Verdana" w:hAnsi="Verdana"/>
                                  <w:sz w:val="20"/>
                                </w:rPr>
                              </w:pPr>
                              <w:r>
                                <w:rPr>
                                  <w:rFonts w:ascii="Verdana" w:hAnsi="Verdana" w:cs="Arial"/>
                                  <w:color w:val="000000" w:themeColor="text1"/>
                                  <w:kern w:val="24"/>
                                  <w:sz w:val="20"/>
                                </w:rPr>
                                <w:t>Extend the scope</w:t>
                              </w:r>
                            </w:p>
                          </w:txbxContent>
                        </wps:txbx>
                        <wps:bodyPr wrap="square" rtlCol="0">
                          <a:noAutofit/>
                        </wps:bodyPr>
                      </wps:wsp>
                      <wps:wsp>
                        <wps:cNvPr id="33" name="TextBox 9"/>
                        <wps:cNvSpPr txBox="1"/>
                        <wps:spPr>
                          <a:xfrm rot="16200000">
                            <a:off x="-647974" y="2878520"/>
                            <a:ext cx="1656043" cy="423747"/>
                          </a:xfrm>
                          <a:prstGeom prst="rect">
                            <a:avLst/>
                          </a:prstGeom>
                          <a:noFill/>
                        </wps:spPr>
                        <wps:txbx>
                          <w:txbxContent>
                            <w:p w:rsidR="001E527A" w:rsidRDefault="00CD69DA">
                              <w:pPr>
                                <w:pStyle w:val="NormalWeb"/>
                                <w:textAlignment w:val="baseline"/>
                                <w:rPr>
                                  <w:rFonts w:ascii="Verdana" w:hAnsi="Verdana"/>
                                  <w:sz w:val="20"/>
                                </w:rPr>
                              </w:pPr>
                              <w:r>
                                <w:rPr>
                                  <w:rFonts w:ascii="Verdana" w:hAnsi="Verdana" w:cs="Arial"/>
                                  <w:color w:val="000000" w:themeColor="text1"/>
                                  <w:kern w:val="24"/>
                                  <w:sz w:val="20"/>
                                </w:rPr>
                                <w:t>Better enforcement</w:t>
                              </w:r>
                            </w:p>
                          </w:txbxContent>
                        </wps:txbx>
                        <wps:bodyPr wrap="square" rtlCol="0">
                          <a:noAutofit/>
                        </wps:bodyPr>
                      </wps:wsp>
                      <wps:wsp>
                        <wps:cNvPr id="34" name="TextBox 10"/>
                        <wps:cNvSpPr txBox="1"/>
                        <wps:spPr>
                          <a:xfrm>
                            <a:off x="733443" y="4165349"/>
                            <a:ext cx="1053419" cy="423699"/>
                          </a:xfrm>
                          <a:prstGeom prst="rect">
                            <a:avLst/>
                          </a:prstGeom>
                          <a:noFill/>
                        </wps:spPr>
                        <wps:txbx>
                          <w:txbxContent>
                            <w:p w:rsidR="001E527A" w:rsidRDefault="00CD69DA">
                              <w:pPr>
                                <w:pStyle w:val="NormalWeb"/>
                                <w:textAlignment w:val="baseline"/>
                                <w:rPr>
                                  <w:rFonts w:ascii="Verdana" w:hAnsi="Verdana"/>
                                  <w:sz w:val="20"/>
                                </w:rPr>
                              </w:pPr>
                              <w:r>
                                <w:rPr>
                                  <w:rFonts w:ascii="Verdana" w:hAnsi="Verdana" w:cs="Arial"/>
                                  <w:color w:val="000000" w:themeColor="text1"/>
                                  <w:kern w:val="24"/>
                                  <w:sz w:val="20"/>
                                </w:rPr>
                                <w:t>Up to date</w:t>
                              </w:r>
                            </w:p>
                          </w:txbxContent>
                        </wps:txbx>
                        <wps:bodyPr wrap="square" rtlCol="0">
                          <a:noAutofit/>
                        </wps:bodyPr>
                      </wps:wsp>
                      <wps:wsp>
                        <wps:cNvPr id="36" name="TextBox 11"/>
                        <wps:cNvSpPr txBox="1"/>
                        <wps:spPr>
                          <a:xfrm>
                            <a:off x="2863444" y="4179670"/>
                            <a:ext cx="1053419" cy="423699"/>
                          </a:xfrm>
                          <a:prstGeom prst="rect">
                            <a:avLst/>
                          </a:prstGeom>
                          <a:noFill/>
                        </wps:spPr>
                        <wps:txbx>
                          <w:txbxContent>
                            <w:p w:rsidR="001E527A" w:rsidRDefault="00CD69DA">
                              <w:pPr>
                                <w:pStyle w:val="NormalWeb"/>
                                <w:textAlignment w:val="baseline"/>
                                <w:rPr>
                                  <w:rFonts w:ascii="Verdana" w:hAnsi="Verdana"/>
                                  <w:sz w:val="20"/>
                                </w:rPr>
                              </w:pPr>
                              <w:r>
                                <w:rPr>
                                  <w:rFonts w:ascii="Verdana" w:hAnsi="Verdana" w:cs="Arial"/>
                                  <w:color w:val="000000" w:themeColor="text1"/>
                                  <w:kern w:val="24"/>
                                  <w:sz w:val="20"/>
                                </w:rPr>
                                <w:t>To update</w:t>
                              </w:r>
                            </w:p>
                          </w:txbxContent>
                        </wps:txbx>
                        <wps:bodyPr wrap="square" rtlCol="0">
                          <a:noAutofit/>
                        </wps:bodyPr>
                      </wps:wsp>
                      <wps:wsp>
                        <wps:cNvPr id="37" name="Oval 12"/>
                        <wps:cNvSpPr>
                          <a:spLocks noChangeAspect="1"/>
                        </wps:cNvSpPr>
                        <wps:spPr>
                          <a:xfrm>
                            <a:off x="411982" y="3084844"/>
                            <a:ext cx="786130" cy="786130"/>
                          </a:xfrm>
                          <a:prstGeom prst="ellipse">
                            <a:avLst/>
                          </a:prstGeom>
                          <a:solidFill>
                            <a:srgbClr val="F29934"/>
                          </a:solidFill>
                          <a:ln>
                            <a:solidFill>
                              <a:srgbClr val="F299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TextBox 13"/>
                        <wps:cNvSpPr txBox="1"/>
                        <wps:spPr>
                          <a:xfrm>
                            <a:off x="200943" y="3325650"/>
                            <a:ext cx="1236980" cy="415290"/>
                          </a:xfrm>
                          <a:prstGeom prst="rect">
                            <a:avLst/>
                          </a:prstGeom>
                          <a:noFill/>
                        </wps:spPr>
                        <wps:txbx>
                          <w:txbxContent>
                            <w:p w:rsidR="001E527A" w:rsidRDefault="00CD69DA">
                              <w:pPr>
                                <w:pStyle w:val="NormalWeb"/>
                                <w:jc w:val="center"/>
                                <w:textAlignment w:val="baseline"/>
                              </w:pPr>
                              <w:r>
                                <w:rPr>
                                  <w:rFonts w:ascii="Arial" w:hAnsi="Arial" w:cs="Arial"/>
                                  <w:b/>
                                  <w:bCs/>
                                  <w:color w:val="FFFFFF" w:themeColor="background1"/>
                                  <w:kern w:val="24"/>
                                  <w:sz w:val="20"/>
                                  <w:szCs w:val="20"/>
                                </w:rPr>
                                <w:t>Employers</w:t>
                              </w:r>
                            </w:p>
                          </w:txbxContent>
                        </wps:txbx>
                        <wps:bodyPr wrap="square" rtlCol="0">
                          <a:noAutofit/>
                        </wps:bodyPr>
                      </wps:wsp>
                      <wps:wsp>
                        <wps:cNvPr id="39" name="Oval 14"/>
                        <wps:cNvSpPr>
                          <a:spLocks noChangeAspect="1"/>
                        </wps:cNvSpPr>
                        <wps:spPr>
                          <a:xfrm>
                            <a:off x="1426865" y="1868993"/>
                            <a:ext cx="786130" cy="786130"/>
                          </a:xfrm>
                          <a:prstGeom prst="ellipse">
                            <a:avLst/>
                          </a:prstGeom>
                          <a:solidFill>
                            <a:srgbClr val="F29934"/>
                          </a:solidFill>
                          <a:ln>
                            <a:solidFill>
                              <a:srgbClr val="F299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15"/>
                        <wps:cNvSpPr txBox="1"/>
                        <wps:spPr>
                          <a:xfrm>
                            <a:off x="1346321" y="2009456"/>
                            <a:ext cx="965835" cy="529590"/>
                          </a:xfrm>
                          <a:prstGeom prst="rect">
                            <a:avLst/>
                          </a:prstGeom>
                          <a:noFill/>
                        </wps:spPr>
                        <wps:txbx>
                          <w:txbxContent>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National</w:t>
                              </w:r>
                            </w:p>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 xml:space="preserve">policy </w:t>
                              </w:r>
                            </w:p>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makers</w:t>
                              </w:r>
                            </w:p>
                          </w:txbxContent>
                        </wps:txbx>
                        <wps:bodyPr wrap="square" rtlCol="0">
                          <a:noAutofit/>
                        </wps:bodyPr>
                      </wps:wsp>
                      <wps:wsp>
                        <wps:cNvPr id="41" name="Oval 16"/>
                        <wps:cNvSpPr>
                          <a:spLocks noChangeAspect="1"/>
                        </wps:cNvSpPr>
                        <wps:spPr>
                          <a:xfrm>
                            <a:off x="2321169" y="1738365"/>
                            <a:ext cx="786130" cy="786130"/>
                          </a:xfrm>
                          <a:prstGeom prst="ellipse">
                            <a:avLst/>
                          </a:prstGeom>
                          <a:solidFill>
                            <a:srgbClr val="F29934"/>
                          </a:solidFill>
                          <a:ln>
                            <a:solidFill>
                              <a:srgbClr val="F299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TextBox 17"/>
                        <wps:cNvSpPr txBox="1"/>
                        <wps:spPr>
                          <a:xfrm>
                            <a:off x="2250566" y="1969268"/>
                            <a:ext cx="965835" cy="383540"/>
                          </a:xfrm>
                          <a:prstGeom prst="rect">
                            <a:avLst/>
                          </a:prstGeom>
                          <a:noFill/>
                        </wps:spPr>
                        <wps:txbx>
                          <w:txbxContent>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EU/Int.</w:t>
                              </w:r>
                            </w:p>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bodies</w:t>
                              </w:r>
                            </w:p>
                          </w:txbxContent>
                        </wps:txbx>
                        <wps:bodyPr wrap="square" rtlCol="0">
                          <a:noAutofit/>
                        </wps:bodyPr>
                      </wps:wsp>
                      <wps:wsp>
                        <wps:cNvPr id="43" name="Oval 18"/>
                        <wps:cNvSpPr>
                          <a:spLocks noChangeAspect="1"/>
                        </wps:cNvSpPr>
                        <wps:spPr>
                          <a:xfrm>
                            <a:off x="3547068" y="1768510"/>
                            <a:ext cx="786600" cy="786600"/>
                          </a:xfrm>
                          <a:prstGeom prst="ellipse">
                            <a:avLst/>
                          </a:prstGeom>
                          <a:solidFill>
                            <a:srgbClr val="F29934"/>
                          </a:solidFill>
                          <a:ln>
                            <a:solidFill>
                              <a:srgbClr val="F299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Oval 19"/>
                        <wps:cNvSpPr>
                          <a:spLocks noChangeAspect="1"/>
                        </wps:cNvSpPr>
                        <wps:spPr>
                          <a:xfrm>
                            <a:off x="3547068" y="110532"/>
                            <a:ext cx="786130" cy="786130"/>
                          </a:xfrm>
                          <a:prstGeom prst="ellipse">
                            <a:avLst/>
                          </a:prstGeom>
                          <a:solidFill>
                            <a:srgbClr val="F29934"/>
                          </a:solidFill>
                          <a:ln>
                            <a:solidFill>
                              <a:srgbClr val="F299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TextBox 20"/>
                        <wps:cNvSpPr txBox="1"/>
                        <wps:spPr>
                          <a:xfrm>
                            <a:off x="3476511" y="1939126"/>
                            <a:ext cx="965835" cy="383540"/>
                          </a:xfrm>
                          <a:prstGeom prst="rect">
                            <a:avLst/>
                          </a:prstGeom>
                          <a:noFill/>
                        </wps:spPr>
                        <wps:txbx>
                          <w:txbxContent>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Trade</w:t>
                              </w:r>
                            </w:p>
                            <w:p w:rsidR="001E527A" w:rsidRDefault="00CD69DA">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unions</w:t>
                              </w:r>
                            </w:p>
                          </w:txbxContent>
                        </wps:txbx>
                        <wps:bodyPr wrap="square" rtlCol="0">
                          <a:noAutofit/>
                        </wps:bodyPr>
                      </wps:wsp>
                      <wps:wsp>
                        <wps:cNvPr id="46" name="TextBox 21"/>
                        <wps:cNvSpPr txBox="1"/>
                        <wps:spPr>
                          <a:xfrm>
                            <a:off x="3476511" y="381796"/>
                            <a:ext cx="965835" cy="415290"/>
                          </a:xfrm>
                          <a:prstGeom prst="rect">
                            <a:avLst/>
                          </a:prstGeom>
                          <a:noFill/>
                        </wps:spPr>
                        <wps:txbx>
                          <w:txbxContent>
                            <w:p w:rsidR="001E527A" w:rsidRDefault="00CD69DA">
                              <w:pPr>
                                <w:pStyle w:val="NormalWeb"/>
                                <w:jc w:val="center"/>
                                <w:textAlignment w:val="baseline"/>
                              </w:pPr>
                              <w:r>
                                <w:rPr>
                                  <w:rFonts w:ascii="Arial" w:hAnsi="Arial" w:cs="Arial"/>
                                  <w:b/>
                                  <w:bCs/>
                                  <w:color w:val="FFFFFF" w:themeColor="background1"/>
                                  <w:kern w:val="24"/>
                                  <w:sz w:val="20"/>
                                  <w:szCs w:val="20"/>
                                </w:rPr>
                                <w:t>NGOs</w:t>
                              </w:r>
                            </w:p>
                          </w:txbxContent>
                        </wps:txbx>
                        <wps:bodyPr wrap="square" rtlCol="0">
                          <a:noAutofit/>
                        </wps:bodyPr>
                      </wps:wsp>
                      <wps:wsp>
                        <wps:cNvPr id="47" name="TextBox 22"/>
                        <wps:cNvSpPr txBox="1"/>
                        <wps:spPr>
                          <a:xfrm>
                            <a:off x="0" y="4531105"/>
                            <a:ext cx="3474468" cy="423698"/>
                          </a:xfrm>
                          <a:prstGeom prst="rect">
                            <a:avLst/>
                          </a:prstGeom>
                          <a:noFill/>
                        </wps:spPr>
                        <wps:txbx>
                          <w:txbxContent>
                            <w:p w:rsidR="001E527A" w:rsidRDefault="00CD69DA">
                              <w:pPr>
                                <w:pStyle w:val="NormalWeb"/>
                                <w:textAlignment w:val="baseline"/>
                                <w:rPr>
                                  <w:sz w:val="18"/>
                                </w:rPr>
                              </w:pPr>
                              <w:r>
                                <w:rPr>
                                  <w:rFonts w:ascii="Verdana" w:hAnsi="Verdana" w:cstheme="minorBidi"/>
                                  <w:i/>
                                  <w:iCs/>
                                  <w:color w:val="000000" w:themeColor="text1"/>
                                  <w:kern w:val="24"/>
                                  <w:sz w:val="18"/>
                                </w:rPr>
                                <w:t>Source: All stakeholder contributions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2" o:spid="_x0000_s1037" style="position:absolute;left:0;text-align:left;margin-left:4.75pt;margin-top:318.95pt;width:359.7pt;height:353.85pt;z-index:251816960;mso-position-horizontal-relative:margin;mso-position-vertical-relative:margin;mso-width-relative:margin;mso-height-relative:margin" coordorigin="-318" coordsize="44741,4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KtLgYAAJEtAAAOAAAAZHJzL2Uyb0RvYy54bWzsWl9zmzgQf7+Z+w4M740REgI8cTq99tKX&#10;3rXT9j4AwbLNFCNOkNj59rcrIRmTtnHSxDnP8OIAYYW0f367+5POX2/XpXcjVFPIauaTs8D3RJXL&#10;eVEtZ/4/Xy9fJb7XtFk1z0pZiZl/Kxr/9cXvv51v6qkI5UqWc6E8GKRqppt65q/atp5OJk2+Euus&#10;OZO1qOCfC6nWWQu3ajmZq2wDo6/LSRgEfLKRal4rmYumgafvzD/9Cz3+YiHy9uNi0YjWK2c+zK3V&#10;v0r/XuHv5OI8my5VVq+KvJtG9ohZrLOigo+6od5lbeZdq+LOUOsiV7KRi/Ysl+uJXCyKXOg1wGpI&#10;MFjNeyWva72W5XSzrJ2aQLUDPT162Pzvm0/KK+YzPwx9r8rWYCP9WQ/uQTmbejmFd96r+kv9SXUP&#10;luYO17tdqDX+hZV4W63WW6dWsW29HB6yiCeEMt/L4X+MpTRleuxsmq/AOij3ipIk5L63E85Xf1px&#10;FjMSw+y0eBqxJKA4tYn9+gQn6ea0qcGTmp2yml9T1pdVVgttgwYVYZVFrbI+g4tl1bIUHjP60q85&#10;ZTXTBvT2HU2FlBACi9qt2KorDJIo5eCsuF57019vNq1V074Xcu3hxcxXMAftfdnNh6Y1r9pX8NON&#10;LIv5ZVGW+gZDS7wtlXeTQVBcLYkWLa/Xf8m5eZZGQaBDA1SsIxFf1wrfG6msDhncTKcnCIOiJFjN&#10;KkdftbelwPHK6rNYgEeCV4R6Zm4GZnJZnouq1Q6kR4K3UWwBy3OCZkkDwbIlndt076KY0BjhBIP7&#10;v+gk9Fdl1TrhdVFJ9b0B5t/cl837dvVmzbj8Kzm/Bd9SbflWGqjKqnwlAanyVulpd36NIXkMB4dw&#10;NWiwc/DosQ4eBmkQRDGKg8a7sLaePbr56OYv5uYUYHbo5vyBbh4SwtMfATllPSDHmxHIbeYZgfwY&#10;QE7JXQ/XSIxpBAqaQyqVnYcDaENpkN5F8tHPx4LlRQsW6tqXr1Bh/CG3XjLAca/dwmNoUu3zfmXu&#10;KQmFNOHQU2Lti4VK19K8imgccaj3oRqPkyQOBnUMYVEcEuhddHsS0pjpF1x38uBqvZJYqmOewBA1&#10;k8Srdnu11Z0acSvoqsYN9K8zv/n3OlPC79WQuIpKvrlu5aLQbQEOY2S60aFROlJBSV3HZO2jUaSH&#10;Qo+1D2dxGkO5it1SEidR2HX1ttAkPOIBg88fz0Bd62yV7Z2EgVzFbw1EtCIPtVAvZGJKGSocLMJA&#10;+5QNEgYJ4BmBmqmzCE/1C88ZMpox2Ln/aVgEQMUUp84iLvK7zP3TmOlZJEw4mMQECZApKY+HQXJ8&#10;kzi+5JRQLLYm+QjsiQcEDuB0L0JQ5U39QebfGq+Sb1fADIk3TQ38TJd3NKZ3xjOS/SzUsxgjJE0M&#10;P0SDhCVgvL32OU44we4FQ6i7/mlrIcqyqBtksrLpQTSRWl45kugyTFMg8MwHelSOYXKGBNMhkk9C&#10;AnU0zyqbC8MNIW9lWyzH/kCq61glXPv9PJHpSxxjY3glFHXMj2GnfsIVWWEnob98EFfUY6lOhSui&#10;wPEPcMrB7UNxCpqLLnNQGkY8GsJUSHmadG7PSBSm1tyWiLa854HU6P3FlmO9TgmmILcaixiYclDr&#10;kOepYIqwkCc80rmeJDwBnBhxaseuWyzB+G9GnHpZThupuAFOueB+IE7BdhanIVAr2HQgZkWaNdyx&#10;2ymPEgphgekZUCp6fpxytOUJ4RRz5JTBKbeGJ8epEKxlaVoS04QCZo31lCvwRpz6H+29we74EKeG&#10;jO3BfV8YBRE3G+sk5Skk63237+MUREX0qzsU99dTbimnhFOOvDI4NaQWdXp/krYPLBAHYCRMLCTm&#10;SWRImF1igV6PQ49j+z68Hvu+se97iTMCyCf1u4whoftMUYHsoeZd9oJiJEPMyZOxyXjhJgOK/v0m&#10;w+xH9EjCQ5M3ZTGPYLNH5wI4NUfghNxezXr85O0S3ykl7zs0OjRuoMdftAhNkEf/sUGOw045zD0l&#10;gzgS3e5r2LOm7kTCoSEChRAUSiyCw5TBoKGD6GEMKym3yaSd9xk3mXaB/jTG0Oda4dyvJrC7M8p4&#10;sLh/r/dxdyepL/4DAAD//wMAUEsDBBQABgAIAAAAIQAx0NtO4QAAAAoBAAAPAAAAZHJzL2Rvd25y&#10;ZXYueG1sTI/BaoNAEIbvhb7DMoXemtVYTWJdQwhtTyHQpFB62+hEJe6suBs1b9/pqb3N8H/88022&#10;nkwrBuxdY0lBOAtAIBW2bKhS8Hl8e1qCcF5TqVtLqOCGDtb5/V2m09KO9IHDwVeCS8ilWkHtfZdK&#10;6YoajXYz2yFxdra90Z7XvpJlr0cuN62cB0EijW6IL9S6w22NxeVwNQreRz1uovB12F3O29v3Md5/&#10;7UJU6vFh2ryA8Dj5Pxh+9VkdcnY62SuVTrQKVjGDCpJosQLB+WK+5OHEYPQcJyDzTP5/If8BAAD/&#10;/wMAUEsBAi0AFAAGAAgAAAAhALaDOJL+AAAA4QEAABMAAAAAAAAAAAAAAAAAAAAAAFtDb250ZW50&#10;X1R5cGVzXS54bWxQSwECLQAUAAYACAAAACEAOP0h/9YAAACUAQAACwAAAAAAAAAAAAAAAAAvAQAA&#10;X3JlbHMvLnJlbHNQSwECLQAUAAYACAAAACEABIwyrS4GAACRLQAADgAAAAAAAAAAAAAAAAAuAgAA&#10;ZHJzL2Uyb0RvYy54bWxQSwECLQAUAAYACAAAACEAMdDbTuEAAAAKAQAADwAAAAAAAAAAAAAAAACI&#10;CAAAZHJzL2Rvd25yZXYueG1sUEsFBgAAAAAEAAQA8wAAAJYJAAAAAA==&#10;">
                <v:rect id="Rectangle 4" o:spid="_x0000_s1038" style="position:absolute;left:2311;width:20859;height:2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fPsYA&#10;AADbAAAADwAAAGRycy9kb3ducmV2LnhtbESP3WrCQBSE7wXfYTlCb6RuqiIhzUb8QawUCo19gNPs&#10;aRKaPZtmtxp9ercg9HKYmW+YdNmbRpyoc7VlBU+TCARxYXXNpYKP4+4xBuE8ssbGMim4kINlNhyk&#10;mGh75nc65b4UAcIuQQWV920ipSsqMugmtiUO3pftDPogu1LqDs8Bbho5jaKFNFhzWKiwpU1FxXf+&#10;axS4n9fDNp8v9Nitj/FnuX87XOdjpR5G/eoZhKfe/4fv7RetYDqDv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yfPsYAAADbAAAADwAAAAAAAAAAAAAAAACYAgAAZHJz&#10;L2Rvd25yZXYueG1sUEsFBgAAAAAEAAQA9QAAAIsDAAAAAA==&#10;" fillcolor="#f2f2f2 [3052]" strokecolor="white [3212]" strokeweight="2pt"/>
                <v:rect id="Rectangle 5" o:spid="_x0000_s1039" style="position:absolute;left:2311;top:20900;width:20859;height:20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UHSsUA&#10;AADbAAAADwAAAGRycy9kb3ducmV2LnhtbESP0WrCQBRE3wv+w3ILfRHdKEEkukpVikpBMPoB1+xt&#10;Epq9G7Orxn69WxB8HGbmDDOdt6YSV2pcaVnBoB+BIM6sLjlXcDx89cYgnEfWWFkmBXdyMJ913qaY&#10;aHvjPV1Tn4sAYZeggsL7OpHSZQUZdH1bEwfvxzYGfZBNLnWDtwA3lRxG0UgaLDksFFjTsqDsN70Y&#10;Be78vV2l8Uh33eIwPuXr3fYv7ir18d5+TkB4av0r/GxvtIJhDP9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QdKxQAAANsAAAAPAAAAAAAAAAAAAAAAAJgCAABkcnMv&#10;ZG93bnJldi54bWxQSwUGAAAAAAQABAD1AAAAigMAAAAA&#10;" fillcolor="#f2f2f2 [3052]" strokecolor="white [3212]" strokeweight="2pt"/>
                <v:rect id="Rectangle 6" o:spid="_x0000_s1040" style="position:absolute;left:23211;width:20854;height:20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XlMMA&#10;AADbAAAADwAAAGRycy9kb3ducmV2LnhtbERP3WrCMBS+H/gO4Qi7KZpuE5FqFH8YWxkIVh/g2Bzb&#10;YnPSNVnb7emXi8EuP77/1WYwteiodZVlBU/TGARxbnXFhYLL+XWyAOE8ssbaMin4Jgeb9ehhhYm2&#10;PZ+oy3whQgi7BBWU3jeJlC4vyaCb2oY4cDfbGvQBtoXULfYh3NTyOY7n0mDFoaHEhvYl5ffsyyhw&#10;nx/pIZvNdeR258W1eDumP7NIqcfxsF2C8DT4f/Gf+10reAnrw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eXlMMAAADbAAAADwAAAAAAAAAAAAAAAACYAgAAZHJzL2Rv&#10;d25yZXYueG1sUEsFBgAAAAAEAAQA9QAAAIgDAAAAAA==&#10;" fillcolor="#f2f2f2 [3052]" strokecolor="white [3212]" strokeweight="2pt"/>
                <v:rect id="Rectangle 7" o:spid="_x0000_s1041" style="position:absolute;left:23211;top:20800;width:20854;height:20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yD8UA&#10;AADbAAAADwAAAGRycy9kb3ducmV2LnhtbESP3YrCMBSE7xd8h3AEb0RTVxGpRtkfREUQrD7AsTm2&#10;xeak20St+/QbYcHLYWa+YWaLxpTiRrUrLCsY9CMQxKnVBWcKjodlbwLCeWSNpWVS8CAHi3nrbYax&#10;tnfe0y3xmQgQdjEqyL2vYildmpNB17cVcfDOtjbog6wzqWu8B7gp5XsUjaXBgsNCjhV95ZRekqtR&#10;4H62m+9kNNZd93mYnLLVbvM76irVaTcfUxCeGv8K/7fXWsFwAM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zIPxQAAANsAAAAPAAAAAAAAAAAAAAAAAJgCAABkcnMv&#10;ZG93bnJldi54bWxQSwUGAAAAAAQABAD1AAAAigMAAAAA&#10;" fillcolor="#f2f2f2 [3052]" strokecolor="white [3212]" strokeweight="2pt"/>
                <v:shapetype id="_x0000_t202" coordsize="21600,21600" o:spt="202" path="m,l,21600r21600,l21600,xe">
                  <v:stroke joinstyle="miter"/>
                  <v:path gradientshapeok="t" o:connecttype="rect"/>
                </v:shapetype>
                <v:shape id="TextBox 8" o:spid="_x0000_s1042" type="#_x0000_t202" style="position:absolute;left:-5375;top:7886;width:14572;height:42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Oc8EA&#10;AADbAAAADwAAAGRycy9kb3ducmV2LnhtbESPW2vCQBSE34X+h+UU+iJ1o1Ipqat4oeCrUd8P2ZML&#10;zZ4N2aNJ/n23IPRxmJlvmPV2cI16UBdqzwbmswQUce5tzaWB6+X7/RNUEGSLjWcyMFKA7eZlssbU&#10;+p7P9MikVBHCIUUDlUibah3yihyGmW+Jo1f4zqFE2ZXadthHuGv0IklW2mHNcaHClg4V5T/Z3RmQ&#10;o9Te3qZJ4c/9x348ZUG70Zi312H3BUpokP/ws32yBpYL+Ps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jTnPBAAAA2wAAAA8AAAAAAAAAAAAAAAAAmAIAAGRycy9kb3du&#10;cmV2LnhtbFBLBQYAAAAABAAEAPUAAACGAwAAAAA=&#10;" filled="f" stroked="f">
                  <v:textbox>
                    <w:txbxContent>
                      <w:p>
                        <w:pPr>
                          <w:pStyle w:val="NormalWeb"/>
                          <w:textAlignment w:val="baseline"/>
                          <w:rPr>
                            <w:rFonts w:ascii="Verdana" w:hAnsi="Verdana"/>
                            <w:sz w:val="20"/>
                          </w:rPr>
                        </w:pPr>
                        <w:r>
                          <w:rPr>
                            <w:rFonts w:ascii="Verdana" w:hAnsi="Verdana" w:cs="Arial"/>
                            <w:color w:val="000000" w:themeColor="text1"/>
                            <w:kern w:val="24"/>
                            <w:sz w:val="20"/>
                          </w:rPr>
                          <w:t>Extend the scope</w:t>
                        </w:r>
                      </w:p>
                    </w:txbxContent>
                  </v:textbox>
                </v:shape>
                <v:shape id="TextBox 9" o:spid="_x0000_s1043" type="#_x0000_t202" style="position:absolute;left:-6480;top:28785;width:16561;height:42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6MEA&#10;AADbAAAADwAAAGRycy9kb3ducmV2LnhtbESPW2vCQBSE34X+h+UUfJG6qVIpqat4oeCrUd8P2ZML&#10;zZ4N2VOT/PuuIPRxmJlvmPV2cI26Uxdqzwbe5wko4tzbmksD18v32yeoIMgWG89kYKQA283LZI2p&#10;9T2f6Z5JqSKEQ4oGKpE21TrkFTkMc98SR6/wnUOJsiu17bCPcNfoRZKstMOa40KFLR0qyn+yX2dA&#10;jlJ7e5slhT/3H/vxlAXtRmOmr8PuC5TQIP/hZ/tkDSyX8PgSf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6+jBAAAA2wAAAA8AAAAAAAAAAAAAAAAAmAIAAGRycy9kb3du&#10;cmV2LnhtbFBLBQYAAAAABAAEAPUAAACGAwAAAAA=&#10;" filled="f" stroked="f">
                  <v:textbox>
                    <w:txbxContent>
                      <w:p>
                        <w:pPr>
                          <w:pStyle w:val="NormalWeb"/>
                          <w:textAlignment w:val="baseline"/>
                          <w:rPr>
                            <w:rFonts w:ascii="Verdana" w:hAnsi="Verdana"/>
                            <w:sz w:val="20"/>
                          </w:rPr>
                        </w:pPr>
                        <w:r>
                          <w:rPr>
                            <w:rFonts w:ascii="Verdana" w:hAnsi="Verdana" w:cs="Arial"/>
                            <w:color w:val="000000" w:themeColor="text1"/>
                            <w:kern w:val="24"/>
                            <w:sz w:val="20"/>
                          </w:rPr>
                          <w:t>Better enforcement</w:t>
                        </w:r>
                      </w:p>
                    </w:txbxContent>
                  </v:textbox>
                </v:shape>
                <v:shape id="TextBox 10" o:spid="_x0000_s1044" type="#_x0000_t202" style="position:absolute;left:7334;top:41653;width:10534;height:4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pPr>
                          <w:pStyle w:val="NormalWeb"/>
                          <w:textAlignment w:val="baseline"/>
                          <w:rPr>
                            <w:rFonts w:ascii="Verdana" w:hAnsi="Verdana"/>
                            <w:sz w:val="20"/>
                          </w:rPr>
                        </w:pPr>
                        <w:r>
                          <w:rPr>
                            <w:rFonts w:ascii="Verdana" w:hAnsi="Verdana" w:cs="Arial"/>
                            <w:color w:val="000000" w:themeColor="text1"/>
                            <w:kern w:val="24"/>
                            <w:sz w:val="20"/>
                          </w:rPr>
                          <w:t>Up to date</w:t>
                        </w:r>
                      </w:p>
                    </w:txbxContent>
                  </v:textbox>
                </v:shape>
                <v:shape id="TextBox 11" o:spid="_x0000_s1045" type="#_x0000_t202" style="position:absolute;left:28634;top:41796;width:10534;height:4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pPr>
                          <w:pStyle w:val="NormalWeb"/>
                          <w:textAlignment w:val="baseline"/>
                          <w:rPr>
                            <w:rFonts w:ascii="Verdana" w:hAnsi="Verdana"/>
                            <w:sz w:val="20"/>
                          </w:rPr>
                        </w:pPr>
                        <w:r>
                          <w:rPr>
                            <w:rFonts w:ascii="Verdana" w:hAnsi="Verdana" w:cs="Arial"/>
                            <w:color w:val="000000" w:themeColor="text1"/>
                            <w:kern w:val="24"/>
                            <w:sz w:val="20"/>
                          </w:rPr>
                          <w:t>To update</w:t>
                        </w:r>
                      </w:p>
                    </w:txbxContent>
                  </v:textbox>
                </v:shape>
                <v:oval id="Oval 12" o:spid="_x0000_s1046" style="position:absolute;left:4119;top:30848;width:7862;height:7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xTMMA&#10;AADbAAAADwAAAGRycy9kb3ducmV2LnhtbESPwWrDMBBE74X+g9hCLyWR05Y2OFGCKRR8M3XyAYu1&#10;sZ1YK2MptpWvjwqFHoeZecNs97PpxEiDay0rWC0TEMSV1S3XCo6H78UahPPIGjvLpCCQg/3u8WGL&#10;qbYT/9BY+lpECLsUFTTe96mUrmrIoFvanjh6JzsY9FEOtdQDThFuOvmaJB/SYMtxocGevhqqLuXV&#10;KDicj/kkb/SORRhfTFGHMGdBqeenOduA8DT7//BfO9cK3j7h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WxTMMAAADbAAAADwAAAAAAAAAAAAAAAACYAgAAZHJzL2Rv&#10;d25yZXYueG1sUEsFBgAAAAAEAAQA9QAAAIgDAAAAAA==&#10;" fillcolor="#f29934" strokecolor="#f29934" strokeweight="2pt">
                  <v:path arrowok="t"/>
                  <o:lock v:ext="edit" aspectratio="t"/>
                </v:oval>
                <v:shape id="TextBox 13" o:spid="_x0000_s1047" type="#_x0000_t202" style="position:absolute;left:2009;top:33256;width:12370;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pPr>
                          <w:pStyle w:val="NormalWeb"/>
                          <w:jc w:val="center"/>
                          <w:textAlignment w:val="baseline"/>
                        </w:pPr>
                        <w:r>
                          <w:rPr>
                            <w:rFonts w:ascii="Arial" w:hAnsi="Arial" w:cs="Arial"/>
                            <w:b/>
                            <w:bCs/>
                            <w:color w:val="FFFFFF" w:themeColor="background1"/>
                            <w:kern w:val="24"/>
                            <w:sz w:val="20"/>
                            <w:szCs w:val="20"/>
                          </w:rPr>
                          <w:t>Employers</w:t>
                        </w:r>
                      </w:p>
                    </w:txbxContent>
                  </v:textbox>
                </v:shape>
                <v:oval id="Oval 14" o:spid="_x0000_s1048" style="position:absolute;left:14268;top:18689;width:7861;height:7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ApcMA&#10;AADbAAAADwAAAGRycy9kb3ducmV2LnhtbESPwWrDMBBE74X+g9hCLyWR05bSOFGCKRR8M3XyAYu1&#10;sZ1YK2MptpWvjwqFHoeZecNs97PpxEiDay0rWC0TEMSV1S3XCo6H78UnCOeRNXaWSUEgB/vd48MW&#10;U20n/qGx9LWIEHYpKmi871MpXdWQQbe0PXH0TnYw6KMcaqkHnCLcdPI1ST6kwZbjQoM9fTVUXcqr&#10;UXA4H/NJ3ugdizC+mKIOYc6CUs9Pc7YB4Wn2/+G/dq4VvK3h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aApcMAAADbAAAADwAAAAAAAAAAAAAAAACYAgAAZHJzL2Rv&#10;d25yZXYueG1sUEsFBgAAAAAEAAQA9QAAAIgDAAAAAA==&#10;" fillcolor="#f29934" strokecolor="#f29934" strokeweight="2pt">
                  <v:path arrowok="t"/>
                  <o:lock v:ext="edit" aspectratio="t"/>
                </v:oval>
                <v:shape id="TextBox 15" o:spid="_x0000_s1049" type="#_x0000_t202" style="position:absolute;left:13463;top:20094;width:9658;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National</w:t>
                        </w:r>
                      </w:p>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 xml:space="preserve">policy </w:t>
                        </w:r>
                      </w:p>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makers</w:t>
                        </w:r>
                      </w:p>
                    </w:txbxContent>
                  </v:textbox>
                </v:shape>
                <v:oval id="Oval 16" o:spid="_x0000_s1050" style="position:absolute;left:23211;top:17383;width:7861;height:7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3sIA&#10;AADbAAAADwAAAGRycy9kb3ducmV2LnhtbESP3YrCMBSE74V9h3AW9kY0dRGRrmmRBcE78ecBDs3Z&#10;ttqclCbbNj69EQQvh5n5htnko2lET52rLStYzBMQxIXVNZcKLufdbA3CeWSNjWVSEMhBnn1MNphq&#10;O/CR+pMvRYSwS1FB5X2bSumKigy6uW2Jo/dnO4M+yq6UusMhwk0jv5NkJQ3WHBcqbOm3ouJ2+jcK&#10;ztfLfpB3WuIh9FNzKEMYt0Gpr89x+wPC0+jf4Vd7rxUsF/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pv/ewgAAANsAAAAPAAAAAAAAAAAAAAAAAJgCAABkcnMvZG93&#10;bnJldi54bWxQSwUGAAAAAAQABAD1AAAAhwMAAAAA&#10;" fillcolor="#f29934" strokecolor="#f29934" strokeweight="2pt">
                  <v:path arrowok="t"/>
                  <o:lock v:ext="edit" aspectratio="t"/>
                </v:oval>
                <v:shape id="TextBox 17" o:spid="_x0000_s1051" type="#_x0000_t202" style="position:absolute;left:22505;top:19692;width:9659;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EU/Int.</w:t>
                        </w:r>
                      </w:p>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bodies</w:t>
                        </w:r>
                      </w:p>
                    </w:txbxContent>
                  </v:textbox>
                </v:shape>
                <v:oval id="Oval 18" o:spid="_x0000_s1052" style="position:absolute;left:35470;top:17685;width:7866;height: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EMsMA&#10;AADbAAAADwAAAGRycy9kb3ducmV2LnhtbESPwWrDMBBE74H+g9hCL6GW05pSHCshBAq5mSb+gMXa&#10;2k6tlbFU2+rXR4FCj8PMvGGK/WJ6MdHoOssKNkkKgri2uuNGQXX5eH4H4Tyyxt4yKQjkYL97WBWY&#10;azvzJ01n34gIYZejgtb7IZfS1S0ZdIkdiKP3ZUeDPsqxkXrEOcJNL1/S9E0a7DgutDjQsaX6+/xj&#10;FFyu1WmWv5RhGaa1KZsQlkNQ6ulxOWxBeFr8f/ivfdIKsle4f4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EMsMAAADbAAAADwAAAAAAAAAAAAAAAACYAgAAZHJzL2Rv&#10;d25yZXYueG1sUEsFBgAAAAAEAAQA9QAAAIgDAAAAAA==&#10;" fillcolor="#f29934" strokecolor="#f29934" strokeweight="2pt">
                  <v:path arrowok="t"/>
                  <o:lock v:ext="edit" aspectratio="t"/>
                </v:oval>
                <v:oval id="Oval 19" o:spid="_x0000_s1053" style="position:absolute;left:35470;top:1105;width:7861;height:7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cRsIA&#10;AADbAAAADwAAAGRycy9kb3ducmV2LnhtbESPwWrDMBBE74H+g9hCL6GWW0wJjmVjCoHcQpN8wGJt&#10;bafWyliKbfXrq0Khx2Fm3jBFtZpBzDS53rKClyQFQdxY3XOr4Ho5PO9AOI+scbBMCgI5qMqHTYG5&#10;tgt/0Hz2rYgQdjkq6Lwfcyld05FBl9iROHqfdjLoo5xaqSdcItwM8jVN36TBnuNChyO9d9R8ne9G&#10;weV2PS7ymzI8hXlrTm0Iax2Uenpc6z0IT6v/D/+1j1pBlsHvl/g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VxGwgAAANsAAAAPAAAAAAAAAAAAAAAAAJgCAABkcnMvZG93&#10;bnJldi54bWxQSwUGAAAAAAQABAD1AAAAhwMAAAAA&#10;" fillcolor="#f29934" strokecolor="#f29934" strokeweight="2pt">
                  <v:path arrowok="t"/>
                  <o:lock v:ext="edit" aspectratio="t"/>
                </v:oval>
                <v:shape id="TextBox 20" o:spid="_x0000_s1054" type="#_x0000_t202" style="position:absolute;left:34765;top:19391;width:9658;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Trade</w:t>
                        </w:r>
                      </w:p>
                      <w:p>
                        <w:pPr>
                          <w:pStyle w:val="NormalWeb"/>
                          <w:spacing w:before="0" w:beforeAutospacing="0" w:after="0" w:afterAutospacing="0"/>
                          <w:jc w:val="center"/>
                          <w:textAlignment w:val="baseline"/>
                        </w:pPr>
                        <w:r>
                          <w:rPr>
                            <w:rFonts w:ascii="Arial" w:hAnsi="Arial" w:cs="Arial"/>
                            <w:b/>
                            <w:bCs/>
                            <w:color w:val="FFFFFF" w:themeColor="background1"/>
                            <w:kern w:val="24"/>
                            <w:sz w:val="20"/>
                            <w:szCs w:val="20"/>
                          </w:rPr>
                          <w:t>unions</w:t>
                        </w:r>
                      </w:p>
                    </w:txbxContent>
                  </v:textbox>
                </v:shape>
                <v:shape id="TextBox 21" o:spid="_x0000_s1055" type="#_x0000_t202" style="position:absolute;left:34765;top:3817;width:965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pPr>
                          <w:pStyle w:val="NormalWeb"/>
                          <w:jc w:val="center"/>
                          <w:textAlignment w:val="baseline"/>
                        </w:pPr>
                        <w:r>
                          <w:rPr>
                            <w:rFonts w:ascii="Arial" w:hAnsi="Arial" w:cs="Arial"/>
                            <w:b/>
                            <w:bCs/>
                            <w:color w:val="FFFFFF" w:themeColor="background1"/>
                            <w:kern w:val="24"/>
                            <w:sz w:val="20"/>
                            <w:szCs w:val="20"/>
                          </w:rPr>
                          <w:t>NGOs</w:t>
                        </w:r>
                      </w:p>
                    </w:txbxContent>
                  </v:textbox>
                </v:shape>
                <v:shape id="TextBox 22" o:spid="_x0000_s1056" type="#_x0000_t202" style="position:absolute;top:45311;width:34744;height:4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pPr>
                          <w:pStyle w:val="NormalWeb"/>
                          <w:textAlignment w:val="baseline"/>
                          <w:rPr>
                            <w:sz w:val="18"/>
                          </w:rPr>
                        </w:pPr>
                        <w:r>
                          <w:rPr>
                            <w:rFonts w:ascii="Verdana" w:hAnsi="Verdana" w:cstheme="minorBidi"/>
                            <w:i/>
                            <w:iCs/>
                            <w:color w:val="000000" w:themeColor="text1"/>
                            <w:kern w:val="24"/>
                            <w:sz w:val="18"/>
                          </w:rPr>
                          <w:t>Source: All stakeholder contributions</w:t>
                        </w:r>
                      </w:p>
                    </w:txbxContent>
                  </v:textbox>
                </v:shape>
                <w10:wrap anchorx="margin" anchory="margin"/>
              </v:group>
            </w:pict>
          </mc:Fallback>
        </mc:AlternateContent>
      </w:r>
      <w:r>
        <w:rPr>
          <w:rFonts w:ascii="Verdana" w:hAnsi="Verdana"/>
          <w:i/>
          <w:noProof/>
          <w:sz w:val="20"/>
          <w:szCs w:val="20"/>
        </w:rPr>
        <w:t xml:space="preserve">Figure 3 - Stakeholders' positions at a glance on the EU social acquis </w:t>
      </w: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1E527A">
      <w:pPr>
        <w:jc w:val="both"/>
        <w:rPr>
          <w:rFonts w:ascii="Verdana" w:eastAsia="Times New Roman" w:hAnsi="Verdana" w:cs="Times New Roman"/>
          <w:noProof/>
          <w:sz w:val="20"/>
          <w:szCs w:val="20"/>
          <w:lang w:eastAsia="en-GB"/>
        </w:rPr>
      </w:pPr>
    </w:p>
    <w:p w:rsidR="001E527A" w:rsidRDefault="00CD69DA">
      <w:pPr>
        <w:jc w:val="both"/>
        <w:rPr>
          <w:rFonts w:ascii="Verdana" w:hAnsi="Verdana"/>
          <w:noProof/>
          <w:sz w:val="20"/>
          <w:szCs w:val="20"/>
        </w:rPr>
      </w:pPr>
      <w:r>
        <w:rPr>
          <w:rFonts w:ascii="Verdana" w:hAnsi="Verdana"/>
          <w:noProof/>
          <w:sz w:val="20"/>
          <w:szCs w:val="20"/>
        </w:rPr>
        <w:lastRenderedPageBreak/>
        <w:t xml:space="preserve">The main conclusions from the consultation can be summarised as follows:  </w:t>
      </w:r>
    </w:p>
    <w:p w:rsidR="001E527A" w:rsidRDefault="00CD69DA">
      <w:pPr>
        <w:pStyle w:val="Bullet1"/>
        <w:spacing w:before="0" w:after="200" w:line="276" w:lineRule="auto"/>
        <w:jc w:val="both"/>
        <w:rPr>
          <w:rFonts w:cs="Times New Roman"/>
          <w:noProof/>
          <w:szCs w:val="20"/>
        </w:rPr>
      </w:pPr>
      <w:r>
        <w:rPr>
          <w:rFonts w:cs="Times New Roman"/>
          <w:noProof/>
          <w:szCs w:val="20"/>
        </w:rPr>
        <w:t xml:space="preserve">The EU social acquis is broadly </w:t>
      </w:r>
      <w:r>
        <w:rPr>
          <w:rFonts w:cs="Times New Roman"/>
          <w:b/>
          <w:noProof/>
          <w:szCs w:val="20"/>
        </w:rPr>
        <w:t>relevant and well developed</w:t>
      </w:r>
      <w:r>
        <w:rPr>
          <w:rFonts w:cs="Times New Roman"/>
          <w:noProof/>
          <w:szCs w:val="20"/>
        </w:rPr>
        <w:t xml:space="preserve">; </w:t>
      </w:r>
      <w:r>
        <w:rPr>
          <w:rFonts w:cs="Times New Roman"/>
          <w:i/>
          <w:noProof/>
          <w:szCs w:val="20"/>
          <w:u w:val="single"/>
          <w:lang w:eastAsia="en-GB"/>
        </w:rPr>
        <mc:AlternateContent>
          <mc:Choice Requires="wps">
            <w:drawing>
              <wp:anchor distT="0" distB="0" distL="114300" distR="114300" simplePos="0" relativeHeight="251812864" behindDoc="0" locked="1" layoutInCell="1" allowOverlap="1">
                <wp:simplePos x="0" y="0"/>
                <wp:positionH relativeFrom="margin">
                  <wp:posOffset>4648835</wp:posOffset>
                </wp:positionH>
                <wp:positionV relativeFrom="paragraph">
                  <wp:posOffset>-321945</wp:posOffset>
                </wp:positionV>
                <wp:extent cx="1196975" cy="1786890"/>
                <wp:effectExtent l="390843" t="9207" r="13017" b="13018"/>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96975" cy="1786890"/>
                        </a:xfrm>
                        <a:prstGeom prst="wedgeRoundRectCallout">
                          <a:avLst>
                            <a:gd name="adj1" fmla="val 44609"/>
                            <a:gd name="adj2" fmla="val 71746"/>
                            <a:gd name="adj3" fmla="val 16667"/>
                          </a:avLst>
                        </a:prstGeom>
                        <a:solidFill>
                          <a:srgbClr val="1F497D"/>
                        </a:solidFill>
                        <a:ln w="3175">
                          <a:solidFill>
                            <a:srgbClr val="5C83B4"/>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ETUC: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 xml:space="preserve">“A key goal of the </w:t>
                            </w:r>
                            <w:r>
                              <w:rPr>
                                <w:rFonts w:asciiTheme="majorHAnsi" w:eastAsiaTheme="majorEastAsia" w:hAnsiTheme="majorHAnsi" w:cstheme="majorBidi"/>
                                <w:i/>
                                <w:iCs/>
                                <w:color w:val="FFFFFF" w:themeColor="background1"/>
                                <w:sz w:val="18"/>
                                <w:szCs w:val="20"/>
                              </w:rPr>
                              <w:t>[Pillar] must be to tackle the problems that workers experience when they try to exercise their already existing EU employment rights. […] Stronger rules and better enforcement are needed."</w:t>
                            </w:r>
                          </w:p>
                          <w:p w:rsidR="001E527A" w:rsidRDefault="001E527A">
                            <w:pPr>
                              <w:spacing w:after="0" w:line="240" w:lineRule="auto"/>
                              <w:jc w:val="center"/>
                              <w:rPr>
                                <w:rFonts w:asciiTheme="majorHAnsi" w:eastAsiaTheme="majorEastAsia" w:hAnsiTheme="majorHAnsi" w:cstheme="majorBidi"/>
                                <w:b/>
                                <w:i/>
                                <w:iCs/>
                                <w:color w:val="D2DFEE" w:themeColor="accent1" w:themeTint="40"/>
                                <w:sz w:val="18"/>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62" style="position:absolute;left:0;text-align:left;margin-left:366.05pt;margin-top:-25.35pt;width:94.25pt;height:140.7pt;rotation:90;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KS/QIAACoGAAAOAAAAZHJzL2Uyb0RvYy54bWysVGFv0zAQ/Y7Ef7D8vUvSpkkbrZ3arEVI&#10;A6YNxGc3dhqDYwfbbToQ/52zk3aFIoQQrRTZyfn57r17d31zqAXaM224kjMcXYUYMVkoyuV2hj+8&#10;Xw8mGBlLJCVCSTbDT8zgm/nLF9dtk7GhqpSgTCMAkSZrmxmurG2yIDBFxWpirlTDJHwsla6Jha3e&#10;BlSTFtBrEQzDMAlapWmjVcGMgbe33Uc89/hlyQr7riwNs0jMMORm/VP758Y9g/k1ybaaNBUv+jTI&#10;P2RREy7h0hPULbEE7TS/gKp5oZVRpb0qVB2osuQF8zVANVH4SzWPFWmYrwXIMc2JJvP/YIu3+3uN&#10;OJ3hEUaS1CDRYmeVvxkNHT1tYzKIemzutSvQNHeq+GyQVHlF5JYttFZtxQiFpCIXH/x0wG0MHEWb&#10;9o2igE4A3TN1KHWNtAJFxnHofv4tMIIOXp6nkzzsYFEBL6NomkzTMUYFfIvSSTKZegEDkjkwl12j&#10;jX3FVI3cYoZbRrfsQe0kfYBOyIkQamf9PWR/Z6wXjPZlE/opwqisBei/JwLFcRJO+/44ixmex6RR&#10;GieXMUDlM06UJEnqiSFZfyskfEzUU6oEp2suhN/o7SYXGkEKUOQ6nqa3/WFzHiYkakGzCOj4M8Q4&#10;n4yW8e8gtOPF97+Tb9WvLeGiW0OWQjpw4L8nyynhu/rbYj0O03g0GaTpeDSIR6twsJys88Eih3rT&#10;1TJfrqLvLrUozipOKZMr70ZzNFkU/10T93bv7HGyGfNgfVagKdOPFW0R5U710Xg6BCkpB58P0663&#10;EBFbGFCF1dg13UduK9/jrskuaJ+E7t/1iWgq0okx9k3qOhxc0Knk16fr/e4ss+Ci+C7iAI0HGEda&#10;vWGcRzqv2cPm4A0JNfT22yj6BBbyZoEhBuMWqqyU/opRC6Nrhs2XHdEMI/Fagg3dnDsu9HGxOS6I&#10;LOBoT0W3yW03EXeN5tsKsCNfu1RuFJTcHl3d5QHJO1fDQPJl9MPTTbzzvY96HvHzHwAAAP//AwBQ&#10;SwMEFAAGAAgAAAAhAEGkzzXfAAAACgEAAA8AAABkcnMvZG93bnJldi54bWxMj0FOwzAQRfdI3MEa&#10;JHat01JSE+JUUSVYsCqFAzjxNA6J7Sh22vT2DCu6HP2n/9/ku9n27IxjaL2TsFomwNDVXreukfD9&#10;9bYQwEJUTqveO5RwxQC74v4uV5n2F/eJ52NsGJW4kCkJJsYh4zzUBq0KSz+go+zkR6sinWPD9agu&#10;VG57vk6SlFvVOlowasC9wbo7TlZCuW+E4PHUHd4/yq47XPHHVJOUjw9z+Qos4hz/YfjTJ3UoyKny&#10;k9OB9RJS8bwlVMJi8wSMgJd0uwJWESk2a+BFzm9fKH4BAAD//wMAUEsBAi0AFAAGAAgAAAAhALaD&#10;OJL+AAAA4QEAABMAAAAAAAAAAAAAAAAAAAAAAFtDb250ZW50X1R5cGVzXS54bWxQSwECLQAUAAYA&#10;CAAAACEAOP0h/9YAAACUAQAACwAAAAAAAAAAAAAAAAAvAQAAX3JlbHMvLnJlbHNQSwECLQAUAAYA&#10;CAAAACEAWRQSkv0CAAAqBgAADgAAAAAAAAAAAAAAAAAuAgAAZHJzL2Uyb0RvYy54bWxQSwECLQAU&#10;AAYACAAAACEAQaTPNd8AAAAKAQAADwAAAAAAAAAAAAAAAABXBQAAZHJzL2Rvd25yZXYueG1sUEsF&#10;BgAAAAAEAAQA8wAAAGMGAAAAAA==&#10;" adj="20436,26297" fillcolor="#1f497d" strokecolor="#5c83b4" strokeweight=".25pt">
                <v:stroke joinstyle="round"/>
                <v:shadow opacity=".5"/>
                <v:textbox inset="0,0,0,0">
                  <w:txbxContent>
                    <w:p>
                      <w:pPr>
                        <w:spacing w:after="0"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ETUC: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“A key goal of the [Pillar] must be to tackle the problems that workers experience when they try to exercise their already existing EU employment rights. […] Stronger rules and better enforcement are needed."</w:t>
                      </w:r>
                    </w:p>
                    <w:p>
                      <w:pPr>
                        <w:spacing w:after="0" w:line="240" w:lineRule="auto"/>
                        <w:jc w:val="center"/>
                        <w:rPr>
                          <w:rFonts w:asciiTheme="majorHAnsi" w:eastAsiaTheme="majorEastAsia" w:hAnsiTheme="majorHAnsi" w:cstheme="majorBidi"/>
                          <w:b/>
                          <w:i/>
                          <w:iCs/>
                          <w:color w:val="D2DFEE" w:themeColor="accent1" w:themeTint="40"/>
                          <w:sz w:val="18"/>
                          <w:szCs w:val="20"/>
                        </w:rPr>
                      </w:pPr>
                    </w:p>
                  </w:txbxContent>
                </v:textbox>
                <w10:wrap type="square" anchorx="margin"/>
                <w10:anchorlock/>
              </v:shape>
            </w:pict>
          </mc:Fallback>
        </mc:AlternateContent>
      </w:r>
    </w:p>
    <w:p w:rsidR="001E527A" w:rsidRDefault="00CD69DA">
      <w:pPr>
        <w:pStyle w:val="Bullet1"/>
        <w:spacing w:before="0" w:after="200" w:line="276" w:lineRule="auto"/>
        <w:jc w:val="both"/>
        <w:rPr>
          <w:rFonts w:cs="Times New Roman"/>
          <w:noProof/>
          <w:szCs w:val="20"/>
        </w:rPr>
      </w:pPr>
      <w:r>
        <w:rPr>
          <w:rFonts w:cs="Times New Roman"/>
          <w:noProof/>
          <w:szCs w:val="20"/>
        </w:rPr>
        <w:t xml:space="preserve">However, there is significant scope for action to </w:t>
      </w:r>
      <w:r>
        <w:rPr>
          <w:rFonts w:cs="Times New Roman"/>
          <w:b/>
          <w:noProof/>
          <w:szCs w:val="20"/>
        </w:rPr>
        <w:t>improve the im</w:t>
      </w:r>
      <w:r>
        <w:rPr>
          <w:rFonts w:cs="Times New Roman"/>
          <w:b/>
          <w:noProof/>
          <w:szCs w:val="20"/>
        </w:rPr>
        <w:t>plementation and enforcement</w:t>
      </w:r>
      <w:r>
        <w:rPr>
          <w:rFonts w:cs="Times New Roman"/>
          <w:noProof/>
          <w:szCs w:val="20"/>
        </w:rPr>
        <w:t xml:space="preserve"> of existing rights;</w:t>
      </w:r>
      <w:r>
        <w:rPr>
          <w:rFonts w:cs="Times New Roman"/>
          <w:noProof/>
          <w:szCs w:val="20"/>
          <w:lang w:eastAsia="en-GB"/>
        </w:rPr>
        <w:t xml:space="preserve"> </w:t>
      </w:r>
      <w:r>
        <w:rPr>
          <w:rFonts w:cs="Times New Roman"/>
          <w:noProof/>
          <w:szCs w:val="20"/>
          <w:lang w:eastAsia="en-GB"/>
        </w:rPr>
        <mc:AlternateContent>
          <mc:Choice Requires="wps">
            <w:drawing>
              <wp:anchor distT="0" distB="0" distL="114300" distR="114300" simplePos="0" relativeHeight="251814912" behindDoc="1" locked="1" layoutInCell="0" allowOverlap="0">
                <wp:simplePos x="0" y="0"/>
                <wp:positionH relativeFrom="margin">
                  <wp:posOffset>4664075</wp:posOffset>
                </wp:positionH>
                <wp:positionV relativeFrom="paragraph">
                  <wp:posOffset>1929130</wp:posOffset>
                </wp:positionV>
                <wp:extent cx="1217295" cy="1784985"/>
                <wp:effectExtent l="440055" t="0" r="3810" b="381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7295" cy="1784985"/>
                        </a:xfrm>
                        <a:prstGeom prst="wedgeRoundRectCallout">
                          <a:avLst>
                            <a:gd name="adj1" fmla="val -10739"/>
                            <a:gd name="adj2" fmla="val 73472"/>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BusinessEurope: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 xml:space="preserve">“The focus should be on ensuring proper enforcement and application of existing EU legislation and cutting unnecessary red tape."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62" style="position:absolute;left:0;text-align:left;margin-left:367.25pt;margin-top:151.9pt;width:95.85pt;height:140.55pt;rotation:90;z-index:-25150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0nMQMAAL4GAAAOAAAAZHJzL2Uyb0RvYy54bWysVV1v2zYUfR/Q/0DwXdG3JRlxitixhwFp&#10;VyQb+kyLlMWNIjWSjpwN/e+7pOSvZg9DWxsQSOnq8p5zzz26fX/oBHph2nAlFzi+iTBislaUy90C&#10;//7bJigxMpZISoSSbIFfmcHv7979dDv0c5aoVgnKNIIk0syHfoFba/t5GJq6ZR0xN6pnEh42SnfE&#10;wlbvQqrJANk7ESZRNAsHpWmvVc2MgbsP40N85/M3Davtr01jmEVigaE266/aX7fuGt7dkvlOk77l&#10;9VQG+YYqOsIlHHpK9UAsQXvN36TqeK2VUY29qVUXqqbhNfMYAE0cfYXmuSU981iAHNOfaDI/Lm39&#10;8eWTRpxC76BTknTQo/u9Vf5olDh+ht7MIey5/6QdQtM/qvpPg6RatUTu2L3WamgZoVBV7OLDqxfc&#10;xsCraDt8UBSyE8juqTo0ukNaQUvyLHI/fxcoQQffn9dTf9jBohpuxklcJFWOUQ3P4qLMqjL3J5K5&#10;S+aq67WxPzPVIbdY4IHRHXtSe0mfQAorIoTaW38OeXk01neMTrAJ/SPGqOkECOCFCBTEUZFWk0Iu&#10;gpLLoCLNCs8StP4iJr2MiWezWTHVOR0bniv1nCrB6YYL4Td6t10JjaAGQLnJquJhetlchgEpEwJH&#10;j9faP1WcZNEyqYLNrCyCbJPlQVVEZRDF1bKaRVmVPWy+OPhxNm85pUw+csmOuo+z/6eraQJHxXrl&#10;o2GB07jIPbNXVZpLMPmqTJfZf4HRrkV+Fp2S1tPaEi7GdXhdMYiMzAG2o+uM/n6TR0WWlkFR5GmQ&#10;pesoWJabVXC/gg4U6+VquY6v0a+9Q5jvJ8AX4pNNPQGZMf3c0gFR7oSY5lUC6qIcvCcpRrkjInZg&#10;mrXV2M3BZ25bP3ZO92+EUEbuP0pX9C0Z5ZH7uXFDB4M5Uu3Xp+NHps6VXRA5gT9zOXLqAfgZdmM7&#10;jr89bA/eJJKTI2wVfYWp9vMLxgqfAEDZKv03RgPY6QKbv/ZEM4zELxKcwXnvcaGPi+1xQWQNr05U&#10;jJuVHV1632u+ayF37LFL5dyp4fZoNGMdAMIZDZikhzMZunPhy72POn927v4FAAD//wMAUEsDBBQA&#10;BgAIAAAAIQB9WadN3wAAAAsBAAAPAAAAZHJzL2Rvd25yZXYueG1sTI/BTsMwEETvSPyDtUjcqN3Q&#10;liTEqSokJK5tkbg68RKnxOtgu034e8yJHkczmnlTbWc7sAv60DuSsFwIYEit0z11Et6Prw85sBAV&#10;aTU4Qgk/GGBb395UqtRuoj1eDrFjqYRCqSSYGMeS89AatCos3IiUvE/nrYpJ+o5rr6ZUbgeeCbHh&#10;VvWUFowa8cVg+3U4Wwl07PJvvqfJ8GU2vzW704f2Jynv7+bdM7CIc/wPwx9+Qoc6MTXuTDqwQcIm&#10;LxJ6lPC4ytfAUqJ4EgWwRsJ6JTLgdcWvP9S/AAAA//8DAFBLAQItABQABgAIAAAAIQC2gziS/gAA&#10;AOEBAAATAAAAAAAAAAAAAAAAAAAAAABbQ29udGVudF9UeXBlc10ueG1sUEsBAi0AFAAGAAgAAAAh&#10;ADj9If/WAAAAlAEAAAsAAAAAAAAAAAAAAAAALwEAAF9yZWxzLy5yZWxzUEsBAi0AFAAGAAgAAAAh&#10;AMV8bScxAwAAvgYAAA4AAAAAAAAAAAAAAAAALgIAAGRycy9lMm9Eb2MueG1sUEsBAi0AFAAGAAgA&#10;AAAhAH1Zp03fAAAACwEAAA8AAAAAAAAAAAAAAAAAiwUAAGRycy9kb3ducmV2LnhtbFBLBQYAAAAA&#10;BAAEAPMAAACXBgAAAAA=&#10;" o:allowincell="f" o:allowoverlap="f" adj="8480,26670" fillcolor="#1f497d" stroked="f" strokecolor="#5c83b4" strokeweight=".25pt">
                <v:stroke joinstyle="round"/>
                <v:shadow opacity=".5"/>
                <v:textbox inset="0,0,0,0">
                  <w:txbxContent>
                    <w:p>
                      <w:pPr>
                        <w:spacing w:after="0" w:line="240" w:lineRule="auto"/>
                        <w:jc w:val="center"/>
                        <w:rPr>
                          <w:rFonts w:asciiTheme="majorHAnsi" w:eastAsiaTheme="majorEastAsia" w:hAnsiTheme="majorHAnsi" w:cstheme="majorBidi"/>
                          <w:b/>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BusinessEurope: </w:t>
                      </w:r>
                      <w:r>
                        <w:rPr>
                          <w:rFonts w:asciiTheme="majorHAnsi" w:eastAsiaTheme="majorEastAsia" w:hAnsiTheme="majorHAnsi" w:cstheme="majorBidi"/>
                          <w:b/>
                          <w:i/>
                          <w:iCs/>
                          <w:color w:val="FFFFFF" w:themeColor="background1"/>
                          <w:sz w:val="18"/>
                          <w:szCs w:val="20"/>
                        </w:rPr>
                        <w:br/>
                      </w:r>
                      <w:r>
                        <w:rPr>
                          <w:rFonts w:asciiTheme="majorHAnsi" w:eastAsiaTheme="majorEastAsia" w:hAnsiTheme="majorHAnsi" w:cstheme="majorBidi"/>
                          <w:i/>
                          <w:iCs/>
                          <w:color w:val="FFFFFF" w:themeColor="background1"/>
                          <w:sz w:val="18"/>
                          <w:szCs w:val="20"/>
                        </w:rPr>
                        <w:t xml:space="preserve">“The focus should be on ensuring proper enforcement and application of existing EU legislation and cutting unnecessary red tape." </w:t>
                      </w:r>
                    </w:p>
                  </w:txbxContent>
                </v:textbox>
                <w10:wrap type="square" anchorx="margin"/>
                <w10:anchorlock/>
              </v:shape>
            </w:pict>
          </mc:Fallback>
        </mc:AlternateContent>
      </w:r>
    </w:p>
    <w:p w:rsidR="001E527A" w:rsidRDefault="00CD69DA">
      <w:pPr>
        <w:pStyle w:val="Bullet1"/>
        <w:spacing w:before="0" w:after="200" w:line="276" w:lineRule="auto"/>
        <w:jc w:val="both"/>
        <w:rPr>
          <w:rFonts w:cs="Times New Roman"/>
          <w:noProof/>
          <w:szCs w:val="20"/>
        </w:rPr>
      </w:pPr>
      <w:r>
        <w:rPr>
          <w:rFonts w:cs="Times New Roman"/>
          <w:noProof/>
          <w:szCs w:val="20"/>
        </w:rPr>
        <w:t xml:space="preserve">In addition, </w:t>
      </w:r>
      <w:r>
        <w:rPr>
          <w:rFonts w:cs="Times New Roman"/>
          <w:b/>
          <w:noProof/>
          <w:szCs w:val="20"/>
        </w:rPr>
        <w:t>some</w:t>
      </w:r>
      <w:r>
        <w:rPr>
          <w:rFonts w:cs="Times New Roman"/>
          <w:noProof/>
          <w:szCs w:val="20"/>
        </w:rPr>
        <w:t xml:space="preserve"> </w:t>
      </w:r>
      <w:r>
        <w:rPr>
          <w:rFonts w:cs="Times New Roman"/>
          <w:b/>
          <w:noProof/>
          <w:szCs w:val="20"/>
        </w:rPr>
        <w:t>gaps</w:t>
      </w:r>
      <w:r>
        <w:rPr>
          <w:rFonts w:cs="Times New Roman"/>
          <w:noProof/>
          <w:szCs w:val="20"/>
        </w:rPr>
        <w:t xml:space="preserve"> were identified in terms of cove</w:t>
      </w:r>
      <w:r>
        <w:rPr>
          <w:rFonts w:cs="Times New Roman"/>
          <w:noProof/>
          <w:szCs w:val="20"/>
        </w:rPr>
        <w:t>rage of all forms of work, and areas outside labour law;</w:t>
      </w:r>
    </w:p>
    <w:p w:rsidR="001E527A" w:rsidRDefault="00CD69DA">
      <w:pPr>
        <w:pStyle w:val="Bullet1"/>
        <w:spacing w:before="0" w:after="200" w:line="276" w:lineRule="auto"/>
        <w:jc w:val="both"/>
        <w:rPr>
          <w:rFonts w:cs="Times New Roman"/>
          <w:noProof/>
          <w:szCs w:val="20"/>
        </w:rPr>
      </w:pPr>
      <w:r>
        <w:rPr>
          <w:rFonts w:cs="Times New Roman"/>
          <w:noProof/>
          <w:szCs w:val="20"/>
          <w:lang w:eastAsia="en-GB"/>
        </w:rPr>
        <mc:AlternateContent>
          <mc:Choice Requires="wps">
            <w:drawing>
              <wp:anchor distT="0" distB="0" distL="114300" distR="114300" simplePos="0" relativeHeight="251819008" behindDoc="1" locked="1" layoutInCell="0" allowOverlap="0">
                <wp:simplePos x="0" y="0"/>
                <wp:positionH relativeFrom="margin">
                  <wp:posOffset>4580255</wp:posOffset>
                </wp:positionH>
                <wp:positionV relativeFrom="paragraph">
                  <wp:posOffset>-521335</wp:posOffset>
                </wp:positionV>
                <wp:extent cx="1048385" cy="2138045"/>
                <wp:effectExtent l="45720" t="182880" r="6985" b="6985"/>
                <wp:wrapSquare wrapText="bothSides"/>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48385" cy="2138045"/>
                        </a:xfrm>
                        <a:prstGeom prst="wedgeRoundRectCallout">
                          <a:avLst>
                            <a:gd name="adj1" fmla="val -67887"/>
                            <a:gd name="adj2" fmla="val 50932"/>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b/>
                                <w:i/>
                                <w:iCs/>
                                <w:color w:val="FFFFFF" w:themeColor="background1"/>
                                <w:sz w:val="18"/>
                                <w:szCs w:val="18"/>
                              </w:rPr>
                            </w:pPr>
                            <w:r>
                              <w:rPr>
                                <w:rFonts w:asciiTheme="majorHAnsi" w:eastAsiaTheme="majorEastAsia" w:hAnsiTheme="majorHAnsi" w:cstheme="majorBidi"/>
                                <w:b/>
                                <w:i/>
                                <w:iCs/>
                                <w:color w:val="FFFFFF" w:themeColor="background1"/>
                                <w:sz w:val="18"/>
                                <w:szCs w:val="18"/>
                              </w:rPr>
                              <w:t xml:space="preserve">Social Platform: </w:t>
                            </w:r>
                            <w:r>
                              <w:rPr>
                                <w:rFonts w:asciiTheme="majorHAnsi" w:eastAsiaTheme="majorEastAsia" w:hAnsiTheme="majorHAnsi" w:cstheme="majorBidi"/>
                                <w:b/>
                                <w:i/>
                                <w:iCs/>
                                <w:color w:val="FFFFFF" w:themeColor="background1"/>
                                <w:sz w:val="18"/>
                                <w:szCs w:val="18"/>
                              </w:rPr>
                              <w:br/>
                            </w:r>
                            <w:r>
                              <w:rPr>
                                <w:rFonts w:asciiTheme="majorHAnsi" w:eastAsiaTheme="majorEastAsia" w:hAnsiTheme="majorHAnsi" w:cstheme="majorBidi"/>
                                <w:i/>
                                <w:iCs/>
                                <w:color w:val="FFFFFF" w:themeColor="background1"/>
                                <w:sz w:val="18"/>
                                <w:szCs w:val="18"/>
                              </w:rPr>
                              <w:t xml:space="preserve">“[…] new legislation is needed. […] an EU Directive on adequate minimum income; […] a coherent framework for all types of parental leave […]; the rapid adoption of the Equal </w:t>
                            </w:r>
                            <w:r>
                              <w:rPr>
                                <w:rFonts w:asciiTheme="majorHAnsi" w:eastAsiaTheme="majorEastAsia" w:hAnsiTheme="majorHAnsi" w:cstheme="majorBidi"/>
                                <w:i/>
                                <w:iCs/>
                                <w:color w:val="FFFFFF" w:themeColor="background1"/>
                                <w:sz w:val="18"/>
                                <w:szCs w:val="18"/>
                              </w:rPr>
                              <w:t>Treatment Directive".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62" style="position:absolute;left:0;text-align:left;margin-left:360.65pt;margin-top:-41.05pt;width:82.55pt;height:168.35pt;rotation:90;z-index:-25149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SqNgMAAL4GAAAOAAAAZHJzL2Uyb0RvYy54bWysVW1v2zYQ/j5g/4Hgd0Xv1guiFLFjFwPS&#10;rWg27DMtUhZbilRJOnJa7L/vSMmJs/ZDsc0GiKN4Ot7z3HOn6zenQaBHpg1XssHxVYQRk62iXB4a&#10;/Mfvu6DEyFgiKRFKsgY/MYPf3Pz80/U01ixRvRKUaQRBpKmnscG9tWMdhqbt2UDMlRqZhMNO6YFY&#10;2OpDSDWZIPogwiSKVuGkNB21apkx8PRuPsQ3Pn7Xsdb+1nWGWSQaDLlZv2q/7t0a3lyT+qDJ2PN2&#10;SYP8iywGwiVc+hzqjliCjpp/E2rgrVZGdfaqVUOouo63zGMANHH0DzQPPRmZxwLkmPGZJvP/hW1/&#10;fXyvEacNzqBSkgxQo9ujVf5qlDh+ptHU4PYwvtcOoRnvVfvJIKk2PZEHdqu1mnpGKGQVO//w1Qtu&#10;Y+BVtJ/eKQrRCUT3VJ06PSCtoCR5FrmffwqUoJOvz9NzfdjJohYexlFWpmWOUQtnSZyWUZb7G0nt&#10;grnsRm3sW6YG5IwGT4we2Ad1lPQDSGFDhFBH6+8hj/fG+orRBTahH2OMukGAAB6JQMGqKMtiUciF&#10;U3LplEdV6lmC0l/4pJc+8Wq18nFCUi/XgnXO1HOqBKc7LoTf6MN+IzSCHADyLquKuwWkuXQDUhYE&#10;jh6vta9VnGTROqmC3aosgmyX5UFVRGUQxdW6WkVZld3t/nLw46zuOaVM3nPJzrqPsx/T1dKBs2K9&#10;8tHU4DQucs/sqyzNJZh8U6br7HtgtCuR70WnpO1iW8LFbIevMwaRkRpgO7pe0N/u8qjI0jIoijwN&#10;snQbBetytwluN1CBYrverLfxa/RbPyHMfyfAJ+KDLTUBmTH90NMJUe6EmOZVAuqiHGZPUsxyR0Qc&#10;YGi2VmPXB39y2/u2c7r/Rghl5P6zdMXYk1keue8b13TQmDPV3n6+fmbqJbMLIhfwL1zOnHoAvodd&#10;287tb0/7kx8SSeqq53p6r+gTdLXvXxis8AkAlL3SXzCaYJw22Hw+Es0wEr9ImAxu9p4NfTb2Z4PI&#10;Fl5dqJg3GztP6eOo+aGH2LHHLpWbTh2350Ez5wEgXFIwJD2cZaC7KXy5914vn52bvwEAAP//AwBQ&#10;SwMEFAAGAAgAAAAhAL6y9Z3cAAAACQEAAA8AAABkcnMvZG93bnJldi54bWxMj0FOwzAQRfdI3MEa&#10;JHbUaaqmIcSpKiQOQIjUrRsPSdp4HNluGjg9wwqWo//0/5tyv9hRzOjD4EjBepWAQGqdGahT0Hy8&#10;PeUgQtRk9OgIFXxhgH11f1fqwrgbveNcx05wCYVCK+hjnAopQ9uj1WHlJiTOPp23OvLpO2m8vnG5&#10;HWWaJJm0eiBe6PWErz22l/pqFVzOrZc0TKlu8FDH83o+fjdSqceH5fACIuIS/2D41Wd1qNjp5K5k&#10;ghgVZJvtllEFmx0Izp93aQrixGCW5yCrUv7/oPoBAAD//wMAUEsBAi0AFAAGAAgAAAAhALaDOJL+&#10;AAAA4QEAABMAAAAAAAAAAAAAAAAAAAAAAFtDb250ZW50X1R5cGVzXS54bWxQSwECLQAUAAYACAAA&#10;ACEAOP0h/9YAAACUAQAACwAAAAAAAAAAAAAAAAAvAQAAX3JlbHMvLnJlbHNQSwECLQAUAAYACAAA&#10;ACEA+1gUqjYDAAC+BgAADgAAAAAAAAAAAAAAAAAuAgAAZHJzL2Uyb0RvYy54bWxQSwECLQAUAAYA&#10;CAAAACEAvrL1ndwAAAAJAQAADwAAAAAAAAAAAAAAAACQBQAAZHJzL2Rvd25yZXYueG1sUEsFBgAA&#10;AAAEAAQA8wAAAJkGAAAAAA==&#10;" o:allowincell="f" o:allowoverlap="f" adj="-3864,21801" fillcolor="#1f497d" stroked="f" strokecolor="#5c83b4" strokeweight=".25pt">
                <v:stroke joinstyle="round"/>
                <v:shadow opacity=".5"/>
                <v:textbox inset="0,0,0,0">
                  <w:txbxContent>
                    <w:p>
                      <w:pPr>
                        <w:spacing w:line="240" w:lineRule="auto"/>
                        <w:jc w:val="center"/>
                        <w:rPr>
                          <w:rFonts w:asciiTheme="majorHAnsi" w:eastAsiaTheme="majorEastAsia" w:hAnsiTheme="majorHAnsi" w:cstheme="majorBidi"/>
                          <w:b/>
                          <w:i/>
                          <w:iCs/>
                          <w:color w:val="FFFFFF" w:themeColor="background1"/>
                          <w:sz w:val="18"/>
                          <w:szCs w:val="18"/>
                        </w:rPr>
                      </w:pPr>
                      <w:r>
                        <w:rPr>
                          <w:rFonts w:asciiTheme="majorHAnsi" w:eastAsiaTheme="majorEastAsia" w:hAnsiTheme="majorHAnsi" w:cstheme="majorBidi"/>
                          <w:b/>
                          <w:i/>
                          <w:iCs/>
                          <w:color w:val="FFFFFF" w:themeColor="background1"/>
                          <w:sz w:val="18"/>
                          <w:szCs w:val="18"/>
                        </w:rPr>
                        <w:t xml:space="preserve">Social Platform: </w:t>
                      </w:r>
                      <w:r>
                        <w:rPr>
                          <w:rFonts w:asciiTheme="majorHAnsi" w:eastAsiaTheme="majorEastAsia" w:hAnsiTheme="majorHAnsi" w:cstheme="majorBidi"/>
                          <w:b/>
                          <w:i/>
                          <w:iCs/>
                          <w:color w:val="FFFFFF" w:themeColor="background1"/>
                          <w:sz w:val="18"/>
                          <w:szCs w:val="18"/>
                        </w:rPr>
                        <w:br/>
                      </w:r>
                      <w:r>
                        <w:rPr>
                          <w:rFonts w:asciiTheme="majorHAnsi" w:eastAsiaTheme="majorEastAsia" w:hAnsiTheme="majorHAnsi" w:cstheme="majorBidi"/>
                          <w:i/>
                          <w:iCs/>
                          <w:color w:val="FFFFFF" w:themeColor="background1"/>
                          <w:sz w:val="18"/>
                          <w:szCs w:val="18"/>
                        </w:rPr>
                        <w:t>“[…] new legislation is needed. […] an EU Directive on adequate minimum income; […] a coherent framework for all types of parental leave […]; the rapid adoption of the Equal Treatment Directive".</w:t>
                      </w:r>
                    </w:p>
                  </w:txbxContent>
                </v:textbox>
                <w10:wrap type="square" anchorx="margin"/>
                <w10:anchorlock/>
              </v:shape>
            </w:pict>
          </mc:Fallback>
        </mc:AlternateContent>
      </w:r>
      <w:r>
        <w:rPr>
          <w:noProof/>
        </w:rPr>
        <w:t xml:space="preserve">Views were divided on </w:t>
      </w:r>
      <w:r>
        <w:rPr>
          <w:b/>
          <w:noProof/>
        </w:rPr>
        <w:t>the need for new legislation</w:t>
      </w:r>
      <w:r>
        <w:rPr>
          <w:noProof/>
        </w:rPr>
        <w:t>. Trade unions, NGOs and s</w:t>
      </w:r>
      <w:r>
        <w:rPr>
          <w:rFonts w:cs="Times New Roman"/>
          <w:noProof/>
          <w:szCs w:val="20"/>
        </w:rPr>
        <w:t>ome experts called to complete the EU acquis in light of new realities</w:t>
      </w:r>
      <w:r>
        <w:rPr>
          <w:noProof/>
        </w:rPr>
        <w:t xml:space="preserve">, and address gaps through legislation. </w:t>
      </w:r>
      <w:r>
        <w:rPr>
          <w:rFonts w:cs="Times New Roman"/>
          <w:noProof/>
          <w:szCs w:val="20"/>
        </w:rPr>
        <w:t>Others, especially employers, pointed to the ext</w:t>
      </w:r>
      <w:r>
        <w:rPr>
          <w:rFonts w:cs="Times New Roman"/>
          <w:noProof/>
          <w:szCs w:val="20"/>
        </w:rPr>
        <w:t xml:space="preserve">ensive body of legislation protecting workers, and warned against increasing administrative burden on companies and hampering their competitiveness. For them, </w:t>
      </w:r>
      <w:r>
        <w:rPr>
          <w:noProof/>
        </w:rPr>
        <w:t xml:space="preserve">the focus should be on better enforcement, which should mean </w:t>
      </w:r>
      <w:r>
        <w:rPr>
          <w:b/>
          <w:noProof/>
        </w:rPr>
        <w:t xml:space="preserve">cutting red tape </w:t>
      </w:r>
      <w:r>
        <w:rPr>
          <w:noProof/>
        </w:rPr>
        <w:t>and reducing admini</w:t>
      </w:r>
      <w:r>
        <w:rPr>
          <w:noProof/>
        </w:rPr>
        <w:t xml:space="preserve">strative burden on companies, especially SMEs. Member States were divided: while some </w:t>
      </w:r>
      <w:r>
        <w:rPr>
          <w:rFonts w:cs="Times New Roman"/>
          <w:noProof/>
          <w:szCs w:val="20"/>
        </w:rPr>
        <w:t>expressed</w:t>
      </w:r>
      <w:r>
        <w:rPr>
          <w:noProof/>
        </w:rPr>
        <w:t xml:space="preserve"> scepticism to additional legislation, others pointed out that the acquis has a dynamic character and should be open to development</w:t>
      </w:r>
      <w:r>
        <w:rPr>
          <w:rStyle w:val="FootnoteReference"/>
          <w:noProof/>
          <w:szCs w:val="20"/>
        </w:rPr>
        <w:footnoteReference w:id="38"/>
      </w:r>
      <w:r>
        <w:rPr>
          <w:noProof/>
        </w:rPr>
        <w:t>.</w:t>
      </w:r>
      <w:r>
        <w:rPr>
          <w:rFonts w:cs="Times New Roman"/>
          <w:noProof/>
          <w:szCs w:val="20"/>
        </w:rPr>
        <w:t xml:space="preserve"> </w:t>
      </w:r>
    </w:p>
    <w:p w:rsidR="001E527A" w:rsidRDefault="001E527A">
      <w:pPr>
        <w:pStyle w:val="Bullet1"/>
        <w:numPr>
          <w:ilvl w:val="0"/>
          <w:numId w:val="0"/>
        </w:numPr>
        <w:spacing w:before="0" w:after="200" w:line="276" w:lineRule="auto"/>
        <w:ind w:left="482" w:hanging="340"/>
        <w:jc w:val="both"/>
        <w:rPr>
          <w:rFonts w:cs="Times New Roman"/>
          <w:noProof/>
          <w:szCs w:val="20"/>
        </w:rPr>
      </w:pPr>
    </w:p>
    <w:p w:rsidR="001E527A" w:rsidRDefault="00CD69DA">
      <w:pPr>
        <w:pStyle w:val="Bullet1"/>
        <w:numPr>
          <w:ilvl w:val="0"/>
          <w:numId w:val="0"/>
        </w:numPr>
        <w:spacing w:before="0" w:after="200" w:line="276" w:lineRule="auto"/>
        <w:jc w:val="both"/>
        <w:rPr>
          <w:rFonts w:cs="Times New Roman"/>
          <w:noProof/>
          <w:szCs w:val="20"/>
        </w:rPr>
      </w:pPr>
      <w:r>
        <w:rPr>
          <w:rFonts w:eastAsia="Times New Roman" w:cs="Times New Roman"/>
          <w:noProof/>
          <w:szCs w:val="20"/>
          <w:lang w:eastAsia="en-GB"/>
        </w:rPr>
        <w:t>All t</w:t>
      </w:r>
      <w:r>
        <w:rPr>
          <w:noProof/>
          <w:szCs w:val="20"/>
        </w:rPr>
        <w:t xml:space="preserve">hese questions were </w:t>
      </w:r>
      <w:r>
        <w:rPr>
          <w:noProof/>
          <w:szCs w:val="20"/>
        </w:rPr>
        <w:t xml:space="preserve">discussed in-depth with experts and stakeholders in work stream 1. </w:t>
      </w:r>
      <w:r>
        <w:rPr>
          <w:rFonts w:cs="Times New Roman"/>
          <w:noProof/>
          <w:szCs w:val="20"/>
        </w:rPr>
        <w:t>More details on those targeted discussions are presented in the section below.</w:t>
      </w:r>
    </w:p>
    <w:p w:rsidR="001E527A" w:rsidRDefault="00CD69DA">
      <w:pPr>
        <w:widowControl w:val="0"/>
        <w:shd w:val="clear" w:color="auto" w:fill="EAF1DD" w:themeFill="accent3" w:themeFillTint="33"/>
        <w:autoSpaceDE w:val="0"/>
        <w:autoSpaceDN w:val="0"/>
        <w:adjustRightInd w:val="0"/>
        <w:jc w:val="both"/>
        <w:rPr>
          <w:rFonts w:ascii="Verdana" w:hAnsi="Verdana"/>
          <w:b/>
          <w:i/>
          <w:noProof/>
          <w:sz w:val="20"/>
          <w:szCs w:val="20"/>
        </w:rPr>
      </w:pPr>
      <w:r>
        <w:rPr>
          <w:rFonts w:ascii="Verdana" w:hAnsi="Verdana"/>
          <w:b/>
          <w:i/>
          <w:noProof/>
          <w:sz w:val="20"/>
          <w:szCs w:val="20"/>
        </w:rPr>
        <w:t xml:space="preserve">Feedback from Work Stream 1 – The EU social acquis </w:t>
      </w:r>
    </w:p>
    <w:p w:rsidR="001E527A" w:rsidRDefault="00CD69DA">
      <w:pPr>
        <w:widowControl w:val="0"/>
        <w:shd w:val="clear" w:color="auto" w:fill="EAF1DD" w:themeFill="accent3" w:themeFillTint="33"/>
        <w:autoSpaceDE w:val="0"/>
        <w:autoSpaceDN w:val="0"/>
        <w:adjustRightInd w:val="0"/>
        <w:jc w:val="both"/>
        <w:rPr>
          <w:rFonts w:ascii="Verdana" w:eastAsia="Times New Roman" w:hAnsi="Verdana" w:cs="Times New Roman"/>
          <w:noProof/>
          <w:color w:val="000000" w:themeColor="text1"/>
          <w:sz w:val="20"/>
          <w:szCs w:val="20"/>
        </w:rPr>
      </w:pPr>
      <w:r>
        <w:rPr>
          <w:rFonts w:ascii="Verdana" w:eastAsia="Times New Roman" w:hAnsi="Verdana" w:cs="Times New Roman"/>
          <w:noProof/>
          <w:color w:val="000000" w:themeColor="text1"/>
          <w:sz w:val="20"/>
          <w:szCs w:val="20"/>
        </w:rPr>
        <w:t>Work stream 1 gathered specialised feedback to ensure an in-depth analysis of the EU social acquis and provided a sounding board for ideas raised elsewhere in the consultation process. Meetings with academic experts were organised on 23 May, 29 June and 28</w:t>
      </w:r>
      <w:r>
        <w:rPr>
          <w:rFonts w:ascii="Verdana" w:eastAsia="Times New Roman" w:hAnsi="Verdana" w:cs="Times New Roman"/>
          <w:noProof/>
          <w:color w:val="000000" w:themeColor="text1"/>
          <w:sz w:val="20"/>
          <w:szCs w:val="20"/>
        </w:rPr>
        <w:t xml:space="preserve"> September 2016. The work stream also held a meeting of Directors-General for Industrial Relations (20 May 2016), a roundtable with think tanks and international experts including from ILO and the Council of Europe (1 June 2016), and a structured dialogue </w:t>
      </w:r>
      <w:r>
        <w:rPr>
          <w:rFonts w:ascii="Verdana" w:eastAsia="Times New Roman" w:hAnsi="Verdana" w:cs="Times New Roman"/>
          <w:noProof/>
          <w:color w:val="000000" w:themeColor="text1"/>
          <w:sz w:val="20"/>
          <w:szCs w:val="20"/>
        </w:rPr>
        <w:t xml:space="preserve">meeting with civil society organisations (8 June 2016). </w:t>
      </w:r>
    </w:p>
    <w:p w:rsidR="001E527A" w:rsidRDefault="00CD69DA">
      <w:pPr>
        <w:shd w:val="clear" w:color="auto" w:fill="EAF1DD" w:themeFill="accent3" w:themeFillTint="33"/>
        <w:jc w:val="both"/>
        <w:rPr>
          <w:rFonts w:ascii="Verdana" w:hAnsi="Verdana"/>
          <w:b/>
          <w:i/>
          <w:noProof/>
          <w:color w:val="0070C0"/>
          <w:sz w:val="20"/>
          <w:szCs w:val="20"/>
        </w:rPr>
      </w:pPr>
      <w:r>
        <w:rPr>
          <w:rFonts w:ascii="Verdana" w:hAnsi="Verdana"/>
          <w:b/>
          <w:i/>
          <w:noProof/>
          <w:color w:val="0070C0"/>
          <w:sz w:val="20"/>
          <w:szCs w:val="20"/>
        </w:rPr>
        <w:t xml:space="preserve">Scope of the EU social acquis </w:t>
      </w:r>
    </w:p>
    <w:p w:rsidR="001E527A" w:rsidRDefault="00CD69DA">
      <w:pPr>
        <w:widowControl w:val="0"/>
        <w:shd w:val="clear" w:color="auto" w:fill="EAF1DD" w:themeFill="accent3" w:themeFillTint="33"/>
        <w:autoSpaceDE w:val="0"/>
        <w:autoSpaceDN w:val="0"/>
        <w:adjustRightInd w:val="0"/>
        <w:jc w:val="both"/>
        <w:rPr>
          <w:rFonts w:ascii="Verdana" w:hAnsi="Verdana"/>
          <w:noProof/>
          <w:sz w:val="20"/>
          <w:szCs w:val="20"/>
        </w:rPr>
      </w:pPr>
      <w:r>
        <w:rPr>
          <w:rFonts w:ascii="Verdana" w:hAnsi="Verdana"/>
          <w:noProof/>
          <w:sz w:val="20"/>
          <w:szCs w:val="20"/>
        </w:rPr>
        <w:t xml:space="preserve">Five main areas were highlighted for improvement, especially in light of new forms of work as well as technological and societal changes. </w:t>
      </w:r>
    </w:p>
    <w:p w:rsidR="001E527A" w:rsidRDefault="00CD69DA">
      <w:pPr>
        <w:widowControl w:val="0"/>
        <w:shd w:val="clear" w:color="auto" w:fill="EAF1DD" w:themeFill="accent3" w:themeFillTint="33"/>
        <w:autoSpaceDE w:val="0"/>
        <w:autoSpaceDN w:val="0"/>
        <w:adjustRightInd w:val="0"/>
        <w:jc w:val="both"/>
        <w:rPr>
          <w:rFonts w:ascii="Verdana" w:hAnsi="Verdana" w:cs="Times New Roman"/>
          <w:noProof/>
          <w:sz w:val="20"/>
          <w:szCs w:val="20"/>
        </w:rPr>
      </w:pPr>
      <w:r>
        <w:rPr>
          <w:rFonts w:ascii="Verdana" w:hAnsi="Verdana"/>
          <w:noProof/>
          <w:sz w:val="20"/>
          <w:szCs w:val="20"/>
        </w:rPr>
        <w:t xml:space="preserve">A first gap identified is the </w:t>
      </w:r>
      <w:r>
        <w:rPr>
          <w:rFonts w:ascii="Verdana" w:hAnsi="Verdana"/>
          <w:b/>
          <w:noProof/>
          <w:sz w:val="20"/>
          <w:szCs w:val="20"/>
        </w:rPr>
        <w:t>insufficient protection of those in new forms of work</w:t>
      </w:r>
      <w:r>
        <w:rPr>
          <w:rFonts w:ascii="Verdana" w:hAnsi="Verdana"/>
          <w:noProof/>
          <w:sz w:val="20"/>
          <w:szCs w:val="20"/>
        </w:rPr>
        <w:t xml:space="preserve">. In particular it was noted that the current </w:t>
      </w:r>
      <w:r>
        <w:rPr>
          <w:rFonts w:ascii="Verdana" w:hAnsi="Verdana"/>
          <w:b/>
          <w:noProof/>
          <w:sz w:val="20"/>
          <w:szCs w:val="20"/>
        </w:rPr>
        <w:t xml:space="preserve">definition of "worker", </w:t>
      </w:r>
      <w:r>
        <w:rPr>
          <w:rFonts w:ascii="Verdana" w:hAnsi="Verdana"/>
          <w:noProof/>
          <w:sz w:val="20"/>
          <w:szCs w:val="20"/>
        </w:rPr>
        <w:t>which is based on a more traditional concept, does not necessarily cater for new types of work relation</w:t>
      </w:r>
      <w:r>
        <w:rPr>
          <w:rFonts w:ascii="Verdana" w:hAnsi="Verdana"/>
          <w:noProof/>
          <w:sz w:val="20"/>
          <w:szCs w:val="20"/>
        </w:rPr>
        <w:t xml:space="preserve">ships. Experts </w:t>
      </w:r>
      <w:r>
        <w:rPr>
          <w:rFonts w:ascii="Verdana" w:hAnsi="Verdana"/>
          <w:noProof/>
          <w:sz w:val="20"/>
          <w:szCs w:val="20"/>
        </w:rPr>
        <w:lastRenderedPageBreak/>
        <w:t xml:space="preserve">argued that the </w:t>
      </w:r>
      <w:r>
        <w:rPr>
          <w:rFonts w:ascii="Verdana" w:hAnsi="Verdana" w:cs="Times New Roman"/>
          <w:noProof/>
          <w:sz w:val="20"/>
          <w:szCs w:val="20"/>
        </w:rPr>
        <w:t>EU definition of “worker” should make sure no one is left without protection</w:t>
      </w:r>
      <w:r>
        <w:rPr>
          <w:rStyle w:val="FootnoteReference"/>
          <w:rFonts w:ascii="Verdana" w:hAnsi="Verdana" w:cs="Times New Roman"/>
          <w:noProof/>
          <w:sz w:val="20"/>
          <w:szCs w:val="20"/>
        </w:rPr>
        <w:footnoteReference w:id="39"/>
      </w:r>
      <w:r>
        <w:rPr>
          <w:rFonts w:ascii="Verdana" w:hAnsi="Verdana" w:cs="Times New Roman"/>
          <w:noProof/>
          <w:sz w:val="20"/>
          <w:szCs w:val="20"/>
        </w:rPr>
        <w:t xml:space="preserve"> </w:t>
      </w:r>
      <w:r>
        <w:rPr>
          <w:rStyle w:val="FootnoteReference"/>
          <w:rFonts w:ascii="Verdana" w:hAnsi="Verdana" w:cs="Times New Roman"/>
          <w:noProof/>
          <w:sz w:val="20"/>
          <w:szCs w:val="20"/>
        </w:rPr>
        <w:footnoteReference w:id="40"/>
      </w:r>
      <w:r>
        <w:rPr>
          <w:rFonts w:ascii="Verdana" w:hAnsi="Verdana" w:cs="Times New Roman"/>
          <w:noProof/>
          <w:sz w:val="20"/>
          <w:szCs w:val="20"/>
        </w:rPr>
        <w:t xml:space="preserve">. </w:t>
      </w:r>
      <w:r>
        <w:rPr>
          <w:rFonts w:ascii="Verdana" w:hAnsi="Verdana"/>
          <w:noProof/>
          <w:sz w:val="20"/>
          <w:szCs w:val="20"/>
        </w:rPr>
        <w:t>An example is the protection from unfair dismissal. Currently, workers enjoy protection from unfair dismissal, but only if they have a proper em</w:t>
      </w:r>
      <w:r>
        <w:rPr>
          <w:rFonts w:ascii="Verdana" w:hAnsi="Verdana"/>
          <w:noProof/>
          <w:sz w:val="20"/>
          <w:szCs w:val="20"/>
        </w:rPr>
        <w:t xml:space="preserve">ployment contract. As a result, those workers who are already in a more precarious position because of their unclear status are also not protected against unfair dismissal. </w:t>
      </w:r>
      <w:r>
        <w:rPr>
          <w:rFonts w:ascii="Verdana" w:hAnsi="Verdana" w:cs="Times New Roman"/>
          <w:noProof/>
          <w:sz w:val="20"/>
          <w:szCs w:val="20"/>
        </w:rPr>
        <w:t>In this context, ILO pointed out that increased legal clarity on workers’ employmen</w:t>
      </w:r>
      <w:r>
        <w:rPr>
          <w:rFonts w:ascii="Verdana" w:hAnsi="Verdana" w:cs="Times New Roman"/>
          <w:noProof/>
          <w:sz w:val="20"/>
          <w:szCs w:val="20"/>
        </w:rPr>
        <w:t>t status and employers’ responsibilities is not only beneficial from a workers' point of view, but also essential to promote fair competition among businesses.</w:t>
      </w:r>
    </w:p>
    <w:p w:rsidR="001E527A" w:rsidRDefault="00CD69DA">
      <w:pPr>
        <w:widowControl w:val="0"/>
        <w:shd w:val="clear" w:color="auto" w:fill="EAF1DD" w:themeFill="accent3" w:themeFillTint="33"/>
        <w:autoSpaceDE w:val="0"/>
        <w:autoSpaceDN w:val="0"/>
        <w:adjustRightInd w:val="0"/>
        <w:jc w:val="both"/>
        <w:rPr>
          <w:rFonts w:ascii="Verdana" w:hAnsi="Verdana"/>
          <w:noProof/>
          <w:sz w:val="20"/>
          <w:szCs w:val="20"/>
        </w:rPr>
      </w:pPr>
      <w:r>
        <w:rPr>
          <w:rFonts w:ascii="Verdana" w:hAnsi="Verdana"/>
          <w:noProof/>
          <w:sz w:val="20"/>
          <w:szCs w:val="20"/>
        </w:rPr>
        <w:t>The announced revision of the Written Statement Directive was highlighted as one of the opportun</w:t>
      </w:r>
      <w:r>
        <w:rPr>
          <w:rFonts w:ascii="Verdana" w:hAnsi="Verdana"/>
          <w:noProof/>
          <w:sz w:val="20"/>
          <w:szCs w:val="20"/>
        </w:rPr>
        <w:t xml:space="preserve">ities to revisit and modernise the existing acquis with regard to new forms of work. </w:t>
      </w:r>
    </w:p>
    <w:p w:rsidR="001E527A" w:rsidRDefault="00CD69DA">
      <w:pPr>
        <w:widowControl w:val="0"/>
        <w:shd w:val="clear" w:color="auto" w:fill="EAF1DD" w:themeFill="accent3" w:themeFillTint="33"/>
        <w:autoSpaceDE w:val="0"/>
        <w:autoSpaceDN w:val="0"/>
        <w:adjustRightInd w:val="0"/>
        <w:jc w:val="both"/>
        <w:rPr>
          <w:rFonts w:ascii="Verdana" w:hAnsi="Verdana" w:cs="Times New Roman"/>
          <w:noProof/>
          <w:sz w:val="20"/>
          <w:szCs w:val="20"/>
        </w:rPr>
      </w:pPr>
      <w:r>
        <w:rPr>
          <w:rFonts w:ascii="Verdana" w:hAnsi="Verdana"/>
          <w:noProof/>
          <w:sz w:val="20"/>
          <w:szCs w:val="20"/>
        </w:rPr>
        <w:t xml:space="preserve">One way of addressing these challenges could be via measures to strengthen social dialogue, both at EU level but also within Member States. This is particularly relevant </w:t>
      </w:r>
      <w:r>
        <w:rPr>
          <w:rFonts w:ascii="Verdana" w:hAnsi="Verdana"/>
          <w:noProof/>
          <w:sz w:val="20"/>
          <w:szCs w:val="20"/>
        </w:rPr>
        <w:t xml:space="preserve">as in many Member States social dialogue has been weakened as a result of the crisis. </w:t>
      </w:r>
      <w:r>
        <w:rPr>
          <w:rFonts w:ascii="Verdana" w:hAnsi="Verdana" w:cs="Times New Roman"/>
          <w:noProof/>
          <w:sz w:val="20"/>
          <w:szCs w:val="20"/>
        </w:rPr>
        <w:t>Some saw the need to increase the coverage of the right to collective bargaining through capacity building and measures to extend collective bargaining to workers in prec</w:t>
      </w:r>
      <w:r>
        <w:rPr>
          <w:rFonts w:ascii="Verdana" w:hAnsi="Verdana" w:cs="Times New Roman"/>
          <w:noProof/>
          <w:sz w:val="20"/>
          <w:szCs w:val="20"/>
        </w:rPr>
        <w:t xml:space="preserve">arious situations and self-employed. </w:t>
      </w:r>
    </w:p>
    <w:p w:rsidR="001E527A" w:rsidRDefault="00CD69DA">
      <w:pPr>
        <w:widowControl w:val="0"/>
        <w:shd w:val="clear" w:color="auto" w:fill="EAF1DD" w:themeFill="accent3" w:themeFillTint="33"/>
        <w:autoSpaceDE w:val="0"/>
        <w:autoSpaceDN w:val="0"/>
        <w:adjustRightInd w:val="0"/>
        <w:jc w:val="both"/>
        <w:rPr>
          <w:rFonts w:ascii="Verdana" w:hAnsi="Verdana" w:cs="Times New Roman"/>
          <w:noProof/>
          <w:sz w:val="20"/>
          <w:szCs w:val="20"/>
        </w:rPr>
      </w:pPr>
      <w:r>
        <w:rPr>
          <w:rFonts w:ascii="Verdana" w:hAnsi="Verdana" w:cs="Times New Roman"/>
          <w:noProof/>
          <w:sz w:val="20"/>
          <w:szCs w:val="20"/>
        </w:rPr>
        <w:t xml:space="preserve">Secondly, experts saw the need to fill </w:t>
      </w:r>
      <w:r>
        <w:rPr>
          <w:rFonts w:ascii="Verdana" w:hAnsi="Verdana" w:cs="Times New Roman"/>
          <w:b/>
          <w:noProof/>
          <w:sz w:val="20"/>
          <w:szCs w:val="20"/>
        </w:rPr>
        <w:t>gaps arising from changing technologies</w:t>
      </w:r>
      <w:r>
        <w:rPr>
          <w:rFonts w:ascii="Verdana" w:hAnsi="Verdana" w:cs="Times New Roman"/>
          <w:noProof/>
          <w:sz w:val="20"/>
          <w:szCs w:val="20"/>
        </w:rPr>
        <w:t>, by proposing for instance to include the right to privacy or the protection of personal data in the employment relationship, and an update</w:t>
      </w:r>
      <w:r>
        <w:rPr>
          <w:rFonts w:ascii="Verdana" w:hAnsi="Verdana" w:cs="Times New Roman"/>
          <w:noProof/>
          <w:sz w:val="20"/>
          <w:szCs w:val="20"/>
        </w:rPr>
        <w:t xml:space="preserve"> of health and safety rules. </w:t>
      </w:r>
    </w:p>
    <w:p w:rsidR="001E527A" w:rsidRDefault="00CD69DA">
      <w:pPr>
        <w:shd w:val="clear" w:color="auto" w:fill="EAF1DD" w:themeFill="accent3" w:themeFillTint="33"/>
        <w:spacing w:after="120"/>
        <w:jc w:val="both"/>
        <w:rPr>
          <w:rFonts w:ascii="Verdana" w:hAnsi="Verdana" w:cs="Times New Roman"/>
          <w:noProof/>
          <w:sz w:val="20"/>
          <w:szCs w:val="20"/>
        </w:rPr>
      </w:pPr>
      <w:r>
        <w:rPr>
          <w:rFonts w:ascii="Verdana" w:hAnsi="Verdana"/>
          <w:noProof/>
          <w:sz w:val="20"/>
          <w:szCs w:val="20"/>
        </w:rPr>
        <w:t xml:space="preserve">Thirdly, the changing nature of the labour market also means that people are faced with multiple </w:t>
      </w:r>
      <w:r>
        <w:rPr>
          <w:rFonts w:ascii="Verdana" w:hAnsi="Verdana"/>
          <w:b/>
          <w:noProof/>
          <w:sz w:val="20"/>
          <w:szCs w:val="20"/>
        </w:rPr>
        <w:t>transitions</w:t>
      </w:r>
      <w:r>
        <w:rPr>
          <w:rFonts w:ascii="Verdana" w:hAnsi="Verdana"/>
          <w:noProof/>
          <w:sz w:val="20"/>
          <w:szCs w:val="20"/>
        </w:rPr>
        <w:t xml:space="preserve"> during their career, for example from regular to irregular contracts. </w:t>
      </w:r>
      <w:r>
        <w:rPr>
          <w:rFonts w:ascii="Verdana" w:hAnsi="Verdana" w:cs="Times New Roman"/>
          <w:noProof/>
          <w:sz w:val="20"/>
          <w:szCs w:val="20"/>
        </w:rPr>
        <w:t xml:space="preserve">Action was considered necessary to ensure </w:t>
      </w:r>
      <w:r>
        <w:rPr>
          <w:rFonts w:ascii="Verdana" w:hAnsi="Verdana" w:cs="Times New Roman"/>
          <w:b/>
          <w:noProof/>
          <w:sz w:val="20"/>
          <w:szCs w:val="20"/>
        </w:rPr>
        <w:t>acces</w:t>
      </w:r>
      <w:r>
        <w:rPr>
          <w:rFonts w:ascii="Verdana" w:hAnsi="Verdana" w:cs="Times New Roman"/>
          <w:b/>
          <w:noProof/>
          <w:sz w:val="20"/>
          <w:szCs w:val="20"/>
        </w:rPr>
        <w:t>s to and portability of</w:t>
      </w:r>
      <w:r>
        <w:rPr>
          <w:rFonts w:ascii="Verdana" w:hAnsi="Verdana" w:cs="Times New Roman"/>
          <w:noProof/>
          <w:sz w:val="20"/>
          <w:szCs w:val="20"/>
        </w:rPr>
        <w:t xml:space="preserve"> </w:t>
      </w:r>
      <w:r>
        <w:rPr>
          <w:rFonts w:ascii="Verdana" w:hAnsi="Verdana" w:cs="Times New Roman"/>
          <w:b/>
          <w:noProof/>
          <w:sz w:val="20"/>
          <w:szCs w:val="20"/>
        </w:rPr>
        <w:t>social protection</w:t>
      </w:r>
      <w:r>
        <w:rPr>
          <w:rFonts w:ascii="Verdana" w:hAnsi="Verdana" w:cs="Times New Roman"/>
          <w:noProof/>
          <w:sz w:val="20"/>
          <w:szCs w:val="20"/>
        </w:rPr>
        <w:t xml:space="preserve"> so that people in all forms of employment, standard and non-standard, as well as the self-employed have access to adequate social protection and the possibility to accumulate entitlements and consult them through t</w:t>
      </w:r>
      <w:r>
        <w:rPr>
          <w:rFonts w:ascii="Verdana" w:hAnsi="Verdana" w:cs="Times New Roman"/>
          <w:noProof/>
          <w:sz w:val="20"/>
          <w:szCs w:val="20"/>
        </w:rPr>
        <w:t xml:space="preserve">he life-course. Measures in this area would also have beneficial effects in terms of equality between men and women, as women generally undergo more of such transitions during their professional life than men. </w:t>
      </w:r>
    </w:p>
    <w:p w:rsidR="001E527A" w:rsidRDefault="00CD69DA">
      <w:pPr>
        <w:shd w:val="clear" w:color="auto" w:fill="EAF1DD" w:themeFill="accent3" w:themeFillTint="33"/>
        <w:jc w:val="both"/>
        <w:rPr>
          <w:rFonts w:ascii="Verdana" w:hAnsi="Verdana"/>
          <w:noProof/>
          <w:sz w:val="20"/>
          <w:szCs w:val="20"/>
        </w:rPr>
      </w:pPr>
      <w:r>
        <w:rPr>
          <w:rFonts w:ascii="Verdana" w:hAnsi="Verdana" w:cs="Times New Roman"/>
          <w:noProof/>
          <w:sz w:val="20"/>
          <w:szCs w:val="20"/>
        </w:rPr>
        <w:t>Another challenge, which will become even mor</w:t>
      </w:r>
      <w:r>
        <w:rPr>
          <w:rFonts w:ascii="Verdana" w:hAnsi="Verdana" w:cs="Times New Roman"/>
          <w:noProof/>
          <w:sz w:val="20"/>
          <w:szCs w:val="20"/>
        </w:rPr>
        <w:t xml:space="preserve">e critical in the future, is the focus of the acquis on the workforce, thereby omitting a whole range of other persons. It was argued that in addition to rights pertaining to workers, the EU acquis should </w:t>
      </w:r>
      <w:r>
        <w:rPr>
          <w:rFonts w:ascii="Verdana" w:hAnsi="Verdana" w:cs="Times New Roman"/>
          <w:b/>
          <w:noProof/>
          <w:sz w:val="20"/>
          <w:szCs w:val="20"/>
        </w:rPr>
        <w:t>better protect</w:t>
      </w:r>
      <w:r>
        <w:rPr>
          <w:rFonts w:ascii="Verdana" w:hAnsi="Verdana" w:cs="Times New Roman"/>
          <w:noProof/>
          <w:sz w:val="20"/>
          <w:szCs w:val="20"/>
        </w:rPr>
        <w:t xml:space="preserve"> other categories of people such as t</w:t>
      </w:r>
      <w:r>
        <w:rPr>
          <w:rFonts w:ascii="Verdana" w:hAnsi="Verdana" w:cs="Times New Roman"/>
          <w:noProof/>
          <w:sz w:val="20"/>
          <w:szCs w:val="20"/>
        </w:rPr>
        <w:t>he unemployed</w:t>
      </w:r>
      <w:r>
        <w:rPr>
          <w:rFonts w:ascii="Verdana" w:eastAsia="Times New Roman" w:hAnsi="Verdana" w:cs="Times New Roman"/>
          <w:noProof/>
          <w:sz w:val="20"/>
          <w:szCs w:val="20"/>
        </w:rPr>
        <w:t xml:space="preserve"> and those </w:t>
      </w:r>
      <w:r>
        <w:rPr>
          <w:rFonts w:ascii="Verdana" w:eastAsia="Times New Roman" w:hAnsi="Verdana" w:cs="Times New Roman"/>
          <w:b/>
          <w:noProof/>
          <w:sz w:val="20"/>
          <w:szCs w:val="20"/>
        </w:rPr>
        <w:t>most</w:t>
      </w:r>
      <w:r>
        <w:rPr>
          <w:rFonts w:ascii="Verdana" w:eastAsia="Times New Roman" w:hAnsi="Verdana" w:cs="Times New Roman"/>
          <w:noProof/>
          <w:sz w:val="20"/>
          <w:szCs w:val="20"/>
        </w:rPr>
        <w:t xml:space="preserve"> </w:t>
      </w:r>
      <w:r>
        <w:rPr>
          <w:rFonts w:ascii="Verdana" w:eastAsia="Times New Roman" w:hAnsi="Verdana" w:cs="Times New Roman"/>
          <w:b/>
          <w:noProof/>
          <w:sz w:val="20"/>
          <w:szCs w:val="20"/>
        </w:rPr>
        <w:t xml:space="preserve">vulnerable, </w:t>
      </w:r>
      <w:r>
        <w:rPr>
          <w:rFonts w:ascii="Verdana" w:eastAsia="Times New Roman" w:hAnsi="Verdana" w:cs="Times New Roman"/>
          <w:noProof/>
          <w:sz w:val="20"/>
          <w:szCs w:val="20"/>
        </w:rPr>
        <w:t>particularly</w:t>
      </w:r>
      <w:r>
        <w:rPr>
          <w:rFonts w:ascii="Verdana" w:eastAsia="Times New Roman" w:hAnsi="Verdana" w:cs="Times New Roman"/>
          <w:b/>
          <w:noProof/>
          <w:sz w:val="20"/>
          <w:szCs w:val="20"/>
        </w:rPr>
        <w:t xml:space="preserve"> </w:t>
      </w:r>
      <w:r>
        <w:rPr>
          <w:rFonts w:ascii="Verdana" w:eastAsia="Times New Roman" w:hAnsi="Verdana" w:cs="Times New Roman"/>
          <w:noProof/>
          <w:sz w:val="20"/>
          <w:szCs w:val="20"/>
        </w:rPr>
        <w:t>by</w:t>
      </w:r>
      <w:r>
        <w:rPr>
          <w:rFonts w:ascii="Verdana" w:eastAsia="Times New Roman" w:hAnsi="Verdana" w:cs="Times New Roman"/>
          <w:b/>
          <w:noProof/>
          <w:sz w:val="20"/>
          <w:szCs w:val="20"/>
        </w:rPr>
        <w:t xml:space="preserve"> </w:t>
      </w:r>
      <w:r>
        <w:rPr>
          <w:rFonts w:ascii="Verdana" w:eastAsia="Times New Roman" w:hAnsi="Verdana" w:cs="Times New Roman"/>
          <w:noProof/>
          <w:sz w:val="20"/>
          <w:szCs w:val="20"/>
        </w:rPr>
        <w:t xml:space="preserve">extending </w:t>
      </w:r>
      <w:r>
        <w:rPr>
          <w:rFonts w:ascii="Verdana" w:hAnsi="Verdana" w:cs="Times New Roman"/>
          <w:b/>
          <w:noProof/>
          <w:sz w:val="20"/>
          <w:szCs w:val="20"/>
        </w:rPr>
        <w:t>protection against discrimination</w:t>
      </w:r>
      <w:r>
        <w:rPr>
          <w:rFonts w:ascii="Verdana" w:hAnsi="Verdana" w:cs="Times New Roman"/>
          <w:noProof/>
          <w:sz w:val="20"/>
          <w:szCs w:val="20"/>
        </w:rPr>
        <w:t xml:space="preserve"> beyond the field of employment, and through additional initiatives in social protection. </w:t>
      </w:r>
      <w:r>
        <w:rPr>
          <w:rFonts w:ascii="Verdana" w:hAnsi="Verdana"/>
          <w:noProof/>
          <w:sz w:val="20"/>
          <w:szCs w:val="20"/>
        </w:rPr>
        <w:t xml:space="preserve">Ideas included legislation to better address the socio-economic determinants of health inequalities, and a </w:t>
      </w:r>
      <w:r>
        <w:rPr>
          <w:rFonts w:ascii="Verdana" w:hAnsi="Verdana" w:cs="Times New Roman"/>
          <w:noProof/>
          <w:sz w:val="20"/>
          <w:szCs w:val="20"/>
        </w:rPr>
        <w:t>coherent legislative framework for parental leave</w:t>
      </w:r>
      <w:r>
        <w:rPr>
          <w:rFonts w:ascii="Verdana" w:hAnsi="Verdana"/>
          <w:i/>
          <w:noProof/>
          <w:sz w:val="20"/>
          <w:szCs w:val="20"/>
        </w:rPr>
        <w:t xml:space="preserve">. </w:t>
      </w:r>
      <w:r>
        <w:rPr>
          <w:rFonts w:ascii="Verdana" w:hAnsi="Verdana"/>
          <w:noProof/>
          <w:sz w:val="20"/>
          <w:szCs w:val="20"/>
        </w:rPr>
        <w:t>Some called</w:t>
      </w:r>
      <w:r>
        <w:rPr>
          <w:rFonts w:ascii="Verdana" w:hAnsi="Verdana" w:cs="Times New Roman"/>
          <w:noProof/>
          <w:sz w:val="20"/>
          <w:szCs w:val="20"/>
        </w:rPr>
        <w:t xml:space="preserve"> for the establishment of a </w:t>
      </w:r>
      <w:r>
        <w:rPr>
          <w:rFonts w:ascii="Verdana" w:hAnsi="Verdana"/>
          <w:noProof/>
          <w:sz w:val="20"/>
          <w:szCs w:val="20"/>
        </w:rPr>
        <w:t>European framework for minimum income schemes</w:t>
      </w:r>
      <w:r>
        <w:rPr>
          <w:rStyle w:val="FootnoteReference"/>
          <w:rFonts w:ascii="Verdana" w:hAnsi="Verdana"/>
          <w:noProof/>
          <w:sz w:val="20"/>
          <w:szCs w:val="20"/>
        </w:rPr>
        <w:footnoteReference w:id="41"/>
      </w:r>
      <w:r>
        <w:rPr>
          <w:rFonts w:ascii="Verdana" w:hAnsi="Verdana"/>
          <w:noProof/>
          <w:sz w:val="20"/>
          <w:szCs w:val="20"/>
        </w:rPr>
        <w:t>.</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noProof/>
          <w:sz w:val="20"/>
          <w:szCs w:val="20"/>
        </w:rPr>
        <w:t>Finally, so</w:t>
      </w:r>
      <w:r>
        <w:rPr>
          <w:rFonts w:ascii="Verdana" w:hAnsi="Verdana" w:cs="Times New Roman"/>
          <w:noProof/>
          <w:sz w:val="20"/>
          <w:szCs w:val="20"/>
        </w:rPr>
        <w:t xml:space="preserve">cial and employment rights should be better </w:t>
      </w:r>
      <w:r>
        <w:rPr>
          <w:rFonts w:ascii="Verdana" w:hAnsi="Verdana" w:cs="Times New Roman"/>
          <w:b/>
          <w:noProof/>
          <w:sz w:val="20"/>
          <w:szCs w:val="20"/>
        </w:rPr>
        <w:t>mainstreamed across all policy areas</w:t>
      </w:r>
      <w:r>
        <w:rPr>
          <w:rFonts w:ascii="Verdana" w:hAnsi="Verdana" w:cs="Times New Roman"/>
          <w:noProof/>
          <w:sz w:val="20"/>
          <w:szCs w:val="20"/>
        </w:rPr>
        <w:t>. In some cases, social protection and/or social rights can be promoted via other instruments and policies whose primary purpose lies elsewhere, for example as regards access t</w:t>
      </w:r>
      <w:r>
        <w:rPr>
          <w:rFonts w:ascii="Verdana" w:hAnsi="Verdana" w:cs="Times New Roman"/>
          <w:noProof/>
          <w:sz w:val="20"/>
          <w:szCs w:val="20"/>
        </w:rPr>
        <w:t>o essential services, such as energy.</w:t>
      </w:r>
    </w:p>
    <w:p w:rsidR="001E527A" w:rsidRDefault="00CD69DA">
      <w:pPr>
        <w:shd w:val="clear" w:color="auto" w:fill="EAF1DD" w:themeFill="accent3" w:themeFillTint="33"/>
        <w:jc w:val="both"/>
        <w:rPr>
          <w:rFonts w:ascii="Verdana" w:hAnsi="Verdana"/>
          <w:b/>
          <w:i/>
          <w:noProof/>
          <w:color w:val="0070C0"/>
          <w:sz w:val="20"/>
          <w:szCs w:val="20"/>
        </w:rPr>
      </w:pPr>
      <w:r>
        <w:rPr>
          <w:rFonts w:ascii="Verdana" w:hAnsi="Verdana"/>
          <w:b/>
          <w:i/>
          <w:noProof/>
          <w:color w:val="0070C0"/>
          <w:sz w:val="20"/>
          <w:szCs w:val="20"/>
        </w:rPr>
        <w:t>Stepping up implementation and enforcement</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noProof/>
          <w:sz w:val="20"/>
          <w:szCs w:val="20"/>
        </w:rPr>
        <w:t>There was consensus that implementation and enforcement of the existing acquis should be reinforced. Very often, citizens could not enjoy existing rights due to a lack of impl</w:t>
      </w:r>
      <w:r>
        <w:rPr>
          <w:rFonts w:ascii="Verdana" w:hAnsi="Verdana" w:cs="Times New Roman"/>
          <w:noProof/>
          <w:sz w:val="20"/>
          <w:szCs w:val="20"/>
        </w:rPr>
        <w:t>ementation and enforcement. In the context of EU labour law, unlike in other areas, there are very few EU rules directly concerned with enforcement of rights.</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noProof/>
          <w:sz w:val="20"/>
          <w:szCs w:val="20"/>
        </w:rPr>
        <w:t>Experts highlighted various ways to close the enforcement gap, through legislative and non-legisl</w:t>
      </w:r>
      <w:r>
        <w:rPr>
          <w:rFonts w:ascii="Verdana" w:hAnsi="Verdana" w:cs="Times New Roman"/>
          <w:noProof/>
          <w:sz w:val="20"/>
          <w:szCs w:val="20"/>
        </w:rPr>
        <w:t xml:space="preserve">ative action. </w:t>
      </w:r>
    </w:p>
    <w:p w:rsidR="001E527A" w:rsidRDefault="00CD69DA">
      <w:pPr>
        <w:shd w:val="clear" w:color="auto" w:fill="EAF1DD" w:themeFill="accent3" w:themeFillTint="33"/>
        <w:jc w:val="both"/>
        <w:rPr>
          <w:rFonts w:ascii="Verdana" w:hAnsi="Verdana"/>
          <w:noProof/>
          <w:sz w:val="20"/>
          <w:szCs w:val="20"/>
        </w:rPr>
      </w:pPr>
      <w:r>
        <w:rPr>
          <w:rFonts w:ascii="Verdana" w:hAnsi="Verdana" w:cs="Times New Roman"/>
          <w:noProof/>
          <w:sz w:val="20"/>
          <w:szCs w:val="20"/>
        </w:rPr>
        <w:t xml:space="preserve">One idea was to ensure that existing or future legislation in the field of labour law contained </w:t>
      </w:r>
      <w:r>
        <w:rPr>
          <w:rFonts w:ascii="Verdana" w:hAnsi="Verdana" w:cs="Times New Roman"/>
          <w:b/>
          <w:noProof/>
          <w:sz w:val="20"/>
          <w:szCs w:val="20"/>
        </w:rPr>
        <w:t>procedural provisions for enforcement</w:t>
      </w:r>
      <w:r>
        <w:rPr>
          <w:rFonts w:ascii="Verdana" w:hAnsi="Verdana" w:cs="Times New Roman"/>
          <w:noProof/>
          <w:sz w:val="20"/>
          <w:szCs w:val="20"/>
        </w:rPr>
        <w:t>, and to complement existing instruments with enforcement provisions, where necessary. The objective would b</w:t>
      </w:r>
      <w:r>
        <w:rPr>
          <w:rFonts w:ascii="Verdana" w:hAnsi="Verdana" w:cs="Times New Roman"/>
          <w:noProof/>
          <w:sz w:val="20"/>
          <w:szCs w:val="20"/>
        </w:rPr>
        <w:t>e to provide for access to justice, support in litigation, protection against victimisation, basic rules on remedies, and dissemination of information. Inspiration could be drawn from existing instruments e.g. in the field on non-discrimination or free mov</w:t>
      </w:r>
      <w:r>
        <w:rPr>
          <w:rFonts w:ascii="Verdana" w:hAnsi="Verdana" w:cs="Times New Roman"/>
          <w:noProof/>
          <w:sz w:val="20"/>
          <w:szCs w:val="20"/>
        </w:rPr>
        <w:t xml:space="preserve">ement, where a range of enforcement tools have been adopted in recent years. Others asked for more and better labour inspections.  </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b/>
          <w:noProof/>
          <w:sz w:val="20"/>
          <w:szCs w:val="20"/>
        </w:rPr>
        <w:t>Redress mechanisms</w:t>
      </w:r>
      <w:r>
        <w:rPr>
          <w:rFonts w:ascii="Verdana" w:hAnsi="Verdana" w:cs="Times New Roman"/>
          <w:noProof/>
          <w:sz w:val="20"/>
          <w:szCs w:val="20"/>
        </w:rPr>
        <w:t xml:space="preserve"> were also seen as important for the protection of working conditions, including through additional channels such as Ombudspersons, equality bodies and one-stop information points. </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noProof/>
          <w:sz w:val="20"/>
          <w:szCs w:val="20"/>
        </w:rPr>
        <w:t xml:space="preserve">Significant progress could also be achieved by ensuring higher </w:t>
      </w:r>
      <w:r>
        <w:rPr>
          <w:rFonts w:ascii="Verdana" w:hAnsi="Verdana" w:cs="Times New Roman"/>
          <w:b/>
          <w:noProof/>
          <w:sz w:val="20"/>
          <w:szCs w:val="20"/>
        </w:rPr>
        <w:t>awareness o</w:t>
      </w:r>
      <w:r>
        <w:rPr>
          <w:rFonts w:ascii="Verdana" w:hAnsi="Verdana" w:cs="Times New Roman"/>
          <w:b/>
          <w:noProof/>
          <w:sz w:val="20"/>
          <w:szCs w:val="20"/>
        </w:rPr>
        <w:t>f rights</w:t>
      </w:r>
      <w:r>
        <w:rPr>
          <w:rFonts w:ascii="Verdana" w:hAnsi="Verdana" w:cs="Times New Roman"/>
          <w:noProof/>
          <w:sz w:val="20"/>
          <w:szCs w:val="20"/>
        </w:rPr>
        <w:t xml:space="preserve"> and enforcement mechanisms in case of violations. Setting out clear concepts, for example through guidelines, was seen as crucial to ensure a more consistent implementation of the acquis on the ground. Other suggestions included increasing the awa</w:t>
      </w:r>
      <w:r>
        <w:rPr>
          <w:rFonts w:ascii="Verdana" w:hAnsi="Verdana" w:cs="Times New Roman"/>
          <w:noProof/>
          <w:sz w:val="20"/>
          <w:szCs w:val="20"/>
        </w:rPr>
        <w:t>reness of labour market institutions and labour inspectorates about new employment forms and their potential implications; or establishing codes of conduct and certification to incentivise fairer employment practices at company level.</w:t>
      </w:r>
    </w:p>
    <w:p w:rsidR="001E527A" w:rsidRDefault="00CD69DA">
      <w:pPr>
        <w:pStyle w:val="Heading3"/>
        <w:rPr>
          <w:noProof/>
        </w:rPr>
      </w:pPr>
      <w:bookmarkStart w:id="21" w:name="_Toc479349465"/>
      <w:r>
        <w:rPr>
          <w:noProof/>
        </w:rPr>
        <w:t>Driving reforms and c</w:t>
      </w:r>
      <w:r>
        <w:rPr>
          <w:noProof/>
        </w:rPr>
        <w:t>onvergence through the European Semester, benchmarking and monitoring</w:t>
      </w:r>
      <w:bookmarkEnd w:id="21"/>
    </w:p>
    <w:p w:rsidR="001E527A" w:rsidRDefault="00CD69DA">
      <w:pPr>
        <w:widowControl w:val="0"/>
        <w:autoSpaceDE w:val="0"/>
        <w:autoSpaceDN w:val="0"/>
        <w:adjustRightInd w:val="0"/>
        <w:jc w:val="both"/>
        <w:rPr>
          <w:rFonts w:ascii="Verdana" w:eastAsia="Calibri" w:hAnsi="Verdana"/>
          <w:noProof/>
          <w:sz w:val="20"/>
          <w:szCs w:val="20"/>
        </w:rPr>
      </w:pPr>
      <w:r>
        <w:rPr>
          <w:rFonts w:ascii="Verdana" w:hAnsi="Verdana" w:cs="Times New Roman"/>
          <w:noProof/>
          <w:sz w:val="20"/>
          <w:szCs w:val="20"/>
        </w:rPr>
        <w:t xml:space="preserve">Stakeholders, notably employer organisations, argued that the Pillar should use as </w:t>
      </w:r>
      <w:r>
        <w:rPr>
          <w:rFonts w:ascii="Verdana" w:hAnsi="Verdana" w:cs="Times New Roman"/>
          <w:b/>
          <w:noProof/>
          <w:sz w:val="20"/>
          <w:szCs w:val="20"/>
        </w:rPr>
        <w:t>first delivery mechanism soft policy instruments</w:t>
      </w:r>
      <w:r>
        <w:rPr>
          <w:rFonts w:ascii="Verdana" w:hAnsi="Verdana" w:cs="Times New Roman"/>
          <w:noProof/>
          <w:sz w:val="20"/>
          <w:szCs w:val="20"/>
        </w:rPr>
        <w:t xml:space="preserve"> to support national reforms and </w:t>
      </w:r>
      <w:r>
        <w:rPr>
          <w:rFonts w:ascii="Verdana" w:eastAsia="Calibri" w:hAnsi="Verdana"/>
          <w:noProof/>
          <w:sz w:val="20"/>
          <w:szCs w:val="20"/>
        </w:rPr>
        <w:t xml:space="preserve">provide Member States </w:t>
      </w:r>
      <w:r>
        <w:rPr>
          <w:rFonts w:ascii="Verdana" w:eastAsia="Calibri" w:hAnsi="Verdana"/>
          <w:noProof/>
          <w:sz w:val="20"/>
          <w:szCs w:val="20"/>
        </w:rPr>
        <w:t xml:space="preserve">with a tool to track their progress in comparison to each other. This would be done </w:t>
      </w:r>
      <w:r>
        <w:rPr>
          <w:rFonts w:ascii="Verdana" w:hAnsi="Verdana" w:cs="Times New Roman"/>
          <w:noProof/>
          <w:sz w:val="20"/>
          <w:szCs w:val="20"/>
        </w:rPr>
        <w:t xml:space="preserve">through coordination of national policies in the context of </w:t>
      </w:r>
      <w:r>
        <w:rPr>
          <w:rFonts w:ascii="Verdana" w:eastAsia="Calibri" w:hAnsi="Verdana"/>
          <w:noProof/>
          <w:sz w:val="20"/>
          <w:szCs w:val="20"/>
        </w:rPr>
        <w:t>the European Semester,</w:t>
      </w:r>
      <w:r>
        <w:rPr>
          <w:rFonts w:ascii="Verdana" w:hAnsi="Verdana" w:cs="Times New Roman"/>
          <w:noProof/>
          <w:sz w:val="20"/>
          <w:szCs w:val="20"/>
        </w:rPr>
        <w:t xml:space="preserve"> benchmarking, mutual learning and good practices exchange. With this approach the Pillar </w:t>
      </w:r>
      <w:r>
        <w:rPr>
          <w:rFonts w:ascii="Verdana" w:hAnsi="Verdana" w:cs="Times New Roman"/>
          <w:noProof/>
          <w:sz w:val="20"/>
          <w:szCs w:val="20"/>
        </w:rPr>
        <w:t xml:space="preserve">would build on existing </w:t>
      </w:r>
      <w:r>
        <w:rPr>
          <w:rFonts w:ascii="Verdana" w:eastAsia="Calibri" w:hAnsi="Verdana"/>
          <w:noProof/>
          <w:sz w:val="20"/>
          <w:szCs w:val="20"/>
        </w:rPr>
        <w:t xml:space="preserve">instruments that take different national situations into consideration and allow for tailor-made implementation. </w:t>
      </w:r>
    </w:p>
    <w:p w:rsidR="001E527A" w:rsidRDefault="00CD69DA">
      <w:pPr>
        <w:widowControl w:val="0"/>
        <w:autoSpaceDE w:val="0"/>
        <w:autoSpaceDN w:val="0"/>
        <w:adjustRightInd w:val="0"/>
        <w:jc w:val="both"/>
        <w:rPr>
          <w:rFonts w:ascii="Verdana" w:hAnsi="Verdana" w:cs="Times New Roman"/>
          <w:noProof/>
          <w:sz w:val="20"/>
          <w:szCs w:val="20"/>
        </w:rPr>
      </w:pPr>
      <w:r>
        <w:rPr>
          <w:rFonts w:ascii="Verdana" w:hAnsi="Verdana" w:cs="Times New Roman"/>
          <w:noProof/>
          <w:sz w:val="20"/>
          <w:szCs w:val="20"/>
        </w:rPr>
        <w:t xml:space="preserve">In particular, there was overall consensus for the need to further strengthen the </w:t>
      </w:r>
      <w:r>
        <w:rPr>
          <w:rFonts w:ascii="Verdana" w:hAnsi="Verdana" w:cs="Times New Roman"/>
          <w:b/>
          <w:noProof/>
          <w:sz w:val="20"/>
          <w:szCs w:val="20"/>
        </w:rPr>
        <w:t>European Semester</w:t>
      </w:r>
      <w:r>
        <w:rPr>
          <w:rFonts w:ascii="Verdana" w:hAnsi="Verdana" w:cs="Times New Roman"/>
          <w:noProof/>
          <w:sz w:val="20"/>
          <w:szCs w:val="20"/>
        </w:rPr>
        <w:t xml:space="preserve"> in becoming an eco</w:t>
      </w:r>
      <w:r>
        <w:rPr>
          <w:rFonts w:ascii="Verdana" w:hAnsi="Verdana" w:cs="Times New Roman"/>
          <w:noProof/>
          <w:sz w:val="20"/>
          <w:szCs w:val="20"/>
        </w:rPr>
        <w:t>nomic and social governance framework and for giving more visibility to social considerations and social fairness when promoting structural reforms, investment and responsible fiscal policies. Some stakeholders argued that the principles of the Pillar woul</w:t>
      </w:r>
      <w:r>
        <w:rPr>
          <w:rFonts w:ascii="Verdana" w:hAnsi="Verdana" w:cs="Times New Roman"/>
          <w:noProof/>
          <w:sz w:val="20"/>
          <w:szCs w:val="20"/>
        </w:rPr>
        <w:t>d need to be integrated into the employment policy guidelines that underpin the country-specific recommendations. However, others saw a need to avoid diluting the Semester which should continue to address economic, fiscal and employment policy. Implementat</w:t>
      </w:r>
      <w:r>
        <w:rPr>
          <w:rFonts w:ascii="Verdana" w:hAnsi="Verdana" w:cs="Times New Roman"/>
          <w:noProof/>
          <w:sz w:val="20"/>
          <w:szCs w:val="20"/>
        </w:rPr>
        <w:t>ion should be fully pursued, evaluated and if necessary sanctioned</w:t>
      </w:r>
      <w:r>
        <w:rPr>
          <w:rFonts w:ascii="Verdana" w:hAnsi="Verdana"/>
          <w:noProof/>
          <w:sz w:val="20"/>
          <w:szCs w:val="20"/>
          <w:vertAlign w:val="superscript"/>
        </w:rPr>
        <w:footnoteReference w:id="42"/>
      </w:r>
      <w:r>
        <w:rPr>
          <w:rFonts w:ascii="Verdana" w:hAnsi="Verdana" w:cs="Times New Roman"/>
          <w:noProof/>
          <w:sz w:val="20"/>
          <w:szCs w:val="20"/>
        </w:rPr>
        <w:t xml:space="preserve">. </w:t>
      </w:r>
    </w:p>
    <w:p w:rsidR="001E527A" w:rsidRDefault="00CD69DA">
      <w:pPr>
        <w:widowControl w:val="0"/>
        <w:autoSpaceDE w:val="0"/>
        <w:autoSpaceDN w:val="0"/>
        <w:adjustRightInd w:val="0"/>
        <w:jc w:val="both"/>
        <w:rPr>
          <w:rFonts w:ascii="Verdana" w:eastAsia="Times New Roman" w:hAnsi="Verdana" w:cs="Times New Roman"/>
          <w:noProof/>
          <w:sz w:val="20"/>
          <w:szCs w:val="20"/>
        </w:rPr>
      </w:pPr>
      <w:r>
        <w:rPr>
          <w:rFonts w:ascii="Verdana" w:hAnsi="Verdana" w:cs="Times New Roman"/>
          <w:noProof/>
          <w:sz w:val="20"/>
          <w:szCs w:val="20"/>
        </w:rPr>
        <w:t xml:space="preserve">The development of </w:t>
      </w:r>
      <w:r>
        <w:rPr>
          <w:rFonts w:ascii="Verdana" w:hAnsi="Verdana" w:cs="Times New Roman"/>
          <w:b/>
          <w:noProof/>
          <w:sz w:val="20"/>
          <w:szCs w:val="20"/>
        </w:rPr>
        <w:t>benchmarking</w:t>
      </w:r>
      <w:r>
        <w:rPr>
          <w:rFonts w:ascii="Verdana" w:hAnsi="Verdana" w:cs="Times New Roman"/>
          <w:noProof/>
          <w:sz w:val="20"/>
          <w:szCs w:val="20"/>
        </w:rPr>
        <w:t xml:space="preserve"> was generally considered essential to support the reform process specific to each Member State and to achieve upward convergence in employment and social </w:t>
      </w:r>
      <w:r>
        <w:rPr>
          <w:rFonts w:ascii="Verdana" w:hAnsi="Verdana" w:cs="Times New Roman"/>
          <w:noProof/>
          <w:sz w:val="20"/>
          <w:szCs w:val="20"/>
        </w:rPr>
        <w:t>outcomes</w:t>
      </w:r>
      <w:r>
        <w:rPr>
          <w:rStyle w:val="FootnoteReference"/>
          <w:rFonts w:ascii="Verdana" w:hAnsi="Verdana" w:cs="Times New Roman"/>
          <w:noProof/>
          <w:sz w:val="20"/>
          <w:szCs w:val="20"/>
        </w:rPr>
        <w:footnoteReference w:id="43"/>
      </w:r>
      <w:r>
        <w:rPr>
          <w:rFonts w:ascii="Verdana" w:hAnsi="Verdana" w:cs="Times New Roman"/>
          <w:noProof/>
          <w:sz w:val="20"/>
          <w:szCs w:val="20"/>
        </w:rPr>
        <w:t xml:space="preserve">. </w:t>
      </w:r>
      <w:r>
        <w:rPr>
          <w:rFonts w:ascii="Verdana" w:hAnsi="Verdana"/>
          <w:noProof/>
          <w:sz w:val="20"/>
          <w:szCs w:val="20"/>
        </w:rPr>
        <w:t xml:space="preserve">Such benchmarking could provide a fresh approach, based on precise policy guidance and assessment of national progress towards quantitative or qualitative criteria in order to increase the quality of governance, the cost-effectiveness of public </w:t>
      </w:r>
      <w:r>
        <w:rPr>
          <w:rFonts w:ascii="Verdana" w:hAnsi="Verdana"/>
          <w:noProof/>
          <w:sz w:val="20"/>
          <w:szCs w:val="20"/>
        </w:rPr>
        <w:t xml:space="preserve">policies and support the diffusion of best practices. </w:t>
      </w:r>
      <w:r>
        <w:rPr>
          <w:rFonts w:ascii="Verdana" w:hAnsi="Verdana" w:cs="Times New Roman"/>
          <w:noProof/>
          <w:sz w:val="20"/>
          <w:szCs w:val="20"/>
        </w:rPr>
        <w:t xml:space="preserve">Certain stakeholders </w:t>
      </w:r>
      <w:r>
        <w:rPr>
          <w:rFonts w:ascii="Verdana" w:eastAsia="Times New Roman" w:hAnsi="Verdana" w:cs="Times New Roman"/>
          <w:noProof/>
          <w:sz w:val="20"/>
          <w:szCs w:val="20"/>
        </w:rPr>
        <w:t xml:space="preserve">suggested that benchmarking could be further developed to underpin a stronger degree of institutional convergence </w:t>
      </w:r>
      <w:r>
        <w:rPr>
          <w:rFonts w:ascii="Verdana" w:hAnsi="Verdana"/>
          <w:noProof/>
          <w:sz w:val="20"/>
          <w:szCs w:val="20"/>
          <w:lang w:eastAsia="en-GB"/>
        </w:rPr>
        <w:t xml:space="preserve">in labour markets and social policies </w:t>
      </w:r>
      <w:r>
        <w:rPr>
          <w:rFonts w:ascii="Verdana" w:eastAsia="Times New Roman" w:hAnsi="Verdana" w:cs="Times New Roman"/>
          <w:noProof/>
          <w:sz w:val="20"/>
          <w:szCs w:val="20"/>
        </w:rPr>
        <w:t xml:space="preserve">in the euro area, while </w:t>
      </w:r>
      <w:r>
        <w:rPr>
          <w:rFonts w:ascii="Verdana" w:eastAsia="Times New Roman" w:hAnsi="Verdana" w:cs="Times New Roman"/>
          <w:noProof/>
          <w:sz w:val="20"/>
          <w:szCs w:val="20"/>
        </w:rPr>
        <w:t>employer organisations and a number of Member States argued that the Pillar should not set binding standards</w:t>
      </w:r>
      <w:r>
        <w:rPr>
          <w:rStyle w:val="FootnoteReference"/>
          <w:rFonts w:ascii="Verdana" w:hAnsi="Verdana"/>
          <w:noProof/>
          <w:sz w:val="20"/>
          <w:szCs w:val="20"/>
        </w:rPr>
        <w:footnoteReference w:id="44"/>
      </w:r>
      <w:r>
        <w:rPr>
          <w:rFonts w:ascii="Verdana" w:eastAsia="Times New Roman" w:hAnsi="Verdana" w:cs="Times New Roman"/>
          <w:noProof/>
          <w:sz w:val="20"/>
          <w:szCs w:val="20"/>
        </w:rPr>
        <w:t xml:space="preserve">. </w:t>
      </w:r>
    </w:p>
    <w:p w:rsidR="001E527A" w:rsidRDefault="00CD69DA">
      <w:pPr>
        <w:widowControl w:val="0"/>
        <w:autoSpaceDE w:val="0"/>
        <w:autoSpaceDN w:val="0"/>
        <w:adjustRightInd w:val="0"/>
        <w:jc w:val="both"/>
        <w:rPr>
          <w:rFonts w:ascii="Verdana" w:hAnsi="Verdana"/>
          <w:noProof/>
          <w:sz w:val="20"/>
          <w:szCs w:val="20"/>
          <w:lang w:eastAsia="en-GB"/>
        </w:rPr>
      </w:pPr>
      <w:r>
        <w:rPr>
          <w:rFonts w:ascii="Verdana" w:hAnsi="Verdana"/>
          <w:noProof/>
          <w:sz w:val="20"/>
          <w:szCs w:val="20"/>
          <w:lang w:eastAsia="en-GB"/>
        </w:rPr>
        <w:t xml:space="preserve">A further proposal was to devise an appropriate </w:t>
      </w:r>
      <w:r>
        <w:rPr>
          <w:rFonts w:ascii="Verdana" w:hAnsi="Verdana"/>
          <w:b/>
          <w:noProof/>
          <w:sz w:val="20"/>
          <w:szCs w:val="20"/>
          <w:lang w:eastAsia="en-GB"/>
        </w:rPr>
        <w:t>mechanism to measure and monitor progress</w:t>
      </w:r>
      <w:r>
        <w:rPr>
          <w:rFonts w:ascii="Verdana" w:hAnsi="Verdana"/>
          <w:noProof/>
          <w:sz w:val="20"/>
          <w:szCs w:val="20"/>
          <w:lang w:eastAsia="en-GB"/>
        </w:rPr>
        <w:t xml:space="preserve"> in the realisation of social rights through indicators</w:t>
      </w:r>
      <w:r>
        <w:rPr>
          <w:rFonts w:ascii="Verdana" w:hAnsi="Verdana"/>
          <w:noProof/>
          <w:sz w:val="20"/>
          <w:szCs w:val="20"/>
          <w:lang w:eastAsia="en-GB"/>
        </w:rPr>
        <w:t>, data collection and monitoring systems. Suggestions included the development of a social scoreboard mechanism linked to the Pillar. The European Parliament called for a potential new Convergence Code. The Committee of the Regions suggested adding regiona</w:t>
      </w:r>
      <w:r>
        <w:rPr>
          <w:rFonts w:ascii="Verdana" w:hAnsi="Verdana"/>
          <w:noProof/>
          <w:sz w:val="20"/>
          <w:szCs w:val="20"/>
          <w:lang w:eastAsia="en-GB"/>
        </w:rPr>
        <w:t>l disparity indicators to the EMU social indicators scoreboard to support greater convergence and improve the social dimension of the EMU. At the same time, many underlined that the monitoring of the Pillar should be done primarily through the European Sem</w:t>
      </w:r>
      <w:r>
        <w:rPr>
          <w:rFonts w:ascii="Verdana" w:hAnsi="Verdana"/>
          <w:noProof/>
          <w:sz w:val="20"/>
          <w:szCs w:val="20"/>
          <w:lang w:eastAsia="en-GB"/>
        </w:rPr>
        <w:t>ester, and draw on the tools which are already used to analyse the situation of Member States and their progress, such as the Joint Employment Report and existing monitoring tools such as the Employment Performance Monitor and the Social Protection Perform</w:t>
      </w:r>
      <w:r>
        <w:rPr>
          <w:rFonts w:ascii="Verdana" w:hAnsi="Verdana"/>
          <w:noProof/>
          <w:sz w:val="20"/>
          <w:szCs w:val="20"/>
          <w:lang w:eastAsia="en-GB"/>
        </w:rPr>
        <w:t xml:space="preserve">ance Monitor. </w:t>
      </w:r>
    </w:p>
    <w:p w:rsidR="001E527A" w:rsidRDefault="00CD69DA">
      <w:pPr>
        <w:pStyle w:val="Heading3"/>
        <w:rPr>
          <w:noProof/>
        </w:rPr>
      </w:pPr>
      <w:bookmarkStart w:id="22" w:name="_Toc479349466"/>
      <w:r>
        <w:rPr>
          <w:noProof/>
        </w:rPr>
        <w:t>Involving the social partners</w:t>
      </w:r>
      <w:bookmarkEnd w:id="22"/>
      <w:r>
        <w:rPr>
          <w:noProof/>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consultation highlighted </w:t>
      </w:r>
      <w:r>
        <w:rPr>
          <w:rFonts w:ascii="Verdana" w:hAnsi="Verdana" w:cs="Times New Roman"/>
          <w:b/>
          <w:noProof/>
          <w:sz w:val="20"/>
          <w:szCs w:val="20"/>
        </w:rPr>
        <w:t>the crucial contribution</w:t>
      </w:r>
      <w:r>
        <w:rPr>
          <w:rFonts w:ascii="Verdana" w:hAnsi="Verdana" w:cs="Times New Roman"/>
          <w:noProof/>
          <w:sz w:val="20"/>
          <w:szCs w:val="20"/>
        </w:rPr>
        <w:t xml:space="preserve"> that social partners should have in implementing the Pillar. This results from their role as key contributors to economic developments on the ground and collective bargaining powers. </w:t>
      </w:r>
    </w:p>
    <w:p w:rsidR="001E527A" w:rsidRDefault="00CD69DA">
      <w:pPr>
        <w:jc w:val="both"/>
        <w:rPr>
          <w:rFonts w:ascii="Verdana" w:hAnsi="Verdana" w:cs="Times New Roman"/>
          <w:noProof/>
          <w:sz w:val="20"/>
          <w:szCs w:val="20"/>
        </w:rPr>
      </w:pPr>
      <w:r>
        <w:rPr>
          <w:rFonts w:ascii="Verdana" w:hAnsi="Verdana" w:cs="Times New Roman"/>
          <w:noProof/>
          <w:sz w:val="20"/>
          <w:szCs w:val="20"/>
          <w:lang w:eastAsia="en-GB"/>
        </w:rPr>
        <mc:AlternateContent>
          <mc:Choice Requires="wps">
            <w:drawing>
              <wp:anchor distT="0" distB="0" distL="114300" distR="114300" simplePos="0" relativeHeight="251723776" behindDoc="1" locked="1" layoutInCell="1" allowOverlap="1">
                <wp:simplePos x="0" y="0"/>
                <wp:positionH relativeFrom="margin">
                  <wp:posOffset>4068445</wp:posOffset>
                </wp:positionH>
                <wp:positionV relativeFrom="paragraph">
                  <wp:posOffset>-434340</wp:posOffset>
                </wp:positionV>
                <wp:extent cx="1708150" cy="2472690"/>
                <wp:effectExtent l="284480" t="1270" r="5080" b="5080"/>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2472690"/>
                        </a:xfrm>
                        <a:prstGeom prst="wedgeRoundRectCallout">
                          <a:avLst>
                            <a:gd name="adj1" fmla="val -20833"/>
                            <a:gd name="adj2" fmla="val 61454"/>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CEEP, the </w:t>
                            </w:r>
                            <w:r>
                              <w:rPr>
                                <w:rFonts w:asciiTheme="majorHAnsi" w:eastAsiaTheme="majorEastAsia" w:hAnsiTheme="majorHAnsi" w:cstheme="majorBidi"/>
                                <w:b/>
                                <w:bCs/>
                                <w:i/>
                                <w:iCs/>
                                <w:color w:val="FFFFFF" w:themeColor="background1"/>
                                <w:sz w:val="18"/>
                                <w:szCs w:val="20"/>
                              </w:rPr>
                              <w:t>European Centre of Employers and Enterprises providing Pub</w:t>
                            </w:r>
                            <w:r>
                              <w:rPr>
                                <w:rFonts w:asciiTheme="majorHAnsi" w:eastAsiaTheme="majorEastAsia" w:hAnsiTheme="majorHAnsi" w:cstheme="majorBidi"/>
                                <w:b/>
                                <w:bCs/>
                                <w:i/>
                                <w:iCs/>
                                <w:color w:val="FFFFFF" w:themeColor="background1"/>
                                <w:sz w:val="18"/>
                                <w:szCs w:val="20"/>
                              </w:rPr>
                              <w:t>lic Services and Services of general interest: “</w:t>
                            </w:r>
                            <w:r>
                              <w:rPr>
                                <w:rFonts w:asciiTheme="majorHAnsi" w:eastAsiaTheme="majorEastAsia" w:hAnsiTheme="majorHAnsi" w:cstheme="majorBidi"/>
                                <w:bCs/>
                                <w:i/>
                                <w:iCs/>
                                <w:color w:val="FFFFFF" w:themeColor="background1"/>
                                <w:sz w:val="18"/>
                                <w:szCs w:val="20"/>
                              </w:rPr>
                              <w:t>The role of the social partners will be … critical and should … be integrated in the pillar in a transversal way, making it clear that social policies cannot achieve their goals and deliver sustainable effect</w:t>
                            </w:r>
                            <w:r>
                              <w:rPr>
                                <w:rFonts w:asciiTheme="majorHAnsi" w:eastAsiaTheme="majorEastAsia" w:hAnsiTheme="majorHAnsi" w:cstheme="majorBidi"/>
                                <w:bCs/>
                                <w:i/>
                                <w:iCs/>
                                <w:color w:val="FFFFFF" w:themeColor="background1"/>
                                <w:sz w:val="18"/>
                                <w:szCs w:val="20"/>
                              </w:rPr>
                              <w:t>s if social partners are not fully involved in their shaping and implementation."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62" style="position:absolute;left:0;text-align:left;margin-left:320.35pt;margin-top:-34.2pt;width:134.5pt;height:194.7pt;rotation:90;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VuOgMAAM4GAAAOAAAAZHJzL2Uyb0RvYy54bWysVV2PqzYQfa/U/2DxzvJlQkCbvdpkk6rS&#10;tr2626rPDjbBLdjUdpZsq/73jgd2l3RfqraJhDAexuecOTPcfrr0HXkWxkqtNkFyEwdEqFpzqU6b&#10;4KcfD+E6INYxxVmnldgEL8IGn+6+/up2HCqR6lZ3XBgCSZStxmETtM4NVRTZuhU9szd6EAo2G216&#10;5mBpThE3bITsfRelcbyKRm34YHQtrIWnD9NmcIf5m0bU7oemscKRbhMANodXg9ejv0Z3t6w6GTa0&#10;sp5hsH+BomdSwaFvqR6YY+Rs5IdUvayNtrpxN7XuI900shbIAdgk8d/YPLVsEMgFxLHDm0z2/0tb&#10;f//82RDJoXYgj2I91Oj+7DQeTVKvzzjYCsKehs/GM7TDo65/tUTpXcvUSdwbo8dWMA6oEh8fXb3g&#10;FxZeJcfxO80hO4PsKNWlMT0xGkqS09j/8ClIQi5Yn5e3+oiLIzU8TIp4neSAs4a9lBbpqsQKRqzy&#10;yTy6wVj3jdA98TebYBT8JL7os+JfwAo71nX67PAc9vxoHVaMz7QZ/yUJSNN3YIBn1pEwjddZNjtk&#10;EZQug1YJzenHmGwZk6xWqwKVYdV8LCB+RYqa6k7yg+w6XJjTcdcZAhiA8oGWxcP8sl2GgSgzAy8P&#10;eu2PMklpvE3L8LBaFyE90DwsQbMwTsptuYppSR8Of3r6Ca1ayblQj1KJV98n9J/5au7AybHofDJu&#10;giwpclT2CqVdksl362yLagH/qzDjS4S96J20n+8dk910H10jBpOxCmh7ud7Z3x/yuKDZOiyKPAtp&#10;to/D7fqwC+93UIFiv91t98k1+z1OCPvfBUAgmGyuCdhMmKeWj4RLb8QsL1NwF5cwe9Jisjth3QmG&#10;Zu1M4PvgZ+labDvv+w9GWMf+P1m3G1o22SPHvvFNB4JOUuP92/GTUu/IFkLO5N+1nDRFAtjDvm2n&#10;9neX4wWHRIrV8z191PwFuhr7FzoSPgHAstXm94CMME43gf3tzIwISPetgslQJpT6+YsLmhcpLMxy&#10;57jcYaqGVLM002Lnpql9How8tXBWgloo7adVI93r4JlwASkPEoYm0psHvJ/KyzVGvX+G7v4CAAD/&#10;/wMAUEsDBBQABgAIAAAAIQDnpJtd4QAAAAoBAAAPAAAAZHJzL2Rvd25yZXYueG1sTI/LTsMwEEX3&#10;SPyDNUjsWoeIRknIpEIVjwUsoKAKdm48JBHxONhOG/4es4Ll6B7de6Zaz2YQB3K+t4xwsUxAEDdW&#10;99wivL7cLnIQPijWarBMCN/kYV2fnlSq1PbIz3TYhlbEEvalQuhCGEspfdORUX5pR+KYfVhnVIin&#10;a6V26hjLzSDTJMmkUT3HhU6NtOmo+dxOBuHmbXfn9P3jbjPJp0vz/vXAwTnE87P5+gpEoDn8wfCr&#10;H9Whjk57O7H2YkBY5ckqogiLPAURgSIrChB7hDRLcpB1Jf+/UP8AAAD//wMAUEsBAi0AFAAGAAgA&#10;AAAhALaDOJL+AAAA4QEAABMAAAAAAAAAAAAAAAAAAAAAAFtDb250ZW50X1R5cGVzXS54bWxQSwEC&#10;LQAUAAYACAAAACEAOP0h/9YAAACUAQAACwAAAAAAAAAAAAAAAAAvAQAAX3JlbHMvLnJlbHNQSwEC&#10;LQAUAAYACAAAACEAW2+FbjoDAADOBgAADgAAAAAAAAAAAAAAAAAuAgAAZHJzL2Uyb0RvYy54bWxQ&#10;SwECLQAUAAYACAAAACEA56SbXeEAAAAKAQAADwAAAAAAAAAAAAAAAACUBQAAZHJzL2Rvd25yZXYu&#10;eG1sUEsFBgAAAAAEAAQA8wAAAKIGAAAAAA==&#10;" adj="6300,24074"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i/>
                          <w:iCs/>
                          <w:color w:val="FFFFFF" w:themeColor="background1"/>
                          <w:sz w:val="18"/>
                          <w:szCs w:val="20"/>
                        </w:rPr>
                        <w:t xml:space="preserve">CEEP, the </w:t>
                      </w:r>
                      <w:r>
                        <w:rPr>
                          <w:rFonts w:asciiTheme="majorHAnsi" w:eastAsiaTheme="majorEastAsia" w:hAnsiTheme="majorHAnsi" w:cstheme="majorBidi"/>
                          <w:b/>
                          <w:bCs/>
                          <w:i/>
                          <w:iCs/>
                          <w:color w:val="FFFFFF" w:themeColor="background1"/>
                          <w:sz w:val="18"/>
                          <w:szCs w:val="20"/>
                        </w:rPr>
                        <w:t>European Centre of Employers and Enterprises providing Public Services and Services of general interest: “</w:t>
                      </w:r>
                      <w:r>
                        <w:rPr>
                          <w:rFonts w:asciiTheme="majorHAnsi" w:eastAsiaTheme="majorEastAsia" w:hAnsiTheme="majorHAnsi" w:cstheme="majorBidi"/>
                          <w:bCs/>
                          <w:i/>
                          <w:iCs/>
                          <w:color w:val="FFFFFF" w:themeColor="background1"/>
                          <w:sz w:val="18"/>
                          <w:szCs w:val="20"/>
                        </w:rPr>
                        <w:t>The role of the social partners will be … critical and should … be integrated in the pillar in a transversal way, making it clear that social policies cannot achieve their goals and deliver sustainable effects if social partners are not fully involved in their shaping and implementation."</w:t>
                      </w:r>
                    </w:p>
                  </w:txbxContent>
                </v:textbox>
                <w10:wrap type="square" anchorx="margin"/>
                <w10:anchorlock/>
              </v:shape>
            </w:pict>
          </mc:Fallback>
        </mc:AlternateContent>
      </w:r>
      <w:r>
        <w:rPr>
          <w:rFonts w:ascii="Verdana" w:hAnsi="Verdana" w:cs="Times New Roman"/>
          <w:noProof/>
          <w:sz w:val="20"/>
          <w:szCs w:val="20"/>
        </w:rPr>
        <w:t xml:space="preserve">In particular, social dialogue was widely recognised as a core component of a well-functioning social market economy to address the challenges related to labour market and social developments: the Member States that proved most resilient during the crisis </w:t>
      </w:r>
      <w:r>
        <w:rPr>
          <w:rFonts w:ascii="Verdana" w:hAnsi="Verdana" w:cs="Times New Roman"/>
          <w:noProof/>
          <w:sz w:val="20"/>
          <w:szCs w:val="20"/>
        </w:rPr>
        <w:t xml:space="preserve">could often rely on labour market policies that had been co-designed by workers' and employers' representatives, or on collective bargaining structures that had gradually adapted to the challenges of a changing economy. </w:t>
      </w:r>
      <w:r>
        <w:rPr>
          <w:rFonts w:ascii="Verdana" w:hAnsi="Verdana" w:cs="Times New Roman"/>
          <w:noProof/>
          <w:sz w:val="20"/>
          <w:szCs w:val="20"/>
          <w:lang w:eastAsia="en-GB"/>
        </w:rPr>
        <mc:AlternateContent>
          <mc:Choice Requires="wps">
            <w:drawing>
              <wp:anchor distT="0" distB="0" distL="180340" distR="114300" simplePos="0" relativeHeight="251794432" behindDoc="1" locked="1" layoutInCell="0" allowOverlap="0">
                <wp:simplePos x="0" y="0"/>
                <wp:positionH relativeFrom="margin">
                  <wp:posOffset>4587875</wp:posOffset>
                </wp:positionH>
                <wp:positionV relativeFrom="paragraph">
                  <wp:posOffset>1094105</wp:posOffset>
                </wp:positionV>
                <wp:extent cx="826770" cy="2334260"/>
                <wp:effectExtent l="503555" t="29845" r="635" b="635"/>
                <wp:wrapSquare wrapText="bothSides"/>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6770" cy="2334260"/>
                        </a:xfrm>
                        <a:prstGeom prst="wedgeRoundRectCallout">
                          <a:avLst>
                            <a:gd name="adj1" fmla="val -54653"/>
                            <a:gd name="adj2" fmla="val 71133"/>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bCs/>
                                <w:i/>
                                <w:iCs/>
                                <w:color w:val="FFFFFF" w:themeColor="background1"/>
                                <w:sz w:val="18"/>
                                <w:szCs w:val="20"/>
                              </w:rPr>
                              <w:t xml:space="preserve">ETUC: </w:t>
                            </w:r>
                            <w:r>
                              <w:rPr>
                                <w:rFonts w:asciiTheme="majorHAnsi" w:eastAsiaTheme="majorEastAsia" w:hAnsiTheme="majorHAnsi" w:cstheme="majorBidi"/>
                                <w:bCs/>
                                <w:i/>
                                <w:iCs/>
                                <w:color w:val="FFFFFF" w:themeColor="background1"/>
                                <w:sz w:val="18"/>
                                <w:szCs w:val="20"/>
                              </w:rPr>
                              <w:t xml:space="preserve">the Pillar "should promote </w:t>
                            </w:r>
                            <w:r>
                              <w:rPr>
                                <w:rFonts w:asciiTheme="majorHAnsi" w:eastAsiaTheme="majorEastAsia" w:hAnsiTheme="majorHAnsi" w:cstheme="majorBidi"/>
                                <w:bCs/>
                                <w:i/>
                                <w:iCs/>
                                <w:color w:val="FFFFFF" w:themeColor="background1"/>
                                <w:sz w:val="18"/>
                                <w:szCs w:val="20"/>
                              </w:rPr>
                              <w:t>social dialogue and collective bargaining as the right way to design and implement the policies and rights within it'.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62" style="position:absolute;left:0;text-align:left;margin-left:361.25pt;margin-top:86.15pt;width:65.1pt;height:183.8pt;rotation:90;z-index:-251522048;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g1OAMAAM0GAAAOAAAAZHJzL2Uyb0RvYy54bWysVV1vpDYUfa/U/2D5nfBlYEAhq8xkpqqU&#10;blebVn32YDO4NZjanjDpqv+914YkpLsP1W5nJITx5fqec889XL+79BI9cm2EGmocX0UY8aFRTAyn&#10;Gv/6yyHYYGQsHRiVauA1fuIGv7v5/rvraax4ojolGdcIkgymmsYad9aOVRiapuM9NVdq5ANstkr3&#10;1MJSn0Km6QTZexkmUZSHk9Js1KrhxsDTu3kT3/j8bcsb+3PbGm6RrDHUZv1V++vRXcOba1qdNB07&#10;0Sxl0K+ooqdigENfUt1RS9FZi89S9aLRyqjWXjWqD1XbioZ7DIAmjv6F5qGjI/dYgBwzvtBk/r+0&#10;zfvHDxoJVuMkw2igPfTo9myVPxoljp9pNBWEPYwftENoxnvV/GHQoHYdHU78Vms1dZwyqCp28eGb&#10;F9zCwKvoOP2kGGSnkN1TdWl1j7SClmQkcj//FChBF9+fp5f+8ItFDTzcJHlRQBcb2ErSlCS5b2BI&#10;K5fLFTdqY3/gqkfupsYTZyf+UZ0H9hGUsKNSqrP1x9DHe2N9w9iCmrLfY4zaXkL/H6lEQUbyLF0E&#10;sgpK1kFFHKdfiEnXMXGe54UnhlbLsVDxc6WeUiUFOwgp/UKfjjupEdQAhB5IWdwtL5t1GHCyIHDs&#10;eKl9KuOERNukDA75pgjIgWRBWUSbIIrLbZlHpCR3h78d/JhUnWCMD/di4M+yj8l/k9UygLNgvfDR&#10;VOM0LjLP7JsqzRpMttukW/IlMNq1yI+iE9J+ubdUyPk+fFsxaIxWANvR9Yr+9pBFBUk3QVFkaUDS&#10;fRRsN4ddcLuDDhT77W67j9+i33uDMN9OgC/EJ1t6AjLj+qFjE2LCCTHNygTUxQRYT1LMakdUnsAz&#10;G6uxG4PfhO381DnZfyaETeT+s3Tl2NFZHpkfGzdzMJcz1f7+5fiZqdfKVkQu4F+5nDn1APwIu6md&#10;p99ejpdnj1gM4ajYEwy1H1+YSPgCAMpO6b8wmsBNa2z+PFPNMZI/DmAMZUyIs1+/IFmRwEKvd47r&#10;HTo0kGqhZl7s7Gza51GLUwdnxZ6LQTmzaoV99p25LgDlfAc808Nb/N2Z8nrto16/Qjf/AAAA//8D&#10;AFBLAwQUAAYACAAAACEA1CoUJeAAAAALAQAADwAAAGRycy9kb3ducmV2LnhtbEyPP0/DMBTEdyS+&#10;g/WQ2Kj/UAoNcSpUiQF1oYWFzYkfcUT8HGKnDd8eM5XxdKe735Wb2ffsiGPsAmmQCwEMqQm2o1bD&#10;+9vzzQOwmAxZ0wdCDT8YYVNdXpSmsOFEezweUstyCcXCaHApDQXnsXHoTVyEASl7n2H0JmU5ttyO&#10;5pTLfc+VECvuTUd5wZkBtw6br8PkNdjt687fTXuZ6u8dV058jO5l0Pr6an56BJZwTucw/OFndKgy&#10;Ux0mspH1GlbiNqMnDWot86mcWN/LJbBaw1JJBbwq+f8P1S8AAAD//wMAUEsBAi0AFAAGAAgAAAAh&#10;ALaDOJL+AAAA4QEAABMAAAAAAAAAAAAAAAAAAAAAAFtDb250ZW50X1R5cGVzXS54bWxQSwECLQAU&#10;AAYACAAAACEAOP0h/9YAAACUAQAACwAAAAAAAAAAAAAAAAAvAQAAX3JlbHMvLnJlbHNQSwECLQAU&#10;AAYACAAAACEAX/A4NTgDAADNBgAADgAAAAAAAAAAAAAAAAAuAgAAZHJzL2Uyb0RvYy54bWxQSwEC&#10;LQAUAAYACAAAACEA1CoUJeAAAAALAQAADwAAAAAAAAAAAAAAAACSBQAAZHJzL2Rvd25yZXYueG1s&#10;UEsFBgAAAAAEAAQA8wAAAJ8GAAAAAA==&#10;" o:allowincell="f" o:allowoverlap="f" adj="-1005,26165"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bCs/>
                          <w:i/>
                          <w:iCs/>
                          <w:color w:val="FFFFFF" w:themeColor="background1"/>
                          <w:sz w:val="18"/>
                          <w:szCs w:val="20"/>
                        </w:rPr>
                        <w:t xml:space="preserve">ETUC: </w:t>
                      </w:r>
                      <w:r>
                        <w:rPr>
                          <w:rFonts w:asciiTheme="majorHAnsi" w:eastAsiaTheme="majorEastAsia" w:hAnsiTheme="majorHAnsi" w:cstheme="majorBidi"/>
                          <w:bCs/>
                          <w:i/>
                          <w:iCs/>
                          <w:color w:val="FFFFFF" w:themeColor="background1"/>
                          <w:sz w:val="18"/>
                          <w:szCs w:val="20"/>
                        </w:rPr>
                        <w:t>the Pillar "should promote social dialogue and collective bargaining as the right way to design and implement the policies and rights within it'.</w:t>
                      </w:r>
                    </w:p>
                  </w:txbxContent>
                </v:textbox>
                <w10:wrap type="square" anchorx="margin"/>
                <w10:anchorlock/>
              </v:shape>
            </w:pict>
          </mc:Fallback>
        </mc:AlternateConten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joint statement on a </w:t>
      </w:r>
      <w:r>
        <w:rPr>
          <w:rFonts w:ascii="Verdana" w:hAnsi="Verdana" w:cs="Times New Roman"/>
          <w:b/>
          <w:noProof/>
          <w:sz w:val="20"/>
          <w:szCs w:val="20"/>
        </w:rPr>
        <w:t>new start for social dialogue</w:t>
      </w:r>
      <w:r>
        <w:rPr>
          <w:rFonts w:ascii="Verdana" w:hAnsi="Verdana" w:cs="Times New Roman"/>
          <w:noProof/>
          <w:sz w:val="20"/>
          <w:szCs w:val="20"/>
        </w:rPr>
        <w:t xml:space="preserve"> signed on 27 June 2016 by the European social partners, the Commission and the Pr</w:t>
      </w:r>
      <w:r>
        <w:rPr>
          <w:rFonts w:ascii="Verdana" w:hAnsi="Verdana" w:cs="Times New Roman"/>
          <w:noProof/>
          <w:sz w:val="20"/>
          <w:szCs w:val="20"/>
        </w:rPr>
        <w:t>esidency of the Council of the European Union confirmed a shared commitment to strengthening social dialogue. All sides also committed to a number of concrete actions. The joint statement is considered by EU social partners as a common roadmap to design an</w:t>
      </w:r>
      <w:r>
        <w:rPr>
          <w:rFonts w:ascii="Verdana" w:hAnsi="Verdana" w:cs="Times New Roman"/>
          <w:noProof/>
          <w:sz w:val="20"/>
          <w:szCs w:val="20"/>
        </w:rPr>
        <w:t>d implement policies for growth and job creation, and could thus support the Pillar's implementation.</w:t>
      </w:r>
    </w:p>
    <w:p w:rsidR="001E527A" w:rsidRDefault="00CD69DA">
      <w:pPr>
        <w:pStyle w:val="Heading3"/>
        <w:rPr>
          <w:noProof/>
        </w:rPr>
      </w:pPr>
      <w:bookmarkStart w:id="23" w:name="_Toc479349467"/>
      <w:r>
        <w:rPr>
          <w:noProof/>
        </w:rPr>
        <w:t>Financing the Pillar implementation</w:t>
      </w:r>
      <w:bookmarkEnd w:id="23"/>
    </w:p>
    <w:p w:rsidR="001E527A" w:rsidRDefault="00CD69DA">
      <w:pPr>
        <w:jc w:val="both"/>
        <w:rPr>
          <w:rFonts w:ascii="Verdana" w:hAnsi="Verdana" w:cs="Times New Roman"/>
          <w:noProof/>
          <w:sz w:val="20"/>
          <w:szCs w:val="20"/>
        </w:rPr>
      </w:pPr>
      <w:r>
        <w:rPr>
          <w:rFonts w:ascii="Verdana" w:hAnsi="Verdana" w:cs="Times New Roman"/>
          <w:noProof/>
          <w:sz w:val="20"/>
          <w:szCs w:val="20"/>
        </w:rPr>
        <w:t>Feedback from the consultation highlighted that the Pillar's final proposal should include considerations about the fi</w:t>
      </w:r>
      <w:r>
        <w:rPr>
          <w:rFonts w:ascii="Verdana" w:hAnsi="Verdana" w:cs="Times New Roman"/>
          <w:noProof/>
          <w:sz w:val="20"/>
          <w:szCs w:val="20"/>
        </w:rPr>
        <w:t xml:space="preserve">nancial means that could support its implementation, covering different levels, from national budgets to the EU budget. </w:t>
      </w:r>
    </w:p>
    <w:p w:rsidR="001E527A" w:rsidRDefault="00CD69DA">
      <w:pPr>
        <w:jc w:val="both"/>
        <w:rPr>
          <w:rFonts w:ascii="Verdana" w:hAnsi="Verdana"/>
          <w:noProof/>
          <w:sz w:val="20"/>
          <w:szCs w:val="20"/>
        </w:rPr>
      </w:pPr>
      <w:r>
        <w:rPr>
          <w:rFonts w:ascii="Verdana" w:hAnsi="Verdana" w:cs="Times New Roman"/>
          <w:noProof/>
          <w:sz w:val="20"/>
          <w:szCs w:val="20"/>
        </w:rPr>
        <w:t xml:space="preserve">The importance of efficient and productive </w:t>
      </w:r>
      <w:r>
        <w:rPr>
          <w:rFonts w:ascii="Verdana" w:hAnsi="Verdana" w:cs="Times New Roman"/>
          <w:b/>
          <w:noProof/>
          <w:sz w:val="20"/>
          <w:szCs w:val="20"/>
        </w:rPr>
        <w:t>public and private investment</w:t>
      </w:r>
      <w:r>
        <w:rPr>
          <w:rFonts w:ascii="Verdana" w:hAnsi="Verdana" w:cs="Times New Roman"/>
          <w:noProof/>
          <w:sz w:val="20"/>
          <w:szCs w:val="20"/>
        </w:rPr>
        <w:t xml:space="preserve"> to support economic growth and job creation was emphasised. De</w:t>
      </w:r>
      <w:r>
        <w:rPr>
          <w:rFonts w:ascii="Verdana" w:hAnsi="Verdana" w:cs="Times New Roman"/>
          <w:noProof/>
          <w:sz w:val="20"/>
          <w:szCs w:val="20"/>
        </w:rPr>
        <w:t xml:space="preserve">livering on the Pillar would require better directed and - in several countries - additional public funding targeted at quality public services, education and training, infrastructure (for example in transport and energy sectors), innovation and research, </w:t>
      </w:r>
      <w:r>
        <w:rPr>
          <w:rFonts w:ascii="Verdana" w:hAnsi="Verdana" w:cs="Times New Roman"/>
          <w:noProof/>
          <w:sz w:val="20"/>
          <w:szCs w:val="20"/>
        </w:rPr>
        <w:t>which could be used as leverage to foster private investment. In this context, several stakeholders, especially among trade unions, public employers and NGOs, focussed on the notion of social investment, which relates to the use of public funding to achiev</w:t>
      </w:r>
      <w:r>
        <w:rPr>
          <w:rFonts w:ascii="Verdana" w:hAnsi="Verdana" w:cs="Times New Roman"/>
          <w:noProof/>
          <w:sz w:val="20"/>
          <w:szCs w:val="20"/>
        </w:rPr>
        <w:t>e positive economic and social outcomes thus delivering returns for the e</w:t>
      </w:r>
      <w:r>
        <w:rPr>
          <w:rFonts w:ascii="Verdana" w:hAnsi="Verdana" w:cs="Times New Roman"/>
          <w:noProof/>
          <w:sz w:val="20"/>
          <w:szCs w:val="20"/>
          <w:lang w:eastAsia="en-GB"/>
        </w:rPr>
        <mc:AlternateContent>
          <mc:Choice Requires="wps">
            <w:drawing>
              <wp:anchor distT="0" distB="0" distL="180340" distR="114300" simplePos="0" relativeHeight="251866112" behindDoc="1" locked="1" layoutInCell="0" allowOverlap="0">
                <wp:simplePos x="0" y="0"/>
                <wp:positionH relativeFrom="margin">
                  <wp:posOffset>4142740</wp:posOffset>
                </wp:positionH>
                <wp:positionV relativeFrom="paragraph">
                  <wp:posOffset>496570</wp:posOffset>
                </wp:positionV>
                <wp:extent cx="1550670" cy="2465705"/>
                <wp:effectExtent l="456882" t="318" r="0" b="0"/>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50670" cy="2465705"/>
                        </a:xfrm>
                        <a:prstGeom prst="wedgeRoundRectCallout">
                          <a:avLst>
                            <a:gd name="adj1" fmla="val -19649"/>
                            <a:gd name="adj2" fmla="val 68380"/>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bCs/>
                                <w:i/>
                                <w:iCs/>
                                <w:color w:val="FFFFFF" w:themeColor="background1"/>
                                <w:sz w:val="18"/>
                                <w:szCs w:val="20"/>
                              </w:rPr>
                              <w:t xml:space="preserve">"The EESC </w:t>
                            </w:r>
                            <w:r>
                              <w:rPr>
                                <w:rFonts w:asciiTheme="majorHAnsi" w:eastAsiaTheme="majorEastAsia" w:hAnsiTheme="majorHAnsi" w:cstheme="majorBidi"/>
                                <w:bCs/>
                                <w:i/>
                                <w:iCs/>
                                <w:color w:val="FFFFFF" w:themeColor="background1"/>
                                <w:sz w:val="18"/>
                                <w:szCs w:val="20"/>
                              </w:rPr>
                              <w:t>calls for renewed efforts to promote the concept of social investment throughout all relevant policy fields. The EESC […] has called for a European Social Investment Pact</w:t>
                            </w:r>
                            <w:r>
                              <w:rPr>
                                <w:rFonts w:asciiTheme="majorHAnsi" w:eastAsiaTheme="majorEastAsia" w:hAnsiTheme="majorHAnsi" w:cstheme="majorBidi"/>
                                <w:bCs/>
                                <w:i/>
                                <w:iCs/>
                                <w:color w:val="FFFFFF" w:themeColor="background1"/>
                                <w:sz w:val="18"/>
                                <w:szCs w:val="20"/>
                              </w:rPr>
                              <w:t>, which would support social reforms and social investments and help to bring about renewed economic, social and territorial convergence."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62" style="position:absolute;left:0;text-align:left;margin-left:326.2pt;margin-top:39.1pt;width:122.1pt;height:194.15pt;rotation:90;z-index:-251450368;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yYOwMAAM4GAAAOAAAAZHJzL2Uyb0RvYy54bWysVV2P6zQQfUfiP1h+z+ajzle13attt0VI&#10;e+HqLohnN3Yag2MH2910Qfx3xk52m+XygIBWiux4PDPnzJnJ7YdLL9EzN1ZotcHpTYIRV41mQp02&#10;+McfDlGFkXVUMSq14hv8wi3+cPf1V7fjsOaZ7rRk3CBwoux6HDa4c25Yx7FtOt5Te6MHruCw1aan&#10;DrbmFDNDR/DeyzhLkiIetWGD0Q23Ft4+TIf4LvhvW96479vWcofkBkNuLjxNeB79M767peuToUMn&#10;mjkN+i+y6KlQEPTN1QN1FJ2N+MJVLxqjrW7dTaP7WLetaHjAAGjS5C9onjo68IAFyLHDG032/3Pb&#10;fPf8ySDBoHYrjBTtoUb3Z6dDaJR5fsbBrsHsafhkPEI7POrmF4uU3nVUnfi9MXrsOGWQVert43cX&#10;/MbCVXQcP2oG3il4D1RdWtMjo6EkOUn8L7wFStAl1OflrT784lADL9M8T4oSytjAWUaKvEzyEJGu&#10;vTOf3WCs+4brHvnFBo+cnfhnfVbsM0hhR6XUZxfi0OdH60LF2Aybsp9TjNpeggCeqURRWheknhWy&#10;MMqWRkW1ql5VtLABLq+O0qIoyjnPOWx8zTRwqqVgByFl2JjTcScNghwA8oHU5cN82S7NgJQZgacn&#10;aO33Os1Iss3q6FBUZUQOJI/qMqmiJK23dZGQmjwc/vDwU7LuBGNcPQrFX3Wfkn+mq7kDJ8UG5aNx&#10;g1dpmQdm32Vpl2DyXbXakr8DY3yJQi96Je3ntaNCTuv4fcYgMroG2J6uK/r7Q56UZFVFZZmvIrLa&#10;J9G2Ouyi+x1UoNxvd9t9+h79PkwI+98JCIkEZ3NNQGbcPHVsREx4Ia7yOgN1MQGzJysnuSMqTzA0&#10;G2ew74OfhOtC23ndfyGEKvH/Sbpy6Ogkjzz0jW86aMyJ6rB+Cz8xdc1sQeQM/srlxGkAEHrYt+3U&#10;/u5yvIQhkRW+er6nj5q9QFeH/oWOhE8AoOy0+Q2jEcbpBttfz9RwjOS3CiZDnRLi52/YkLzMYGOW&#10;J8flCVUNuJqpmTY7N03t82DEqYNYaeBCaT+tWuFeB8+UF4DyScLQDPDmAe+n8nIfrK6fobs/AQAA&#10;//8DAFBLAwQUAAYACAAAACEAPhWjTOEAAAALAQAADwAAAGRycy9kb3ducmV2LnhtbEyPwU7CQBCG&#10;7ya+w2ZMvBjZKrQptVtiSIgnY4BKOA7dpW3sztbuAvXtHU56m8n/5Z9v8sVoO3E2g28dKXiaRCAM&#10;VU63VCsot6vHFIQPSBo7R0bBj/GwKG5vcsy0u9DanDehFlxCPkMFTQh9JqWvGmPRT1xviLOjGywG&#10;Xoda6gEvXG47+RxFibTYEl9osDfLxlRfm5NV8Pm+2n9L3JXL7fHDvgU/sw+lU+r+bnx9ARHMGP5g&#10;uOqzOhTsdHAn0l50CuI0mjLKQXwdmJgnaQLioGA6n8Ugi1z+/6H4BQAA//8DAFBLAQItABQABgAI&#10;AAAAIQC2gziS/gAAAOEBAAATAAAAAAAAAAAAAAAAAAAAAABbQ29udGVudF9UeXBlc10ueG1sUEsB&#10;Ai0AFAAGAAgAAAAhADj9If/WAAAAlAEAAAsAAAAAAAAAAAAAAAAALwEAAF9yZWxzLy5yZWxzUEsB&#10;Ai0AFAAGAAgAAAAhAMRpnJg7AwAAzgYAAA4AAAAAAAAAAAAAAAAALgIAAGRycy9lMm9Eb2MueG1s&#10;UEsBAi0AFAAGAAgAAAAhAD4Vo0zhAAAACwEAAA8AAAAAAAAAAAAAAAAAlQUAAGRycy9kb3ducmV2&#10;LnhtbFBLBQYAAAAABAAEAPMAAACjBgAAAAA=&#10;" o:allowincell="f" o:allowoverlap="f" adj="6556,25570" fillcolor="#1f497d" stroked="f" strokecolor="#5c83b4" strokeweight=".25pt">
                <v:stroke joinstyle="round"/>
                <v:shadow opacity=".5"/>
                <v:textbox>
                  <w:txbxContent>
                    <w:p>
                      <w:pPr>
                        <w:spacing w:line="240" w:lineRule="auto"/>
                        <w:jc w:val="center"/>
                        <w:rPr>
                          <w:rFonts w:asciiTheme="majorHAnsi" w:eastAsiaTheme="majorEastAsia" w:hAnsiTheme="majorHAnsi" w:cstheme="majorBidi"/>
                          <w:i/>
                          <w:iCs/>
                          <w:color w:val="FFFFFF" w:themeColor="background1"/>
                          <w:sz w:val="18"/>
                          <w:szCs w:val="20"/>
                        </w:rPr>
                      </w:pPr>
                      <w:r>
                        <w:rPr>
                          <w:rFonts w:asciiTheme="majorHAnsi" w:eastAsiaTheme="majorEastAsia" w:hAnsiTheme="majorHAnsi" w:cstheme="majorBidi"/>
                          <w:b/>
                          <w:bCs/>
                          <w:i/>
                          <w:iCs/>
                          <w:color w:val="FFFFFF" w:themeColor="background1"/>
                          <w:sz w:val="18"/>
                          <w:szCs w:val="20"/>
                        </w:rPr>
                        <w:t xml:space="preserve">"The EESC </w:t>
                      </w:r>
                      <w:r>
                        <w:rPr>
                          <w:rFonts w:asciiTheme="majorHAnsi" w:eastAsiaTheme="majorEastAsia" w:hAnsiTheme="majorHAnsi" w:cstheme="majorBidi"/>
                          <w:bCs/>
                          <w:i/>
                          <w:iCs/>
                          <w:color w:val="FFFFFF" w:themeColor="background1"/>
                          <w:sz w:val="18"/>
                          <w:szCs w:val="20"/>
                        </w:rPr>
                        <w:t>calls for renewed efforts to promote the concept of social investment throughout all relevant policy fields. The EESC […] has called for a European Social Investment Pact, which would support social reforms and social investments and help to bring about renewed economic, social and territorial convergence."</w:t>
                      </w:r>
                    </w:p>
                  </w:txbxContent>
                </v:textbox>
                <w10:wrap type="square" anchorx="margin"/>
                <w10:anchorlock/>
              </v:shape>
            </w:pict>
          </mc:Fallback>
        </mc:AlternateContent>
      </w:r>
      <w:r>
        <w:rPr>
          <w:rFonts w:ascii="Verdana" w:hAnsi="Verdana" w:cs="Times New Roman"/>
          <w:noProof/>
          <w:sz w:val="20"/>
          <w:szCs w:val="20"/>
        </w:rPr>
        <w:t xml:space="preserve">conomy as a whole. </w:t>
      </w:r>
      <w:r>
        <w:rPr>
          <w:rFonts w:ascii="Verdana" w:hAnsi="Verdana"/>
          <w:noProof/>
          <w:sz w:val="20"/>
          <w:szCs w:val="20"/>
        </w:rPr>
        <w:t>Some asked for binding targets for social investment in areas like education, Early Childhood Educ</w:t>
      </w:r>
      <w:r>
        <w:rPr>
          <w:rFonts w:ascii="Verdana" w:hAnsi="Verdana"/>
          <w:noProof/>
          <w:sz w:val="20"/>
          <w:szCs w:val="20"/>
        </w:rPr>
        <w:t>ation and Care/childcare, health services, vocational training and activation measures.</w:t>
      </w:r>
    </w:p>
    <w:p w:rsidR="001E527A" w:rsidRDefault="00CD69DA">
      <w:pPr>
        <w:jc w:val="both"/>
        <w:rPr>
          <w:rFonts w:ascii="Verdana" w:hAnsi="Verdana"/>
          <w:noProof/>
          <w:sz w:val="20"/>
          <w:szCs w:val="20"/>
        </w:rPr>
      </w:pPr>
      <w:r>
        <w:rPr>
          <w:rFonts w:ascii="Verdana" w:hAnsi="Verdana" w:cs="Times New Roman"/>
          <w:noProof/>
          <w:sz w:val="20"/>
          <w:szCs w:val="20"/>
        </w:rPr>
        <w:t xml:space="preserve">This idea is linked to the broader debate over the </w:t>
      </w:r>
      <w:r>
        <w:rPr>
          <w:rFonts w:ascii="Verdana" w:hAnsi="Verdana" w:cs="Times New Roman"/>
          <w:b/>
          <w:noProof/>
          <w:sz w:val="20"/>
          <w:szCs w:val="20"/>
        </w:rPr>
        <w:t>quality of public expenditure</w:t>
      </w:r>
      <w:r>
        <w:rPr>
          <w:rFonts w:ascii="Verdana" w:hAnsi="Verdana" w:cs="Times New Roman"/>
          <w:noProof/>
          <w:sz w:val="20"/>
          <w:szCs w:val="20"/>
        </w:rPr>
        <w:t xml:space="preserve"> and the </w:t>
      </w:r>
      <w:r>
        <w:rPr>
          <w:rFonts w:ascii="Verdana" w:hAnsi="Verdana" w:cs="Times New Roman"/>
          <w:b/>
          <w:noProof/>
          <w:sz w:val="20"/>
          <w:szCs w:val="20"/>
        </w:rPr>
        <w:t>growth-enhancing dimension of social policies</w:t>
      </w:r>
      <w:r>
        <w:rPr>
          <w:rFonts w:ascii="Verdana" w:hAnsi="Verdana" w:cs="Times New Roman"/>
          <w:noProof/>
          <w:sz w:val="20"/>
          <w:szCs w:val="20"/>
        </w:rPr>
        <w:t>: rather than being a burden on ec</w:t>
      </w:r>
      <w:r>
        <w:rPr>
          <w:rFonts w:ascii="Verdana" w:hAnsi="Verdana" w:cs="Times New Roman"/>
          <w:noProof/>
          <w:sz w:val="20"/>
          <w:szCs w:val="20"/>
        </w:rPr>
        <w:t xml:space="preserve">onomic activity, well-designed labour market and social policies can be a productive factor that underpins economic performance. It was suggested that the Pillar could provide guidance on how to design reforms in a way that improves the cost-effectiveness </w:t>
      </w:r>
      <w:r>
        <w:rPr>
          <w:rFonts w:ascii="Verdana" w:hAnsi="Verdana" w:cs="Times New Roman"/>
          <w:noProof/>
          <w:sz w:val="20"/>
          <w:szCs w:val="20"/>
        </w:rPr>
        <w:t xml:space="preserve">of social policies, thus reducing the need for spending cuts as a means to consolidate public budgets in bad economic times, and supports the modernisation of social spending leading to a stronger economy, better social outcomes, intergenerational equity, </w:t>
      </w:r>
      <w:r>
        <w:rPr>
          <w:rFonts w:ascii="Verdana" w:hAnsi="Verdana" w:cs="Times New Roman"/>
          <w:noProof/>
          <w:sz w:val="20"/>
          <w:szCs w:val="20"/>
        </w:rPr>
        <w:t>while reinforcing fiscal sustainability.</w:t>
      </w:r>
    </w:p>
    <w:p w:rsidR="001E527A" w:rsidRDefault="00CD69DA">
      <w:pPr>
        <w:jc w:val="both"/>
        <w:rPr>
          <w:rFonts w:ascii="Verdana" w:hAnsi="Verdana" w:cs="Times New Roman"/>
          <w:noProof/>
          <w:sz w:val="20"/>
          <w:szCs w:val="20"/>
        </w:rPr>
      </w:pPr>
      <w:r>
        <w:rPr>
          <w:rFonts w:ascii="Verdana" w:hAnsi="Verdana"/>
          <w:noProof/>
          <w:sz w:val="20"/>
          <w:szCs w:val="20"/>
        </w:rPr>
        <w:t xml:space="preserve">In terms of its </w:t>
      </w:r>
      <w:r>
        <w:rPr>
          <w:rFonts w:ascii="Verdana" w:hAnsi="Verdana"/>
          <w:b/>
          <w:noProof/>
          <w:sz w:val="20"/>
          <w:szCs w:val="20"/>
        </w:rPr>
        <w:t>fiscal impact</w:t>
      </w:r>
      <w:r>
        <w:rPr>
          <w:rFonts w:ascii="Verdana" w:hAnsi="Verdana"/>
          <w:noProof/>
          <w:sz w:val="20"/>
          <w:szCs w:val="20"/>
        </w:rPr>
        <w:t>, some underlined that the implementation of the Pillar needs to take into account the budgetary position of the Member States, with a view to ensuring the sustainability of their public finances and compatibility with the EMU. Other stakeholders advocated</w:t>
      </w:r>
      <w:r>
        <w:rPr>
          <w:rFonts w:ascii="Verdana" w:hAnsi="Verdana"/>
          <w:noProof/>
          <w:sz w:val="20"/>
          <w:szCs w:val="20"/>
        </w:rPr>
        <w:t xml:space="preserve"> for more flexibility in the </w:t>
      </w:r>
      <w:r>
        <w:rPr>
          <w:rFonts w:ascii="Verdana" w:hAnsi="Verdana"/>
          <w:b/>
          <w:noProof/>
          <w:sz w:val="20"/>
          <w:szCs w:val="20"/>
        </w:rPr>
        <w:t>Stability and Growth Pact</w:t>
      </w:r>
      <w:r>
        <w:rPr>
          <w:rFonts w:ascii="Verdana" w:hAnsi="Verdana"/>
          <w:noProof/>
          <w:sz w:val="20"/>
          <w:szCs w:val="20"/>
        </w:rPr>
        <w:t xml:space="preserve"> to allow for more social investment</w:t>
      </w:r>
      <w:r>
        <w:rPr>
          <w:rStyle w:val="FootnoteReference"/>
          <w:rFonts w:ascii="Verdana" w:hAnsi="Verdana"/>
          <w:noProof/>
          <w:sz w:val="20"/>
          <w:szCs w:val="20"/>
        </w:rPr>
        <w:footnoteReference w:id="45"/>
      </w:r>
      <w:r>
        <w:rPr>
          <w:rFonts w:ascii="Verdana" w:hAnsi="Verdana"/>
          <w:noProof/>
          <w:sz w:val="20"/>
          <w:szCs w:val="20"/>
        </w:rPr>
        <w:t xml:space="preserve"> and called for exempting parts of investment-related social expenditure from fiscal rules under the Stability and Growth Pact. </w:t>
      </w:r>
    </w:p>
    <w:p w:rsidR="001E527A" w:rsidRDefault="00CD69DA">
      <w:pPr>
        <w:pStyle w:val="Bullet1"/>
        <w:numPr>
          <w:ilvl w:val="0"/>
          <w:numId w:val="0"/>
        </w:numPr>
        <w:spacing w:before="0" w:after="200" w:line="276" w:lineRule="auto"/>
        <w:jc w:val="both"/>
        <w:rPr>
          <w:rFonts w:eastAsia="Times New Roman" w:cs="Times New Roman"/>
          <w:noProof/>
          <w:szCs w:val="20"/>
        </w:rPr>
      </w:pPr>
      <w:r>
        <w:rPr>
          <w:rFonts w:cs="Times New Roman"/>
          <w:noProof/>
          <w:szCs w:val="20"/>
        </w:rPr>
        <w:t xml:space="preserve">Targeted and coherent use of </w:t>
      </w:r>
      <w:r>
        <w:rPr>
          <w:rFonts w:cs="Times New Roman"/>
          <w:b/>
          <w:noProof/>
          <w:szCs w:val="20"/>
        </w:rPr>
        <w:t>EU fund</w:t>
      </w:r>
      <w:r>
        <w:rPr>
          <w:rFonts w:cs="Times New Roman"/>
          <w:b/>
          <w:noProof/>
          <w:szCs w:val="20"/>
        </w:rPr>
        <w:t>s</w:t>
      </w:r>
      <w:r>
        <w:rPr>
          <w:rFonts w:cs="Times New Roman"/>
          <w:noProof/>
          <w:szCs w:val="20"/>
        </w:rPr>
        <w:t xml:space="preserve"> was seen as a necessary</w:t>
      </w:r>
      <w:r>
        <w:rPr>
          <w:rStyle w:val="FootnoteReference"/>
          <w:rFonts w:cs="Times New Roman"/>
          <w:noProof/>
          <w:szCs w:val="20"/>
        </w:rPr>
        <w:footnoteReference w:id="46"/>
      </w:r>
      <w:r>
        <w:rPr>
          <w:rFonts w:cs="Times New Roman"/>
          <w:noProof/>
          <w:szCs w:val="20"/>
        </w:rPr>
        <w:t xml:space="preserve"> support from the EU to underpin the implementation of the Pillar at national level, for instance by deploying the </w:t>
      </w:r>
      <w:r>
        <w:rPr>
          <w:rFonts w:cs="Times New Roman"/>
          <w:b/>
          <w:noProof/>
          <w:color w:val="auto"/>
          <w:szCs w:val="20"/>
        </w:rPr>
        <w:t>European Structural and Investment Funds</w:t>
      </w:r>
      <w:r>
        <w:rPr>
          <w:rFonts w:cs="Times New Roman"/>
          <w:noProof/>
          <w:szCs w:val="20"/>
        </w:rPr>
        <w:t xml:space="preserve">. Various EU-wide NGOs called for both a more targeted and wider use of EU </w:t>
      </w:r>
      <w:r>
        <w:rPr>
          <w:rFonts w:cs="Times New Roman"/>
          <w:noProof/>
          <w:szCs w:val="20"/>
        </w:rPr>
        <w:t>funding instruments to fight poverty and social exclusion across Europe.</w:t>
      </w:r>
      <w:r>
        <w:rPr>
          <w:noProof/>
          <w:sz w:val="18"/>
          <w:szCs w:val="18"/>
        </w:rPr>
        <w:t xml:space="preserve"> </w:t>
      </w:r>
      <w:r>
        <w:rPr>
          <w:rFonts w:cs="ArialNarrow"/>
          <w:noProof/>
          <w:szCs w:val="20"/>
        </w:rPr>
        <w:t xml:space="preserve">The Pillar could drive the new generation of funds </w:t>
      </w:r>
      <w:r>
        <w:rPr>
          <w:rFonts w:cs="ArialNarrow"/>
          <w:b/>
          <w:noProof/>
          <w:szCs w:val="20"/>
        </w:rPr>
        <w:t>post-2020</w:t>
      </w:r>
      <w:r>
        <w:rPr>
          <w:rFonts w:cs="ArialNarrow"/>
          <w:noProof/>
          <w:szCs w:val="20"/>
        </w:rPr>
        <w:t xml:space="preserve"> according to some stakeholders.</w:t>
      </w:r>
      <w:r>
        <w:rPr>
          <w:rFonts w:cs="Times New Roman"/>
          <w:noProof/>
          <w:szCs w:val="20"/>
        </w:rPr>
        <w:t xml:space="preserve"> </w:t>
      </w:r>
      <w:r>
        <w:rPr>
          <w:noProof/>
          <w:szCs w:val="20"/>
        </w:rPr>
        <w:t>T</w:t>
      </w:r>
      <w:r>
        <w:rPr>
          <w:rFonts w:eastAsia="Times New Roman" w:cs="Times New Roman"/>
          <w:noProof/>
          <w:szCs w:val="20"/>
        </w:rPr>
        <w:t xml:space="preserve">he </w:t>
      </w:r>
      <w:r>
        <w:rPr>
          <w:rFonts w:eastAsia="Times New Roman" w:cs="Times New Roman"/>
          <w:b/>
          <w:noProof/>
          <w:szCs w:val="20"/>
        </w:rPr>
        <w:t xml:space="preserve">European Fund for Strategic Investments </w:t>
      </w:r>
      <w:r>
        <w:rPr>
          <w:rFonts w:eastAsia="Times New Roman" w:cs="Times New Roman"/>
          <w:noProof/>
          <w:szCs w:val="20"/>
        </w:rPr>
        <w:t xml:space="preserve">could also contribute to a smarter use of new </w:t>
      </w:r>
      <w:r>
        <w:rPr>
          <w:rFonts w:eastAsia="Times New Roman" w:cs="Times New Roman"/>
          <w:noProof/>
          <w:szCs w:val="20"/>
        </w:rPr>
        <w:t xml:space="preserve">and existing public and private resources. </w:t>
      </w:r>
    </w:p>
    <w:p w:rsidR="001E527A" w:rsidRDefault="00CD69DA">
      <w:pPr>
        <w:pStyle w:val="Default"/>
        <w:framePr w:h="6586" w:hRule="exact" w:hSpace="180" w:wrap="around" w:vAnchor="text" w:hAnchor="margin" w:x="115" w:y="111"/>
        <w:pBdr>
          <w:top w:val="single" w:sz="4" w:space="1" w:color="auto"/>
          <w:left w:val="single" w:sz="4" w:space="4" w:color="auto"/>
          <w:bottom w:val="single" w:sz="4" w:space="1" w:color="auto"/>
          <w:right w:val="single" w:sz="4" w:space="4" w:color="auto"/>
        </w:pBdr>
        <w:shd w:val="clear" w:color="auto" w:fill="DAEEF3" w:themeFill="accent5" w:themeFillTint="33"/>
        <w:spacing w:after="200" w:line="276" w:lineRule="auto"/>
        <w:jc w:val="both"/>
        <w:rPr>
          <w:rFonts w:ascii="Verdana" w:hAnsi="Verdana" w:cs="Times New Roman"/>
          <w:b/>
          <w:noProof/>
          <w:color w:val="auto"/>
          <w:sz w:val="20"/>
          <w:szCs w:val="20"/>
        </w:rPr>
      </w:pPr>
      <w:r>
        <w:rPr>
          <w:rFonts w:ascii="Verdana" w:hAnsi="Verdana" w:cs="Times New Roman"/>
          <w:b/>
          <w:noProof/>
          <w:color w:val="auto"/>
          <w:sz w:val="20"/>
          <w:szCs w:val="20"/>
        </w:rPr>
        <w:t>Box 4: How the EU budget could support the Pillar</w:t>
      </w:r>
    </w:p>
    <w:p w:rsidR="001E527A" w:rsidRDefault="00CD69DA">
      <w:pPr>
        <w:framePr w:h="6586" w:hRule="exact" w:hSpace="180" w:wrap="around" w:vAnchor="text" w:hAnchor="margin" w:x="115" w:y="111"/>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Verdana" w:hAnsi="Verdana"/>
          <w:noProof/>
          <w:sz w:val="20"/>
          <w:szCs w:val="20"/>
        </w:rPr>
      </w:pPr>
      <w:r>
        <w:rPr>
          <w:rFonts w:ascii="Verdana" w:hAnsi="Verdana"/>
          <w:noProof/>
          <w:sz w:val="20"/>
          <w:szCs w:val="20"/>
        </w:rPr>
        <w:t xml:space="preserve">New ideas raised throughout the consultation on how the EU budget could support the implementation of the Pillar included: </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Setting up a dedicated fund to support</w:t>
      </w:r>
      <w:r>
        <w:rPr>
          <w:rFonts w:ascii="Verdana" w:hAnsi="Verdana"/>
          <w:noProof/>
          <w:sz w:val="20"/>
        </w:rPr>
        <w:t xml:space="preserve"> the implementation of reforms and to boost upward convergence in employment and social outcomes;</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Developing a new comprehensive EU funding programme to combat poverty and inequality, to support innovative grass-roots projects and enable the direct engagem</w:t>
      </w:r>
      <w:r>
        <w:rPr>
          <w:rFonts w:ascii="Verdana" w:hAnsi="Verdana"/>
          <w:noProof/>
          <w:sz w:val="20"/>
        </w:rPr>
        <w:t>ent of beneficiaries;</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Creating a new fund to repair economies most hit by the crisis</w:t>
      </w:r>
      <w:r>
        <w:rPr>
          <w:rFonts w:ascii="Verdana" w:hAnsi="Verdana"/>
          <w:noProof/>
          <w:sz w:val="20"/>
          <w:vertAlign w:val="superscript"/>
        </w:rPr>
        <w:footnoteReference w:id="47"/>
      </w:r>
      <w:r>
        <w:rPr>
          <w:rFonts w:ascii="Verdana" w:hAnsi="Verdana"/>
          <w:noProof/>
          <w:sz w:val="20"/>
        </w:rPr>
        <w:t>;</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 xml:space="preserve">Introducing conditionality in EU funding linked to compliance with the Pillar principles; </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Extending the scope of the European Globalisation Adjustment Fund (EGF) to bet</w:t>
      </w:r>
      <w:r>
        <w:rPr>
          <w:rFonts w:ascii="Verdana" w:hAnsi="Verdana"/>
          <w:noProof/>
          <w:sz w:val="20"/>
        </w:rPr>
        <w:t>ter address the challenges brought about by new forms of work and digitalisation, particularly in favour of SMEs, and make its deployment quicker</w:t>
      </w:r>
      <w:r>
        <w:rPr>
          <w:rStyle w:val="FootnoteReference"/>
          <w:rFonts w:ascii="Verdana" w:hAnsi="Verdana"/>
          <w:noProof/>
          <w:sz w:val="20"/>
        </w:rPr>
        <w:footnoteReference w:id="48"/>
      </w:r>
      <w:r>
        <w:rPr>
          <w:rFonts w:ascii="Verdana" w:hAnsi="Verdana"/>
          <w:noProof/>
          <w:sz w:val="20"/>
        </w:rPr>
        <w:t xml:space="preserve">; </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Expanding the Fund for European Aid to the most Deprived (FEAD), supporting EU countries to provide materia</w:t>
      </w:r>
      <w:r>
        <w:rPr>
          <w:rFonts w:ascii="Verdana" w:hAnsi="Verdana"/>
          <w:noProof/>
          <w:sz w:val="20"/>
        </w:rPr>
        <w:t xml:space="preserve">l assistance to the most deprived, to cover access to basic services in addition to consumer goods under the definition of ‘basic material assistance’; </w:t>
      </w:r>
    </w:p>
    <w:p w:rsidR="001E527A" w:rsidRDefault="00CD69DA">
      <w:pPr>
        <w:pStyle w:val="ListParagraph"/>
        <w:framePr w:h="6586" w:hRule="exact" w:hSpace="180" w:wrap="around" w:vAnchor="text" w:hAnchor="margin" w:x="115" w:y="111"/>
        <w:numPr>
          <w:ilvl w:val="0"/>
          <w:numId w:val="25"/>
        </w:num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Verdana" w:hAnsi="Verdana"/>
          <w:noProof/>
          <w:sz w:val="20"/>
        </w:rPr>
      </w:pPr>
      <w:r>
        <w:rPr>
          <w:rFonts w:ascii="Verdana" w:hAnsi="Verdana"/>
          <w:noProof/>
          <w:sz w:val="20"/>
        </w:rPr>
        <w:t xml:space="preserve">Establishing public social investment rules and targets for the Member States to complement the use of </w:t>
      </w:r>
      <w:r>
        <w:rPr>
          <w:rFonts w:ascii="Verdana" w:hAnsi="Verdana"/>
          <w:noProof/>
          <w:sz w:val="20"/>
        </w:rPr>
        <w:t>EU funding instruments; Creating a new instrument to support intra-EU mobility and young mobile jobseekers who accept an offer in another Member State, in order to compensate some extra costs related to mobility (language training, relocation etc.)</w:t>
      </w:r>
      <w:r>
        <w:rPr>
          <w:rStyle w:val="FootnoteReference"/>
          <w:rFonts w:ascii="Verdana" w:hAnsi="Verdana"/>
          <w:noProof/>
          <w:sz w:val="20"/>
        </w:rPr>
        <w:footnoteReference w:id="49"/>
      </w:r>
      <w:r>
        <w:rPr>
          <w:rFonts w:ascii="Verdana" w:hAnsi="Verdana"/>
          <w:noProof/>
          <w:sz w:val="20"/>
        </w:rPr>
        <w:t xml:space="preserve">. </w:t>
      </w:r>
    </w:p>
    <w:p w:rsidR="001E527A" w:rsidRDefault="001E527A">
      <w:pPr>
        <w:pStyle w:val="Bullet1"/>
        <w:framePr w:h="6586" w:hRule="exact" w:hSpace="180" w:wrap="around" w:vAnchor="text" w:hAnchor="margin" w:x="115" w:y="111"/>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before="0" w:after="200" w:line="276" w:lineRule="auto"/>
        <w:jc w:val="both"/>
        <w:rPr>
          <w:noProof/>
          <w:szCs w:val="20"/>
        </w:rPr>
      </w:pPr>
    </w:p>
    <w:p w:rsidR="001E527A" w:rsidRDefault="00CD69DA">
      <w:pPr>
        <w:pStyle w:val="Bullet1"/>
        <w:framePr w:h="6586" w:hRule="exact" w:hSpace="180" w:wrap="around" w:vAnchor="text" w:hAnchor="margin" w:x="115" w:y="111"/>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before="0" w:after="200" w:line="276" w:lineRule="auto"/>
        <w:jc w:val="both"/>
        <w:rPr>
          <w:noProof/>
        </w:rPr>
      </w:pPr>
      <w:r>
        <w:rPr>
          <w:noProof/>
          <w:szCs w:val="20"/>
        </w:rPr>
        <w:t>The</w:t>
      </w:r>
      <w:r>
        <w:rPr>
          <w:noProof/>
          <w:szCs w:val="20"/>
        </w:rPr>
        <w:t xml:space="preserve"> idea of setting up a </w:t>
      </w:r>
      <w:r>
        <w:rPr>
          <w:b/>
          <w:noProof/>
          <w:szCs w:val="20"/>
        </w:rPr>
        <w:t>common fiscal stabilisation function at euro area</w:t>
      </w:r>
      <w:r>
        <w:rPr>
          <w:noProof/>
          <w:szCs w:val="20"/>
        </w:rPr>
        <w:t xml:space="preserve"> </w:t>
      </w:r>
      <w:r>
        <w:rPr>
          <w:b/>
          <w:noProof/>
          <w:szCs w:val="20"/>
        </w:rPr>
        <w:t>level</w:t>
      </w:r>
      <w:r>
        <w:rPr>
          <w:noProof/>
          <w:szCs w:val="20"/>
        </w:rPr>
        <w:t>, for instance in the form of a EU-wide unemployment benefit scheme</w:t>
      </w:r>
      <w:r>
        <w:rPr>
          <w:rStyle w:val="FootnoteReference"/>
          <w:noProof/>
          <w:szCs w:val="20"/>
        </w:rPr>
        <w:footnoteReference w:id="50"/>
      </w:r>
      <w:r>
        <w:rPr>
          <w:noProof/>
          <w:szCs w:val="20"/>
        </w:rPr>
        <w:t>, was also raised</w:t>
      </w:r>
      <w:r>
        <w:rPr>
          <w:rStyle w:val="FootnoteReference"/>
          <w:noProof/>
          <w:szCs w:val="20"/>
        </w:rPr>
        <w:footnoteReference w:id="51"/>
      </w:r>
      <w:r>
        <w:rPr>
          <w:noProof/>
          <w:szCs w:val="20"/>
        </w:rPr>
        <w:t xml:space="preserve"> </w:t>
      </w:r>
      <w:r>
        <w:rPr>
          <w:rStyle w:val="FootnoteReference"/>
          <w:noProof/>
          <w:szCs w:val="20"/>
        </w:rPr>
        <w:footnoteReference w:id="52"/>
      </w:r>
      <w:r>
        <w:rPr>
          <w:noProof/>
          <w:szCs w:val="20"/>
        </w:rPr>
        <w:t>.</w:t>
      </w:r>
    </w:p>
    <w:p w:rsidR="001E527A" w:rsidRDefault="001E527A">
      <w:pPr>
        <w:pStyle w:val="Bullet1"/>
        <w:numPr>
          <w:ilvl w:val="0"/>
          <w:numId w:val="0"/>
        </w:numPr>
        <w:spacing w:before="0" w:after="200" w:line="276" w:lineRule="auto"/>
        <w:jc w:val="both"/>
        <w:rPr>
          <w:noProof/>
          <w:color w:val="auto"/>
          <w:szCs w:val="20"/>
        </w:rPr>
      </w:pPr>
    </w:p>
    <w:p w:rsidR="001E527A" w:rsidRDefault="001E527A">
      <w:pPr>
        <w:rPr>
          <w:rFonts w:ascii="Verdana" w:eastAsiaTheme="majorEastAsia" w:hAnsi="Verdana" w:cstheme="majorBidi"/>
          <w:b/>
          <w:bCs/>
          <w:noProof/>
          <w:color w:val="0070C0"/>
          <w:sz w:val="28"/>
          <w:szCs w:val="26"/>
        </w:rPr>
      </w:pPr>
    </w:p>
    <w:p w:rsidR="001E527A" w:rsidRDefault="00CD69DA">
      <w:pPr>
        <w:rPr>
          <w:rFonts w:ascii="Verdana" w:eastAsiaTheme="majorEastAsia" w:hAnsi="Verdana" w:cstheme="majorBidi"/>
          <w:b/>
          <w:bCs/>
          <w:noProof/>
          <w:color w:val="0070C0"/>
          <w:sz w:val="28"/>
          <w:szCs w:val="26"/>
        </w:rPr>
      </w:pPr>
      <w:r>
        <w:rPr>
          <w:rFonts w:ascii="Verdana" w:hAnsi="Verdana"/>
          <w:noProof/>
        </w:rPr>
        <w:br w:type="page"/>
      </w:r>
    </w:p>
    <w:p w:rsidR="001E527A" w:rsidRDefault="00CD69DA">
      <w:pPr>
        <w:pStyle w:val="Heading2"/>
        <w:rPr>
          <w:rFonts w:cs="Times New Roman"/>
          <w:i/>
          <w:noProof/>
          <w:sz w:val="24"/>
          <w:szCs w:val="24"/>
        </w:rPr>
      </w:pPr>
      <w:bookmarkStart w:id="24" w:name="_Toc479349468"/>
      <w:r>
        <w:rPr>
          <w:noProof/>
        </w:rPr>
        <w:t>III. Discussions on the principles of the Pillar</w:t>
      </w:r>
      <w:bookmarkEnd w:id="24"/>
      <w:r>
        <w:rPr>
          <w:noProof/>
        </w:rPr>
        <w:t xml:space="preserve"> </w:t>
      </w:r>
    </w:p>
    <w:p w:rsidR="001E527A" w:rsidRDefault="001E527A">
      <w:pPr>
        <w:pStyle w:val="Heading2"/>
        <w:rPr>
          <w:rFonts w:cs="Times New Roman"/>
          <w:i/>
          <w:noProof/>
          <w:sz w:val="24"/>
          <w:szCs w:val="24"/>
          <w:u w:val="single"/>
        </w:rPr>
        <w:sectPr w:rsidR="001E527A">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1134" w:header="709" w:footer="709" w:gutter="0"/>
          <w:cols w:space="720"/>
          <w:titlePg/>
          <w:docGrid w:linePitch="360"/>
        </w:sectPr>
      </w:pP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preliminary outline of the Pillar included twenty principles structured around three main headings: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1. Equal opportunities and access to the labour market; </w:t>
      </w:r>
    </w:p>
    <w:p w:rsidR="001E527A" w:rsidRDefault="00CD69DA">
      <w:pPr>
        <w:jc w:val="both"/>
        <w:rPr>
          <w:rFonts w:ascii="Verdana" w:hAnsi="Verdana" w:cs="Times New Roman"/>
          <w:noProof/>
          <w:sz w:val="20"/>
          <w:szCs w:val="20"/>
        </w:rPr>
      </w:pPr>
      <w:r>
        <w:rPr>
          <w:rFonts w:ascii="Verdana" w:hAnsi="Verdana" w:cs="Times New Roman"/>
          <w:noProof/>
          <w:sz w:val="20"/>
          <w:szCs w:val="20"/>
        </w:rPr>
        <w:t>2. Fair working conditions; and</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3. Adequate and sustainable social protection.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This chapter presents evidence and feedback received from stakeholders on the content of the draft principles, including from expert discussions held in work stream meetings. It also features highlights from </w:t>
      </w:r>
      <w:r>
        <w:rPr>
          <w:rFonts w:ascii="Verdana" w:hAnsi="Verdana" w:cs="Times New Roman"/>
          <w:noProof/>
          <w:sz w:val="20"/>
          <w:szCs w:val="20"/>
        </w:rPr>
        <w:t xml:space="preserve">relevant practices. </w:t>
      </w:r>
    </w:p>
    <w:p w:rsidR="001E527A" w:rsidRDefault="00CD69DA">
      <w:pPr>
        <w:jc w:val="both"/>
        <w:rPr>
          <w:rFonts w:ascii="Verdana" w:hAnsi="Verdana" w:cs="Times New Roman"/>
          <w:noProof/>
          <w:sz w:val="20"/>
          <w:szCs w:val="20"/>
        </w:rPr>
      </w:pPr>
      <w:r>
        <w:rPr>
          <w:rFonts w:ascii="Verdana" w:hAnsi="Verdana" w:cs="Times New Roman"/>
          <w:noProof/>
          <w:sz w:val="20"/>
          <w:szCs w:val="20"/>
        </w:rPr>
        <w:t>Among the three work streams organised by the Commission, work stream 2 provided a forum for expert discussions on challenges and opportunities of transformations in the world of work, welfare systems and society more broadly, and look</w:t>
      </w:r>
      <w:r>
        <w:rPr>
          <w:rFonts w:ascii="Verdana" w:hAnsi="Verdana" w:cs="Times New Roman"/>
          <w:noProof/>
          <w:sz w:val="20"/>
          <w:szCs w:val="20"/>
        </w:rPr>
        <w:t>ed in detail at the most relevant aspects of the twenty principles. A summary of those discussions is presented in the section below.</w:t>
      </w:r>
    </w:p>
    <w:p w:rsidR="001E527A" w:rsidRDefault="00CD69DA">
      <w:pPr>
        <w:shd w:val="clear" w:color="auto" w:fill="EAF1DD" w:themeFill="accent3" w:themeFillTint="33"/>
        <w:jc w:val="both"/>
        <w:rPr>
          <w:rFonts w:ascii="Verdana" w:hAnsi="Verdana"/>
          <w:b/>
          <w:i/>
          <w:noProof/>
          <w:sz w:val="20"/>
          <w:szCs w:val="20"/>
        </w:rPr>
      </w:pPr>
      <w:r>
        <w:rPr>
          <w:rFonts w:ascii="Verdana" w:hAnsi="Verdana"/>
          <w:b/>
          <w:i/>
          <w:noProof/>
          <w:sz w:val="20"/>
          <w:szCs w:val="20"/>
        </w:rPr>
        <w:t xml:space="preserve">Feedback from Work Stream 2 - </w:t>
      </w:r>
      <w:r>
        <w:rPr>
          <w:rFonts w:ascii="Verdana" w:hAnsi="Verdana" w:cs="Arial"/>
          <w:b/>
          <w:i/>
          <w:noProof/>
          <w:sz w:val="20"/>
          <w:szCs w:val="20"/>
        </w:rPr>
        <w:t>The future of work and of welfare systems: challenges and opportunities</w:t>
      </w:r>
    </w:p>
    <w:p w:rsidR="001E527A" w:rsidRDefault="00CD69DA">
      <w:pPr>
        <w:shd w:val="clear" w:color="auto" w:fill="EAF1DD"/>
        <w:jc w:val="both"/>
        <w:rPr>
          <w:rFonts w:ascii="Verdana" w:hAnsi="Verdana"/>
          <w:noProof/>
          <w:color w:val="000000"/>
          <w:sz w:val="20"/>
          <w:szCs w:val="20"/>
        </w:rPr>
      </w:pPr>
      <w:r>
        <w:rPr>
          <w:rFonts w:ascii="Verdana" w:hAnsi="Verdana"/>
          <w:noProof/>
          <w:color w:val="000000"/>
          <w:sz w:val="20"/>
          <w:szCs w:val="20"/>
        </w:rPr>
        <w:t>Work stream 2 organi</w:t>
      </w:r>
      <w:r>
        <w:rPr>
          <w:rFonts w:ascii="Verdana" w:hAnsi="Verdana"/>
          <w:noProof/>
          <w:color w:val="000000"/>
          <w:sz w:val="20"/>
          <w:szCs w:val="20"/>
        </w:rPr>
        <w:t xml:space="preserve">sed expert hearings on the </w:t>
      </w:r>
      <w:r>
        <w:rPr>
          <w:rFonts w:ascii="Verdana" w:hAnsi="Verdana" w:cs="Arial"/>
          <w:noProof/>
          <w:sz w:val="20"/>
          <w:szCs w:val="20"/>
        </w:rPr>
        <w:t>"</w:t>
      </w:r>
      <w:r>
        <w:rPr>
          <w:rFonts w:ascii="Verdana" w:hAnsi="Verdana"/>
          <w:noProof/>
          <w:color w:val="000000"/>
          <w:sz w:val="20"/>
          <w:szCs w:val="20"/>
        </w:rPr>
        <w:t>Future of work</w:t>
      </w:r>
      <w:r>
        <w:rPr>
          <w:rFonts w:ascii="Verdana" w:hAnsi="Verdana" w:cs="Arial"/>
          <w:noProof/>
          <w:sz w:val="20"/>
          <w:szCs w:val="20"/>
        </w:rPr>
        <w:t>"</w:t>
      </w:r>
      <w:r>
        <w:rPr>
          <w:rFonts w:ascii="Verdana" w:hAnsi="Verdana"/>
          <w:noProof/>
          <w:color w:val="000000"/>
          <w:sz w:val="20"/>
          <w:szCs w:val="20"/>
        </w:rPr>
        <w:t xml:space="preserve"> (30 May 2016), </w:t>
      </w:r>
      <w:r>
        <w:rPr>
          <w:rFonts w:ascii="Verdana" w:hAnsi="Verdana" w:cs="Arial"/>
          <w:noProof/>
          <w:sz w:val="20"/>
          <w:szCs w:val="20"/>
        </w:rPr>
        <w:t>"</w:t>
      </w:r>
      <w:r>
        <w:rPr>
          <w:rFonts w:ascii="Verdana" w:hAnsi="Verdana"/>
          <w:noProof/>
          <w:color w:val="000000"/>
          <w:sz w:val="20"/>
          <w:szCs w:val="20"/>
        </w:rPr>
        <w:t>Labour market transitions - revisiting flexicurity</w:t>
      </w:r>
      <w:r>
        <w:rPr>
          <w:rFonts w:ascii="Verdana" w:hAnsi="Verdana" w:cs="Arial"/>
          <w:noProof/>
          <w:sz w:val="20"/>
          <w:szCs w:val="20"/>
        </w:rPr>
        <w:t>"</w:t>
      </w:r>
      <w:r>
        <w:rPr>
          <w:rFonts w:ascii="Verdana" w:hAnsi="Verdana"/>
          <w:noProof/>
          <w:color w:val="000000"/>
          <w:sz w:val="20"/>
          <w:szCs w:val="20"/>
        </w:rPr>
        <w:t xml:space="preserve"> (16 June 2016), and the </w:t>
      </w:r>
      <w:r>
        <w:rPr>
          <w:rFonts w:ascii="Verdana" w:hAnsi="Verdana" w:cs="Arial"/>
          <w:noProof/>
          <w:sz w:val="20"/>
          <w:szCs w:val="20"/>
        </w:rPr>
        <w:t>"</w:t>
      </w:r>
      <w:r>
        <w:rPr>
          <w:rFonts w:ascii="Verdana" w:hAnsi="Verdana"/>
          <w:noProof/>
          <w:color w:val="000000"/>
          <w:sz w:val="20"/>
          <w:szCs w:val="20"/>
        </w:rPr>
        <w:t>Future of welfare systems</w:t>
      </w:r>
      <w:r>
        <w:rPr>
          <w:rFonts w:ascii="Verdana" w:hAnsi="Verdana" w:cs="Arial"/>
          <w:noProof/>
          <w:sz w:val="20"/>
          <w:szCs w:val="20"/>
        </w:rPr>
        <w:t>"</w:t>
      </w:r>
      <w:r>
        <w:rPr>
          <w:rFonts w:ascii="Verdana" w:hAnsi="Verdana"/>
          <w:noProof/>
          <w:color w:val="000000"/>
          <w:sz w:val="20"/>
          <w:szCs w:val="20"/>
        </w:rPr>
        <w:t xml:space="preserve"> (30 June 2016). A strategic dialogue meeting with civil society organisations took place on </w:t>
      </w:r>
      <w:r>
        <w:rPr>
          <w:rFonts w:ascii="Verdana" w:hAnsi="Verdana"/>
          <w:noProof/>
          <w:color w:val="000000"/>
          <w:sz w:val="20"/>
          <w:szCs w:val="20"/>
        </w:rPr>
        <w:t>6 July 2016. On 18 October 2016, the work stream organised a high level expert seminar in Paris on "The Future of Work and Welfare" together with France Stratégie.</w:t>
      </w:r>
    </w:p>
    <w:p w:rsidR="001E527A" w:rsidRDefault="00CD69DA">
      <w:pPr>
        <w:shd w:val="clear" w:color="auto" w:fill="EAF1DD"/>
        <w:jc w:val="both"/>
        <w:rPr>
          <w:rFonts w:ascii="Verdana" w:hAnsi="Verdana"/>
          <w:b/>
          <w:i/>
          <w:noProof/>
          <w:color w:val="0070C0"/>
          <w:sz w:val="20"/>
          <w:szCs w:val="20"/>
        </w:rPr>
      </w:pPr>
      <w:r>
        <w:rPr>
          <w:rFonts w:ascii="Verdana" w:hAnsi="Verdana"/>
          <w:b/>
          <w:i/>
          <w:noProof/>
          <w:color w:val="0070C0"/>
          <w:sz w:val="20"/>
          <w:szCs w:val="20"/>
        </w:rPr>
        <w:t>The world of work is rapidly changing, opening new opportunities to skilled workers and requ</w:t>
      </w:r>
      <w:r>
        <w:rPr>
          <w:rFonts w:ascii="Verdana" w:hAnsi="Verdana"/>
          <w:b/>
          <w:i/>
          <w:noProof/>
          <w:color w:val="0070C0"/>
          <w:sz w:val="20"/>
          <w:szCs w:val="20"/>
        </w:rPr>
        <w:t>iring swift adaptation to the digital labour market…</w:t>
      </w:r>
    </w:p>
    <w:p w:rsidR="001E527A" w:rsidRDefault="00CD69DA">
      <w:pPr>
        <w:shd w:val="clear" w:color="auto" w:fill="EAF1DD"/>
        <w:jc w:val="both"/>
        <w:rPr>
          <w:rFonts w:ascii="Verdana" w:hAnsi="Verdana"/>
          <w:noProof/>
          <w:color w:val="000000"/>
          <w:sz w:val="20"/>
          <w:szCs w:val="20"/>
        </w:rPr>
      </w:pPr>
      <w:r>
        <w:rPr>
          <w:rFonts w:ascii="Verdana" w:hAnsi="Verdana" w:cs="Times New Roman"/>
          <w:noProof/>
          <w:sz w:val="20"/>
          <w:szCs w:val="20"/>
          <w:lang w:eastAsia="en-GB"/>
        </w:rPr>
        <mc:AlternateContent>
          <mc:Choice Requires="wps">
            <w:drawing>
              <wp:anchor distT="0" distB="0" distL="114300" distR="114300" simplePos="0" relativeHeight="251832320" behindDoc="0" locked="1" layoutInCell="1" allowOverlap="1">
                <wp:simplePos x="0" y="0"/>
                <wp:positionH relativeFrom="column">
                  <wp:posOffset>4299585</wp:posOffset>
                </wp:positionH>
                <wp:positionV relativeFrom="paragraph">
                  <wp:posOffset>635</wp:posOffset>
                </wp:positionV>
                <wp:extent cx="1821180" cy="1685925"/>
                <wp:effectExtent l="0" t="0" r="26670" b="28575"/>
                <wp:wrapSquare wrapText="bothSides"/>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1685925"/>
                        </a:xfrm>
                        <a:prstGeom prst="rect">
                          <a:avLst/>
                        </a:prstGeom>
                        <a:solidFill>
                          <a:sysClr val="window" lastClr="FFFFFF"/>
                        </a:solidFill>
                        <a:ln w="15875">
                          <a:solidFill>
                            <a:srgbClr val="EEECE1">
                              <a:lumMod val="50000"/>
                            </a:srgbClr>
                          </a:solidFill>
                        </a:ln>
                        <a:effectLst/>
                        <a:extLst/>
                      </wps:spPr>
                      <wps:txbx>
                        <w:txbxContent>
                          <w:p w:rsidR="001E527A" w:rsidRDefault="00CD69DA">
                            <w:pPr>
                              <w:pStyle w:val="BOX-TITLE"/>
                              <w:jc w:val="center"/>
                              <w:rPr>
                                <w:rFonts w:ascii="Verdana" w:hAnsi="Verdana"/>
                                <w:b/>
                                <w:sz w:val="18"/>
                                <w:szCs w:val="18"/>
                                <w:lang w:val="en-GB"/>
                              </w:rPr>
                            </w:pPr>
                            <w:r>
                              <w:rPr>
                                <w:rFonts w:ascii="Verdana" w:hAnsi="Verdana"/>
                                <w:sz w:val="18"/>
                                <w:szCs w:val="18"/>
                                <w:lang w:val="en-GB"/>
                              </w:rPr>
                              <w:t>OCCUPATIONAL DISLOCATOIN DUE TO AUTOMATION AND ROBOTISATION</w:t>
                            </w:r>
                          </w:p>
                          <w:p w:rsidR="001E527A" w:rsidRDefault="00CD69DA">
                            <w:pPr>
                              <w:rPr>
                                <w:rFonts w:ascii="Verdana" w:hAnsi="Verdana"/>
                                <w:color w:val="1F497D" w:themeColor="text2"/>
                                <w:sz w:val="18"/>
                                <w:szCs w:val="18"/>
                              </w:rPr>
                            </w:pPr>
                            <w:r>
                              <w:rPr>
                                <w:rFonts w:ascii="Verdana" w:hAnsi="Verdana"/>
                                <w:color w:val="1F497D" w:themeColor="text2"/>
                                <w:sz w:val="18"/>
                                <w:szCs w:val="18"/>
                              </w:rPr>
                              <w:t xml:space="preserve">9% of jobs in developed countries are at a high risk of being automated. For another 25% of jobs, more than half of the tasks will significantly change </w:t>
                            </w:r>
                          </w:p>
                        </w:txbxContent>
                      </wps:txbx>
                      <wps:bodyPr rot="0" vert="horz" wrap="square" lIns="7200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1" o:spid="_x0000_s1063" style="position:absolute;left:0;text-align:left;margin-left:338.55pt;margin-top:.05pt;width:143.4pt;height:13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6IOQIAAGcEAAAOAAAAZHJzL2Uyb0RvYy54bWysVNuO0zAQfUfiHyy/0zSVuluipqtVt0VI&#10;C6x24QMcx0ksHI8Zu03K1zNxmtKFN0QeLM94fHzOXLK+61vDjgq9BpvzdDbnTFkJpbZ1zr993b9b&#10;ceaDsKUwYFXOT8rzu83bN+vOZWoBDZhSISMQ67PO5bwJwWVJ4mWjWuFn4JSlwwqwFYFMrJMSRUfo&#10;rUkW8/lN0gGWDkEq78n7MB7yTcSvKiXDl6ryKjCTc+IW4opxLYY12axFVqNwjZZnGuIfWLRCW3r0&#10;AvUggmAH1H9BtVoieKjCTEKbQFVpqaIGUpPO/1Dz0ginohZKjneXNPn/Bys/H5+Q6TLny5QzK1qq&#10;0TNlTdjaKEY+SlDnfEZxL+4JB4nePYL87pmFbUNh6h4RukaJkmjF+OTVhcHwdJUV3ScoCV4cAsRc&#10;9RW2AyBlgfWxJKdLSVQfmCRnulqk6YoqJ+ksvVkt3y+WA6dEZNN1hz58UNCyYZNzJPYRXhwffRhD&#10;p5BIH4wu99qYaJz81iA7CmoP6qoSOs6M8IGcOd/H7/yav75mLOuIznJ1u4xPvTr0WBcX0N1ut92l&#10;McgcWkrA+NZyTt+EPMZHTVdApNDYgaOKbTxqIasPZ1lTYscChb7oYx0Xt1PNCihPlHeEsetpSmnT&#10;AP7krKOOz7n/cRCoSPFHS7W7pXkaRiQatMFrbzF5hZUEkfPA2bjdhnGcDg513dALo1oL91TnSscK&#10;DFRHNqRyMKibo97z5A3jcm3HqN//h80vAAAA//8DAFBLAwQUAAYACAAAACEAWSFOR90AAAAIAQAA&#10;DwAAAGRycy9kb3ducmV2LnhtbEyPwU7DMBBE70j8g7VI3KjdIBwS4lQIqeJYaHvg6MZLEhKvQ+w0&#10;4e9xT3BcvdHM22Kz2J6dcfStIwXrlQCGVDnTUq3geNjePQLzQZPRvSNU8IMeNuX1VaFz42Z6x/M+&#10;1CyWkM+1giaEIefcVw1a7VduQIrs041Wh3iONTejnmO57XkihORWtxQXGj3gS4NVt5+sgvD25Y67&#10;ZErFa3f4/uh22Sy2Qanbm+X5CVjAJfyF4aIf1aGMTic3kfGsVyDTdB2jF8AizuR9BuykIJEPEnhZ&#10;8P8PlL8AAAD//wMAUEsBAi0AFAAGAAgAAAAhALaDOJL+AAAA4QEAABMAAAAAAAAAAAAAAAAAAAAA&#10;AFtDb250ZW50X1R5cGVzXS54bWxQSwECLQAUAAYACAAAACEAOP0h/9YAAACUAQAACwAAAAAAAAAA&#10;AAAAAAAvAQAAX3JlbHMvLnJlbHNQSwECLQAUAAYACAAAACEAlp+eiDkCAABnBAAADgAAAAAAAAAA&#10;AAAAAAAuAgAAZHJzL2Uyb0RvYy54bWxQSwECLQAUAAYACAAAACEAWSFOR90AAAAIAQAADwAAAAAA&#10;AAAAAAAAAACTBAAAZHJzL2Rvd25yZXYueG1sUEsFBgAAAAAEAAQA8wAAAJ0FAAAAAA==&#10;" fillcolor="window" strokecolor="#948a54" strokeweight="1.25pt">
                <v:textbox inset="2mm,0,2mm,0">
                  <w:txbxContent>
                    <w:p>
                      <w:pPr>
                        <w:pStyle w:val="BOX-TITLE"/>
                        <w:jc w:val="center"/>
                        <w:rPr>
                          <w:rFonts w:ascii="Verdana" w:hAnsi="Verdana"/>
                          <w:b/>
                          <w:sz w:val="18"/>
                          <w:szCs w:val="18"/>
                          <w:lang w:val="en-GB"/>
                        </w:rPr>
                      </w:pPr>
                      <w:r>
                        <w:rPr>
                          <w:rFonts w:ascii="Verdana" w:hAnsi="Verdana"/>
                          <w:sz w:val="18"/>
                          <w:szCs w:val="18"/>
                          <w:lang w:val="en-GB"/>
                        </w:rPr>
                        <w:t>OCCUPATIONAL DISLOCATOIN DUE TO AUTOMATION AND ROBOTISATION</w:t>
                      </w:r>
                    </w:p>
                    <w:p>
                      <w:pPr>
                        <w:rPr>
                          <w:rFonts w:ascii="Verdana" w:hAnsi="Verdana"/>
                          <w:color w:val="1F497D" w:themeColor="text2"/>
                          <w:sz w:val="18"/>
                          <w:szCs w:val="18"/>
                        </w:rPr>
                      </w:pPr>
                      <w:r>
                        <w:rPr>
                          <w:rFonts w:ascii="Verdana" w:hAnsi="Verdana"/>
                          <w:color w:val="1F497D" w:themeColor="text2"/>
                          <w:sz w:val="18"/>
                          <w:szCs w:val="18"/>
                        </w:rPr>
                        <w:t xml:space="preserve">9% of jobs in developed countries are at a high risk of being automated. For another 25% of jobs, more than half of the tasks will significantly change </w:t>
                      </w:r>
                    </w:p>
                  </w:txbxContent>
                </v:textbox>
                <w10:wrap type="square"/>
                <w10:anchorlock/>
              </v:rect>
            </w:pict>
          </mc:Fallback>
        </mc:AlternateContent>
      </w:r>
      <w:r>
        <w:rPr>
          <w:rFonts w:ascii="Verdana" w:hAnsi="Verdana"/>
          <w:noProof/>
          <w:color w:val="000000"/>
          <w:sz w:val="20"/>
          <w:szCs w:val="20"/>
        </w:rPr>
        <w:t>Automation, digitisation and global value chains are leading on the one hand to more employment opportu</w:t>
      </w:r>
      <w:r>
        <w:rPr>
          <w:rFonts w:ascii="Verdana" w:hAnsi="Verdana"/>
          <w:noProof/>
          <w:color w:val="000000"/>
          <w:sz w:val="20"/>
          <w:szCs w:val="20"/>
        </w:rPr>
        <w:t xml:space="preserve">nities with flexible working arrangements and, on the other hand, to frequent </w:t>
      </w:r>
      <w:r>
        <w:rPr>
          <w:rFonts w:ascii="Verdana" w:hAnsi="Verdana"/>
          <w:b/>
          <w:noProof/>
          <w:color w:val="000000"/>
          <w:sz w:val="20"/>
          <w:szCs w:val="20"/>
        </w:rPr>
        <w:t>transitions between jobs</w:t>
      </w:r>
      <w:r>
        <w:rPr>
          <w:rFonts w:ascii="Verdana" w:hAnsi="Verdana"/>
          <w:noProof/>
          <w:color w:val="000000"/>
          <w:sz w:val="20"/>
          <w:szCs w:val="20"/>
        </w:rPr>
        <w:t xml:space="preserve"> and more </w:t>
      </w:r>
      <w:r>
        <w:rPr>
          <w:rFonts w:ascii="Verdana" w:hAnsi="Verdana"/>
          <w:b/>
          <w:noProof/>
          <w:color w:val="000000"/>
          <w:sz w:val="20"/>
          <w:szCs w:val="20"/>
        </w:rPr>
        <w:t>varied forms of employment</w:t>
      </w:r>
      <w:r>
        <w:rPr>
          <w:rFonts w:ascii="Verdana" w:hAnsi="Verdana"/>
          <w:noProof/>
          <w:color w:val="000000"/>
          <w:sz w:val="20"/>
          <w:szCs w:val="20"/>
        </w:rPr>
        <w:t>. First estimates of the extent of job losses due to automation and mass technological unemployment might have been ov</w:t>
      </w:r>
      <w:r>
        <w:rPr>
          <w:rFonts w:ascii="Verdana" w:hAnsi="Verdana"/>
          <w:noProof/>
          <w:color w:val="000000"/>
          <w:sz w:val="20"/>
          <w:szCs w:val="20"/>
        </w:rPr>
        <w:t xml:space="preserve">er-blown. However, many jobs involving information exchange, selling, using fingers and hands will change considerably. </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noProof/>
          <w:sz w:val="20"/>
          <w:szCs w:val="20"/>
        </w:rPr>
        <w:t xml:space="preserve">As the pace of technological innovation is accelerating, more people will need a new </w:t>
      </w:r>
      <w:r>
        <w:rPr>
          <w:rFonts w:ascii="Verdana" w:hAnsi="Verdana" w:cs="Times New Roman"/>
          <w:b/>
          <w:noProof/>
          <w:sz w:val="20"/>
          <w:szCs w:val="20"/>
        </w:rPr>
        <w:t xml:space="preserve">combination of </w:t>
      </w:r>
      <w:r>
        <w:rPr>
          <w:rFonts w:ascii="Verdana" w:hAnsi="Verdana"/>
          <w:b/>
          <w:noProof/>
          <w:sz w:val="20"/>
          <w:szCs w:val="20"/>
        </w:rPr>
        <w:t>soft and technical skills</w:t>
      </w:r>
      <w:r>
        <w:rPr>
          <w:rFonts w:ascii="Verdana" w:hAnsi="Verdana"/>
          <w:noProof/>
          <w:sz w:val="20"/>
          <w:szCs w:val="20"/>
        </w:rPr>
        <w:t xml:space="preserve"> essential</w:t>
      </w:r>
      <w:r>
        <w:rPr>
          <w:rFonts w:ascii="Verdana" w:hAnsi="Verdana"/>
          <w:noProof/>
          <w:sz w:val="20"/>
          <w:szCs w:val="20"/>
        </w:rPr>
        <w:t xml:space="preserve"> for navigating digital labour markets</w:t>
      </w:r>
      <w:r>
        <w:rPr>
          <w:rStyle w:val="FootnoteReference"/>
          <w:rFonts w:ascii="Verdana" w:hAnsi="Verdana"/>
          <w:noProof/>
          <w:sz w:val="20"/>
          <w:szCs w:val="20"/>
        </w:rPr>
        <w:footnoteReference w:id="53"/>
      </w:r>
      <w:r>
        <w:rPr>
          <w:rFonts w:ascii="Verdana" w:hAnsi="Verdana"/>
          <w:noProof/>
          <w:sz w:val="20"/>
          <w:szCs w:val="20"/>
        </w:rPr>
        <w:t xml:space="preserve">. </w:t>
      </w:r>
      <w:r>
        <w:rPr>
          <w:rFonts w:ascii="Verdana" w:hAnsi="Verdana"/>
          <w:b/>
          <w:noProof/>
          <w:sz w:val="20"/>
          <w:szCs w:val="20"/>
        </w:rPr>
        <w:t>Investment in human capital</w:t>
      </w:r>
      <w:r>
        <w:rPr>
          <w:rFonts w:ascii="Verdana" w:hAnsi="Verdana"/>
          <w:noProof/>
          <w:sz w:val="20"/>
          <w:szCs w:val="20"/>
        </w:rPr>
        <w:t xml:space="preserve"> is not adequate for responding to the current rhythm of change. </w:t>
      </w:r>
    </w:p>
    <w:p w:rsidR="001E527A" w:rsidRDefault="00CD69DA">
      <w:pPr>
        <w:shd w:val="clear" w:color="auto" w:fill="EAF1DD" w:themeFill="accent3" w:themeFillTint="33"/>
        <w:spacing w:before="120" w:after="120"/>
        <w:jc w:val="both"/>
        <w:rPr>
          <w:rFonts w:ascii="Verdana" w:hAnsi="Verdana"/>
          <w:noProof/>
          <w:color w:val="000000"/>
          <w:sz w:val="20"/>
          <w:szCs w:val="20"/>
        </w:rPr>
      </w:pPr>
      <w:r>
        <w:rPr>
          <w:rFonts w:ascii="Verdana" w:hAnsi="Verdana"/>
          <w:noProof/>
          <w:color w:val="000000"/>
          <w:sz w:val="20"/>
          <w:szCs w:val="20"/>
        </w:rPr>
        <w:t xml:space="preserve">Making skills pay is crucial for filling skill gaps, and </w:t>
      </w:r>
      <w:r>
        <w:rPr>
          <w:rFonts w:ascii="Verdana" w:hAnsi="Verdana"/>
          <w:b/>
          <w:noProof/>
          <w:color w:val="000000"/>
          <w:sz w:val="20"/>
          <w:szCs w:val="20"/>
        </w:rPr>
        <w:t>decent pay</w:t>
      </w:r>
      <w:r>
        <w:rPr>
          <w:rFonts w:ascii="Verdana" w:hAnsi="Verdana"/>
          <w:noProof/>
          <w:color w:val="000000"/>
          <w:sz w:val="20"/>
          <w:szCs w:val="20"/>
        </w:rPr>
        <w:t xml:space="preserve"> is a major concern in the aftermath of the crisis. New dimensions of job quality emerge, such as increased expectations for </w:t>
      </w:r>
      <w:r>
        <w:rPr>
          <w:rFonts w:ascii="Verdana" w:hAnsi="Verdana"/>
          <w:b/>
          <w:noProof/>
          <w:color w:val="000000"/>
          <w:sz w:val="20"/>
          <w:szCs w:val="20"/>
        </w:rPr>
        <w:t>autonomy</w:t>
      </w:r>
      <w:r>
        <w:rPr>
          <w:rFonts w:ascii="Verdana" w:hAnsi="Verdana"/>
          <w:noProof/>
          <w:color w:val="000000"/>
          <w:sz w:val="20"/>
          <w:szCs w:val="20"/>
        </w:rPr>
        <w:t xml:space="preserve"> at work and better </w:t>
      </w:r>
      <w:r>
        <w:rPr>
          <w:rFonts w:ascii="Verdana" w:hAnsi="Verdana"/>
          <w:b/>
          <w:noProof/>
          <w:color w:val="000000"/>
          <w:sz w:val="20"/>
          <w:szCs w:val="20"/>
        </w:rPr>
        <w:t>work-life balance</w:t>
      </w:r>
      <w:r>
        <w:rPr>
          <w:rFonts w:ascii="Verdana" w:hAnsi="Verdana"/>
          <w:noProof/>
          <w:color w:val="000000"/>
          <w:sz w:val="20"/>
          <w:szCs w:val="20"/>
        </w:rPr>
        <w:t>. As working lives become more varied, with people changing jobs more frequently, many</w:t>
      </w:r>
      <w:r>
        <w:rPr>
          <w:rFonts w:ascii="Verdana" w:hAnsi="Verdana"/>
          <w:noProof/>
          <w:color w:val="000000"/>
          <w:sz w:val="20"/>
          <w:szCs w:val="20"/>
        </w:rPr>
        <w:t xml:space="preserve"> workers are likely to face increasing difficulty in </w:t>
      </w:r>
      <w:r>
        <w:rPr>
          <w:rFonts w:ascii="Verdana" w:hAnsi="Verdana"/>
          <w:b/>
          <w:noProof/>
          <w:color w:val="000000"/>
          <w:sz w:val="20"/>
          <w:szCs w:val="20"/>
        </w:rPr>
        <w:t>building up and maintaining social security entitlements</w:t>
      </w:r>
      <w:r>
        <w:rPr>
          <w:rFonts w:ascii="Verdana" w:hAnsi="Verdana"/>
          <w:noProof/>
          <w:color w:val="000000"/>
          <w:sz w:val="20"/>
          <w:szCs w:val="20"/>
        </w:rPr>
        <w:t xml:space="preserve"> – notably occupational entitlements including pensions.</w:t>
      </w:r>
    </w:p>
    <w:p w:rsidR="001E527A" w:rsidRDefault="00CD69DA">
      <w:pPr>
        <w:shd w:val="clear" w:color="auto" w:fill="EAF1DD" w:themeFill="accent3" w:themeFillTint="33"/>
        <w:jc w:val="both"/>
        <w:rPr>
          <w:rFonts w:ascii="Verdana" w:hAnsi="Verdana"/>
          <w:b/>
          <w:i/>
          <w:noProof/>
          <w:color w:val="0070C0"/>
          <w:sz w:val="20"/>
          <w:szCs w:val="20"/>
        </w:rPr>
      </w:pPr>
      <w:r>
        <w:rPr>
          <w:rFonts w:ascii="Verdana" w:hAnsi="Verdana"/>
          <w:b/>
          <w:i/>
          <w:noProof/>
          <w:color w:val="0070C0"/>
          <w:sz w:val="20"/>
          <w:szCs w:val="20"/>
        </w:rPr>
        <w:t>… while an ageing population is confronted with increasing inequalities.</w:t>
      </w:r>
    </w:p>
    <w:p w:rsidR="001E527A" w:rsidRDefault="00CD69DA">
      <w:pPr>
        <w:shd w:val="clear" w:color="auto" w:fill="EAF1DD" w:themeFill="accent3" w:themeFillTint="33"/>
        <w:jc w:val="both"/>
        <w:rPr>
          <w:rFonts w:ascii="Verdana" w:hAnsi="Verdana"/>
          <w:noProof/>
          <w:sz w:val="20"/>
          <w:szCs w:val="20"/>
        </w:rPr>
      </w:pPr>
      <w:r>
        <w:rPr>
          <w:rFonts w:ascii="Verdana" w:hAnsi="Verdana"/>
          <w:b/>
          <w:noProof/>
          <w:sz w:val="20"/>
          <w:szCs w:val="20"/>
        </w:rPr>
        <w:t xml:space="preserve">Addressing the </w:t>
      </w:r>
      <w:r>
        <w:rPr>
          <w:rFonts w:ascii="Verdana" w:hAnsi="Verdana"/>
          <w:b/>
          <w:noProof/>
          <w:sz w:val="20"/>
          <w:szCs w:val="20"/>
        </w:rPr>
        <w:t>challenges of demographic change</w:t>
      </w:r>
      <w:r>
        <w:rPr>
          <w:rFonts w:ascii="Verdana" w:hAnsi="Verdana"/>
          <w:noProof/>
          <w:sz w:val="20"/>
          <w:szCs w:val="20"/>
        </w:rPr>
        <w:t xml:space="preserve"> may require more people to work longer and more productively. </w:t>
      </w:r>
      <w:r>
        <w:rPr>
          <w:rFonts w:ascii="Verdana" w:hAnsi="Verdana"/>
          <w:b/>
          <w:noProof/>
          <w:sz w:val="20"/>
          <w:szCs w:val="20"/>
        </w:rPr>
        <w:t>Inter-generational divides</w:t>
      </w:r>
      <w:r>
        <w:rPr>
          <w:rFonts w:ascii="Verdana" w:hAnsi="Verdana"/>
          <w:noProof/>
          <w:sz w:val="20"/>
          <w:szCs w:val="20"/>
        </w:rPr>
        <w:t xml:space="preserve"> are rising in the type of jobs on the labour market, but also in access to assets and social protection. During the crisis, pensions w</w:t>
      </w:r>
      <w:r>
        <w:rPr>
          <w:rFonts w:ascii="Verdana" w:hAnsi="Verdana"/>
          <w:noProof/>
          <w:sz w:val="20"/>
          <w:szCs w:val="20"/>
        </w:rPr>
        <w:t>ere more protected compared to other social benefits. For young people especially, access to housing remains problematic particularly in large cities. This also has an impact on poverty, as housing-related costs account for a large share of consumption.</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cs="Times New Roman"/>
          <w:b/>
          <w:noProof/>
          <w:sz w:val="20"/>
          <w:szCs w:val="20"/>
        </w:rPr>
        <w:t>In</w:t>
      </w:r>
      <w:r>
        <w:rPr>
          <w:rFonts w:ascii="Verdana" w:hAnsi="Verdana" w:cs="Times New Roman"/>
          <w:b/>
          <w:noProof/>
          <w:sz w:val="20"/>
          <w:szCs w:val="20"/>
        </w:rPr>
        <w:t>come inequality</w:t>
      </w:r>
      <w:r>
        <w:rPr>
          <w:rFonts w:ascii="Verdana" w:hAnsi="Verdana" w:cs="Times New Roman"/>
          <w:noProof/>
          <w:sz w:val="20"/>
          <w:szCs w:val="20"/>
        </w:rPr>
        <w:t xml:space="preserve"> has increased on average in the EU since 2010. Both globalisation and technological progress are benefiting highly skilled workers more than low-skilled ones, leading to increased wage inequality. </w:t>
      </w:r>
    </w:p>
    <w:p w:rsidR="001E527A" w:rsidRDefault="00CD69DA">
      <w:pPr>
        <w:shd w:val="clear" w:color="auto" w:fill="EAF1DD" w:themeFill="accent3" w:themeFillTint="33"/>
        <w:jc w:val="both"/>
        <w:rPr>
          <w:rFonts w:ascii="Verdana" w:hAnsi="Verdana"/>
          <w:b/>
          <w:i/>
          <w:noProof/>
          <w:color w:val="0070C0"/>
          <w:sz w:val="20"/>
          <w:szCs w:val="20"/>
        </w:rPr>
      </w:pPr>
      <w:r>
        <w:rPr>
          <w:rFonts w:ascii="Verdana" w:hAnsi="Verdana"/>
          <w:b/>
          <w:i/>
          <w:noProof/>
          <w:color w:val="0070C0"/>
          <w:sz w:val="20"/>
          <w:szCs w:val="20"/>
        </w:rPr>
        <w:t xml:space="preserve">Catch-up and convergence require more </w:t>
      </w:r>
      <w:r>
        <w:rPr>
          <w:rFonts w:ascii="Verdana" w:hAnsi="Verdana"/>
          <w:b/>
          <w:i/>
          <w:noProof/>
          <w:color w:val="0070C0"/>
          <w:sz w:val="20"/>
          <w:szCs w:val="20"/>
        </w:rPr>
        <w:t>efforts</w:t>
      </w:r>
    </w:p>
    <w:p w:rsidR="001E527A" w:rsidRDefault="00CD69DA">
      <w:pPr>
        <w:shd w:val="clear" w:color="auto" w:fill="EAF1DD" w:themeFill="accent3" w:themeFillTint="33"/>
        <w:spacing w:before="120" w:after="120"/>
        <w:jc w:val="both"/>
        <w:rPr>
          <w:rFonts w:ascii="Verdana" w:hAnsi="Verdana"/>
          <w:noProof/>
          <w:color w:val="000000"/>
          <w:sz w:val="20"/>
          <w:szCs w:val="20"/>
        </w:rPr>
      </w:pPr>
      <w:r>
        <w:rPr>
          <w:rFonts w:ascii="Verdana" w:hAnsi="Verdana"/>
          <w:noProof/>
          <w:color w:val="000000"/>
          <w:sz w:val="20"/>
          <w:szCs w:val="20"/>
        </w:rPr>
        <w:t>Increasingly uneven opportunities between high tech innovation hubs and regions relying on lower productivity models, the ageing of the population, and the legacy of public debt are threatening to further deepen divergences across the EU. In digita</w:t>
      </w:r>
      <w:r>
        <w:rPr>
          <w:rFonts w:ascii="Verdana" w:hAnsi="Verdana"/>
          <w:noProof/>
          <w:color w:val="000000"/>
          <w:sz w:val="20"/>
          <w:szCs w:val="20"/>
        </w:rPr>
        <w:t>l, highly competitive economies, convergence and catch-up can be difficult, and many regions risk lagging behind.</w:t>
      </w:r>
    </w:p>
    <w:p w:rsidR="001E527A" w:rsidRDefault="00CD69DA">
      <w:pPr>
        <w:shd w:val="clear" w:color="auto" w:fill="EAF1DD" w:themeFill="accent3" w:themeFillTint="33"/>
        <w:jc w:val="both"/>
        <w:rPr>
          <w:rFonts w:ascii="Verdana" w:hAnsi="Verdana" w:cs="Times New Roman"/>
          <w:noProof/>
          <w:sz w:val="20"/>
          <w:szCs w:val="20"/>
        </w:rPr>
      </w:pPr>
      <w:r>
        <w:rPr>
          <w:rFonts w:ascii="Verdana" w:hAnsi="Verdana"/>
          <w:noProof/>
          <w:color w:val="000000"/>
          <w:sz w:val="20"/>
          <w:szCs w:val="20"/>
        </w:rPr>
        <w:t xml:space="preserve">The Member States more vulnerable to economic shocks are also those where the </w:t>
      </w:r>
      <w:r>
        <w:rPr>
          <w:rFonts w:ascii="Verdana" w:hAnsi="Verdana"/>
          <w:b/>
          <w:noProof/>
          <w:color w:val="000000"/>
          <w:sz w:val="20"/>
          <w:szCs w:val="20"/>
        </w:rPr>
        <w:t xml:space="preserve">quality of institutions </w:t>
      </w:r>
      <w:r>
        <w:rPr>
          <w:rFonts w:ascii="Verdana" w:hAnsi="Verdana"/>
          <w:noProof/>
          <w:color w:val="000000"/>
          <w:sz w:val="20"/>
          <w:szCs w:val="20"/>
        </w:rPr>
        <w:t>and the delivery of social and labour po</w:t>
      </w:r>
      <w:r>
        <w:rPr>
          <w:rFonts w:ascii="Verdana" w:hAnsi="Verdana"/>
          <w:noProof/>
          <w:color w:val="000000"/>
          <w:sz w:val="20"/>
          <w:szCs w:val="20"/>
        </w:rPr>
        <w:t>licies</w:t>
      </w:r>
      <w:r>
        <w:rPr>
          <w:rFonts w:ascii="Verdana" w:hAnsi="Verdana"/>
          <w:noProof/>
          <w:color w:val="0070C0"/>
          <w:sz w:val="20"/>
          <w:szCs w:val="20"/>
        </w:rPr>
        <w:t xml:space="preserve"> </w:t>
      </w:r>
      <w:r>
        <w:rPr>
          <w:rFonts w:ascii="Verdana" w:hAnsi="Verdana"/>
          <w:noProof/>
          <w:color w:val="000000"/>
          <w:sz w:val="20"/>
          <w:szCs w:val="20"/>
        </w:rPr>
        <w:t xml:space="preserve">need to be improved. </w:t>
      </w:r>
      <w:r>
        <w:rPr>
          <w:rFonts w:ascii="Verdana" w:hAnsi="Verdana" w:cs="Times New Roman"/>
          <w:noProof/>
          <w:sz w:val="20"/>
          <w:szCs w:val="20"/>
        </w:rPr>
        <w:t xml:space="preserve">Poverty and exclusion continue to be high, in spite of high social spending in the EU. The </w:t>
      </w:r>
      <w:r>
        <w:rPr>
          <w:rFonts w:ascii="Verdana" w:hAnsi="Verdana" w:cs="Times New Roman"/>
          <w:b/>
          <w:noProof/>
          <w:sz w:val="20"/>
          <w:szCs w:val="20"/>
        </w:rPr>
        <w:t>efficiency of social spending</w:t>
      </w:r>
      <w:r>
        <w:rPr>
          <w:rFonts w:ascii="Verdana" w:hAnsi="Verdana" w:cs="Times New Roman"/>
          <w:noProof/>
          <w:sz w:val="20"/>
          <w:szCs w:val="20"/>
        </w:rPr>
        <w:t xml:space="preserve"> could be increased by </w:t>
      </w:r>
      <w:r>
        <w:rPr>
          <w:rFonts w:ascii="Verdana" w:hAnsi="Verdana" w:cs="Times New Roman"/>
          <w:b/>
          <w:noProof/>
          <w:sz w:val="20"/>
          <w:szCs w:val="20"/>
        </w:rPr>
        <w:t>investing early in people in a life-course perspective</w:t>
      </w:r>
      <w:r>
        <w:rPr>
          <w:rFonts w:ascii="Verdana" w:hAnsi="Verdana" w:cs="Times New Roman"/>
          <w:noProof/>
          <w:sz w:val="20"/>
          <w:szCs w:val="20"/>
        </w:rPr>
        <w:t xml:space="preserve"> and by </w:t>
      </w:r>
      <w:r>
        <w:rPr>
          <w:rFonts w:ascii="Verdana" w:hAnsi="Verdana" w:cs="Times New Roman"/>
          <w:b/>
          <w:noProof/>
          <w:sz w:val="20"/>
          <w:szCs w:val="20"/>
        </w:rPr>
        <w:t>targeting support to cr</w:t>
      </w:r>
      <w:r>
        <w:rPr>
          <w:rFonts w:ascii="Verdana" w:hAnsi="Verdana" w:cs="Times New Roman"/>
          <w:b/>
          <w:noProof/>
          <w:sz w:val="20"/>
          <w:szCs w:val="20"/>
        </w:rPr>
        <w:t>itical transition</w:t>
      </w:r>
      <w:r>
        <w:rPr>
          <w:rFonts w:ascii="Verdana" w:hAnsi="Verdana" w:cs="Times New Roman"/>
          <w:noProof/>
          <w:sz w:val="20"/>
          <w:szCs w:val="20"/>
        </w:rPr>
        <w:t xml:space="preserve"> </w:t>
      </w:r>
      <w:r>
        <w:rPr>
          <w:rFonts w:ascii="Verdana" w:hAnsi="Verdana" w:cs="Times New Roman"/>
          <w:b/>
          <w:noProof/>
          <w:sz w:val="20"/>
          <w:szCs w:val="20"/>
        </w:rPr>
        <w:t>points</w:t>
      </w:r>
      <w:r>
        <w:rPr>
          <w:rFonts w:ascii="Verdana" w:hAnsi="Verdana" w:cs="Times New Roman"/>
          <w:noProof/>
          <w:sz w:val="20"/>
          <w:szCs w:val="20"/>
        </w:rPr>
        <w:t xml:space="preserve"> in the working life such as moving from education to work, caring for children or relatives, changing jobs or occupation. </w:t>
      </w:r>
    </w:p>
    <w:p w:rsidR="001E527A" w:rsidRDefault="00CD69DA">
      <w:pPr>
        <w:rPr>
          <w:rFonts w:ascii="Verdana" w:eastAsiaTheme="majorEastAsia" w:hAnsi="Verdana" w:cstheme="majorBidi"/>
          <w:b/>
          <w:bCs/>
          <w:noProof/>
          <w:color w:val="0070C0"/>
          <w:sz w:val="28"/>
          <w:szCs w:val="26"/>
        </w:rPr>
      </w:pPr>
      <w:r>
        <w:rPr>
          <w:rFonts w:ascii="Verdana" w:hAnsi="Verdana"/>
          <w:noProof/>
        </w:rPr>
        <w:br w:type="page"/>
      </w:r>
    </w:p>
    <w:p w:rsidR="001E527A" w:rsidRDefault="00CD69DA">
      <w:pPr>
        <w:pStyle w:val="Heading2"/>
        <w:rPr>
          <w:noProof/>
        </w:rPr>
      </w:pPr>
      <w:bookmarkStart w:id="25" w:name="_Toc479349469"/>
      <w:r>
        <w:rPr>
          <w:noProof/>
        </w:rPr>
        <w:t>1. Equal opportunities and access to the labour market</w:t>
      </w:r>
      <w:bookmarkEnd w:id="25"/>
    </w:p>
    <w:p w:rsidR="001E527A" w:rsidRDefault="00CD69DA">
      <w:pPr>
        <w:jc w:val="both"/>
        <w:rPr>
          <w:rFonts w:ascii="Verdana" w:hAnsi="Verdana" w:cs="Times New Roman"/>
          <w:noProof/>
          <w:sz w:val="20"/>
          <w:szCs w:val="20"/>
        </w:rPr>
      </w:pPr>
      <w:r>
        <w:rPr>
          <w:rFonts w:ascii="Verdana" w:hAnsi="Verdana" w:cs="Times New Roman"/>
          <w:noProof/>
          <w:sz w:val="20"/>
          <w:szCs w:val="20"/>
        </w:rPr>
        <w:t>The chapter on</w:t>
      </w:r>
      <w:r>
        <w:rPr>
          <w:rFonts w:ascii="Verdana" w:hAnsi="Verdana" w:cs="Times New Roman"/>
          <w:b/>
          <w:noProof/>
          <w:sz w:val="20"/>
          <w:szCs w:val="20"/>
        </w:rPr>
        <w:t xml:space="preserve"> equal opportunities and access to the labour market</w:t>
      </w:r>
      <w:r>
        <w:rPr>
          <w:rFonts w:ascii="Verdana" w:hAnsi="Verdana" w:cs="Times New Roman"/>
          <w:noProof/>
          <w:sz w:val="20"/>
          <w:szCs w:val="20"/>
        </w:rPr>
        <w:t xml:space="preserve"> in the draft Pillar included principles on skills development and life-long learning and active support for employment, to increase employment opportunities, facilitate transitions between different stat</w:t>
      </w:r>
      <w:r>
        <w:rPr>
          <w:rFonts w:ascii="Verdana" w:hAnsi="Verdana" w:cs="Times New Roman"/>
          <w:noProof/>
          <w:sz w:val="20"/>
          <w:szCs w:val="20"/>
        </w:rPr>
        <w:t xml:space="preserve">uses and improve the employability of individuals. </w:t>
      </w:r>
    </w:p>
    <w:tbl>
      <w:tblPr>
        <w:tblStyle w:val="TableGrid"/>
        <w:tblW w:w="0" w:type="auto"/>
        <w:tblLook w:val="04A0" w:firstRow="1" w:lastRow="0" w:firstColumn="1" w:lastColumn="0" w:noHBand="0" w:noVBand="1"/>
      </w:tblPr>
      <w:tblGrid>
        <w:gridCol w:w="9854"/>
      </w:tblGrid>
      <w:tr w:rsidR="001E527A">
        <w:tc>
          <w:tcPr>
            <w:tcW w:w="9854" w:type="dxa"/>
            <w:shd w:val="clear" w:color="auto" w:fill="DAEEF3" w:themeFill="accent5" w:themeFillTint="33"/>
          </w:tcPr>
          <w:p w:rsidR="001E527A" w:rsidRDefault="00CD69DA">
            <w:pPr>
              <w:spacing w:after="200"/>
              <w:rPr>
                <w:rFonts w:ascii="Verdana" w:hAnsi="Verdana" w:cs="Times New Roman"/>
                <w:b/>
                <w:noProof/>
                <w:sz w:val="20"/>
                <w:szCs w:val="20"/>
              </w:rPr>
            </w:pPr>
            <w:r>
              <w:rPr>
                <w:rFonts w:ascii="Verdana" w:hAnsi="Verdana" w:cs="Times New Roman"/>
                <w:b/>
                <w:noProof/>
                <w:sz w:val="20"/>
                <w:szCs w:val="20"/>
              </w:rPr>
              <w:t xml:space="preserve">Evidence </w:t>
            </w:r>
          </w:p>
          <w:p w:rsidR="001E527A" w:rsidRDefault="00CD69DA">
            <w:pPr>
              <w:jc w:val="both"/>
              <w:rPr>
                <w:rFonts w:ascii="Verdana" w:hAnsi="Verdana" w:cs="Times New Roman"/>
                <w:b/>
                <w:noProof/>
                <w:sz w:val="20"/>
                <w:szCs w:val="20"/>
              </w:rPr>
            </w:pPr>
            <w:r>
              <w:rPr>
                <w:rFonts w:ascii="Verdana" w:hAnsi="Verdana" w:cs="Times New Roman"/>
                <w:b/>
                <w:noProof/>
                <w:sz w:val="20"/>
                <w:szCs w:val="20"/>
              </w:rPr>
              <w:t xml:space="preserve">As a result of fast-going globalisation and technological change, education has become an increasingly important determinant of access to quality jobs. </w:t>
            </w:r>
            <w:r>
              <w:rPr>
                <w:rFonts w:ascii="Verdana" w:hAnsi="Verdana" w:cs="Times New Roman"/>
                <w:noProof/>
                <w:sz w:val="20"/>
                <w:szCs w:val="20"/>
              </w:rPr>
              <w:t>While employment rates have always been hi</w:t>
            </w:r>
            <w:r>
              <w:rPr>
                <w:rFonts w:ascii="Verdana" w:hAnsi="Verdana" w:cs="Times New Roman"/>
                <w:noProof/>
                <w:sz w:val="20"/>
                <w:szCs w:val="20"/>
              </w:rPr>
              <w:t>gher for those with higher level of educational attainment, the crisis has sensibly accelerated the process of economic change and the deterioration of labour market outcomes for low-qualified</w:t>
            </w:r>
            <w:r>
              <w:rPr>
                <w:rFonts w:ascii="Verdana" w:hAnsi="Verdana" w:cs="Times New Roman"/>
                <w:noProof/>
                <w:sz w:val="20"/>
                <w:szCs w:val="20"/>
                <w:vertAlign w:val="superscript"/>
              </w:rPr>
              <w:footnoteReference w:id="54"/>
            </w:r>
            <w:r>
              <w:rPr>
                <w:rFonts w:ascii="Verdana" w:hAnsi="Verdana" w:cs="Times New Roman"/>
                <w:noProof/>
                <w:sz w:val="20"/>
                <w:szCs w:val="20"/>
              </w:rPr>
              <w:t xml:space="preserve"> individuals (especially younger ones) relative to their medium</w:t>
            </w:r>
            <w:r>
              <w:rPr>
                <w:rFonts w:ascii="Verdana" w:hAnsi="Verdana" w:cs="Times New Roman"/>
                <w:noProof/>
                <w:sz w:val="20"/>
                <w:szCs w:val="20"/>
              </w:rPr>
              <w:t xml:space="preserve">- and high-qualified peers. </w:t>
            </w:r>
          </w:p>
          <w:p w:rsidR="001E527A" w:rsidRDefault="001E527A">
            <w:pPr>
              <w:jc w:val="both"/>
              <w:rPr>
                <w:rFonts w:ascii="Verdana" w:hAnsi="Verdana" w:cs="Times New Roman"/>
                <w:b/>
                <w:bCs/>
                <w:noProof/>
                <w:sz w:val="20"/>
                <w:szCs w:val="20"/>
              </w:rPr>
            </w:pPr>
          </w:p>
          <w:p w:rsidR="001E527A" w:rsidRDefault="00CD69DA">
            <w:pPr>
              <w:jc w:val="both"/>
              <w:rPr>
                <w:rFonts w:ascii="Verdana" w:hAnsi="Verdana" w:cs="Times New Roman"/>
                <w:i/>
                <w:noProof/>
                <w:sz w:val="20"/>
                <w:szCs w:val="20"/>
              </w:rPr>
            </w:pPr>
            <w:r>
              <w:rPr>
                <w:rFonts w:ascii="Verdana" w:hAnsi="Verdana" w:cs="Times New Roman"/>
                <w:i/>
                <w:noProof/>
                <w:sz w:val="20"/>
                <w:szCs w:val="20"/>
              </w:rPr>
              <w:t>Figure 4: Share of low-qualified and employment rate by level of educational attainment for young adults (25-39) in the EU28</w:t>
            </w:r>
          </w:p>
          <w:p w:rsidR="001E527A" w:rsidRDefault="00CD69DA">
            <w:pPr>
              <w:jc w:val="both"/>
              <w:rPr>
                <w:rFonts w:ascii="Verdana" w:hAnsi="Verdana" w:cs="Times New Roman"/>
                <w:noProof/>
                <w:sz w:val="20"/>
                <w:szCs w:val="20"/>
              </w:rPr>
            </w:pPr>
            <w:r>
              <w:rPr>
                <w:rFonts w:ascii="Verdana" w:hAnsi="Verdana" w:cs="Times New Roman"/>
                <w:noProof/>
                <w:sz w:val="20"/>
                <w:szCs w:val="20"/>
                <w:lang w:eastAsia="en-GB"/>
              </w:rPr>
              <w:drawing>
                <wp:inline distT="0" distB="0" distL="0" distR="0">
                  <wp:extent cx="4572000" cy="19050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527A" w:rsidRDefault="00CD69DA">
            <w:pPr>
              <w:jc w:val="both"/>
              <w:rPr>
                <w:rFonts w:ascii="Verdana" w:hAnsi="Verdana" w:cs="Times New Roman"/>
                <w:i/>
                <w:noProof/>
                <w:sz w:val="18"/>
                <w:szCs w:val="18"/>
              </w:rPr>
            </w:pPr>
            <w:r>
              <w:rPr>
                <w:rFonts w:ascii="Verdana" w:hAnsi="Verdana" w:cs="Times New Roman"/>
                <w:i/>
                <w:noProof/>
                <w:sz w:val="18"/>
                <w:szCs w:val="18"/>
              </w:rPr>
              <w:t>Source: LFS</w:t>
            </w:r>
          </w:p>
          <w:p w:rsidR="001E527A" w:rsidRDefault="001E527A">
            <w:pPr>
              <w:jc w:val="both"/>
              <w:rPr>
                <w:rFonts w:ascii="Verdana" w:hAnsi="Verdana" w:cs="Times New Roman"/>
                <w:b/>
                <w:noProof/>
                <w:sz w:val="20"/>
                <w:szCs w:val="20"/>
              </w:rPr>
            </w:pPr>
          </w:p>
          <w:p w:rsidR="001E527A" w:rsidRDefault="00CD69DA">
            <w:pPr>
              <w:jc w:val="both"/>
              <w:rPr>
                <w:rFonts w:ascii="Verdana" w:hAnsi="Verdana" w:cs="Times New Roman"/>
                <w:noProof/>
                <w:sz w:val="20"/>
                <w:szCs w:val="20"/>
              </w:rPr>
            </w:pPr>
            <w:r>
              <w:rPr>
                <w:rFonts w:ascii="Verdana" w:hAnsi="Verdana" w:cs="Times New Roman"/>
                <w:b/>
                <w:noProof/>
                <w:sz w:val="20"/>
                <w:szCs w:val="20"/>
              </w:rPr>
              <w:t xml:space="preserve">A rapid process of upskilling of young generations is being witnessed in Europe in </w:t>
            </w:r>
            <w:r>
              <w:rPr>
                <w:rFonts w:ascii="Verdana" w:hAnsi="Verdana" w:cs="Times New Roman"/>
                <w:b/>
                <w:noProof/>
                <w:sz w:val="20"/>
                <w:szCs w:val="20"/>
              </w:rPr>
              <w:t>response to these trends.</w:t>
            </w:r>
            <w:r>
              <w:rPr>
                <w:rFonts w:ascii="Verdana" w:hAnsi="Verdana" w:cs="Times New Roman"/>
                <w:noProof/>
                <w:sz w:val="20"/>
                <w:szCs w:val="20"/>
              </w:rPr>
              <w:t xml:space="preserve"> The early school leaving rate (age group 18-24) has declined by almost one third over the past decade, and the share of low-qualified young adults (age group 25-39) has declined by one fourth over the same period and is still goin</w:t>
            </w:r>
            <w:r>
              <w:rPr>
                <w:rFonts w:ascii="Verdana" w:hAnsi="Verdana" w:cs="Times New Roman"/>
                <w:noProof/>
                <w:sz w:val="20"/>
                <w:szCs w:val="20"/>
              </w:rPr>
              <w:t xml:space="preserve">g down. Still in 2015, in some countries the share of low-qualified young adults remains worryingly high, as it ranges from 6% in the Czech Republic to 25% or more in Malta, Portugal, Spain, Italy and Romania. </w:t>
            </w:r>
          </w:p>
          <w:p w:rsidR="001E527A" w:rsidRDefault="001E527A">
            <w:pPr>
              <w:jc w:val="both"/>
              <w:rPr>
                <w:rFonts w:ascii="Verdana" w:hAnsi="Verdana" w:cs="Times New Roman"/>
                <w:b/>
                <w:noProof/>
                <w:sz w:val="20"/>
                <w:szCs w:val="20"/>
              </w:rPr>
            </w:pPr>
          </w:p>
          <w:p w:rsidR="001E527A" w:rsidRDefault="00CD69DA">
            <w:pPr>
              <w:jc w:val="both"/>
              <w:rPr>
                <w:rFonts w:ascii="Verdana" w:hAnsi="Verdana" w:cs="Times New Roman"/>
                <w:noProof/>
                <w:sz w:val="20"/>
                <w:szCs w:val="20"/>
              </w:rPr>
            </w:pPr>
            <w:r>
              <w:rPr>
                <w:rFonts w:ascii="Verdana" w:hAnsi="Verdana" w:cs="Times New Roman"/>
                <w:b/>
                <w:noProof/>
                <w:sz w:val="20"/>
                <w:szCs w:val="20"/>
              </w:rPr>
              <w:t>While the pace at which jobs and their skill</w:t>
            </w:r>
            <w:r>
              <w:rPr>
                <w:rFonts w:ascii="Verdana" w:hAnsi="Verdana" w:cs="Times New Roman"/>
                <w:b/>
                <w:noProof/>
                <w:sz w:val="20"/>
                <w:szCs w:val="20"/>
              </w:rPr>
              <w:t xml:space="preserve">s requirements are changing is accelerating, participation in lifelong learning remains relatively low and stagnant </w:t>
            </w:r>
            <w:r>
              <w:rPr>
                <w:rFonts w:ascii="Verdana" w:hAnsi="Verdana" w:cs="Times New Roman"/>
                <w:noProof/>
                <w:sz w:val="20"/>
                <w:szCs w:val="20"/>
              </w:rPr>
              <w:t>for the EU as a whole (10.7% for age group 25-64 in 2015 versus 9.6% in 2005), and continues to be biased towards those who are already high</w:t>
            </w:r>
            <w:r>
              <w:rPr>
                <w:rFonts w:ascii="Verdana" w:hAnsi="Verdana" w:cs="Times New Roman"/>
                <w:noProof/>
                <w:sz w:val="20"/>
                <w:szCs w:val="20"/>
              </w:rPr>
              <w:t>-skilled and in stable employment. While digital skills are becoming increasingly important for employment and participation in society, 24% of all Europeans have no or low digital skills in 2015. This figure remains high even for the youngest generations,</w:t>
            </w:r>
            <w:r>
              <w:rPr>
                <w:rFonts w:ascii="Verdana" w:hAnsi="Verdana" w:cs="Times New Roman"/>
                <w:noProof/>
                <w:sz w:val="20"/>
                <w:szCs w:val="20"/>
              </w:rPr>
              <w:t xml:space="preserve"> at 20% of those aged 25 to 34. </w:t>
            </w:r>
          </w:p>
          <w:p w:rsidR="001E527A" w:rsidRDefault="001E527A">
            <w:pPr>
              <w:jc w:val="both"/>
              <w:rPr>
                <w:rFonts w:ascii="Verdana" w:hAnsi="Verdana" w:cs="Times New Roman"/>
                <w:b/>
                <w:noProof/>
                <w:sz w:val="20"/>
                <w:szCs w:val="20"/>
              </w:rPr>
            </w:pPr>
          </w:p>
          <w:p w:rsidR="001E527A" w:rsidRDefault="00CD69DA">
            <w:pPr>
              <w:jc w:val="both"/>
              <w:rPr>
                <w:rFonts w:ascii="Verdana" w:hAnsi="Verdana" w:cs="Times New Roman"/>
                <w:noProof/>
                <w:sz w:val="20"/>
                <w:szCs w:val="20"/>
              </w:rPr>
            </w:pPr>
            <w:r>
              <w:rPr>
                <w:rFonts w:ascii="Verdana" w:hAnsi="Verdana" w:cs="Times New Roman"/>
                <w:b/>
                <w:noProof/>
                <w:sz w:val="20"/>
                <w:szCs w:val="20"/>
              </w:rPr>
              <w:t>Equal opportunities and access to the labour market are particularly weak for persons with disabilities and migrants</w:t>
            </w:r>
            <w:r>
              <w:rPr>
                <w:rFonts w:ascii="Verdana" w:hAnsi="Verdana" w:cs="Times New Roman"/>
                <w:noProof/>
                <w:sz w:val="20"/>
                <w:szCs w:val="20"/>
              </w:rPr>
              <w:t>. People with disabilities make up 13% of the age group 15-64 in the EU, and their employment rate is 27 p</w:t>
            </w:r>
            <w:r>
              <w:rPr>
                <w:rFonts w:ascii="Verdana" w:hAnsi="Verdana" w:cs="Times New Roman"/>
                <w:noProof/>
                <w:sz w:val="20"/>
                <w:szCs w:val="20"/>
              </w:rPr>
              <w:t xml:space="preserve">ercentage points (pps) lower than that one of those without disabilities. At the same time, the employment rate gap for persons born outside the EU (age group 15-64) compared to native-born is at 8.4 pps. It is sensibly higher for women than for men (11.3 </w:t>
            </w:r>
            <w:r>
              <w:rPr>
                <w:rFonts w:ascii="Verdana" w:hAnsi="Verdana" w:cs="Times New Roman"/>
                <w:noProof/>
                <w:sz w:val="20"/>
                <w:szCs w:val="20"/>
              </w:rPr>
              <w:t>pps versus 4.7 pps).</w:t>
            </w:r>
          </w:p>
          <w:p w:rsidR="001E527A" w:rsidRDefault="001E527A">
            <w:pPr>
              <w:jc w:val="both"/>
              <w:rPr>
                <w:rFonts w:ascii="Verdana" w:hAnsi="Verdana" w:cs="Times New Roman"/>
                <w:noProof/>
                <w:sz w:val="20"/>
                <w:szCs w:val="20"/>
              </w:rPr>
            </w:pPr>
          </w:p>
          <w:p w:rsidR="001E527A" w:rsidRDefault="00CD69DA">
            <w:pPr>
              <w:spacing w:after="200"/>
              <w:jc w:val="both"/>
              <w:rPr>
                <w:rFonts w:ascii="Verdana" w:hAnsi="Verdana" w:cs="Times New Roman"/>
                <w:noProof/>
                <w:sz w:val="20"/>
                <w:szCs w:val="20"/>
              </w:rPr>
            </w:pPr>
            <w:r>
              <w:rPr>
                <w:rFonts w:ascii="Verdana" w:hAnsi="Verdana" w:cs="Times New Roman"/>
                <w:b/>
                <w:noProof/>
                <w:sz w:val="20"/>
                <w:szCs w:val="20"/>
              </w:rPr>
              <w:t>Important inequalities in the labour market remain between women and men</w:t>
            </w:r>
            <w:r>
              <w:rPr>
                <w:rFonts w:ascii="Verdana" w:hAnsi="Verdana" w:cs="Times New Roman"/>
                <w:noProof/>
                <w:sz w:val="20"/>
                <w:szCs w:val="20"/>
              </w:rPr>
              <w:t>. In spite of the fact that women tend to be higher-qualified than men, their careers are often more interrupted, they have lower pay and their careers are flatter. As a consequence, women earn less than men over their life cycle, and their pensions are lo</w:t>
            </w:r>
            <w:r>
              <w:rPr>
                <w:rFonts w:ascii="Verdana" w:hAnsi="Verdana" w:cs="Times New Roman"/>
                <w:noProof/>
                <w:sz w:val="20"/>
                <w:szCs w:val="20"/>
              </w:rPr>
              <w:t>wer. The gender pay gap stood at 16.3% in 2015 and the gender gap in earnings, which comprises inequalities resulting from the gaps in pay, working hours and employment, stood at 39.8% in 2014. Part of this is due to the unequal uptake of family care respo</w:t>
            </w:r>
            <w:r>
              <w:rPr>
                <w:rFonts w:ascii="Verdana" w:hAnsi="Verdana" w:cs="Times New Roman"/>
                <w:noProof/>
                <w:sz w:val="20"/>
                <w:szCs w:val="20"/>
              </w:rPr>
              <w:t xml:space="preserve">nsibilities between men and women: women work less often than men, and if they do so, it is more often on a part-time basis. In 2015, the gender employment rate gap (in full time equivalents) stood at 18.1 pps for the EU on average. </w:t>
            </w:r>
          </w:p>
        </w:tc>
      </w:tr>
    </w:tbl>
    <w:p w:rsidR="001E527A" w:rsidRDefault="001E527A">
      <w:pPr>
        <w:rPr>
          <w:rFonts w:ascii="Verdana" w:hAnsi="Verdana" w:cs="Times New Roman"/>
          <w:i/>
          <w:noProof/>
          <w:sz w:val="24"/>
          <w:szCs w:val="24"/>
          <w:u w:val="single"/>
        </w:rPr>
        <w:sectPr w:rsidR="001E527A">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8" w:right="1134" w:bottom="1418" w:left="1134" w:header="709" w:footer="709" w:gutter="0"/>
          <w:cols w:space="708"/>
          <w:titlePg/>
          <w:docGrid w:linePitch="360"/>
        </w:sectPr>
      </w:pPr>
    </w:p>
    <w:p w:rsidR="001E527A" w:rsidRDefault="00CD69DA">
      <w:pPr>
        <w:jc w:val="both"/>
        <w:rPr>
          <w:rFonts w:ascii="Verdana" w:hAnsi="Verdana" w:cs="Times New Roman"/>
          <w:b/>
          <w:i/>
          <w:noProof/>
          <w:sz w:val="20"/>
          <w:szCs w:val="20"/>
          <w:u w:val="single"/>
        </w:rPr>
      </w:pPr>
      <w:r>
        <w:rPr>
          <w:rFonts w:ascii="Verdana" w:hAnsi="Verdana" w:cs="Times New Roman"/>
          <w:b/>
          <w:i/>
          <w:noProof/>
          <w:sz w:val="20"/>
          <w:szCs w:val="20"/>
          <w:u w:val="single"/>
        </w:rPr>
        <w:t>What people told us</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Investing in skills and education should be a top priority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Social partners, think tanks and governmental authorities ranked skills, education and lifelong learning as top priority areas for convergence. In this context, the European Parliament supported a </w:t>
      </w:r>
      <w:r>
        <w:rPr>
          <w:rFonts w:ascii="Verdana" w:hAnsi="Verdana" w:cs="Times New Roman"/>
          <w:b/>
          <w:noProof/>
          <w:sz w:val="20"/>
          <w:szCs w:val="20"/>
        </w:rPr>
        <w:t>Skills Guarantee as a new right for everyone</w:t>
      </w:r>
      <w:r>
        <w:rPr>
          <w:rFonts w:ascii="Verdana" w:hAnsi="Verdana" w:cs="Times New Roman"/>
          <w:noProof/>
          <w:sz w:val="20"/>
          <w:szCs w:val="20"/>
        </w:rPr>
        <w:t>, at every stag</w:t>
      </w:r>
      <w:r>
        <w:rPr>
          <w:rFonts w:ascii="Verdana" w:hAnsi="Verdana" w:cs="Times New Roman"/>
          <w:noProof/>
          <w:sz w:val="20"/>
          <w:szCs w:val="20"/>
        </w:rPr>
        <w:t>e of life, to acquire fundamental skills for the 21st century.</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Investing in relevant skills and human capital, including entrepreneurship, as well as strengthening the </w:t>
      </w:r>
      <w:r>
        <w:rPr>
          <w:rFonts w:ascii="Verdana" w:hAnsi="Verdana" w:cs="Times New Roman"/>
          <w:b/>
          <w:noProof/>
          <w:sz w:val="20"/>
          <w:szCs w:val="20"/>
        </w:rPr>
        <w:t>quality of education and training systems</w:t>
      </w:r>
      <w:r>
        <w:rPr>
          <w:rFonts w:ascii="Verdana" w:hAnsi="Verdana" w:cs="Times New Roman"/>
          <w:noProof/>
          <w:sz w:val="20"/>
          <w:szCs w:val="20"/>
        </w:rPr>
        <w:t xml:space="preserve"> were considered salient to address the emergin</w:t>
      </w:r>
      <w:r>
        <w:rPr>
          <w:rFonts w:ascii="Verdana" w:hAnsi="Verdana" w:cs="Times New Roman"/>
          <w:noProof/>
          <w:sz w:val="20"/>
          <w:szCs w:val="20"/>
        </w:rPr>
        <w:t>g challenges in the labour market. Concrete proposals raised in this area included the creation of a European quality framework for apprenticeship</w:t>
      </w:r>
      <w:r>
        <w:rPr>
          <w:rStyle w:val="FootnoteReference"/>
          <w:rFonts w:ascii="Verdana" w:hAnsi="Verdana" w:cs="Times New Roman"/>
          <w:noProof/>
          <w:sz w:val="20"/>
          <w:szCs w:val="20"/>
        </w:rPr>
        <w:footnoteReference w:id="55"/>
      </w:r>
      <w:r>
        <w:rPr>
          <w:rFonts w:ascii="Verdana" w:hAnsi="Verdana" w:cs="Times New Roman"/>
          <w:noProof/>
          <w:sz w:val="20"/>
          <w:szCs w:val="20"/>
        </w:rPr>
        <w:t xml:space="preserve">, the definition of statutory minimum standards for education and training at EU level, and increasing the </w:t>
      </w:r>
      <w:r>
        <w:rPr>
          <w:rFonts w:ascii="Verdana" w:hAnsi="Verdana" w:cs="Times New Roman"/>
          <w:noProof/>
          <w:sz w:val="20"/>
          <w:szCs w:val="20"/>
        </w:rPr>
        <w:t>proportion of workers participating in continuous vocational training and education</w:t>
      </w:r>
      <w:r>
        <w:rPr>
          <w:rStyle w:val="FootnoteReference"/>
          <w:rFonts w:ascii="Verdana" w:hAnsi="Verdana" w:cs="Times New Roman"/>
          <w:noProof/>
          <w:sz w:val="20"/>
          <w:szCs w:val="20"/>
        </w:rPr>
        <w:footnoteReference w:id="56"/>
      </w:r>
      <w:r>
        <w:rPr>
          <w:rFonts w:ascii="Verdana" w:hAnsi="Verdana" w:cs="Times New Roman"/>
          <w:noProof/>
          <w:sz w:val="20"/>
          <w:szCs w:val="20"/>
        </w:rPr>
        <w:t xml:space="preserve">.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Promoting entrepreneurship and skills: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The "Slush" annual start-up event in Finland</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In November 2008, 300 people attended the first annual "Slush" event, or</w:t>
      </w:r>
      <w:r>
        <w:rPr>
          <w:rFonts w:ascii="Verdana" w:hAnsi="Verdana" w:cs="Times New Roman"/>
          <w:noProof/>
          <w:sz w:val="20"/>
          <w:szCs w:val="20"/>
        </w:rPr>
        <w:t>ganised by leading Finnish entrepreneurs to promote entrepreneurship as the future of Europe. By 2016 attendance had risen to more than 17,500 people, from 120 countries, and 1 million live stream viewers, making it Europe's leading start-up event.</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Slush i</w:t>
      </w:r>
      <w:r>
        <w:rPr>
          <w:rFonts w:ascii="Verdana" w:hAnsi="Verdana" w:cs="Times New Roman"/>
          <w:noProof/>
          <w:sz w:val="20"/>
          <w:szCs w:val="20"/>
        </w:rPr>
        <w:t>s a student-driven, non-profit movement originally founded to change attitudes toward entrepreneurship. The very core of the event is to facilitate meetings between start-ups and investors and to build a world-wide start-up community. The annual event cont</w:t>
      </w:r>
      <w:r>
        <w:rPr>
          <w:rFonts w:ascii="Verdana" w:hAnsi="Verdana" w:cs="Times New Roman"/>
          <w:noProof/>
          <w:sz w:val="20"/>
          <w:szCs w:val="20"/>
        </w:rPr>
        <w:t>ributes to help the growing number of successful European tech firms, including start-ups, to go to market.</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as it contributes to job creation and growth …</w:t>
      </w:r>
    </w:p>
    <w:p w:rsidR="001E527A" w:rsidRDefault="00CD69DA">
      <w:pPr>
        <w:jc w:val="both"/>
        <w:rPr>
          <w:rFonts w:ascii="Verdana" w:hAnsi="Verdana" w:cs="Times New Roman"/>
          <w:noProof/>
          <w:sz w:val="20"/>
          <w:szCs w:val="20"/>
        </w:rPr>
      </w:pPr>
      <w:r>
        <w:rPr>
          <w:rFonts w:ascii="Verdana" w:hAnsi="Verdana" w:cs="Times New Roman"/>
          <w:noProof/>
          <w:sz w:val="20"/>
          <w:szCs w:val="20"/>
        </w:rPr>
        <w:t>Governments and employers</w:t>
      </w:r>
      <w:r>
        <w:rPr>
          <w:rStyle w:val="FootnoteReference"/>
          <w:rFonts w:ascii="Verdana" w:hAnsi="Verdana" w:cs="Times New Roman"/>
          <w:noProof/>
          <w:sz w:val="20"/>
          <w:szCs w:val="20"/>
        </w:rPr>
        <w:footnoteReference w:id="57"/>
      </w:r>
      <w:r>
        <w:rPr>
          <w:rFonts w:ascii="Verdana" w:hAnsi="Verdana" w:cs="Times New Roman"/>
          <w:noProof/>
          <w:sz w:val="20"/>
          <w:szCs w:val="20"/>
        </w:rPr>
        <w:t xml:space="preserve"> emphasised skills as a driver of job creation and growth. A more comprehensive approach to re-skilling should build on skills anticipation, strengthened vocational education and training, life-long learning, support for entrepreneurship and increased empl</w:t>
      </w:r>
      <w:r>
        <w:rPr>
          <w:rFonts w:ascii="Verdana" w:hAnsi="Verdana" w:cs="Times New Roman"/>
          <w:noProof/>
          <w:sz w:val="20"/>
          <w:szCs w:val="20"/>
        </w:rPr>
        <w:t>oyer responsibility</w:t>
      </w:r>
      <w:r>
        <w:rPr>
          <w:rStyle w:val="FootnoteReference"/>
          <w:rFonts w:ascii="Verdana" w:hAnsi="Verdana" w:cs="Times New Roman"/>
          <w:noProof/>
          <w:sz w:val="20"/>
          <w:szCs w:val="20"/>
        </w:rPr>
        <w:footnoteReference w:id="58"/>
      </w:r>
      <w:r>
        <w:rPr>
          <w:rFonts w:ascii="Verdana" w:hAnsi="Verdana" w:cs="Times New Roman"/>
          <w:noProof/>
          <w:sz w:val="20"/>
          <w:szCs w:val="20"/>
        </w:rPr>
        <w:t>.</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In particular, </w:t>
      </w:r>
      <w:r>
        <w:rPr>
          <w:rFonts w:ascii="Verdana" w:hAnsi="Verdana" w:cs="Times New Roman"/>
          <w:b/>
          <w:noProof/>
          <w:sz w:val="20"/>
          <w:szCs w:val="20"/>
        </w:rPr>
        <w:t>adapting education and training to the needs of the labour market</w:t>
      </w:r>
      <w:r>
        <w:rPr>
          <w:rFonts w:ascii="Verdana" w:hAnsi="Verdana" w:cs="Times New Roman"/>
          <w:noProof/>
          <w:sz w:val="20"/>
          <w:szCs w:val="20"/>
        </w:rPr>
        <w:t xml:space="preserve"> was seen as a top priority among national authorities in many countries</w:t>
      </w:r>
      <w:r>
        <w:rPr>
          <w:rStyle w:val="FootnoteReference"/>
          <w:rFonts w:ascii="Verdana" w:hAnsi="Verdana" w:cs="Times New Roman"/>
          <w:noProof/>
          <w:sz w:val="20"/>
          <w:szCs w:val="20"/>
        </w:rPr>
        <w:footnoteReference w:id="59"/>
      </w:r>
      <w:r>
        <w:rPr>
          <w:rFonts w:ascii="Verdana" w:hAnsi="Verdana" w:cs="Times New Roman"/>
          <w:noProof/>
          <w:sz w:val="20"/>
          <w:szCs w:val="20"/>
        </w:rPr>
        <w:t>, particularly to tackle youth unemployment. International organisations</w:t>
      </w:r>
      <w:r>
        <w:rPr>
          <w:rStyle w:val="FootnoteReference"/>
          <w:rFonts w:ascii="Verdana" w:hAnsi="Verdana" w:cs="Times New Roman"/>
          <w:noProof/>
          <w:sz w:val="20"/>
          <w:szCs w:val="20"/>
        </w:rPr>
        <w:footnoteReference w:id="60"/>
      </w:r>
      <w:r>
        <w:rPr>
          <w:rFonts w:ascii="Verdana" w:hAnsi="Verdana" w:cs="Times New Roman"/>
          <w:noProof/>
          <w:sz w:val="20"/>
          <w:szCs w:val="20"/>
        </w:rPr>
        <w:t xml:space="preserve"> also re</w:t>
      </w:r>
      <w:r>
        <w:rPr>
          <w:rFonts w:ascii="Verdana" w:hAnsi="Verdana" w:cs="Times New Roman"/>
          <w:noProof/>
          <w:sz w:val="20"/>
          <w:szCs w:val="20"/>
        </w:rPr>
        <w:t>cognised the crucial role of skills and saw scope for the benchmarking of re-training and re-skilling programmes in the Member States to improve their quality and outcomes.</w:t>
      </w:r>
    </w:p>
    <w:p w:rsidR="001E527A" w:rsidRDefault="001E527A">
      <w:pPr>
        <w:shd w:val="clear" w:color="auto" w:fill="F2DBDB" w:themeFill="accent2" w:themeFillTint="33"/>
        <w:jc w:val="both"/>
        <w:rPr>
          <w:rFonts w:ascii="Verdana" w:hAnsi="Verdana" w:cs="Times New Roman"/>
          <w:b/>
          <w:noProof/>
          <w:sz w:val="20"/>
          <w:szCs w:val="20"/>
        </w:rPr>
        <w:sectPr w:rsidR="001E527A">
          <w:headerReference w:type="even" r:id="rId31"/>
          <w:headerReference w:type="default" r:id="rId32"/>
          <w:footerReference w:type="even" r:id="rId33"/>
          <w:footerReference w:type="default" r:id="rId34"/>
          <w:headerReference w:type="first" r:id="rId35"/>
          <w:footerReference w:type="first" r:id="rId36"/>
          <w:pgSz w:w="11906" w:h="16838"/>
          <w:pgMar w:top="1418" w:right="1134" w:bottom="1418" w:left="1134" w:header="709" w:footer="709" w:gutter="0"/>
          <w:cols w:space="708"/>
          <w:docGrid w:linePitch="360"/>
        </w:sectPr>
      </w:pP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Social inclusion through business-learning: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The Rotterdam Business Case</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Rotterdam is taking a novel approach to support its 3,500 self-employed citizens living below the poverty line. Instead of receiving just a payment </w:t>
      </w:r>
      <w:r>
        <w:rPr>
          <w:rFonts w:ascii="Verdana" w:hAnsi="Verdana" w:cs="Times New Roman"/>
          <w:noProof/>
          <w:sz w:val="20"/>
          <w:szCs w:val="20"/>
        </w:rPr>
        <w:t>to meet today’s emergency needs, they are learning business skills that will help them rise out of poverty. Practical support ranges from writing a business plan to organising financial administration and preparing annual reports. If they need advice on bu</w:t>
      </w:r>
      <w:r>
        <w:rPr>
          <w:rFonts w:ascii="Verdana" w:hAnsi="Verdana" w:cs="Times New Roman"/>
          <w:noProof/>
          <w:sz w:val="20"/>
          <w:szCs w:val="20"/>
        </w:rPr>
        <w:t>siness vision and strategy they can work with an expert coach from the Entrepreneurial Sound Board foundation. If their most pressing need is financial support, they can arrange a meeting with the Regional Bureau for the Self-Employed.</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Over 550 small busin</w:t>
      </w:r>
      <w:r>
        <w:rPr>
          <w:rFonts w:ascii="Verdana" w:hAnsi="Verdana" w:cs="Times New Roman"/>
          <w:noProof/>
          <w:sz w:val="20"/>
          <w:szCs w:val="20"/>
        </w:rPr>
        <w:t>ess owners, from hairdressers to artists and restaurateurs, have benefited from up to six-month help learning business principles and addressing their business problems.</w:t>
      </w:r>
    </w:p>
    <w:p w:rsidR="001E527A" w:rsidRDefault="001E527A">
      <w:pPr>
        <w:spacing w:after="0" w:line="240" w:lineRule="auto"/>
        <w:jc w:val="both"/>
        <w:rPr>
          <w:rFonts w:ascii="Verdana" w:eastAsiaTheme="majorEastAsia" w:hAnsi="Verdana" w:cstheme="majorBidi"/>
          <w:iCs/>
          <w:noProof/>
          <w:color w:val="595959" w:themeColor="text1" w:themeTint="A6"/>
          <w:sz w:val="20"/>
          <w:szCs w:val="20"/>
        </w:rPr>
      </w:pP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with a focus on lifelong education and support for the disadvantaged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A number of </w:t>
      </w:r>
      <w:r>
        <w:rPr>
          <w:rFonts w:ascii="Verdana" w:hAnsi="Verdana" w:cs="Times New Roman"/>
          <w:noProof/>
          <w:sz w:val="20"/>
          <w:szCs w:val="20"/>
        </w:rPr>
        <w:t xml:space="preserve">trade unions and NGOs shared the view that equality of access to education and </w:t>
      </w:r>
      <w:r>
        <w:rPr>
          <w:rFonts w:ascii="Verdana" w:hAnsi="Verdana" w:cs="Times New Roman"/>
          <w:b/>
          <w:noProof/>
          <w:sz w:val="20"/>
          <w:szCs w:val="20"/>
        </w:rPr>
        <w:t>lifelong learning</w:t>
      </w:r>
      <w:r>
        <w:rPr>
          <w:rFonts w:ascii="Verdana" w:hAnsi="Verdana" w:cs="Times New Roman"/>
          <w:noProof/>
          <w:sz w:val="20"/>
          <w:szCs w:val="20"/>
        </w:rPr>
        <w:t xml:space="preserve"> is of primary importance in the fight against social exclusion too. Social economy initiatives were mentioned as good practice for up-skilling persons excluded</w:t>
      </w:r>
      <w:r>
        <w:rPr>
          <w:rFonts w:ascii="Verdana" w:hAnsi="Verdana" w:cs="Times New Roman"/>
          <w:noProof/>
          <w:sz w:val="20"/>
          <w:szCs w:val="20"/>
        </w:rPr>
        <w:t xml:space="preserve"> from the labour market</w:t>
      </w:r>
      <w:r>
        <w:rPr>
          <w:rStyle w:val="FootnoteReference"/>
          <w:rFonts w:ascii="Verdana" w:hAnsi="Verdana" w:cs="Times New Roman"/>
          <w:noProof/>
          <w:sz w:val="20"/>
          <w:szCs w:val="20"/>
        </w:rPr>
        <w:footnoteReference w:id="61"/>
      </w:r>
      <w:r>
        <w:rPr>
          <w:rFonts w:ascii="Verdana" w:hAnsi="Verdana" w:cs="Times New Roman"/>
          <w:noProof/>
          <w:sz w:val="20"/>
          <w:szCs w:val="20"/>
        </w:rPr>
        <w:t>.</w:t>
      </w:r>
      <w:r>
        <w:rPr>
          <w:rFonts w:ascii="Verdana" w:hAnsi="Verdana" w:cs="Times New Roman"/>
          <w:noProof/>
          <w:sz w:val="20"/>
          <w:szCs w:val="20"/>
          <w:lang w:eastAsia="en-GB"/>
        </w:rPr>
        <mc:AlternateContent>
          <mc:Choice Requires="wps">
            <w:drawing>
              <wp:anchor distT="0" distB="0" distL="180340" distR="114300" simplePos="0" relativeHeight="251869184" behindDoc="1" locked="1" layoutInCell="0" allowOverlap="0">
                <wp:simplePos x="0" y="0"/>
                <wp:positionH relativeFrom="margin">
                  <wp:posOffset>4251325</wp:posOffset>
                </wp:positionH>
                <wp:positionV relativeFrom="paragraph">
                  <wp:posOffset>-831215</wp:posOffset>
                </wp:positionV>
                <wp:extent cx="1040765" cy="2750820"/>
                <wp:effectExtent l="516573" t="0" r="9207" b="9208"/>
                <wp:wrapSquare wrapText="bothSides"/>
                <wp:docPr id="2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40765" cy="2750820"/>
                        </a:xfrm>
                        <a:prstGeom prst="wedgeRoundRectCallout">
                          <a:avLst>
                            <a:gd name="adj1" fmla="val -18808"/>
                            <a:gd name="adj2" fmla="val 68171"/>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88" w:lineRule="auto"/>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b/>
                                <w:i/>
                                <w:iCs/>
                                <w:color w:val="FFFFFF" w:themeColor="background1"/>
                                <w:sz w:val="18"/>
                                <w:szCs w:val="18"/>
                              </w:rPr>
                              <w:t>Swedish Government:</w:t>
                            </w:r>
                            <w:r>
                              <w:rPr>
                                <w:rFonts w:asciiTheme="majorHAnsi" w:eastAsiaTheme="majorEastAsia" w:hAnsiTheme="majorHAnsi" w:cstheme="majorBidi"/>
                                <w:i/>
                                <w:iCs/>
                                <w:color w:val="FFFFFF" w:themeColor="background1"/>
                                <w:sz w:val="18"/>
                                <w:szCs w:val="18"/>
                              </w:rPr>
                              <w:t xml:space="preserve"> "Access to lifelong learning creates good conditions for a flexible labour market, which is a prerequisite for the EU’s global competitiveness."</w:t>
                            </w:r>
                          </w:p>
                          <w:p w:rsidR="001E527A" w:rsidRDefault="001E527A">
                            <w:pPr>
                              <w:spacing w:line="240" w:lineRule="auto"/>
                              <w:jc w:val="center"/>
                              <w:rPr>
                                <w:rFonts w:asciiTheme="majorHAnsi" w:eastAsiaTheme="majorEastAsia" w:hAnsiTheme="majorHAnsi" w:cstheme="majorBidi"/>
                                <w:i/>
                                <w:iCs/>
                                <w:color w:val="D2DFEE" w:themeColor="accent1" w:themeTint="40"/>
                                <w:sz w:val="18"/>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62" style="position:absolute;left:0;text-align:left;margin-left:334.75pt;margin-top:-65.45pt;width:81.95pt;height:216.6pt;rotation:90;z-index:-251447296;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LbQAMAAM8GAAAOAAAAZHJzL2Uyb0RvYy54bWysVV1v2zYUfR+w/0DwXdGHJesDUYrYsYsB&#10;6VY0G/ZMi5TFliJVko6cFvvvu6SUWFn7UGyzAUEUry7vOfecq+s3516gR6YNV7LG8VWEEZONolwe&#10;a/zH7/ugwMhYIikRSrIaPzGD39z8/NP1OFQsUZ0SlGkESaSpxqHGnbVDFYam6VhPzJUamITNVume&#10;WFjqY0g1GSF7L8IkitbhqDQdtGqYMfD0btrENz5/27LG/ta2hlkkagy1WX/V/npw1/DmmlRHTYaO&#10;N3MZ5F9U0RMu4dCXVHfEEnTS/JtUPW+0Mqq1V43qQ9W2vGEeA6CJo3+geejIwDwWIMcMLzSZ/y9t&#10;8+vje404rXFSJhhJ0kOTbk9W+bNR4ggaB1NB3MPwXjuIZrhXzSeDpNp2RB7ZrdZq7BihUFbs4sNX&#10;L7iFgVfRYXynKGQnkN1zdW51j7SCnmRp5H7+KXCCzr5BTy8NYmeLGngYR2mUrzOMGthL8iwqEt/C&#10;kFQumatu0Ma+ZapH7qbGI6NH9kGdJP0AWtgSIdTJ+nPI472xvmV0hk3oxxijtheggEciUBAXRVTM&#10;ElkEAU+XoHUR5x419H4Rs1rGxOv1OvfMkGo+Fip+rtRzqgSney6EX+jjYSs0ghoA8j4t87v5ZbMM&#10;A1JmBI4eL7avZZyk0SYpg/26yIN0n2ZBmUdFEMXlplxHaZne7f9y8OO06jilTN5zyZ6FH6c/JqzZ&#10;gpNkvfTRWONVnGee2VdVmiWYbFusNun3wGjXIm9Gp6TdfG8JF9N9+LpiEBmpALaj64L+dp9Feboq&#10;gjzPVkG62kXBpthvg9stdCDfbbabXfwa/c6PCPPfCfCF+GRzT0BmTD90dESUOyGusjIBdVEOwyfJ&#10;J7kjIo4wNRursfPBn9x23nZO998IAaQI/0m6YujIJI/M+8aZDow5Ue3vX46fmLpUtiByBn/hcuLU&#10;A/Aedrad7G/Ph/M0JbwfnKcPij6Bq71/YbLCNwBQdkp/wWiEeVpj8/lENMNI/CJhMpRxmroB7Bdp&#10;loNxkV7uHJY7RDaQaqZmWmztNLZPg+bHDs6KPRdSuWnVcvs8eKa6AJQrEqamhzdPeDeWl2sfdfkO&#10;3fwNAAD//wMAUEsDBBQABgAIAAAAIQB1u1OS3QAAAAkBAAAPAAAAZHJzL2Rvd25yZXYueG1sTI/L&#10;TsMwEEX3SPyDNUjsqFNa3CbEqRCIVdkQYD+NhyTEj8h22vTvMSu6HN2je8+Uu9lodiQfemclLBcZ&#10;MLKNU71tJXx+vN5tgYWIVqF2liScKcCuur4qsVDuZN/pWMeWpRIbCpTQxTgWnIemI4Nh4UayKft2&#10;3mBMp2+58nhK5Ubz+ywT3GBv00KHIz131Az1ZCTk4ifbnzXfe5poPbx9DVi/DFLe3sxPj8AizfEf&#10;hj/9pA5Vcjq4yarAtISH1TpPqITVBljKc7FdAjskUGwE8Krklx9UvwAAAP//AwBQSwECLQAUAAYA&#10;CAAAACEAtoM4kv4AAADhAQAAEwAAAAAAAAAAAAAAAAAAAAAAW0NvbnRlbnRfVHlwZXNdLnhtbFBL&#10;AQItABQABgAIAAAAIQA4/SH/1gAAAJQBAAALAAAAAAAAAAAAAAAAAC8BAABfcmVscy8ucmVsc1BL&#10;AQItABQABgAIAAAAIQBqWxLbQAMAAM8GAAAOAAAAAAAAAAAAAAAAAC4CAABkcnMvZTJvRG9jLnht&#10;bFBLAQItABQABgAIAAAAIQB1u1OS3QAAAAkBAAAPAAAAAAAAAAAAAAAAAJoFAABkcnMvZG93bnJl&#10;di54bWxQSwUGAAAAAAQABADzAAAApAYAAAAA&#10;" o:allowincell="f" o:allowoverlap="f" adj="6737,25525" fillcolor="#1f497d" stroked="f" strokecolor="#5c83b4" strokeweight=".25pt">
                <v:stroke joinstyle="round"/>
                <v:shadow opacity=".5"/>
                <v:textbox>
                  <w:txbxContent>
                    <w:p>
                      <w:pPr>
                        <w:spacing w:after="0" w:line="288" w:lineRule="auto"/>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b/>
                          <w:i/>
                          <w:iCs/>
                          <w:color w:val="FFFFFF" w:themeColor="background1"/>
                          <w:sz w:val="18"/>
                          <w:szCs w:val="18"/>
                        </w:rPr>
                        <w:t>Swedish Government:</w:t>
                      </w:r>
                      <w:r>
                        <w:rPr>
                          <w:rFonts w:asciiTheme="majorHAnsi" w:eastAsiaTheme="majorEastAsia" w:hAnsiTheme="majorHAnsi" w:cstheme="majorBidi"/>
                          <w:i/>
                          <w:iCs/>
                          <w:color w:val="FFFFFF" w:themeColor="background1"/>
                          <w:sz w:val="18"/>
                          <w:szCs w:val="18"/>
                        </w:rPr>
                        <w:t xml:space="preserve"> "Access to lifelong learning creates good conditions for a flexible labour market, which is a prerequisite for the EU’s global competitiveness."</w:t>
                      </w:r>
                    </w:p>
                    <w:p>
                      <w:pPr>
                        <w:spacing w:line="240" w:lineRule="auto"/>
                        <w:jc w:val="center"/>
                        <w:rPr>
                          <w:rFonts w:asciiTheme="majorHAnsi" w:eastAsiaTheme="majorEastAsia" w:hAnsiTheme="majorHAnsi" w:cstheme="majorBidi"/>
                          <w:i/>
                          <w:iCs/>
                          <w:color w:val="D2DFEE" w:themeColor="accent1" w:themeTint="40"/>
                          <w:sz w:val="18"/>
                          <w:szCs w:val="20"/>
                        </w:rPr>
                      </w:pPr>
                    </w:p>
                  </w:txbxContent>
                </v:textbox>
                <w10:wrap type="square" anchorx="margin"/>
                <w10:anchorlock/>
              </v:shape>
            </w:pict>
          </mc:Fallback>
        </mc:AlternateConten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Fostering the skills needed for entrepreneurship: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i/>
          <w:noProof/>
          <w:sz w:val="20"/>
          <w:szCs w:val="20"/>
          <w:u w:val="single"/>
        </w:rPr>
        <w:t>One of Gothenburg's entrepreneurial hub</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Gothenburg developed the Entrepreneurial West Hisingen project as a means of breaking the cycle of disengagement and poverty in the neighbourhood, and to help citizens acquire skills and knowledge for employability.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project, running in 2012 – 2014, ha</w:t>
      </w:r>
      <w:r>
        <w:rPr>
          <w:rFonts w:ascii="Verdana" w:hAnsi="Verdana" w:cs="Times New Roman"/>
          <w:noProof/>
          <w:sz w:val="20"/>
          <w:szCs w:val="20"/>
        </w:rPr>
        <w:t xml:space="preserve">d three strands: stimulating start-ups, increasing the survival rate and growth of existing businesses, and embedding entrepreneurship education into schools. The project held some 600 start-up talks, leading to the creation of 100 new businesses.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One of </w:t>
      </w:r>
      <w:r>
        <w:rPr>
          <w:rFonts w:ascii="Verdana" w:hAnsi="Verdana" w:cs="Times New Roman"/>
          <w:noProof/>
          <w:sz w:val="20"/>
          <w:szCs w:val="20"/>
        </w:rPr>
        <w:t>the most challenging aspects of the project was working with schools to implement entrepreneurial education as part of the mainstream curriculum. This meant persuading local politicians of the value of prioritising entrepreneurial and business learning ove</w:t>
      </w:r>
      <w:r>
        <w:rPr>
          <w:rFonts w:ascii="Verdana" w:hAnsi="Verdana" w:cs="Times New Roman"/>
          <w:noProof/>
          <w:sz w:val="20"/>
          <w:szCs w:val="20"/>
        </w:rPr>
        <w:t xml:space="preserve">r traditional subjects. Ten schools have since created plans to systematically work with entrepreneurship.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with an increased role for social partners.</w:t>
      </w:r>
    </w:p>
    <w:p w:rsidR="001E527A" w:rsidRDefault="00CD69DA">
      <w:pPr>
        <w:jc w:val="both"/>
        <w:rPr>
          <w:rFonts w:ascii="Verdana" w:hAnsi="Verdana" w:cs="Times New Roman"/>
          <w:noProof/>
          <w:sz w:val="20"/>
          <w:szCs w:val="20"/>
        </w:rPr>
      </w:pPr>
      <w:r>
        <w:rPr>
          <w:rFonts w:ascii="Verdana" w:hAnsi="Verdana" w:cs="Times New Roman"/>
          <w:noProof/>
          <w:sz w:val="20"/>
          <w:szCs w:val="20"/>
        </w:rPr>
        <w:t>It was generally perceived that social partners have a key role to play for improving the skills of th</w:t>
      </w:r>
      <w:r>
        <w:rPr>
          <w:rFonts w:ascii="Verdana" w:hAnsi="Verdana" w:cs="Times New Roman"/>
          <w:noProof/>
          <w:sz w:val="20"/>
          <w:szCs w:val="20"/>
        </w:rPr>
        <w:t xml:space="preserve">e labour force, and there was agreement on the </w:t>
      </w:r>
      <w:r>
        <w:rPr>
          <w:rFonts w:ascii="Verdana" w:hAnsi="Verdana" w:cs="Times New Roman"/>
          <w:b/>
          <w:noProof/>
          <w:sz w:val="20"/>
          <w:szCs w:val="20"/>
        </w:rPr>
        <w:t>need for cost sharing</w:t>
      </w:r>
      <w:r>
        <w:rPr>
          <w:rFonts w:ascii="Verdana" w:hAnsi="Verdana" w:cs="Times New Roman"/>
          <w:noProof/>
          <w:sz w:val="20"/>
          <w:szCs w:val="20"/>
        </w:rPr>
        <w:t xml:space="preserve"> arrangements between employers, employees and the governments to extend training provision.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Proposals from trade unions included a </w:t>
      </w:r>
      <w:r>
        <w:rPr>
          <w:rFonts w:ascii="Verdana" w:hAnsi="Verdana" w:cs="Times New Roman"/>
          <w:b/>
          <w:noProof/>
          <w:sz w:val="20"/>
          <w:szCs w:val="20"/>
        </w:rPr>
        <w:t>right to training leave</w:t>
      </w:r>
      <w:r>
        <w:rPr>
          <w:rFonts w:ascii="Verdana" w:hAnsi="Verdana" w:cs="Times New Roman"/>
          <w:noProof/>
          <w:sz w:val="20"/>
          <w:szCs w:val="20"/>
        </w:rPr>
        <w:t>,</w:t>
      </w:r>
      <w:r>
        <w:rPr>
          <w:rStyle w:val="FootnoteReference"/>
          <w:rFonts w:ascii="Verdana" w:hAnsi="Verdana" w:cs="Times New Roman"/>
          <w:noProof/>
          <w:sz w:val="20"/>
          <w:szCs w:val="20"/>
        </w:rPr>
        <w:footnoteReference w:id="62"/>
      </w:r>
      <w:r>
        <w:rPr>
          <w:rFonts w:ascii="Verdana" w:hAnsi="Verdana" w:cs="Times New Roman"/>
          <w:noProof/>
          <w:sz w:val="20"/>
          <w:szCs w:val="20"/>
        </w:rPr>
        <w:t xml:space="preserve"> while employer organisations favoured more </w:t>
      </w:r>
      <w:r>
        <w:rPr>
          <w:rFonts w:ascii="Verdana" w:hAnsi="Verdana" w:cs="Times New Roman"/>
          <w:b/>
          <w:noProof/>
          <w:sz w:val="20"/>
          <w:szCs w:val="20"/>
        </w:rPr>
        <w:t>financial incentives</w:t>
      </w:r>
      <w:r>
        <w:rPr>
          <w:rFonts w:ascii="Verdana" w:hAnsi="Verdana" w:cs="Times New Roman"/>
          <w:noProof/>
          <w:sz w:val="20"/>
          <w:szCs w:val="20"/>
        </w:rPr>
        <w:t xml:space="preserve"> for employers</w:t>
      </w:r>
      <w:r>
        <w:rPr>
          <w:rStyle w:val="FootnoteReference"/>
          <w:rFonts w:ascii="Verdana" w:hAnsi="Verdana" w:cs="Times New Roman"/>
          <w:noProof/>
          <w:sz w:val="20"/>
          <w:szCs w:val="20"/>
        </w:rPr>
        <w:footnoteReference w:id="63"/>
      </w:r>
      <w:r>
        <w:rPr>
          <w:rFonts w:ascii="Verdana" w:hAnsi="Verdana" w:cs="Times New Roman"/>
          <w:noProof/>
          <w:sz w:val="20"/>
          <w:szCs w:val="20"/>
        </w:rPr>
        <w:t xml:space="preserve"> as well as stronger skills anticipation systems. Employer organisations argued for joint responsibility of the companies and the individual employees when it comes to training.</w:t>
      </w:r>
      <w:r>
        <w:rPr>
          <w:rStyle w:val="FootnoteReference"/>
          <w:rFonts w:ascii="Verdana" w:hAnsi="Verdana" w:cs="Times New Roman"/>
          <w:noProof/>
          <w:sz w:val="20"/>
          <w:szCs w:val="20"/>
        </w:rPr>
        <w:footnoteReference w:id="64"/>
      </w:r>
      <w:r>
        <w:rPr>
          <w:rFonts w:ascii="Verdana" w:hAnsi="Verdana" w:cs="Times New Roman"/>
          <w:noProof/>
          <w:sz w:val="20"/>
          <w:szCs w:val="20"/>
        </w:rPr>
        <w:t xml:space="preserve">  </w:t>
      </w:r>
      <w:r>
        <w:rPr>
          <w:rFonts w:ascii="Verdana" w:hAnsi="Verdana" w:cs="Times New Roman"/>
          <w:noProof/>
          <w:sz w:val="20"/>
          <w:szCs w:val="20"/>
          <w:lang w:eastAsia="en-GB"/>
        </w:rPr>
        <mc:AlternateContent>
          <mc:Choice Requires="wps">
            <w:drawing>
              <wp:anchor distT="0" distB="0" distL="180340" distR="114300" simplePos="0" relativeHeight="251871232" behindDoc="1" locked="1" layoutInCell="0" allowOverlap="0">
                <wp:simplePos x="0" y="0"/>
                <wp:positionH relativeFrom="margin">
                  <wp:posOffset>3907790</wp:posOffset>
                </wp:positionH>
                <wp:positionV relativeFrom="paragraph">
                  <wp:posOffset>-588645</wp:posOffset>
                </wp:positionV>
                <wp:extent cx="1599565" cy="2750820"/>
                <wp:effectExtent l="338773" t="4127" r="0" b="0"/>
                <wp:wrapSquare wrapText="bothSides"/>
                <wp:docPr id="2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99565" cy="2750820"/>
                        </a:xfrm>
                        <a:prstGeom prst="wedgeRoundRectCallout">
                          <a:avLst>
                            <a:gd name="adj1" fmla="val -21643"/>
                            <a:gd name="adj2" fmla="val 61938"/>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88" w:lineRule="auto"/>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b/>
                                <w:i/>
                                <w:iCs/>
                                <w:color w:val="FFFFFF" w:themeColor="background1"/>
                                <w:sz w:val="18"/>
                                <w:szCs w:val="18"/>
                              </w:rPr>
                              <w:t>ILO:</w:t>
                            </w:r>
                            <w:r>
                              <w:rPr>
                                <w:rFonts w:asciiTheme="majorHAnsi" w:eastAsiaTheme="majorEastAsia" w:hAnsiTheme="majorHAnsi" w:cstheme="majorBidi"/>
                                <w:i/>
                                <w:iCs/>
                                <w:color w:val="FFFFFF" w:themeColor="background1"/>
                                <w:sz w:val="18"/>
                                <w:szCs w:val="18"/>
                              </w:rPr>
                              <w:t xml:space="preserve"> “Employers are also centrally placed in terms of offering apprenticeship and internship places, as well as providing on-the-job training and skills training overall. The institutional settings should facilitate constant dialogue with the private</w:t>
                            </w:r>
                            <w:r>
                              <w:rPr>
                                <w:rFonts w:asciiTheme="majorHAnsi" w:eastAsiaTheme="majorEastAsia" w:hAnsiTheme="majorHAnsi" w:cstheme="majorBidi"/>
                                <w:i/>
                                <w:iCs/>
                                <w:color w:val="FFFFFF" w:themeColor="background1"/>
                                <w:sz w:val="18"/>
                                <w:szCs w:val="18"/>
                              </w:rPr>
                              <w:t xml:space="preserve"> sector, to allow for assessments of current and anticipated skills needs to be fed into employment and educational policies.”</w:t>
                            </w:r>
                          </w:p>
                          <w:p w:rsidR="001E527A" w:rsidRDefault="001E527A">
                            <w:pPr>
                              <w:spacing w:line="240" w:lineRule="auto"/>
                              <w:jc w:val="center"/>
                              <w:rPr>
                                <w:rFonts w:asciiTheme="majorHAnsi" w:eastAsiaTheme="majorEastAsia" w:hAnsiTheme="majorHAnsi" w:cstheme="majorBidi"/>
                                <w:i/>
                                <w:iCs/>
                                <w:color w:val="D2DFEE" w:themeColor="accent1" w:themeTint="40"/>
                                <w:sz w:val="18"/>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62" style="position:absolute;left:0;text-align:left;margin-left:307.7pt;margin-top:-46.35pt;width:125.95pt;height:216.6pt;rotation:90;z-index:-251445248;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82OwMAAM8GAAAOAAAAZHJzL2Uyb0RvYy54bWysVdtu3DYQfQ/QfyD4Lut+heXAu94NAjhN&#10;ELfoM1ekVmwlUiG51jpB/z1DSrblOg9B211AEMXRcM6ZM0eXb89Dj+6Z0lyKGocXAUZMNJJycazx&#10;77/tvQIjbYigpJeC1fiBafz26pc3l9NYsUh2sqdMIUgidDWNNe6MGSvf103HBqIv5MgEbLZSDcTA&#10;Uh19qsgE2Yfej4Ig8yep6Khkw7SGpzfzJr5y+duWNeZj22pmUF9jqM24q3LXg736V5ekOioydrxZ&#10;yiD/ooqBcAGHPqW6IYagk+KvUg28UVLL1lw0cvBl2/KGOQyAJgz+geauIyNzWIAcPT7RpP+/tM2v&#10;958U4rTGUZlgJMgATbo+GenORpElaBp1BXF34ydlIerxVjZ/aSTktiPiyK6VklPHCIWyQhvvv3jB&#10;LjS8ig7TB0khO4HsjqtzqwakJPQkTQL7c0+BE3R2DXp4ahA7G9TAwzAtyzRLMWpgL8rToIhcC31S&#10;2WS2ulFp847JAdmbGk+MHtlneRL0M2hhS/penow7h9zfauNaRhfYhP4ZYtQOPSjgnvTIi8IsiReJ&#10;rIKidVAWlnHxOiZex4RZluWOGVItx0LFj5U6TmXP6Z73vVuo42HbKwQ1AOR9UuY3y8t6HQakLAgs&#10;PU5s38owSoJNVHr7rMi9ZJ+kXpkHhReE5abMgqRMbvZ/W/hhUnWcUiZuuWCPwg+TnxPWMoKzZJ30&#10;0VTjOMxTx+yLKvUaTLot4k3yIzDKtsgNo1XSbrk3hPfzvf+yYhAZqQC2pesZ/fU+DfIkLrw8T2Mv&#10;iXeBtyn2W+96Cx3Id5vtZhe+RL9zFqH/OwGuEJds6QnIjKm7jk6IcivEOC0jUBflYD5RPssdkf4I&#10;rtkYhe0c/MFN58bO6v6VEIrA/mfp9mNHZnmkbm7s0MFgzlS7+6fjZ6aeK1sRuYB/5nLm1AFwM2zH&#10;dh5/cz6cF5ew3bMzfZD0AabazS84K3wDAGUn1VeMJvDTGusvJ6IYRv17Ac5QhkliDdgtkjSHwUVq&#10;vXNY7xDRQKqFmnmxNbNtn0bFjx2cFTouhLRu1XLzaDxzXQDKFgmu6eAtDm9teb12Uc/foavvAAAA&#10;//8DAFBLAwQUAAYACAAAACEAwxvTCeAAAAAKAQAADwAAAGRycy9kb3ducmV2LnhtbEyPwU7DMBBE&#10;70j9B2srcWudRi1KQzZVVeDAgUNbPsCNt0lEbAfbTQJfz3KC42hGM2+K3WQ6MZAPrbMIq2UCgmzl&#10;dGtrhPfzyyIDEaKyWnXOEsIXBdiVs7tC5dqN9kjDKdaCS2zIFUITY59LGaqGjApL15Nl7+q8UZGl&#10;r6X2auRy08k0SR6kUa3lhUb1dGio+jjdDMIgv9sDPb0e38KYPX9GP/j9+Yp4P5/2jyAiTfEvDL/4&#10;jA4lM13czeogOoRNumb0iLBIVyA4sN1kfO6CkK63GciykP8vlD8AAAD//wMAUEsBAi0AFAAGAAgA&#10;AAAhALaDOJL+AAAA4QEAABMAAAAAAAAAAAAAAAAAAAAAAFtDb250ZW50X1R5cGVzXS54bWxQSwEC&#10;LQAUAAYACAAAACEAOP0h/9YAAACUAQAACwAAAAAAAAAAAAAAAAAvAQAAX3JlbHMvLnJlbHNQSwEC&#10;LQAUAAYACAAAACEATrsfNjsDAADPBgAADgAAAAAAAAAAAAAAAAAuAgAAZHJzL2Uyb0RvYy54bWxQ&#10;SwECLQAUAAYACAAAACEAwxvTCeAAAAAKAQAADwAAAAAAAAAAAAAAAACVBQAAZHJzL2Rvd25yZXYu&#10;eG1sUEsFBgAAAAAEAAQA8wAAAKIGAAAAAA==&#10;" o:allowincell="f" o:allowoverlap="f" adj="6125,24179" fillcolor="#1f497d" stroked="f" strokecolor="#5c83b4" strokeweight=".25pt">
                <v:stroke joinstyle="round"/>
                <v:shadow opacity=".5"/>
                <v:textbox>
                  <w:txbxContent>
                    <w:p>
                      <w:pPr>
                        <w:spacing w:after="0" w:line="288" w:lineRule="auto"/>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b/>
                          <w:i/>
                          <w:iCs/>
                          <w:color w:val="FFFFFF" w:themeColor="background1"/>
                          <w:sz w:val="18"/>
                          <w:szCs w:val="18"/>
                        </w:rPr>
                        <w:t>ILO:</w:t>
                      </w:r>
                      <w:r>
                        <w:rPr>
                          <w:rFonts w:asciiTheme="majorHAnsi" w:eastAsiaTheme="majorEastAsia" w:hAnsiTheme="majorHAnsi" w:cstheme="majorBidi"/>
                          <w:i/>
                          <w:iCs/>
                          <w:color w:val="FFFFFF" w:themeColor="background1"/>
                          <w:sz w:val="18"/>
                          <w:szCs w:val="18"/>
                        </w:rPr>
                        <w:t xml:space="preserve"> “Employers are also centrally placed in terms of offering apprenticeship and internship places, as well as providing on-the-job training and skills training overall. The institutional settings should facilitate constant dialogue with the private sector, to allow for assessments of current and anticipated skills needs to be fed into employment and educational policies.”</w:t>
                      </w:r>
                    </w:p>
                    <w:p>
                      <w:pPr>
                        <w:spacing w:line="240" w:lineRule="auto"/>
                        <w:jc w:val="center"/>
                        <w:rPr>
                          <w:rFonts w:asciiTheme="majorHAnsi" w:eastAsiaTheme="majorEastAsia" w:hAnsiTheme="majorHAnsi" w:cstheme="majorBidi"/>
                          <w:i/>
                          <w:iCs/>
                          <w:color w:val="D2DFEE" w:themeColor="accent1" w:themeTint="40"/>
                          <w:sz w:val="18"/>
                          <w:szCs w:val="20"/>
                        </w:rPr>
                      </w:pPr>
                    </w:p>
                  </w:txbxContent>
                </v:textbox>
                <w10:wrap type="square" anchorx="margin"/>
                <w10:anchorlock/>
              </v:shape>
            </w:pict>
          </mc:Fallback>
        </mc:AlternateContent>
      </w:r>
    </w:p>
    <w:p w:rsidR="001E527A" w:rsidRDefault="00CD69DA">
      <w:pPr>
        <w:jc w:val="both"/>
        <w:rPr>
          <w:rFonts w:ascii="Verdana" w:hAnsi="Verdana" w:cs="Times New Roman"/>
          <w:noProof/>
          <w:sz w:val="20"/>
          <w:szCs w:val="20"/>
        </w:rPr>
      </w:pPr>
      <w:r>
        <w:rPr>
          <w:rFonts w:ascii="Verdana" w:hAnsi="Verdana" w:cs="Times New Roman"/>
          <w:noProof/>
          <w:sz w:val="20"/>
          <w:szCs w:val="20"/>
        </w:rPr>
        <w:t>A more fine-grained research</w:t>
      </w:r>
      <w:r>
        <w:rPr>
          <w:rStyle w:val="FootnoteReference"/>
          <w:rFonts w:ascii="Verdana" w:hAnsi="Verdana" w:cs="Times New Roman"/>
          <w:noProof/>
          <w:sz w:val="20"/>
          <w:szCs w:val="20"/>
        </w:rPr>
        <w:footnoteReference w:id="65"/>
      </w:r>
      <w:r>
        <w:rPr>
          <w:rFonts w:ascii="Verdana" w:hAnsi="Verdana" w:cs="Times New Roman"/>
          <w:noProof/>
          <w:sz w:val="20"/>
          <w:szCs w:val="20"/>
        </w:rPr>
        <w:t xml:space="preserve"> was suggested on the implementation of </w:t>
      </w:r>
      <w:r>
        <w:rPr>
          <w:rFonts w:ascii="Verdana" w:hAnsi="Verdana" w:cs="Times New Roman"/>
          <w:b/>
          <w:noProof/>
          <w:sz w:val="20"/>
          <w:szCs w:val="20"/>
        </w:rPr>
        <w:t>training clauses in collective agreements</w:t>
      </w:r>
      <w:r>
        <w:rPr>
          <w:rFonts w:ascii="Verdana" w:hAnsi="Verdana" w:cs="Times New Roman"/>
          <w:noProof/>
          <w:sz w:val="20"/>
          <w:szCs w:val="20"/>
        </w:rPr>
        <w:t xml:space="preserve"> and cost-sharing</w:t>
      </w:r>
      <w:r>
        <w:rPr>
          <w:rFonts w:ascii="Verdana" w:hAnsi="Verdana" w:cs="Times New Roman"/>
          <w:noProof/>
          <w:sz w:val="20"/>
          <w:szCs w:val="20"/>
        </w:rPr>
        <w:t xml:space="preserve"> arrangements.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Other suggestions included the creation of a </w:t>
      </w:r>
      <w:r>
        <w:rPr>
          <w:rFonts w:ascii="Verdana" w:hAnsi="Verdana" w:cs="Times New Roman"/>
          <w:b/>
          <w:noProof/>
          <w:sz w:val="20"/>
          <w:szCs w:val="20"/>
        </w:rPr>
        <w:t>legal status for interns</w:t>
      </w:r>
      <w:r>
        <w:rPr>
          <w:rFonts w:ascii="Verdana" w:hAnsi="Verdana" w:cs="Times New Roman"/>
          <w:noProof/>
          <w:sz w:val="20"/>
          <w:szCs w:val="20"/>
        </w:rPr>
        <w:t xml:space="preserve"> to prevent abuses and encourage mobility</w:t>
      </w:r>
      <w:r>
        <w:rPr>
          <w:rStyle w:val="FootnoteReference"/>
          <w:rFonts w:ascii="Verdana" w:hAnsi="Verdana" w:cs="Times New Roman"/>
          <w:noProof/>
          <w:sz w:val="20"/>
          <w:szCs w:val="20"/>
        </w:rPr>
        <w:footnoteReference w:id="66"/>
      </w:r>
      <w:r>
        <w:rPr>
          <w:rFonts w:ascii="Verdana" w:hAnsi="Verdana" w:cs="Times New Roman"/>
          <w:noProof/>
          <w:sz w:val="20"/>
          <w:szCs w:val="20"/>
        </w:rPr>
        <w:t xml:space="preserve"> and the establishment of </w:t>
      </w:r>
      <w:r>
        <w:rPr>
          <w:rFonts w:ascii="Verdana" w:hAnsi="Verdana" w:cs="Times New Roman"/>
          <w:b/>
          <w:noProof/>
          <w:sz w:val="20"/>
          <w:szCs w:val="20"/>
        </w:rPr>
        <w:t>EU-wide mechanisms for the recognition of informal skills</w:t>
      </w:r>
      <w:r>
        <w:rPr>
          <w:rStyle w:val="FootnoteReference"/>
          <w:rFonts w:ascii="Verdana" w:hAnsi="Verdana" w:cs="Times New Roman"/>
          <w:noProof/>
          <w:sz w:val="20"/>
          <w:szCs w:val="20"/>
        </w:rPr>
        <w:footnoteReference w:id="67"/>
      </w:r>
      <w:r>
        <w:rPr>
          <w:rFonts w:ascii="Verdana" w:hAnsi="Verdana" w:cs="Times New Roman"/>
          <w:noProof/>
          <w:sz w:val="20"/>
          <w:szCs w:val="20"/>
        </w:rPr>
        <w:t xml:space="preserve">.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xml:space="preserve">Inclusive growth can be further enhanced by broadening equal opportunities …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NGOs and certain national trade unions argued that </w:t>
      </w:r>
      <w:r>
        <w:rPr>
          <w:rFonts w:ascii="Verdana" w:hAnsi="Verdana" w:cs="Times New Roman"/>
          <w:b/>
          <w:noProof/>
          <w:sz w:val="20"/>
          <w:szCs w:val="20"/>
        </w:rPr>
        <w:t>equal opportunities should be mainstreamed</w:t>
      </w:r>
      <w:r>
        <w:rPr>
          <w:rFonts w:ascii="Verdana" w:hAnsi="Verdana" w:cs="Times New Roman"/>
          <w:noProof/>
          <w:sz w:val="20"/>
          <w:szCs w:val="20"/>
        </w:rPr>
        <w:t xml:space="preserve"> across the principles of the Pillar and that segregation and discrimination based o</w:t>
      </w:r>
      <w:r>
        <w:rPr>
          <w:rFonts w:ascii="Verdana" w:hAnsi="Verdana" w:cs="Times New Roman"/>
          <w:noProof/>
          <w:sz w:val="20"/>
          <w:szCs w:val="20"/>
        </w:rPr>
        <w:t>n ethnicity, sexual orientation and disability should be addressed more explicitly in the Pillar. Others pointed to an implementation gap and to the need for more proactive enforcement of existing legislation.</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and supporting gender equality and appropria</w:t>
      </w:r>
      <w:r>
        <w:rPr>
          <w:rFonts w:ascii="Verdana" w:hAnsi="Verdana" w:cs="Times New Roman"/>
          <w:i/>
          <w:noProof/>
          <w:color w:val="0070C0"/>
          <w:sz w:val="20"/>
          <w:szCs w:val="20"/>
        </w:rPr>
        <w:t>te work-life balance.</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Others called for the </w:t>
      </w:r>
      <w:r>
        <w:rPr>
          <w:rFonts w:ascii="Verdana" w:hAnsi="Verdana" w:cs="Times New Roman"/>
          <w:b/>
          <w:noProof/>
          <w:sz w:val="20"/>
          <w:szCs w:val="20"/>
        </w:rPr>
        <w:t>mainstreaming of gender equality</w:t>
      </w:r>
      <w:r>
        <w:rPr>
          <w:rFonts w:ascii="Verdana" w:hAnsi="Verdana" w:cs="Times New Roman"/>
          <w:noProof/>
          <w:sz w:val="20"/>
          <w:szCs w:val="20"/>
        </w:rPr>
        <w:t xml:space="preserve"> as it was seemingly limited to the issue of work-life balance</w:t>
      </w:r>
      <w:r>
        <w:rPr>
          <w:rStyle w:val="FootnoteReference"/>
          <w:rFonts w:ascii="Verdana" w:hAnsi="Verdana" w:cs="Times New Roman"/>
          <w:noProof/>
          <w:sz w:val="20"/>
          <w:szCs w:val="20"/>
        </w:rPr>
        <w:footnoteReference w:id="68"/>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Except for employers, there was wide consensus that gender equality and work-life balance should be supported thro</w:t>
      </w:r>
      <w:r>
        <w:rPr>
          <w:rFonts w:ascii="Verdana" w:hAnsi="Verdana" w:cs="Times New Roman"/>
          <w:noProof/>
          <w:sz w:val="20"/>
          <w:szCs w:val="20"/>
        </w:rPr>
        <w:t xml:space="preserve">ugh a revised and </w:t>
      </w:r>
      <w:r>
        <w:rPr>
          <w:rFonts w:ascii="Verdana" w:hAnsi="Verdana" w:cs="Times New Roman"/>
          <w:b/>
          <w:noProof/>
          <w:sz w:val="20"/>
          <w:szCs w:val="20"/>
        </w:rPr>
        <w:t>coherent legislative framework</w:t>
      </w:r>
      <w:r>
        <w:rPr>
          <w:rStyle w:val="FootnoteReference"/>
          <w:rFonts w:ascii="Verdana" w:hAnsi="Verdana" w:cs="Times New Roman"/>
          <w:noProof/>
          <w:sz w:val="20"/>
          <w:szCs w:val="20"/>
        </w:rPr>
        <w:footnoteReference w:id="69"/>
      </w:r>
      <w:r>
        <w:rPr>
          <w:rFonts w:ascii="Verdana" w:hAnsi="Verdana" w:cs="Times New Roman"/>
          <w:noProof/>
          <w:sz w:val="20"/>
          <w:szCs w:val="20"/>
        </w:rPr>
        <w:t xml:space="preserve"> covering maternity leave, paternity leave, parental leave and carer's leave, encouraging </w:t>
      </w:r>
      <w:r>
        <w:rPr>
          <w:rFonts w:ascii="Verdana" w:hAnsi="Verdana" w:cs="Times New Roman"/>
          <w:b/>
          <w:noProof/>
          <w:sz w:val="20"/>
          <w:szCs w:val="20"/>
        </w:rPr>
        <w:t>equal take-up of leave arrangements</w:t>
      </w:r>
      <w:r>
        <w:rPr>
          <w:rFonts w:ascii="Verdana" w:hAnsi="Verdana" w:cs="Times New Roman"/>
          <w:noProof/>
          <w:sz w:val="20"/>
          <w:szCs w:val="20"/>
        </w:rPr>
        <w:t xml:space="preserve"> by men and women across all categories of workers and self-employed in order to i</w:t>
      </w:r>
      <w:r>
        <w:rPr>
          <w:rFonts w:ascii="Verdana" w:hAnsi="Verdana" w:cs="Times New Roman"/>
          <w:noProof/>
          <w:sz w:val="20"/>
          <w:szCs w:val="20"/>
        </w:rPr>
        <w:t>mprove women's access to and position within the labour market</w:t>
      </w:r>
      <w:r>
        <w:rPr>
          <w:rStyle w:val="FootnoteReference"/>
          <w:rFonts w:ascii="Verdana" w:hAnsi="Verdana" w:cs="Times New Roman"/>
          <w:noProof/>
          <w:sz w:val="20"/>
          <w:szCs w:val="20"/>
        </w:rPr>
        <w:footnoteReference w:id="70"/>
      </w:r>
      <w:r>
        <w:rPr>
          <w:rFonts w:ascii="Verdana" w:hAnsi="Verdana" w:cs="Times New Roman"/>
          <w:noProof/>
          <w:sz w:val="20"/>
          <w:szCs w:val="20"/>
        </w:rPr>
        <w:t>. Finally, various NGOs</w:t>
      </w:r>
      <w:r>
        <w:rPr>
          <w:rStyle w:val="FootnoteReference"/>
          <w:rFonts w:ascii="Verdana" w:hAnsi="Verdana" w:cs="Times New Roman"/>
          <w:noProof/>
          <w:sz w:val="20"/>
          <w:szCs w:val="20"/>
        </w:rPr>
        <w:footnoteReference w:id="71"/>
      </w:r>
      <w:r>
        <w:rPr>
          <w:rFonts w:ascii="Verdana" w:hAnsi="Verdana" w:cs="Times New Roman"/>
          <w:noProof/>
          <w:sz w:val="20"/>
          <w:szCs w:val="20"/>
        </w:rPr>
        <w:t xml:space="preserve"> agreed that </w:t>
      </w:r>
      <w:r>
        <w:rPr>
          <w:rFonts w:ascii="Verdana" w:hAnsi="Verdana" w:cs="Times New Roman"/>
          <w:b/>
          <w:noProof/>
          <w:sz w:val="20"/>
          <w:szCs w:val="20"/>
        </w:rPr>
        <w:t>work-life balance</w:t>
      </w:r>
      <w:r>
        <w:rPr>
          <w:rFonts w:ascii="Verdana" w:hAnsi="Verdana" w:cs="Times New Roman"/>
          <w:noProof/>
          <w:sz w:val="20"/>
          <w:szCs w:val="20"/>
        </w:rPr>
        <w:t xml:space="preserve"> should not be limited to labour market considerations. </w:t>
      </w:r>
    </w:p>
    <w:p w:rsidR="001E527A" w:rsidRDefault="001E527A">
      <w:pPr>
        <w:shd w:val="clear" w:color="auto" w:fill="F2DBDB" w:themeFill="accent2" w:themeFillTint="33"/>
        <w:jc w:val="both"/>
        <w:rPr>
          <w:rFonts w:ascii="Verdana" w:hAnsi="Verdana" w:cs="Times New Roman"/>
          <w:b/>
          <w:noProof/>
          <w:sz w:val="20"/>
          <w:szCs w:val="20"/>
        </w:rPr>
        <w:sectPr w:rsidR="001E527A">
          <w:headerReference w:type="even" r:id="rId37"/>
          <w:headerReference w:type="default" r:id="rId38"/>
          <w:footerReference w:type="even" r:id="rId39"/>
          <w:footerReference w:type="default" r:id="rId40"/>
          <w:headerReference w:type="first" r:id="rId41"/>
          <w:footerReference w:type="first" r:id="rId42"/>
          <w:pgSz w:w="11906" w:h="16838"/>
          <w:pgMar w:top="1418" w:right="1134" w:bottom="1418" w:left="1134" w:header="709" w:footer="709" w:gutter="0"/>
          <w:cols w:space="708"/>
          <w:docGrid w:linePitch="360"/>
        </w:sectPr>
      </w:pP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Promoting work-life balance in the workplace: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The Family audit certification in Italy</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Family audit is a certification granted to private companies, public institutions and any other organisation which develops and im</w:t>
      </w:r>
      <w:r>
        <w:rPr>
          <w:rFonts w:ascii="Verdana" w:hAnsi="Verdana" w:cs="Times New Roman"/>
          <w:noProof/>
          <w:sz w:val="20"/>
          <w:szCs w:val="20"/>
        </w:rPr>
        <w:t xml:space="preserve">plements plans to promote and facilitate work-life balance arrangements in the workplace. Such arrangements can cover work organisation, family services, expertise of management, etc.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The audit is based on a well-developed methodology: a working group is </w:t>
      </w:r>
      <w:r>
        <w:rPr>
          <w:rFonts w:ascii="Verdana" w:hAnsi="Verdana" w:cs="Times New Roman"/>
          <w:noProof/>
          <w:sz w:val="20"/>
          <w:szCs w:val="20"/>
        </w:rPr>
        <w:t>set up with the organisation, advised by an external consultant. After carrying out an audit, each organisation develops a work-life balance plan. Its implementation is monitored by an external valuator. The process of certification is a management tool th</w:t>
      </w:r>
      <w:r>
        <w:rPr>
          <w:rFonts w:ascii="Verdana" w:hAnsi="Verdana" w:cs="Times New Roman"/>
          <w:noProof/>
          <w:sz w:val="20"/>
          <w:szCs w:val="20"/>
        </w:rPr>
        <w:t xml:space="preserve">at improves the well-being of employees and their families while also increasing productivity.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project, initiated by the Italian Province of Trento, started in 2012 at regional level, followed by a pilot at national level. So far 194 organisations hav</w:t>
      </w:r>
      <w:r>
        <w:rPr>
          <w:rFonts w:ascii="Verdana" w:hAnsi="Verdana" w:cs="Times New Roman"/>
          <w:noProof/>
          <w:sz w:val="20"/>
          <w:szCs w:val="20"/>
        </w:rPr>
        <w:t>e been involved in the Family Audit process (122 public and 72 private), and 143 have been awarded the Family Audit Certificate, benefitting more than 100,000 workers.</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xml:space="preserve">Striking the right balance between flexibility and security of employment remains to be </w:t>
      </w:r>
      <w:r>
        <w:rPr>
          <w:rFonts w:ascii="Verdana" w:hAnsi="Verdana" w:cs="Times New Roman"/>
          <w:i/>
          <w:noProof/>
          <w:color w:val="0070C0"/>
          <w:sz w:val="20"/>
          <w:szCs w:val="20"/>
        </w:rPr>
        <w:t>addressed with a renewed holistic approach …</w:t>
      </w:r>
    </w:p>
    <w:p w:rsidR="001E527A" w:rsidRDefault="00CD69DA">
      <w:pPr>
        <w:jc w:val="both"/>
        <w:rPr>
          <w:rFonts w:ascii="Verdana" w:hAnsi="Verdana" w:cs="Times New Roman"/>
          <w:noProof/>
          <w:sz w:val="20"/>
          <w:szCs w:val="20"/>
        </w:rPr>
      </w:pPr>
      <w:r>
        <w:rPr>
          <w:rFonts w:ascii="Verdana" w:hAnsi="Verdana" w:cs="Times New Roman"/>
          <w:noProof/>
          <w:sz w:val="20"/>
          <w:szCs w:val="20"/>
        </w:rPr>
        <w:t>The consultation pointed to the need to strike the right balance between flexibility and security of employment. Indeed, some claimed that during the crisis the focus was on flexibility, advocating for a renewed</w:t>
      </w:r>
      <w:r>
        <w:rPr>
          <w:rFonts w:ascii="Verdana" w:hAnsi="Verdana" w:cs="Times New Roman"/>
          <w:noProof/>
          <w:sz w:val="20"/>
          <w:szCs w:val="20"/>
        </w:rPr>
        <w:t xml:space="preserve"> focus on security in the future.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In particular, social partners dedicated ample space to discuss the principle on flexible and secure labour contracts. </w:t>
      </w:r>
    </w:p>
    <w:p w:rsidR="001E527A" w:rsidRDefault="00CD69DA">
      <w:pPr>
        <w:jc w:val="both"/>
        <w:rPr>
          <w:rFonts w:ascii="Verdana" w:hAnsi="Verdana" w:cs="Times New Roman"/>
          <w:noProof/>
          <w:sz w:val="20"/>
          <w:szCs w:val="20"/>
        </w:rPr>
      </w:pPr>
      <w:r>
        <w:rPr>
          <w:rFonts w:ascii="Verdana" w:hAnsi="Verdana" w:cs="Times New Roman"/>
          <w:noProof/>
          <w:sz w:val="20"/>
          <w:szCs w:val="20"/>
        </w:rPr>
        <w:t>EU-level trade unions</w:t>
      </w:r>
      <w:r>
        <w:rPr>
          <w:rStyle w:val="FootnoteReference"/>
          <w:rFonts w:ascii="Verdana" w:hAnsi="Verdana" w:cs="Times New Roman"/>
          <w:noProof/>
          <w:sz w:val="20"/>
          <w:szCs w:val="20"/>
        </w:rPr>
        <w:footnoteReference w:id="72"/>
      </w:r>
      <w:r>
        <w:rPr>
          <w:rFonts w:ascii="Verdana" w:hAnsi="Verdana" w:cs="Times New Roman"/>
          <w:noProof/>
          <w:sz w:val="20"/>
          <w:szCs w:val="20"/>
        </w:rPr>
        <w:t xml:space="preserve"> as well as certain NGOs argued for more focus on secure employment. ETUC stres</w:t>
      </w:r>
      <w:r>
        <w:rPr>
          <w:rFonts w:ascii="Verdana" w:hAnsi="Verdana" w:cs="Times New Roman"/>
          <w:noProof/>
          <w:sz w:val="20"/>
          <w:szCs w:val="20"/>
        </w:rPr>
        <w:t>sed the need to better support secure transitions between education and work, between work and periods of unemployment and career advancement in work by providing appropriate social security support so that workers remain secure during periods of unemploym</w:t>
      </w:r>
      <w:r>
        <w:rPr>
          <w:rFonts w:ascii="Verdana" w:hAnsi="Verdana" w:cs="Times New Roman"/>
          <w:noProof/>
          <w:sz w:val="20"/>
          <w:szCs w:val="20"/>
        </w:rPr>
        <w:t>ent, along with steps to increase worker employability.</w:t>
      </w:r>
    </w:p>
    <w:p w:rsidR="001E527A" w:rsidRDefault="00CD69DA">
      <w:pPr>
        <w:jc w:val="both"/>
        <w:rPr>
          <w:rFonts w:ascii="Verdana" w:hAnsi="Verdana" w:cs="Times New Roman"/>
          <w:noProof/>
          <w:sz w:val="20"/>
          <w:szCs w:val="20"/>
        </w:rPr>
      </w:pPr>
      <w:r>
        <w:rPr>
          <w:rFonts w:ascii="Verdana" w:hAnsi="Verdana" w:cs="Times New Roman"/>
          <w:noProof/>
          <w:sz w:val="20"/>
          <w:szCs w:val="20"/>
        </w:rPr>
        <w:t>EU level</w:t>
      </w:r>
      <w:r>
        <w:rPr>
          <w:rStyle w:val="FootnoteReference"/>
          <w:rFonts w:ascii="Verdana" w:hAnsi="Verdana" w:cs="Times New Roman"/>
          <w:noProof/>
          <w:sz w:val="20"/>
          <w:szCs w:val="20"/>
        </w:rPr>
        <w:footnoteReference w:id="73"/>
      </w:r>
      <w:r>
        <w:rPr>
          <w:rFonts w:ascii="Verdana" w:hAnsi="Verdana" w:cs="Times New Roman"/>
          <w:noProof/>
          <w:sz w:val="20"/>
          <w:szCs w:val="20"/>
        </w:rPr>
        <w:t xml:space="preserve"> and national employer organisations</w:t>
      </w:r>
      <w:r>
        <w:rPr>
          <w:rStyle w:val="FootnoteReference"/>
          <w:rFonts w:ascii="Verdana" w:hAnsi="Verdana" w:cs="Times New Roman"/>
          <w:noProof/>
          <w:sz w:val="20"/>
          <w:szCs w:val="20"/>
        </w:rPr>
        <w:footnoteReference w:id="74"/>
      </w:r>
      <w:r>
        <w:rPr>
          <w:rFonts w:ascii="Verdana" w:hAnsi="Verdana" w:cs="Times New Roman"/>
          <w:noProof/>
          <w:sz w:val="20"/>
          <w:szCs w:val="20"/>
        </w:rPr>
        <w:t xml:space="preserve"> highlighted the importance of flexible employment and asked for a </w:t>
      </w:r>
      <w:r>
        <w:rPr>
          <w:rFonts w:ascii="Verdana" w:hAnsi="Verdana" w:cs="Times New Roman"/>
          <w:b/>
          <w:noProof/>
          <w:sz w:val="20"/>
          <w:szCs w:val="20"/>
        </w:rPr>
        <w:t>renewed flexicurity strategy</w:t>
      </w:r>
      <w:r>
        <w:rPr>
          <w:rStyle w:val="FootnoteReference"/>
          <w:rFonts w:ascii="Verdana" w:hAnsi="Verdana" w:cs="Times New Roman"/>
          <w:noProof/>
          <w:sz w:val="20"/>
          <w:szCs w:val="20"/>
        </w:rPr>
        <w:footnoteReference w:id="75"/>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new focus could be among others on achieving fair, </w:t>
      </w:r>
      <w:r>
        <w:rPr>
          <w:rFonts w:ascii="Verdana" w:hAnsi="Verdana" w:cs="Times New Roman"/>
          <w:noProof/>
          <w:sz w:val="20"/>
          <w:szCs w:val="20"/>
        </w:rPr>
        <w:t>dynamic, mobile and inclusive labour markets; ensuring that social rights can be adapted to remain up-to-date with current and future framework conditions and new and more diverse career paths; ensuring continued employability; making sure that companies h</w:t>
      </w:r>
      <w:r>
        <w:rPr>
          <w:rFonts w:ascii="Verdana" w:hAnsi="Verdana" w:cs="Times New Roman"/>
          <w:noProof/>
          <w:sz w:val="20"/>
          <w:szCs w:val="20"/>
        </w:rPr>
        <w:t xml:space="preserve">ave enough flexibility to </w:t>
      </w:r>
      <w:r>
        <w:rPr>
          <w:rFonts w:ascii="Verdana" w:hAnsi="Verdana" w:cs="Times New Roman"/>
          <w:b/>
          <w:noProof/>
          <w:sz w:val="20"/>
          <w:szCs w:val="20"/>
        </w:rPr>
        <w:t>adapt their workforce</w:t>
      </w:r>
      <w:r>
        <w:rPr>
          <w:rFonts w:ascii="Verdana" w:hAnsi="Verdana" w:cs="Times New Roman"/>
          <w:noProof/>
          <w:sz w:val="20"/>
          <w:szCs w:val="20"/>
        </w:rPr>
        <w:t xml:space="preserve"> to changing economic circumstances; and putting in place the conditions to smooth workers’ </w:t>
      </w:r>
      <w:r>
        <w:rPr>
          <w:rFonts w:ascii="Verdana" w:hAnsi="Verdana" w:cs="Times New Roman"/>
          <w:b/>
          <w:noProof/>
          <w:sz w:val="20"/>
          <w:szCs w:val="20"/>
        </w:rPr>
        <w:t>transitions on the labour market</w:t>
      </w:r>
      <w:r>
        <w:rPr>
          <w:rFonts w:ascii="Verdana" w:hAnsi="Verdana" w:cs="Times New Roman"/>
          <w:noProof/>
          <w:sz w:val="20"/>
          <w:szCs w:val="20"/>
        </w:rPr>
        <w:t xml:space="preserve"> between jobs, sectors and employment statuses, while respecting the diversity of ind</w:t>
      </w:r>
      <w:r>
        <w:rPr>
          <w:rFonts w:ascii="Verdana" w:hAnsi="Verdana" w:cs="Times New Roman"/>
          <w:noProof/>
          <w:sz w:val="20"/>
          <w:szCs w:val="20"/>
        </w:rPr>
        <w:t>ustrial relations practices across Europe</w:t>
      </w:r>
      <w:r>
        <w:rPr>
          <w:rStyle w:val="FootnoteReference"/>
          <w:rFonts w:ascii="Verdana" w:hAnsi="Verdana" w:cs="Times New Roman"/>
          <w:noProof/>
          <w:sz w:val="20"/>
          <w:szCs w:val="20"/>
        </w:rPr>
        <w:footnoteReference w:id="76"/>
      </w:r>
      <w:r>
        <w:rPr>
          <w:rFonts w:ascii="Verdana" w:hAnsi="Verdana" w:cs="Times New Roman"/>
          <w:noProof/>
          <w:sz w:val="20"/>
          <w:szCs w:val="20"/>
        </w:rPr>
        <w:t xml:space="preserve">.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xml:space="preserve">... based on modern active labour market policies and secure professional transitions that are comprehensive and focussed on upskilling. </w:t>
      </w:r>
    </w:p>
    <w:p w:rsidR="001E527A" w:rsidRDefault="00CD69DA">
      <w:pPr>
        <w:jc w:val="both"/>
        <w:rPr>
          <w:rFonts w:ascii="Verdana" w:hAnsi="Verdana" w:cs="Times New Roman"/>
          <w:noProof/>
          <w:sz w:val="20"/>
          <w:szCs w:val="20"/>
        </w:rPr>
      </w:pPr>
      <w:r>
        <w:rPr>
          <w:rFonts w:ascii="Verdana" w:hAnsi="Verdana" w:cs="Times New Roman"/>
          <w:noProof/>
          <w:sz w:val="20"/>
          <w:szCs w:val="20"/>
        </w:rPr>
        <w:t>In national events and in the expert consultation the question emerged wh</w:t>
      </w:r>
      <w:r>
        <w:rPr>
          <w:rFonts w:ascii="Verdana" w:hAnsi="Verdana" w:cs="Times New Roman"/>
          <w:noProof/>
          <w:sz w:val="20"/>
          <w:szCs w:val="20"/>
        </w:rPr>
        <w:t xml:space="preserve">ether </w:t>
      </w:r>
      <w:r>
        <w:rPr>
          <w:rFonts w:ascii="Verdana" w:hAnsi="Verdana" w:cs="Times New Roman"/>
          <w:b/>
          <w:noProof/>
          <w:sz w:val="20"/>
          <w:szCs w:val="20"/>
        </w:rPr>
        <w:t>access to employment activation</w:t>
      </w:r>
      <w:r>
        <w:rPr>
          <w:rFonts w:ascii="Verdana" w:hAnsi="Verdana" w:cs="Times New Roman"/>
          <w:noProof/>
          <w:sz w:val="20"/>
          <w:szCs w:val="20"/>
        </w:rPr>
        <w:t xml:space="preserve"> could become a </w:t>
      </w:r>
      <w:r>
        <w:rPr>
          <w:rFonts w:ascii="Verdana" w:hAnsi="Verdana" w:cs="Times New Roman"/>
          <w:b/>
          <w:noProof/>
          <w:sz w:val="20"/>
          <w:szCs w:val="20"/>
        </w:rPr>
        <w:t>new social right</w:t>
      </w:r>
      <w:r>
        <w:rPr>
          <w:rStyle w:val="FootnoteReference"/>
          <w:rFonts w:ascii="Verdana" w:hAnsi="Verdana" w:cs="Times New Roman"/>
          <w:noProof/>
          <w:sz w:val="20"/>
          <w:szCs w:val="20"/>
        </w:rPr>
        <w:footnoteReference w:id="77"/>
      </w:r>
      <w:r>
        <w:rPr>
          <w:rFonts w:ascii="Verdana" w:hAnsi="Verdana" w:cs="Times New Roman"/>
          <w:noProof/>
          <w:sz w:val="20"/>
          <w:szCs w:val="20"/>
        </w:rPr>
        <w:t>. In this context, some organisations saw a clear added value of the EU defining minimum service delivery standards along the lines of the Recommendation on long-term unemployment and th</w:t>
      </w:r>
      <w:r>
        <w:rPr>
          <w:rFonts w:ascii="Verdana" w:hAnsi="Verdana" w:cs="Times New Roman"/>
          <w:noProof/>
          <w:sz w:val="20"/>
          <w:szCs w:val="20"/>
        </w:rPr>
        <w:t>e Youth Guarantee, which could be further strengthened and made legally binding</w:t>
      </w:r>
      <w:r>
        <w:rPr>
          <w:rStyle w:val="FootnoteReference"/>
          <w:rFonts w:ascii="Verdana" w:hAnsi="Verdana" w:cs="Times New Roman"/>
          <w:noProof/>
          <w:sz w:val="20"/>
          <w:szCs w:val="20"/>
        </w:rPr>
        <w:footnoteReference w:id="78"/>
      </w:r>
      <w:r>
        <w:rPr>
          <w:rFonts w:ascii="Verdana" w:hAnsi="Verdana" w:cs="Times New Roman"/>
          <w:noProof/>
          <w:sz w:val="20"/>
          <w:szCs w:val="20"/>
        </w:rPr>
        <w:t>. The French Government argued for activation rights linked to the individual in every Member State.</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Supporting activation: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Centres for Lifelong Career Guidance (C</w:t>
      </w:r>
      <w:r>
        <w:rPr>
          <w:rFonts w:ascii="Verdana" w:hAnsi="Verdana" w:cs="Times New Roman"/>
          <w:b/>
          <w:i/>
          <w:noProof/>
          <w:sz w:val="20"/>
          <w:szCs w:val="20"/>
          <w:u w:val="single"/>
        </w:rPr>
        <w:t>ISOKs) in Croatia</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In Croatia, eleven Centres for Lifelong Career Guidance (CISOKs) provide free lifelong career guidance services to all citizens with a special focus on youth, including inactive NEETs who are not registered with the public employment services. A total of 2</w:t>
      </w:r>
      <w:r>
        <w:rPr>
          <w:rFonts w:ascii="Verdana" w:hAnsi="Verdana" w:cs="Times New Roman"/>
          <w:noProof/>
          <w:sz w:val="20"/>
          <w:szCs w:val="20"/>
        </w:rPr>
        <w:t xml:space="preserve">2 centres are foreseen by 2020.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110,717 people used CISOK services between July 2013 and January 2016, 95.6% of which were satisfied or very satisfied with the services received.</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services' financing and delivery are based on a broad partnership involv</w:t>
      </w:r>
      <w:r>
        <w:rPr>
          <w:rFonts w:ascii="Verdana" w:hAnsi="Verdana" w:cs="Times New Roman"/>
          <w:noProof/>
          <w:sz w:val="20"/>
          <w:szCs w:val="20"/>
        </w:rPr>
        <w:t>ing municipalities, chambers, NGOs, youth organisations, employers, social partners and schools. CISOKs are built on a flexible service delivery model, where services are adapted to the local context, labour market needs and partner organisations. Counsell</w:t>
      </w:r>
      <w:r>
        <w:rPr>
          <w:rFonts w:ascii="Verdana" w:hAnsi="Verdana" w:cs="Times New Roman"/>
          <w:noProof/>
          <w:sz w:val="20"/>
          <w:szCs w:val="20"/>
        </w:rPr>
        <w:t>or support provides differentiated services tailored to the profile of individual clients. Originally established in 2013 and financed through an Instrument for Pre-accession Assistance, the project's sustainability has been assured through national fundin</w:t>
      </w:r>
      <w:r>
        <w:rPr>
          <w:rFonts w:ascii="Verdana" w:hAnsi="Verdana" w:cs="Times New Roman"/>
          <w:noProof/>
          <w:sz w:val="20"/>
          <w:szCs w:val="20"/>
        </w:rPr>
        <w:t>g and the ESF for 2014-2020.</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In particular the European Network of Public Employment Services argued that the </w:t>
      </w:r>
      <w:r>
        <w:rPr>
          <w:rFonts w:ascii="Verdana" w:hAnsi="Verdana" w:cs="Times New Roman"/>
          <w:b/>
          <w:noProof/>
          <w:sz w:val="20"/>
          <w:szCs w:val="20"/>
        </w:rPr>
        <w:t>performance and cost-effectiveness of activation measures</w:t>
      </w:r>
      <w:r>
        <w:rPr>
          <w:rFonts w:ascii="Verdana" w:hAnsi="Verdana" w:cs="Times New Roman"/>
          <w:noProof/>
          <w:sz w:val="20"/>
          <w:szCs w:val="20"/>
        </w:rPr>
        <w:t xml:space="preserve"> need to be monitored, particularly for young people, while for others</w:t>
      </w:r>
      <w:r>
        <w:rPr>
          <w:rStyle w:val="FootnoteReference"/>
          <w:rFonts w:ascii="Verdana" w:hAnsi="Verdana" w:cs="Times New Roman"/>
          <w:noProof/>
          <w:sz w:val="20"/>
          <w:szCs w:val="20"/>
        </w:rPr>
        <w:footnoteReference w:id="79"/>
      </w:r>
      <w:r>
        <w:rPr>
          <w:rFonts w:ascii="Verdana" w:hAnsi="Verdana" w:cs="Times New Roman"/>
          <w:noProof/>
          <w:sz w:val="20"/>
          <w:szCs w:val="20"/>
        </w:rPr>
        <w:t xml:space="preserve"> the focus should </w:t>
      </w:r>
      <w:r>
        <w:rPr>
          <w:rFonts w:ascii="Verdana" w:hAnsi="Verdana" w:cs="Times New Roman"/>
          <w:noProof/>
          <w:sz w:val="20"/>
          <w:szCs w:val="20"/>
        </w:rPr>
        <w:t>be on up-skilling initiatives rather than subsidised employment.</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Trade unions argued that the specific needs of </w:t>
      </w:r>
      <w:r>
        <w:rPr>
          <w:rFonts w:ascii="Verdana" w:hAnsi="Verdana" w:cs="Times New Roman"/>
          <w:b/>
          <w:noProof/>
          <w:sz w:val="20"/>
          <w:szCs w:val="20"/>
        </w:rPr>
        <w:t>marginalised and disadvantaged</w:t>
      </w:r>
      <w:r>
        <w:rPr>
          <w:rFonts w:ascii="Verdana" w:hAnsi="Verdana" w:cs="Times New Roman"/>
          <w:noProof/>
          <w:sz w:val="20"/>
          <w:szCs w:val="20"/>
        </w:rPr>
        <w:t xml:space="preserve"> groups should be duly taken into account. Antipoverty organisations</w:t>
      </w:r>
      <w:r>
        <w:rPr>
          <w:rStyle w:val="FootnoteReference"/>
          <w:rFonts w:ascii="Verdana" w:hAnsi="Verdana" w:cs="Times New Roman"/>
          <w:noProof/>
          <w:sz w:val="20"/>
          <w:szCs w:val="20"/>
        </w:rPr>
        <w:footnoteReference w:id="80"/>
      </w:r>
      <w:r>
        <w:rPr>
          <w:rFonts w:ascii="Verdana" w:hAnsi="Verdana" w:cs="Times New Roman"/>
          <w:noProof/>
          <w:sz w:val="20"/>
          <w:szCs w:val="20"/>
        </w:rPr>
        <w:t xml:space="preserve"> expressed disagreement with the emphasis on </w:t>
      </w:r>
      <w:r>
        <w:rPr>
          <w:rFonts w:ascii="Verdana" w:hAnsi="Verdana" w:cs="Times New Roman"/>
          <w:b/>
          <w:noProof/>
          <w:sz w:val="20"/>
          <w:szCs w:val="20"/>
        </w:rPr>
        <w:t>conditionality and disincentives to work</w:t>
      </w:r>
      <w:r>
        <w:rPr>
          <w:rFonts w:ascii="Verdana" w:hAnsi="Verdana" w:cs="Times New Roman"/>
          <w:noProof/>
          <w:sz w:val="20"/>
          <w:szCs w:val="20"/>
        </w:rPr>
        <w:t xml:space="preserve">.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Activation support through public-private cooperation: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The Project 100 in West Sweden</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Projekt Hundra! brought together the public and private sectors to  match companies' needs with the labour availa</w:t>
      </w:r>
      <w:r>
        <w:rPr>
          <w:rFonts w:ascii="Verdana" w:hAnsi="Verdana" w:cs="Times New Roman"/>
          <w:noProof/>
          <w:sz w:val="20"/>
          <w:szCs w:val="20"/>
        </w:rPr>
        <w:t xml:space="preserve">ble in the city districts of Bergsjön and Kortedala in Göteborg.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matching was done through structured collaboration between companies or in business associations, from the identification of recruitment needs and participants' skills, and the matching to employment with support to businesses. The activities worked as</w:t>
      </w:r>
      <w:r>
        <w:rPr>
          <w:rFonts w:ascii="Verdana" w:hAnsi="Verdana" w:cs="Times New Roman"/>
          <w:noProof/>
          <w:sz w:val="20"/>
          <w:szCs w:val="20"/>
        </w:rPr>
        <w:t xml:space="preserve"> a bridge between the companies and the project participants.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Among the project's strengths were the combination of education and training, a high level of service, collaborations with employers and sector organisations, and a feeling of community and rel</w:t>
      </w:r>
      <w:r>
        <w:rPr>
          <w:rFonts w:ascii="Verdana" w:hAnsi="Verdana" w:cs="Times New Roman"/>
          <w:noProof/>
          <w:sz w:val="20"/>
          <w:szCs w:val="20"/>
        </w:rPr>
        <w:t xml:space="preserve">ationship with employers. Participants had a concrete job opportunity and received support including health prevention measures.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project, co-funded through ESF, was run by the city of Göteborg through Arbetsforum from April 2010 to March 2013. As a re</w:t>
      </w:r>
      <w:r>
        <w:rPr>
          <w:rFonts w:ascii="Verdana" w:hAnsi="Verdana" w:cs="Times New Roman"/>
          <w:noProof/>
          <w:sz w:val="20"/>
          <w:szCs w:val="20"/>
        </w:rPr>
        <w:t>sult, 54% of the participants found a job, 1% season employment, 1% went onto studies, 1% went on parental leave, 32% went back to Arbetsforum and 11% went back to the social services.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Stakeholders underlined the potential of the </w:t>
      </w:r>
      <w:r>
        <w:rPr>
          <w:rFonts w:ascii="Verdana" w:hAnsi="Verdana" w:cs="Times New Roman"/>
          <w:b/>
          <w:noProof/>
          <w:sz w:val="20"/>
          <w:szCs w:val="20"/>
        </w:rPr>
        <w:t>social economy</w:t>
      </w:r>
      <w:r>
        <w:rPr>
          <w:rFonts w:ascii="Verdana" w:hAnsi="Verdana" w:cs="Times New Roman"/>
          <w:noProof/>
          <w:sz w:val="20"/>
          <w:szCs w:val="20"/>
        </w:rPr>
        <w:t xml:space="preserve">, including </w:t>
      </w:r>
      <w:r>
        <w:rPr>
          <w:rFonts w:ascii="Verdana" w:hAnsi="Verdana" w:cs="Times New Roman"/>
          <w:noProof/>
          <w:sz w:val="20"/>
          <w:szCs w:val="20"/>
        </w:rPr>
        <w:t>social enterprises, for labour market integration of vulnerable groups and social cohesion while helping towards innovation, growth and employment, and providing essential services</w:t>
      </w:r>
      <w:r>
        <w:rPr>
          <w:rStyle w:val="FootnoteReference"/>
          <w:rFonts w:ascii="Verdana" w:hAnsi="Verdana" w:cs="Times New Roman"/>
          <w:noProof/>
          <w:sz w:val="20"/>
          <w:szCs w:val="20"/>
        </w:rPr>
        <w:footnoteReference w:id="81"/>
      </w:r>
      <w:r>
        <w:rPr>
          <w:rFonts w:ascii="Verdana" w:hAnsi="Verdana" w:cs="Times New Roman"/>
          <w:noProof/>
          <w:sz w:val="20"/>
          <w:szCs w:val="20"/>
        </w:rPr>
        <w:t>. The notion of collective entrepreneurship was put forward as an innovativ</w:t>
      </w:r>
      <w:r>
        <w:rPr>
          <w:rFonts w:ascii="Verdana" w:hAnsi="Verdana" w:cs="Times New Roman"/>
          <w:noProof/>
          <w:sz w:val="20"/>
          <w:szCs w:val="20"/>
        </w:rPr>
        <w:t>e model where risks, responsibilities, knowledge and skills are shared within a community of entrepreneurs, while contributing to inclusive labour markets</w:t>
      </w:r>
      <w:r>
        <w:rPr>
          <w:rStyle w:val="FootnoteReference"/>
          <w:rFonts w:ascii="Verdana" w:hAnsi="Verdana" w:cs="Times New Roman"/>
          <w:noProof/>
          <w:sz w:val="20"/>
          <w:szCs w:val="20"/>
        </w:rPr>
        <w:footnoteReference w:id="82"/>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Close to activation is the need to </w:t>
      </w:r>
      <w:r>
        <w:rPr>
          <w:rFonts w:ascii="Verdana" w:hAnsi="Verdana" w:cs="Times New Roman"/>
          <w:b/>
          <w:noProof/>
          <w:sz w:val="20"/>
          <w:szCs w:val="20"/>
        </w:rPr>
        <w:t>secure professional transitions</w:t>
      </w:r>
      <w:r>
        <w:rPr>
          <w:rFonts w:ascii="Verdana" w:hAnsi="Verdana" w:cs="Times New Roman"/>
          <w:noProof/>
          <w:sz w:val="20"/>
          <w:szCs w:val="20"/>
        </w:rPr>
        <w:t>, which are considered central t</w:t>
      </w:r>
      <w:r>
        <w:rPr>
          <w:rFonts w:ascii="Verdana" w:hAnsi="Verdana" w:cs="Times New Roman"/>
          <w:noProof/>
          <w:sz w:val="20"/>
          <w:szCs w:val="20"/>
        </w:rPr>
        <w:t>o address the changing world of employment and as such should be supported. This requires comprehensive and transparent portability of social security and healthcare entitlements which should follow workers during their career across employers and Member S</w:t>
      </w:r>
      <w:r>
        <w:rPr>
          <w:rFonts w:ascii="Verdana" w:hAnsi="Verdana" w:cs="Times New Roman"/>
          <w:noProof/>
          <w:sz w:val="20"/>
          <w:szCs w:val="20"/>
        </w:rPr>
        <w:t>tates</w:t>
      </w:r>
      <w:r>
        <w:rPr>
          <w:rStyle w:val="FootnoteReference"/>
          <w:rFonts w:ascii="Verdana" w:hAnsi="Verdana" w:cs="Times New Roman"/>
          <w:noProof/>
          <w:sz w:val="20"/>
          <w:szCs w:val="20"/>
        </w:rPr>
        <w:footnoteReference w:id="83"/>
      </w:r>
      <w:r>
        <w:rPr>
          <w:rFonts w:ascii="Verdana" w:hAnsi="Verdana" w:cs="Times New Roman"/>
          <w:noProof/>
          <w:sz w:val="20"/>
          <w:szCs w:val="20"/>
        </w:rPr>
        <w:t>.</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Transitions could be supported through the establishment of </w:t>
      </w:r>
      <w:r>
        <w:rPr>
          <w:rFonts w:ascii="Verdana" w:hAnsi="Verdana" w:cs="Times New Roman"/>
          <w:b/>
          <w:noProof/>
          <w:sz w:val="20"/>
          <w:szCs w:val="20"/>
        </w:rPr>
        <w:t>individual welfare and training accounts</w:t>
      </w:r>
      <w:r>
        <w:rPr>
          <w:rFonts w:ascii="Verdana" w:hAnsi="Verdana" w:cs="Times New Roman"/>
          <w:noProof/>
          <w:sz w:val="20"/>
          <w:szCs w:val="20"/>
        </w:rPr>
        <w:t xml:space="preserve"> (see example of France</w:t>
      </w:r>
      <w:r>
        <w:rPr>
          <w:rStyle w:val="FootnoteReference"/>
          <w:rFonts w:ascii="Verdana" w:hAnsi="Verdana" w:cs="Times New Roman"/>
          <w:noProof/>
          <w:sz w:val="20"/>
          <w:szCs w:val="20"/>
        </w:rPr>
        <w:footnoteReference w:id="84"/>
      </w:r>
      <w:r>
        <w:rPr>
          <w:rFonts w:ascii="Verdana" w:hAnsi="Verdana" w:cs="Times New Roman"/>
          <w:noProof/>
          <w:sz w:val="20"/>
          <w:szCs w:val="20"/>
        </w:rPr>
        <w:t xml:space="preserve"> in the box). Such an account could include an initial financial support for continuing education, start-up, transition into</w:t>
      </w:r>
      <w:r>
        <w:rPr>
          <w:rFonts w:ascii="Verdana" w:hAnsi="Verdana" w:cs="Times New Roman"/>
          <w:noProof/>
          <w:sz w:val="20"/>
          <w:szCs w:val="20"/>
        </w:rPr>
        <w:t xml:space="preserve"> self-employment etc.</w:t>
      </w:r>
      <w:r>
        <w:rPr>
          <w:rStyle w:val="FootnoteReference"/>
          <w:rFonts w:ascii="Verdana" w:hAnsi="Verdana" w:cs="Times New Roman"/>
          <w:noProof/>
          <w:sz w:val="20"/>
          <w:szCs w:val="20"/>
        </w:rPr>
        <w:footnoteReference w:id="85"/>
      </w:r>
      <w:r>
        <w:rPr>
          <w:rFonts w:ascii="Verdana" w:hAnsi="Verdana" w:cs="Times New Roman"/>
          <w:noProof/>
          <w:sz w:val="20"/>
          <w:szCs w:val="20"/>
        </w:rPr>
        <w:t xml:space="preserve"> At EU level such initiative could be supported and interlinked in the form of a </w:t>
      </w:r>
      <w:r>
        <w:rPr>
          <w:rFonts w:ascii="Verdana" w:hAnsi="Verdana" w:cs="Times New Roman"/>
          <w:b/>
          <w:noProof/>
          <w:sz w:val="20"/>
          <w:szCs w:val="20"/>
        </w:rPr>
        <w:t>European social security card</w:t>
      </w:r>
      <w:r>
        <w:rPr>
          <w:rFonts w:ascii="Verdana" w:hAnsi="Verdana" w:cs="Times New Roman"/>
          <w:noProof/>
          <w:sz w:val="20"/>
          <w:szCs w:val="20"/>
        </w:rPr>
        <w:t>.</w:t>
      </w:r>
      <w:r>
        <w:rPr>
          <w:rStyle w:val="FootnoteReference"/>
          <w:rFonts w:ascii="Verdana" w:hAnsi="Verdana" w:cs="Times New Roman"/>
          <w:noProof/>
          <w:sz w:val="20"/>
          <w:szCs w:val="20"/>
        </w:rPr>
        <w:footnoteReference w:id="86"/>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Employer organisations</w:t>
      </w:r>
      <w:r>
        <w:rPr>
          <w:rStyle w:val="FootnoteReference"/>
          <w:rFonts w:ascii="Verdana" w:hAnsi="Verdana" w:cs="Times New Roman"/>
          <w:noProof/>
          <w:sz w:val="20"/>
          <w:szCs w:val="20"/>
        </w:rPr>
        <w:footnoteReference w:id="87"/>
      </w:r>
      <w:r>
        <w:rPr>
          <w:rFonts w:ascii="Verdana" w:hAnsi="Verdana" w:cs="Times New Roman"/>
          <w:noProof/>
          <w:sz w:val="20"/>
          <w:szCs w:val="20"/>
        </w:rPr>
        <w:t xml:space="preserve">, in general, favoured using </w:t>
      </w:r>
      <w:r>
        <w:rPr>
          <w:rFonts w:ascii="Verdana" w:hAnsi="Verdana" w:cs="Times New Roman"/>
          <w:b/>
          <w:noProof/>
          <w:sz w:val="20"/>
          <w:szCs w:val="20"/>
        </w:rPr>
        <w:t>benchmarks</w:t>
      </w:r>
      <w:r>
        <w:rPr>
          <w:rFonts w:ascii="Verdana" w:hAnsi="Verdana" w:cs="Times New Roman"/>
          <w:noProof/>
          <w:sz w:val="20"/>
          <w:szCs w:val="20"/>
        </w:rPr>
        <w:t xml:space="preserve"> in broad areas related to labour market transitions</w:t>
      </w:r>
      <w:r>
        <w:rPr>
          <w:rStyle w:val="FootnoteReference"/>
          <w:rFonts w:ascii="Verdana" w:hAnsi="Verdana" w:cs="Times New Roman"/>
          <w:noProof/>
          <w:sz w:val="20"/>
          <w:szCs w:val="20"/>
        </w:rPr>
        <w:footnoteReference w:id="88"/>
      </w:r>
      <w:r>
        <w:rPr>
          <w:rFonts w:ascii="Verdana" w:hAnsi="Verdana" w:cs="Times New Roman"/>
          <w:noProof/>
          <w:sz w:val="20"/>
          <w:szCs w:val="20"/>
        </w:rPr>
        <w:t xml:space="preserve">.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Securing professional transitions: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The French </w:t>
      </w:r>
      <w:r>
        <w:rPr>
          <w:rFonts w:ascii="Verdana" w:hAnsi="Verdana" w:cs="Times New Roman"/>
          <w:b/>
          <w:i/>
          <w:noProof/>
          <w:sz w:val="20"/>
          <w:szCs w:val="20"/>
          <w:u w:val="single"/>
        </w:rPr>
        <w:t>"Compte Personnel d'Activité" (CPA)</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On 1 January 2017 France introduced a system of web-based, personal accounts with activity-related rights (Compte Personnel d'Activité, CPA). In its current desi</w:t>
      </w:r>
      <w:r>
        <w:rPr>
          <w:rFonts w:ascii="Verdana" w:hAnsi="Verdana" w:cs="Times New Roman"/>
          <w:noProof/>
          <w:sz w:val="20"/>
          <w:szCs w:val="20"/>
        </w:rPr>
        <w:t>gn, it aims to allow people to use "points" accrued on past jobs for training, or for early retirement following strenuous work conditions and taking into account voluntary activities. Conceivably these could even be used to receive support to create a sta</w:t>
      </w:r>
      <w:r>
        <w:rPr>
          <w:rFonts w:ascii="Verdana" w:hAnsi="Verdana" w:cs="Times New Roman"/>
          <w:noProof/>
          <w:sz w:val="20"/>
          <w:szCs w:val="20"/>
        </w:rPr>
        <w:t xml:space="preserve">rt-up into self-employment. Initiated for jobseekers and private sector employees, the CPA will be gradually opened to independent workers (2018), normally with similar training rights, and civil servants.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The CPA would not only ensure more continuity in </w:t>
      </w:r>
      <w:r>
        <w:rPr>
          <w:rFonts w:ascii="Verdana" w:hAnsi="Verdana" w:cs="Times New Roman"/>
          <w:noProof/>
          <w:sz w:val="20"/>
          <w:szCs w:val="20"/>
        </w:rPr>
        <w:t>rights across job types and enhance mobility. It also aims to achieve a fuller take-up of social rights and to empower people to choose the benefits and services that fit best with their needs. Advice will be offered on how to make the best use of one's CP</w:t>
      </w:r>
      <w:r>
        <w:rPr>
          <w:rFonts w:ascii="Verdana" w:hAnsi="Verdana" w:cs="Times New Roman"/>
          <w:noProof/>
          <w:sz w:val="20"/>
          <w:szCs w:val="20"/>
        </w:rPr>
        <w:t>A.</w:t>
      </w:r>
    </w:p>
    <w:p w:rsidR="001E527A" w:rsidRDefault="001E527A">
      <w:pPr>
        <w:pStyle w:val="Heading2"/>
        <w:rPr>
          <w:noProof/>
        </w:rPr>
        <w:sectPr w:rsidR="001E527A">
          <w:headerReference w:type="even" r:id="rId43"/>
          <w:headerReference w:type="default" r:id="rId44"/>
          <w:footerReference w:type="even" r:id="rId45"/>
          <w:footerReference w:type="default" r:id="rId46"/>
          <w:headerReference w:type="first" r:id="rId47"/>
          <w:footerReference w:type="first" r:id="rId48"/>
          <w:pgSz w:w="11906" w:h="16838"/>
          <w:pgMar w:top="1418" w:right="1134" w:bottom="1418" w:left="1134" w:header="709" w:footer="709" w:gutter="0"/>
          <w:cols w:space="708"/>
          <w:docGrid w:linePitch="360"/>
        </w:sectPr>
      </w:pPr>
      <w:bookmarkStart w:id="26" w:name="_Toc479349470"/>
    </w:p>
    <w:p w:rsidR="001E527A" w:rsidRDefault="00CD69DA">
      <w:pPr>
        <w:pStyle w:val="Heading2"/>
        <w:rPr>
          <w:noProof/>
        </w:rPr>
      </w:pPr>
      <w:r>
        <w:rPr>
          <w:noProof/>
        </w:rPr>
        <w:t>2. Fair working conditions</w:t>
      </w:r>
      <w:bookmarkEnd w:id="26"/>
    </w:p>
    <w:p w:rsidR="001E527A" w:rsidRDefault="00CD69DA">
      <w:pPr>
        <w:jc w:val="both"/>
        <w:rPr>
          <w:rFonts w:ascii="Verdana" w:hAnsi="Verdana" w:cs="Times New Roman"/>
          <w:noProof/>
          <w:sz w:val="20"/>
          <w:szCs w:val="20"/>
        </w:rPr>
      </w:pPr>
      <w:r>
        <w:rPr>
          <w:rFonts w:ascii="Verdana" w:hAnsi="Verdana" w:cs="Times New Roman"/>
          <w:noProof/>
          <w:sz w:val="20"/>
          <w:szCs w:val="20"/>
        </w:rPr>
        <w:t>The chapter on fair working conditions in the draft Pillar included principles designed to set an adequate and reliable balance of rights and obligations between workers and employers, as well as between flexibility and security elements, to facilitate job</w:t>
      </w:r>
      <w:r>
        <w:rPr>
          <w:rFonts w:ascii="Verdana" w:hAnsi="Verdana" w:cs="Times New Roman"/>
          <w:noProof/>
          <w:sz w:val="20"/>
          <w:szCs w:val="20"/>
        </w:rPr>
        <w:t xml:space="preserve"> creation, job take-up and the adaptability of firms, and promoting social dialogue.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b/>
          <w:noProof/>
          <w:sz w:val="20"/>
          <w:szCs w:val="20"/>
        </w:rPr>
      </w:pPr>
      <w:r>
        <w:rPr>
          <w:rFonts w:ascii="Verdana" w:hAnsi="Verdana" w:cs="Times New Roman"/>
          <w:b/>
          <w:noProof/>
          <w:sz w:val="20"/>
          <w:szCs w:val="20"/>
        </w:rPr>
        <w:t xml:space="preserve">Evidence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b/>
          <w:noProof/>
          <w:sz w:val="20"/>
          <w:szCs w:val="20"/>
        </w:rPr>
        <w:t>Jobs are becoming more interesting and challenging</w:t>
      </w:r>
      <w:r>
        <w:rPr>
          <w:rFonts w:ascii="Verdana" w:hAnsi="Verdana" w:cs="Times New Roman"/>
          <w:noProof/>
          <w:sz w:val="20"/>
          <w:szCs w:val="20"/>
        </w:rPr>
        <w:t xml:space="preserve">. Over the past decade, there has been an increase in the cognitive dimensions of work, more autonomy, more </w:t>
      </w:r>
      <w:r>
        <w:rPr>
          <w:rFonts w:ascii="Verdana" w:hAnsi="Verdana" w:cs="Times New Roman"/>
          <w:noProof/>
          <w:sz w:val="20"/>
          <w:szCs w:val="20"/>
        </w:rPr>
        <w:t>scope to influence work decisions, more access to training and increased use of ICT</w:t>
      </w:r>
      <w:r>
        <w:rPr>
          <w:rStyle w:val="FootnoteReference"/>
          <w:rFonts w:ascii="Verdana" w:hAnsi="Verdana" w:cs="Times New Roman"/>
          <w:noProof/>
          <w:sz w:val="20"/>
          <w:szCs w:val="20"/>
        </w:rPr>
        <w:footnoteReference w:id="89"/>
      </w:r>
      <w:r>
        <w:rPr>
          <w:rFonts w:ascii="Verdana" w:hAnsi="Verdana" w:cs="Times New Roman"/>
          <w:noProof/>
          <w:sz w:val="20"/>
          <w:szCs w:val="20"/>
        </w:rPr>
        <w:t xml:space="preserve">.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b/>
          <w:noProof/>
          <w:sz w:val="20"/>
          <w:szCs w:val="20"/>
        </w:rPr>
        <w:t>In the years to come, technological change will continue to drive the structural transformations of the labour market.</w:t>
      </w:r>
      <w:r>
        <w:rPr>
          <w:rFonts w:ascii="Verdana" w:hAnsi="Verdana" w:cs="Times New Roman"/>
          <w:noProof/>
          <w:sz w:val="20"/>
          <w:szCs w:val="20"/>
        </w:rPr>
        <w:t xml:space="preserve"> The potential scope of automation has expanded bey</w:t>
      </w:r>
      <w:r>
        <w:rPr>
          <w:rFonts w:ascii="Verdana" w:hAnsi="Verdana" w:cs="Times New Roman"/>
          <w:noProof/>
          <w:sz w:val="20"/>
          <w:szCs w:val="20"/>
        </w:rPr>
        <w:t>ond routine work. Based on calculations in selected EU countries, about 9% of jobs on average are estimated to be at a high risk of being automated. Another larger share of jobs (20%-35%) has low risks of full automation, but an important share (between 50</w:t>
      </w:r>
      <w:r>
        <w:rPr>
          <w:rFonts w:ascii="Verdana" w:hAnsi="Verdana" w:cs="Times New Roman"/>
          <w:noProof/>
          <w:sz w:val="20"/>
          <w:szCs w:val="20"/>
        </w:rPr>
        <w:t>% and 70%) of automatable tasks. These jobs will not be substituted completely, but radically reformed requiring workers to reskill and adapt. At the same time, the share of workers receiving employer-provided and/or -paid training increased from 26% in 20</w:t>
      </w:r>
      <w:r>
        <w:rPr>
          <w:rFonts w:ascii="Verdana" w:hAnsi="Verdana" w:cs="Times New Roman"/>
          <w:noProof/>
          <w:sz w:val="20"/>
          <w:szCs w:val="20"/>
        </w:rPr>
        <w:t xml:space="preserve">05 to 38% in 2015, and the share of workers who declare that they face complex tasks at work increased by 50%.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noProof/>
          <w:sz w:val="20"/>
          <w:szCs w:val="20"/>
        </w:rPr>
        <w:t xml:space="preserve">In addition, </w:t>
      </w:r>
      <w:r>
        <w:rPr>
          <w:rFonts w:ascii="Verdana" w:hAnsi="Verdana" w:cs="Times New Roman"/>
          <w:b/>
          <w:noProof/>
          <w:sz w:val="20"/>
          <w:szCs w:val="20"/>
        </w:rPr>
        <w:t>the world of work is becoming increasingly task based</w:t>
      </w:r>
      <w:r>
        <w:rPr>
          <w:rFonts w:ascii="Verdana" w:hAnsi="Verdana" w:cs="Times New Roman"/>
          <w:noProof/>
          <w:sz w:val="20"/>
          <w:szCs w:val="20"/>
        </w:rPr>
        <w:t>: full time permanent contracts co-exist with other forms of employment and se</w:t>
      </w:r>
      <w:r>
        <w:rPr>
          <w:rFonts w:ascii="Verdana" w:hAnsi="Verdana" w:cs="Times New Roman"/>
          <w:noProof/>
          <w:sz w:val="20"/>
          <w:szCs w:val="20"/>
        </w:rPr>
        <w:t>veral new types of work are not being captured by traditional regulatory and social systems</w:t>
      </w:r>
      <w:r>
        <w:rPr>
          <w:rStyle w:val="FootnoteReference"/>
          <w:rFonts w:ascii="Verdana" w:hAnsi="Verdana" w:cs="Times New Roman"/>
          <w:noProof/>
          <w:sz w:val="20"/>
          <w:szCs w:val="20"/>
        </w:rPr>
        <w:footnoteReference w:id="90"/>
      </w:r>
      <w:r>
        <w:rPr>
          <w:rFonts w:ascii="Verdana" w:hAnsi="Verdana" w:cs="Times New Roman"/>
          <w:noProof/>
          <w:sz w:val="20"/>
          <w:szCs w:val="20"/>
        </w:rPr>
        <w:t xml:space="preserve">.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b/>
          <w:noProof/>
          <w:sz w:val="20"/>
          <w:szCs w:val="20"/>
        </w:rPr>
        <w:t>Minimum wages - either set by law or negotiated by the social partners for all or a number of sectors - exist in all Member States</w:t>
      </w:r>
      <w:r>
        <w:rPr>
          <w:rFonts w:ascii="Verdana" w:hAnsi="Verdana" w:cs="Times New Roman"/>
          <w:noProof/>
          <w:sz w:val="20"/>
          <w:szCs w:val="20"/>
        </w:rPr>
        <w:t xml:space="preserve"> to protect pay at the bottom e</w:t>
      </w:r>
      <w:r>
        <w:rPr>
          <w:rFonts w:ascii="Verdana" w:hAnsi="Verdana" w:cs="Times New Roman"/>
          <w:noProof/>
          <w:sz w:val="20"/>
          <w:szCs w:val="20"/>
        </w:rPr>
        <w:t>nd of the wage distribution, by establishing a wage floor that provides a fair compensation for work, fosters labour supply and reduces the risk of in-work poverty. Twenty-two EU Member States have a national statutory minimum wage, but its level varies wi</w:t>
      </w:r>
      <w:r>
        <w:rPr>
          <w:rFonts w:ascii="Verdana" w:hAnsi="Verdana" w:cs="Times New Roman"/>
          <w:noProof/>
          <w:sz w:val="20"/>
          <w:szCs w:val="20"/>
        </w:rPr>
        <w:t xml:space="preserve">dely across countries as compared to both the average and the median (Figure 5).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i/>
          <w:noProof/>
          <w:sz w:val="20"/>
          <w:szCs w:val="20"/>
        </w:rPr>
      </w:pPr>
      <w:r>
        <w:rPr>
          <w:rFonts w:ascii="Verdana" w:hAnsi="Verdana" w:cs="Times New Roman"/>
          <w:i/>
          <w:noProof/>
          <w:sz w:val="20"/>
          <w:szCs w:val="20"/>
        </w:rPr>
        <w:t>Figure 5: Ratio of statutory minimum wage to average/median wage (%)</w:t>
      </w:r>
    </w:p>
    <w:p w:rsidR="001E527A" w:rsidRDefault="00CD69DA">
      <w:pPr>
        <w:pBdr>
          <w:top w:val="single" w:sz="4" w:space="1" w:color="auto"/>
          <w:left w:val="single" w:sz="4" w:space="4" w:color="auto"/>
          <w:bottom w:val="single" w:sz="4" w:space="1" w:color="auto"/>
          <w:right w:val="single" w:sz="4" w:space="4" w:color="auto"/>
        </w:pBdr>
        <w:shd w:val="clear" w:color="auto" w:fill="D0EEF3"/>
        <w:jc w:val="center"/>
        <w:rPr>
          <w:rFonts w:ascii="Verdana" w:hAnsi="Verdana" w:cs="Times New Roman"/>
          <w:noProof/>
          <w:sz w:val="20"/>
          <w:szCs w:val="20"/>
        </w:rPr>
      </w:pPr>
      <w:r>
        <w:rPr>
          <w:rFonts w:ascii="Verdana" w:hAnsi="Verdana" w:cs="Times New Roman"/>
          <w:noProof/>
          <w:sz w:val="20"/>
          <w:szCs w:val="20"/>
          <w:lang w:eastAsia="en-GB"/>
        </w:rPr>
        <w:drawing>
          <wp:inline distT="0" distB="0" distL="0" distR="0">
            <wp:extent cx="4911969" cy="1998785"/>
            <wp:effectExtent l="0" t="0" r="22225" b="2095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noProof/>
          <w:sz w:val="20"/>
          <w:szCs w:val="20"/>
        </w:rPr>
        <w:t xml:space="preserve">For the minimum wage over average wage data concern 2015, except for Belgium, France and Latvia data </w:t>
      </w:r>
      <w:r>
        <w:rPr>
          <w:rFonts w:ascii="Verdana" w:hAnsi="Verdana" w:cs="Times New Roman"/>
          <w:noProof/>
          <w:sz w:val="20"/>
          <w:szCs w:val="20"/>
        </w:rPr>
        <w:t>concern 2014 and for Greece data are adjusted on the basis of 2011 data. For the minimum wage over median wage data concern 2014, except for Germany (2015).</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i/>
          <w:noProof/>
          <w:sz w:val="18"/>
          <w:szCs w:val="18"/>
        </w:rPr>
      </w:pPr>
      <w:r>
        <w:rPr>
          <w:rFonts w:ascii="Verdana" w:hAnsi="Verdana" w:cs="Times New Roman"/>
          <w:i/>
          <w:noProof/>
          <w:sz w:val="18"/>
          <w:szCs w:val="18"/>
        </w:rPr>
        <w:t>Source: Eurostat</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b/>
          <w:noProof/>
          <w:sz w:val="20"/>
          <w:szCs w:val="20"/>
        </w:rPr>
        <w:t>The proportion of low-wage earners varies considerably across countries.</w:t>
      </w:r>
      <w:r>
        <w:rPr>
          <w:rFonts w:ascii="Verdana" w:hAnsi="Verdana" w:cs="Times New Roman"/>
          <w:noProof/>
          <w:sz w:val="20"/>
          <w:szCs w:val="20"/>
        </w:rPr>
        <w:t xml:space="preserve"> In 2014, </w:t>
      </w:r>
      <w:r>
        <w:rPr>
          <w:rFonts w:ascii="Verdana" w:hAnsi="Verdana" w:cs="Times New Roman"/>
          <w:noProof/>
          <w:sz w:val="20"/>
          <w:szCs w:val="20"/>
        </w:rPr>
        <w:t>it ranged from below 10% of all employees in the Nordic countries, Belgium, France and Italy, to close to 25% in Latvia, Romania and Lithuania. Low-wage earners are overrepresented among women, young, low-skilled and those with part-time and temporary cont</w:t>
      </w:r>
      <w:r>
        <w:rPr>
          <w:rFonts w:ascii="Verdana" w:hAnsi="Verdana" w:cs="Times New Roman"/>
          <w:noProof/>
          <w:sz w:val="20"/>
          <w:szCs w:val="20"/>
        </w:rPr>
        <w:t>racts. For temporary contracts, the incidence of a low wage is twice as high as for permanent contracts (32% versus 15% in the EU in 2014). On average almost one out of two employees who were earning a low wage in 2012 experienced upward mobility and manag</w:t>
      </w:r>
      <w:r>
        <w:rPr>
          <w:rFonts w:ascii="Verdana" w:hAnsi="Verdana" w:cs="Times New Roman"/>
          <w:noProof/>
          <w:sz w:val="20"/>
          <w:szCs w:val="20"/>
        </w:rPr>
        <w:t>e to escape low-wages within two years. This upward mobility was frequently the result of a change of job or of achieving higher education levels.</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b/>
          <w:noProof/>
          <w:sz w:val="20"/>
          <w:szCs w:val="20"/>
        </w:rPr>
        <w:t>Collective bargaining can play a key role for ensuring fair working conditions, and has come under pressure i</w:t>
      </w:r>
      <w:r>
        <w:rPr>
          <w:rFonts w:ascii="Verdana" w:hAnsi="Verdana" w:cs="Times New Roman"/>
          <w:b/>
          <w:noProof/>
          <w:sz w:val="20"/>
          <w:szCs w:val="20"/>
        </w:rPr>
        <w:t>n many Member States since the crisis of 2008.</w:t>
      </w:r>
      <w:r>
        <w:rPr>
          <w:rFonts w:ascii="Verdana" w:hAnsi="Verdana" w:cs="Times New Roman"/>
          <w:noProof/>
          <w:sz w:val="20"/>
          <w:szCs w:val="20"/>
        </w:rPr>
        <w:t xml:space="preserve"> The crisis has indeed reinforced a longer-term decline in coverage of collective agreements already observed since the 1990s (see Figure 6). The same is true for union membership, which has been gradually decr</w:t>
      </w:r>
      <w:r>
        <w:rPr>
          <w:rFonts w:ascii="Verdana" w:hAnsi="Verdana" w:cs="Times New Roman"/>
          <w:noProof/>
          <w:sz w:val="20"/>
          <w:szCs w:val="20"/>
        </w:rPr>
        <w:t>easing since the 1980s. Collective bargaining coverage is typically lower in countries where firm-level bargaining prevails, and higher where sector- or national level bargaining dominate. The emergence of new forms of work besides traditional employment r</w:t>
      </w:r>
      <w:r>
        <w:rPr>
          <w:rFonts w:ascii="Verdana" w:hAnsi="Verdana" w:cs="Times New Roman"/>
          <w:noProof/>
          <w:sz w:val="20"/>
          <w:szCs w:val="20"/>
        </w:rPr>
        <w:t xml:space="preserve">elationships is creating new challenges and calling for a modernised approach to social dialogue. </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i/>
          <w:noProof/>
          <w:sz w:val="20"/>
          <w:szCs w:val="20"/>
        </w:rPr>
      </w:pPr>
      <w:r>
        <w:rPr>
          <w:rFonts w:ascii="Verdana" w:hAnsi="Verdana" w:cs="Times New Roman"/>
          <w:i/>
          <w:noProof/>
          <w:sz w:val="20"/>
          <w:szCs w:val="20"/>
        </w:rPr>
        <w:t>Figure 6: Collective bargaining coverage and trade union density</w:t>
      </w:r>
    </w:p>
    <w:p w:rsidR="001E527A" w:rsidRDefault="00CD69DA">
      <w:pPr>
        <w:pBdr>
          <w:top w:val="single" w:sz="4" w:space="1" w:color="auto"/>
          <w:left w:val="single" w:sz="4" w:space="4" w:color="auto"/>
          <w:bottom w:val="single" w:sz="4" w:space="1" w:color="auto"/>
          <w:right w:val="single" w:sz="4" w:space="4" w:color="auto"/>
        </w:pBdr>
        <w:shd w:val="clear" w:color="auto" w:fill="D0EEF3"/>
        <w:jc w:val="center"/>
        <w:rPr>
          <w:rFonts w:ascii="Verdana" w:hAnsi="Verdana" w:cs="Times New Roman"/>
          <w:noProof/>
          <w:sz w:val="20"/>
          <w:szCs w:val="20"/>
        </w:rPr>
      </w:pPr>
      <w:r>
        <w:rPr>
          <w:rFonts w:ascii="Verdana" w:hAnsi="Verdana" w:cs="Times New Roman"/>
          <w:noProof/>
          <w:sz w:val="20"/>
          <w:szCs w:val="20"/>
          <w:lang w:eastAsia="en-GB"/>
        </w:rPr>
        <w:drawing>
          <wp:inline distT="0" distB="0" distL="0" distR="0">
            <wp:extent cx="4506163" cy="1843431"/>
            <wp:effectExtent l="0" t="0" r="8890" b="444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noProof/>
          <w:sz w:val="20"/>
          <w:szCs w:val="20"/>
        </w:rPr>
        <w:t>Note: Union Density is calculated as net union membership as a proportion of wage and sala</w:t>
      </w:r>
      <w:r>
        <w:rPr>
          <w:rFonts w:ascii="Verdana" w:hAnsi="Verdana" w:cs="Times New Roman"/>
          <w:noProof/>
          <w:sz w:val="20"/>
          <w:szCs w:val="20"/>
        </w:rPr>
        <w:t>ry earners in employment. Bargaining coverage measures the % of employees covered by collective wage bargaining agreements as a proportion of all employees with the right to bargaining.</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i/>
          <w:noProof/>
          <w:sz w:val="18"/>
          <w:szCs w:val="18"/>
        </w:rPr>
      </w:pPr>
      <w:r>
        <w:rPr>
          <w:rFonts w:ascii="Verdana" w:hAnsi="Verdana" w:cs="Times New Roman"/>
          <w:i/>
          <w:noProof/>
          <w:sz w:val="18"/>
          <w:szCs w:val="18"/>
        </w:rPr>
        <w:t>Source: Visser (2016) ICTWSS database</w:t>
      </w:r>
    </w:p>
    <w:p w:rsidR="001E527A" w:rsidRDefault="00CD69DA">
      <w:pPr>
        <w:pBdr>
          <w:top w:val="single" w:sz="4" w:space="1" w:color="auto"/>
          <w:left w:val="single" w:sz="4" w:space="4" w:color="auto"/>
          <w:bottom w:val="single" w:sz="4" w:space="1" w:color="auto"/>
          <w:right w:val="single" w:sz="4" w:space="4" w:color="auto"/>
        </w:pBdr>
        <w:shd w:val="clear" w:color="auto" w:fill="D0EEF3"/>
        <w:jc w:val="both"/>
        <w:rPr>
          <w:rFonts w:ascii="Verdana" w:hAnsi="Verdana" w:cs="Times New Roman"/>
          <w:noProof/>
          <w:sz w:val="20"/>
          <w:szCs w:val="20"/>
        </w:rPr>
      </w:pPr>
      <w:r>
        <w:rPr>
          <w:rFonts w:ascii="Verdana" w:hAnsi="Verdana" w:cs="Times New Roman"/>
          <w:b/>
          <w:noProof/>
          <w:sz w:val="20"/>
          <w:szCs w:val="20"/>
        </w:rPr>
        <w:t>Health and safety at the workpla</w:t>
      </w:r>
      <w:r>
        <w:rPr>
          <w:rFonts w:ascii="Verdana" w:hAnsi="Verdana" w:cs="Times New Roman"/>
          <w:b/>
          <w:noProof/>
          <w:sz w:val="20"/>
          <w:szCs w:val="20"/>
        </w:rPr>
        <w:t>ce has overall slightly improved over the past ten years</w:t>
      </w:r>
      <w:r>
        <w:rPr>
          <w:rStyle w:val="FootnoteReference"/>
          <w:rFonts w:ascii="Verdana" w:hAnsi="Verdana" w:cs="Times New Roman"/>
          <w:noProof/>
          <w:sz w:val="20"/>
          <w:szCs w:val="20"/>
        </w:rPr>
        <w:footnoteReference w:id="91"/>
      </w:r>
      <w:r>
        <w:rPr>
          <w:rFonts w:ascii="Verdana" w:hAnsi="Verdana" w:cs="Times New Roman"/>
          <w:noProof/>
          <w:sz w:val="20"/>
          <w:szCs w:val="20"/>
        </w:rPr>
        <w:t>. However, conditions have not improved uniformly. There has been a marked reduction since 2005 in the exposure of employees to powder, dust, fumes and smoke. In contrast, exposure has increased to c</w:t>
      </w:r>
      <w:r>
        <w:rPr>
          <w:rFonts w:ascii="Verdana" w:hAnsi="Verdana" w:cs="Times New Roman"/>
          <w:noProof/>
          <w:sz w:val="20"/>
          <w:szCs w:val="20"/>
        </w:rPr>
        <w:t xml:space="preserve">hemical products and potentially infectious materials (from 9% of the workers in 2005 to 14% in 2015). In 2015, 11% of the workers report being "not well informed" and "not at all well informed" about health and safety risks at work. The proportion of not </w:t>
      </w:r>
      <w:r>
        <w:rPr>
          <w:rFonts w:ascii="Verdana" w:hAnsi="Verdana" w:cs="Times New Roman"/>
          <w:noProof/>
          <w:sz w:val="20"/>
          <w:szCs w:val="20"/>
        </w:rPr>
        <w:t xml:space="preserve">well informed workers is larger among those more exposed to risks or working in small companies. </w:t>
      </w:r>
    </w:p>
    <w:p w:rsidR="001E527A" w:rsidRDefault="001E527A">
      <w:pPr>
        <w:jc w:val="both"/>
        <w:rPr>
          <w:rFonts w:ascii="Verdana" w:hAnsi="Verdana" w:cs="Times New Roman"/>
          <w:b/>
          <w:i/>
          <w:noProof/>
          <w:sz w:val="20"/>
          <w:szCs w:val="20"/>
          <w:u w:val="single"/>
        </w:rPr>
      </w:pPr>
    </w:p>
    <w:p w:rsidR="001E527A" w:rsidRDefault="00CD69DA">
      <w:pPr>
        <w:jc w:val="both"/>
        <w:rPr>
          <w:rFonts w:ascii="Verdana" w:hAnsi="Verdana" w:cs="Times New Roman"/>
          <w:b/>
          <w:i/>
          <w:noProof/>
          <w:sz w:val="20"/>
          <w:szCs w:val="20"/>
          <w:u w:val="single"/>
        </w:rPr>
      </w:pPr>
      <w:r>
        <w:rPr>
          <w:rFonts w:ascii="Verdana" w:hAnsi="Verdana" w:cs="Times New Roman"/>
          <w:b/>
          <w:i/>
          <w:noProof/>
          <w:sz w:val="20"/>
          <w:szCs w:val="20"/>
          <w:u w:val="single"/>
        </w:rPr>
        <w:t>What people told us</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Fair working conditions are needed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A number of national-level social partners and government representatives expressed the view that working conditions, including occupational health and safety, should </w:t>
      </w:r>
      <w:r>
        <w:rPr>
          <w:rFonts w:ascii="Verdana" w:hAnsi="Verdana" w:cs="Times New Roman"/>
          <w:b/>
          <w:noProof/>
          <w:sz w:val="20"/>
          <w:szCs w:val="20"/>
        </w:rPr>
        <w:t>feature more prominently in the Pillar</w:t>
      </w:r>
      <w:r>
        <w:rPr>
          <w:rFonts w:ascii="Verdana" w:hAnsi="Verdana" w:cs="Times New Roman"/>
          <w:noProof/>
          <w:sz w:val="20"/>
          <w:szCs w:val="20"/>
        </w:rPr>
        <w:t xml:space="preserve"> and be better linked to new forms of work. As rega</w:t>
      </w:r>
      <w:r>
        <w:rPr>
          <w:rFonts w:ascii="Verdana" w:hAnsi="Verdana" w:cs="Times New Roman"/>
          <w:noProof/>
          <w:sz w:val="20"/>
          <w:szCs w:val="20"/>
        </w:rPr>
        <w:t xml:space="preserve">rds working conditions, some argued that </w:t>
      </w:r>
      <w:r>
        <w:rPr>
          <w:rFonts w:ascii="Verdana" w:hAnsi="Verdana" w:cs="Times New Roman"/>
          <w:b/>
          <w:noProof/>
          <w:sz w:val="20"/>
          <w:szCs w:val="20"/>
        </w:rPr>
        <w:t>undeclared</w:t>
      </w:r>
      <w:r>
        <w:rPr>
          <w:rFonts w:ascii="Verdana" w:hAnsi="Verdana" w:cs="Times New Roman"/>
          <w:noProof/>
          <w:sz w:val="20"/>
          <w:szCs w:val="20"/>
        </w:rPr>
        <w:t xml:space="preserve"> and </w:t>
      </w:r>
      <w:r>
        <w:rPr>
          <w:rFonts w:ascii="Verdana" w:hAnsi="Verdana" w:cs="Times New Roman"/>
          <w:b/>
          <w:noProof/>
          <w:sz w:val="20"/>
          <w:szCs w:val="20"/>
        </w:rPr>
        <w:t>informal work</w:t>
      </w:r>
      <w:r>
        <w:rPr>
          <w:rFonts w:ascii="Verdana" w:hAnsi="Verdana" w:cs="Times New Roman"/>
          <w:noProof/>
          <w:sz w:val="20"/>
          <w:szCs w:val="20"/>
        </w:rPr>
        <w:t xml:space="preserve"> were not sufficiently addressed</w:t>
      </w:r>
      <w:r>
        <w:rPr>
          <w:rStyle w:val="FootnoteReference"/>
          <w:rFonts w:ascii="Verdana" w:hAnsi="Verdana" w:cs="Times New Roman"/>
          <w:noProof/>
          <w:sz w:val="20"/>
          <w:szCs w:val="20"/>
        </w:rPr>
        <w:footnoteReference w:id="92"/>
      </w:r>
      <w:r>
        <w:rPr>
          <w:rFonts w:ascii="Verdana" w:hAnsi="Verdana" w:cs="Times New Roman"/>
          <w:noProof/>
          <w:sz w:val="20"/>
          <w:szCs w:val="20"/>
        </w:rPr>
        <w:t>. Enforcement of existing rights should also be a priority</w:t>
      </w:r>
      <w:r>
        <w:rPr>
          <w:rStyle w:val="FootnoteReference"/>
          <w:rFonts w:ascii="Verdana" w:hAnsi="Verdana" w:cs="Times New Roman"/>
          <w:noProof/>
          <w:sz w:val="20"/>
          <w:szCs w:val="20"/>
        </w:rPr>
        <w:footnoteReference w:id="93"/>
      </w:r>
      <w:r>
        <w:rPr>
          <w:rFonts w:ascii="Verdana" w:hAnsi="Verdana" w:cs="Times New Roman"/>
          <w:noProof/>
          <w:sz w:val="20"/>
          <w:szCs w:val="20"/>
        </w:rPr>
        <w:t xml:space="preserve">.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to address the rising challenges of new forms of work …</w:t>
      </w:r>
    </w:p>
    <w:p w:rsidR="001E527A" w:rsidRDefault="00CD69DA">
      <w:pPr>
        <w:jc w:val="both"/>
        <w:rPr>
          <w:rFonts w:ascii="Verdana" w:hAnsi="Verdana" w:cs="Times New Roman"/>
          <w:noProof/>
          <w:sz w:val="20"/>
          <w:szCs w:val="20"/>
        </w:rPr>
      </w:pPr>
      <w:r>
        <w:rPr>
          <w:rFonts w:ascii="Verdana" w:hAnsi="Verdana" w:cs="Times New Roman"/>
          <w:noProof/>
          <w:sz w:val="20"/>
          <w:szCs w:val="20"/>
        </w:rPr>
        <w:t>Trade unions at the EU and nationa</w:t>
      </w:r>
      <w:r>
        <w:rPr>
          <w:rFonts w:ascii="Verdana" w:hAnsi="Verdana" w:cs="Times New Roman"/>
          <w:noProof/>
          <w:sz w:val="20"/>
          <w:szCs w:val="20"/>
        </w:rPr>
        <w:t>l level along with the EESC and some NGOs</w:t>
      </w:r>
      <w:r>
        <w:rPr>
          <w:rStyle w:val="FootnoteReference"/>
          <w:rFonts w:ascii="Verdana" w:hAnsi="Verdana" w:cs="Times New Roman"/>
          <w:noProof/>
          <w:sz w:val="20"/>
          <w:szCs w:val="20"/>
        </w:rPr>
        <w:footnoteReference w:id="94"/>
      </w:r>
      <w:r>
        <w:rPr>
          <w:rFonts w:ascii="Verdana" w:hAnsi="Verdana" w:cs="Times New Roman"/>
          <w:noProof/>
          <w:sz w:val="20"/>
          <w:szCs w:val="20"/>
        </w:rPr>
        <w:t xml:space="preserve"> were in favour of adapting legislation on </w:t>
      </w:r>
      <w:r>
        <w:rPr>
          <w:rFonts w:ascii="Verdana" w:hAnsi="Verdana" w:cs="Times New Roman"/>
          <w:b/>
          <w:noProof/>
          <w:sz w:val="20"/>
          <w:szCs w:val="20"/>
        </w:rPr>
        <w:t>working conditions</w:t>
      </w:r>
      <w:r>
        <w:rPr>
          <w:rFonts w:ascii="Verdana" w:hAnsi="Verdana" w:cs="Times New Roman"/>
          <w:noProof/>
          <w:sz w:val="20"/>
          <w:szCs w:val="20"/>
        </w:rPr>
        <w:t xml:space="preserve"> given the growth in new, atypical forms of employment resulting from digitalisation and the so-called “platform economy”. Trade unions, both at EU and n</w:t>
      </w:r>
      <w:r>
        <w:rPr>
          <w:rFonts w:ascii="Verdana" w:hAnsi="Verdana" w:cs="Times New Roman"/>
          <w:noProof/>
          <w:sz w:val="20"/>
          <w:szCs w:val="20"/>
        </w:rPr>
        <w:t xml:space="preserve">ational level, were particularly proactive in suggesting </w:t>
      </w:r>
      <w:r>
        <w:rPr>
          <w:rFonts w:ascii="Verdana" w:hAnsi="Verdana" w:cs="Times New Roman"/>
          <w:b/>
          <w:noProof/>
          <w:sz w:val="20"/>
          <w:szCs w:val="20"/>
        </w:rPr>
        <w:t>additional social rights</w:t>
      </w:r>
      <w:r>
        <w:rPr>
          <w:rFonts w:ascii="Verdana" w:hAnsi="Verdana" w:cs="Times New Roman"/>
          <w:noProof/>
          <w:sz w:val="20"/>
          <w:szCs w:val="20"/>
        </w:rPr>
        <w:t xml:space="preserve"> for inclusion in the Pillar to guarantee fair working conditions (e.g. the right to dignity at work, the right to reasonable working time etc.). In this context, for instance</w:t>
      </w:r>
      <w:r>
        <w:rPr>
          <w:rFonts w:ascii="Verdana" w:hAnsi="Verdana" w:cs="Times New Roman"/>
          <w:noProof/>
          <w:sz w:val="20"/>
          <w:szCs w:val="20"/>
        </w:rPr>
        <w:t xml:space="preserve">, trade unions asked for legislation to provide the right to privacy, improved </w:t>
      </w:r>
      <w:r>
        <w:rPr>
          <w:rFonts w:ascii="Verdana" w:hAnsi="Verdana" w:cs="Times New Roman"/>
          <w:b/>
          <w:noProof/>
          <w:sz w:val="20"/>
          <w:szCs w:val="20"/>
        </w:rPr>
        <w:t>protection of personal data in the employment relationship</w:t>
      </w:r>
      <w:r>
        <w:rPr>
          <w:rStyle w:val="FootnoteReference"/>
          <w:rFonts w:ascii="Verdana" w:hAnsi="Verdana" w:cs="Times New Roman"/>
          <w:noProof/>
          <w:sz w:val="20"/>
          <w:szCs w:val="20"/>
        </w:rPr>
        <w:footnoteReference w:id="95"/>
      </w:r>
      <w:r>
        <w:rPr>
          <w:rFonts w:ascii="Verdana" w:hAnsi="Verdana" w:cs="Times New Roman"/>
          <w:noProof/>
          <w:sz w:val="20"/>
          <w:szCs w:val="20"/>
        </w:rPr>
        <w:t xml:space="preserve"> and an obligation for employers to provide employees with regular, full information on which digital data is being co</w:t>
      </w:r>
      <w:r>
        <w:rPr>
          <w:rFonts w:ascii="Verdana" w:hAnsi="Verdana" w:cs="Times New Roman"/>
          <w:noProof/>
          <w:sz w:val="20"/>
          <w:szCs w:val="20"/>
        </w:rPr>
        <w:t>llected, and to what end</w:t>
      </w:r>
      <w:r>
        <w:rPr>
          <w:rStyle w:val="FootnoteReference"/>
          <w:rFonts w:ascii="Verdana" w:hAnsi="Verdana" w:cs="Times New Roman"/>
          <w:noProof/>
          <w:sz w:val="20"/>
          <w:szCs w:val="20"/>
        </w:rPr>
        <w:footnoteReference w:id="96"/>
      </w:r>
      <w:r>
        <w:rPr>
          <w:rFonts w:ascii="Verdana" w:hAnsi="Verdana" w:cs="Times New Roman"/>
          <w:noProof/>
          <w:sz w:val="20"/>
          <w:szCs w:val="20"/>
        </w:rPr>
        <w:t xml:space="preserve">. CESI advocated for a </w:t>
      </w:r>
      <w:r>
        <w:rPr>
          <w:rFonts w:ascii="Verdana" w:hAnsi="Verdana" w:cs="Times New Roman"/>
          <w:b/>
          <w:noProof/>
          <w:sz w:val="20"/>
          <w:szCs w:val="20"/>
        </w:rPr>
        <w:t>right to disconnect</w:t>
      </w:r>
      <w:r>
        <w:rPr>
          <w:rFonts w:ascii="Verdana" w:hAnsi="Verdana" w:cs="Times New Roman"/>
          <w:noProof/>
          <w:sz w:val="20"/>
          <w:szCs w:val="20"/>
        </w:rPr>
        <w:t xml:space="preserve"> in order to prevent increasing or unpaid working hours. This applies in particular to mobile and digital workers.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European Parliament called for the enactment of a </w:t>
      </w:r>
      <w:r>
        <w:rPr>
          <w:rFonts w:ascii="Verdana" w:hAnsi="Verdana" w:cs="Times New Roman"/>
          <w:b/>
          <w:noProof/>
          <w:sz w:val="20"/>
          <w:szCs w:val="20"/>
        </w:rPr>
        <w:t>Directive on fair wo</w:t>
      </w:r>
      <w:r>
        <w:rPr>
          <w:rFonts w:ascii="Verdana" w:hAnsi="Verdana" w:cs="Times New Roman"/>
          <w:b/>
          <w:noProof/>
          <w:sz w:val="20"/>
          <w:szCs w:val="20"/>
        </w:rPr>
        <w:t>rking conditions</w:t>
      </w:r>
      <w:r>
        <w:rPr>
          <w:rStyle w:val="FootnoteReference"/>
          <w:rFonts w:ascii="Verdana" w:hAnsi="Verdana" w:cs="Times New Roman"/>
          <w:noProof/>
          <w:sz w:val="20"/>
          <w:szCs w:val="20"/>
        </w:rPr>
        <w:footnoteReference w:id="97"/>
      </w:r>
      <w:r>
        <w:rPr>
          <w:rFonts w:ascii="Verdana" w:hAnsi="Verdana" w:cs="Times New Roman"/>
          <w:noProof/>
          <w:sz w:val="20"/>
          <w:szCs w:val="20"/>
        </w:rPr>
        <w:t xml:space="preserve">. The European Youth Forum supported this proposal and saw a new role for the EU in </w:t>
      </w:r>
      <w:r>
        <w:rPr>
          <w:rFonts w:ascii="Verdana" w:hAnsi="Verdana" w:cs="Times New Roman"/>
          <w:b/>
          <w:noProof/>
          <w:sz w:val="20"/>
          <w:szCs w:val="20"/>
        </w:rPr>
        <w:t>creating intermediary</w:t>
      </w:r>
      <w:r>
        <w:rPr>
          <w:rFonts w:ascii="Verdana" w:hAnsi="Verdana" w:cs="Times New Roman"/>
          <w:noProof/>
          <w:sz w:val="20"/>
          <w:szCs w:val="20"/>
        </w:rPr>
        <w:t xml:space="preserve"> </w:t>
      </w:r>
      <w:r>
        <w:rPr>
          <w:rFonts w:ascii="Verdana" w:hAnsi="Verdana" w:cs="Times New Roman"/>
          <w:b/>
          <w:noProof/>
          <w:sz w:val="20"/>
          <w:szCs w:val="20"/>
        </w:rPr>
        <w:t>platforms</w:t>
      </w:r>
      <w:r>
        <w:rPr>
          <w:rFonts w:ascii="Verdana" w:hAnsi="Verdana" w:cs="Times New Roman"/>
          <w:noProof/>
          <w:sz w:val="20"/>
          <w:szCs w:val="20"/>
        </w:rPr>
        <w:t xml:space="preserve"> particularly for the gig economy guaranteeing more transparency on working conditions and contractual arrangements and help</w:t>
      </w:r>
      <w:r>
        <w:rPr>
          <w:rFonts w:ascii="Verdana" w:hAnsi="Verdana" w:cs="Times New Roman"/>
          <w:noProof/>
          <w:sz w:val="20"/>
          <w:szCs w:val="20"/>
        </w:rPr>
        <w:t>ing Member States and businesses develop new regulatory models.</w:t>
      </w:r>
    </w:p>
    <w:p w:rsidR="001E527A" w:rsidRDefault="00CD69DA">
      <w:pPr>
        <w:shd w:val="clear" w:color="auto" w:fill="F2DBDB" w:themeFill="accent2" w:themeFillTint="33"/>
        <w:jc w:val="both"/>
        <w:rPr>
          <w:rFonts w:ascii="Verdana" w:hAnsi="Verdana" w:cs="Times New Roman"/>
          <w:b/>
          <w:i/>
          <w:noProof/>
          <w:sz w:val="20"/>
          <w:szCs w:val="20"/>
        </w:rPr>
      </w:pPr>
      <w:r>
        <w:rPr>
          <w:rFonts w:ascii="Verdana" w:hAnsi="Verdana" w:cs="Times New Roman"/>
          <w:b/>
          <w:i/>
          <w:noProof/>
          <w:sz w:val="20"/>
          <w:szCs w:val="20"/>
        </w:rPr>
        <w:t xml:space="preserve">Highlight – Guaranteeing employment conditions in the new forms of work: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Gig intermediaries - SMart Belgium: access to social security for the collaborative economy</w:t>
      </w:r>
    </w:p>
    <w:p w:rsidR="001E527A" w:rsidRDefault="00CD69DA">
      <w:pPr>
        <w:shd w:val="clear" w:color="auto" w:fill="F2DBDB" w:themeFill="accent2" w:themeFillTint="33"/>
        <w:spacing w:before="240"/>
        <w:jc w:val="both"/>
        <w:rPr>
          <w:rFonts w:ascii="Verdana" w:hAnsi="Verdana" w:cs="Times New Roman"/>
          <w:noProof/>
          <w:sz w:val="20"/>
          <w:szCs w:val="20"/>
        </w:rPr>
      </w:pPr>
      <w:r>
        <w:rPr>
          <w:rFonts w:ascii="Verdana" w:hAnsi="Verdana" w:cs="Times New Roman"/>
          <w:noProof/>
          <w:sz w:val="20"/>
          <w:szCs w:val="20"/>
        </w:rPr>
        <w:t xml:space="preserve">SMart Belgium offers </w:t>
      </w:r>
      <w:r>
        <w:rPr>
          <w:rFonts w:ascii="Verdana" w:hAnsi="Verdana" w:cs="Times New Roman"/>
          <w:noProof/>
          <w:sz w:val="20"/>
          <w:szCs w:val="20"/>
        </w:rPr>
        <w:t>employee status by transforming the service contracts of self-employed into short-term temporary contracts.  The organisation converts (against a fee) the independent/self-employed contracts into employment relationships, taking the role of employers and e</w:t>
      </w:r>
      <w:r>
        <w:rPr>
          <w:rFonts w:ascii="Verdana" w:hAnsi="Verdana" w:cs="Times New Roman"/>
          <w:noProof/>
          <w:sz w:val="20"/>
          <w:szCs w:val="20"/>
        </w:rPr>
        <w:t>nsuring access to social rights and security. It also acts as salary guarantee insurance, smoothing income flows and providing a buffer against late payments and contractor default. In addition, SMart Belgium offers administrative support with invoicing an</w:t>
      </w:r>
      <w:r>
        <w:rPr>
          <w:rFonts w:ascii="Verdana" w:hAnsi="Verdana" w:cs="Times New Roman"/>
          <w:noProof/>
          <w:sz w:val="20"/>
          <w:szCs w:val="20"/>
        </w:rPr>
        <w:t>d payment of social security contributions, and/or accounting as well as fringe services, such as individual guidance, insurance pooling, co-working spaces, rental of equipment, training provision – particularly entrepreneurship skills, professional networ</w:t>
      </w:r>
      <w:r>
        <w:rPr>
          <w:rFonts w:ascii="Verdana" w:hAnsi="Verdana" w:cs="Times New Roman"/>
          <w:noProof/>
          <w:sz w:val="20"/>
          <w:szCs w:val="20"/>
        </w:rPr>
        <w:t>ks, and platforms for creating tendering consortia.</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with a new focus on a safe and inclusive working environment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need for upholding existing standards in </w:t>
      </w:r>
      <w:r>
        <w:rPr>
          <w:rFonts w:ascii="Verdana" w:hAnsi="Verdana" w:cs="Times New Roman"/>
          <w:b/>
          <w:noProof/>
          <w:sz w:val="20"/>
          <w:szCs w:val="20"/>
        </w:rPr>
        <w:t>occupational health and safety</w:t>
      </w:r>
      <w:r>
        <w:rPr>
          <w:rFonts w:ascii="Verdana" w:hAnsi="Verdana" w:cs="Times New Roman"/>
          <w:noProof/>
          <w:sz w:val="20"/>
          <w:szCs w:val="20"/>
        </w:rPr>
        <w:t xml:space="preserve"> and to support their enforcement was highlighted by some respon</w:t>
      </w:r>
      <w:r>
        <w:rPr>
          <w:rFonts w:ascii="Verdana" w:hAnsi="Verdana" w:cs="Times New Roman"/>
          <w:noProof/>
          <w:sz w:val="20"/>
          <w:szCs w:val="20"/>
        </w:rPr>
        <w:t>dents</w:t>
      </w:r>
      <w:r>
        <w:rPr>
          <w:rStyle w:val="FootnoteReference"/>
          <w:rFonts w:ascii="Verdana" w:hAnsi="Verdana" w:cs="Times New Roman"/>
          <w:noProof/>
          <w:sz w:val="20"/>
          <w:szCs w:val="20"/>
        </w:rPr>
        <w:footnoteReference w:id="98"/>
      </w:r>
      <w:r>
        <w:rPr>
          <w:rFonts w:ascii="Verdana" w:hAnsi="Verdana" w:cs="Times New Roman"/>
          <w:noProof/>
          <w:sz w:val="20"/>
          <w:szCs w:val="20"/>
        </w:rPr>
        <w:t xml:space="preserve">. Some put an emphasis on </w:t>
      </w:r>
      <w:r>
        <w:rPr>
          <w:rFonts w:ascii="Verdana" w:hAnsi="Verdana" w:cs="Times New Roman"/>
          <w:b/>
          <w:noProof/>
          <w:sz w:val="20"/>
          <w:szCs w:val="20"/>
        </w:rPr>
        <w:t>gender</w:t>
      </w:r>
      <w:r>
        <w:rPr>
          <w:rFonts w:ascii="Verdana" w:hAnsi="Verdana" w:cs="Times New Roman"/>
          <w:noProof/>
          <w:sz w:val="20"/>
          <w:szCs w:val="20"/>
        </w:rPr>
        <w:t xml:space="preserve"> aspects</w:t>
      </w:r>
      <w:r>
        <w:rPr>
          <w:rStyle w:val="FootnoteReference"/>
          <w:rFonts w:ascii="Verdana" w:hAnsi="Verdana" w:cs="Times New Roman"/>
          <w:noProof/>
          <w:sz w:val="20"/>
          <w:szCs w:val="20"/>
        </w:rPr>
        <w:footnoteReference w:id="99"/>
      </w:r>
      <w:r>
        <w:rPr>
          <w:rFonts w:ascii="Verdana" w:hAnsi="Verdana" w:cs="Times New Roman"/>
          <w:noProof/>
          <w:sz w:val="20"/>
          <w:szCs w:val="20"/>
        </w:rPr>
        <w:t xml:space="preserve"> and on the </w:t>
      </w:r>
      <w:r>
        <w:rPr>
          <w:rFonts w:ascii="Verdana" w:hAnsi="Verdana" w:cs="Times New Roman"/>
          <w:b/>
          <w:noProof/>
          <w:sz w:val="20"/>
          <w:szCs w:val="20"/>
        </w:rPr>
        <w:t>ageing</w:t>
      </w:r>
      <w:r>
        <w:rPr>
          <w:rFonts w:ascii="Verdana" w:hAnsi="Verdana" w:cs="Times New Roman"/>
          <w:noProof/>
          <w:sz w:val="20"/>
          <w:szCs w:val="20"/>
        </w:rPr>
        <w:t xml:space="preserve"> workforce,</w:t>
      </w:r>
      <w:r>
        <w:rPr>
          <w:rStyle w:val="FootnoteReference"/>
          <w:rFonts w:ascii="Verdana" w:hAnsi="Verdana" w:cs="Times New Roman"/>
          <w:noProof/>
          <w:sz w:val="20"/>
          <w:szCs w:val="20"/>
        </w:rPr>
        <w:footnoteReference w:id="100"/>
      </w:r>
      <w:r>
        <w:rPr>
          <w:rFonts w:ascii="Verdana" w:hAnsi="Verdana" w:cs="Times New Roman"/>
          <w:noProof/>
          <w:sz w:val="20"/>
          <w:szCs w:val="20"/>
        </w:rPr>
        <w:t xml:space="preserve"> on mental health and health promotion services at work</w:t>
      </w:r>
      <w:r>
        <w:rPr>
          <w:rStyle w:val="FootnoteReference"/>
          <w:rFonts w:ascii="Verdana" w:hAnsi="Verdana" w:cs="Times New Roman"/>
          <w:noProof/>
          <w:sz w:val="20"/>
          <w:szCs w:val="20"/>
        </w:rPr>
        <w:footnoteReference w:id="101"/>
      </w:r>
      <w:r>
        <w:rPr>
          <w:rFonts w:ascii="Verdana" w:hAnsi="Verdana" w:cs="Times New Roman"/>
          <w:noProof/>
          <w:sz w:val="20"/>
          <w:szCs w:val="20"/>
        </w:rPr>
        <w:t xml:space="preserve"> and on extending protection to the self-employed</w:t>
      </w:r>
      <w:r>
        <w:rPr>
          <w:rStyle w:val="FootnoteReference"/>
          <w:rFonts w:ascii="Verdana" w:hAnsi="Verdana" w:cs="Times New Roman"/>
          <w:noProof/>
          <w:sz w:val="20"/>
          <w:szCs w:val="20"/>
        </w:rPr>
        <w:footnoteReference w:id="102"/>
      </w:r>
      <w:r>
        <w:rPr>
          <w:rFonts w:ascii="Verdana" w:hAnsi="Verdana" w:cs="Times New Roman"/>
          <w:noProof/>
          <w:sz w:val="20"/>
          <w:szCs w:val="20"/>
        </w:rPr>
        <w:t>.</w:t>
      </w:r>
    </w:p>
    <w:p w:rsidR="001E527A" w:rsidRDefault="00CD69DA">
      <w:pPr>
        <w:jc w:val="both"/>
        <w:rPr>
          <w:rFonts w:ascii="Verdana" w:hAnsi="Verdana" w:cs="Times New Roman"/>
          <w:noProof/>
          <w:sz w:val="20"/>
          <w:szCs w:val="20"/>
        </w:rPr>
      </w:pPr>
      <w:r>
        <w:rPr>
          <w:rFonts w:ascii="Verdana" w:hAnsi="Verdana" w:cs="Times New Roman"/>
          <w:noProof/>
          <w:sz w:val="20"/>
          <w:szCs w:val="20"/>
        </w:rPr>
        <w:t>In the view of NGOs and trade unions, the Pillar should explicitly supp</w:t>
      </w:r>
      <w:r>
        <w:rPr>
          <w:rFonts w:ascii="Verdana" w:hAnsi="Verdana" w:cs="Times New Roman"/>
          <w:noProof/>
          <w:sz w:val="20"/>
          <w:szCs w:val="20"/>
        </w:rPr>
        <w:t xml:space="preserve">ort reasonable accommodation for </w:t>
      </w:r>
      <w:r>
        <w:rPr>
          <w:rFonts w:ascii="Verdana" w:hAnsi="Verdana" w:cs="Times New Roman"/>
          <w:b/>
          <w:noProof/>
          <w:sz w:val="20"/>
          <w:szCs w:val="20"/>
        </w:rPr>
        <w:t>people with</w:t>
      </w:r>
      <w:r>
        <w:rPr>
          <w:rFonts w:ascii="Verdana" w:hAnsi="Verdana" w:cs="Times New Roman"/>
          <w:noProof/>
          <w:sz w:val="20"/>
          <w:szCs w:val="20"/>
        </w:rPr>
        <w:t xml:space="preserve"> </w:t>
      </w:r>
      <w:r>
        <w:rPr>
          <w:rFonts w:ascii="Verdana" w:hAnsi="Verdana" w:cs="Times New Roman"/>
          <w:b/>
          <w:noProof/>
          <w:sz w:val="20"/>
          <w:szCs w:val="20"/>
        </w:rPr>
        <w:t>disabilities</w:t>
      </w:r>
      <w:r>
        <w:rPr>
          <w:rStyle w:val="FootnoteReference"/>
          <w:rFonts w:ascii="Verdana" w:hAnsi="Verdana" w:cs="Times New Roman"/>
          <w:noProof/>
          <w:sz w:val="20"/>
          <w:szCs w:val="20"/>
        </w:rPr>
        <w:footnoteReference w:id="103"/>
      </w:r>
      <w:r>
        <w:rPr>
          <w:rFonts w:ascii="Verdana" w:hAnsi="Verdana" w:cs="Times New Roman"/>
          <w:noProof/>
          <w:sz w:val="20"/>
          <w:szCs w:val="20"/>
        </w:rPr>
        <w:t>.</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Making the workplace inclusive for people with disabilities: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u w:val="single"/>
        </w:rPr>
        <w:t>Hungary's experience</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Hungary is working on improving people with disabilities' inclusion into the labour market with accredited employment and by promoting reasonable accommodation.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Accredited employers can receive grants and subsidies to employ people with disabilities, with</w:t>
      </w:r>
      <w:r>
        <w:rPr>
          <w:rFonts w:ascii="Verdana" w:hAnsi="Verdana" w:cs="Times New Roman"/>
          <w:noProof/>
          <w:sz w:val="20"/>
          <w:szCs w:val="20"/>
        </w:rPr>
        <w:t xml:space="preserve"> explicit preference given to expenses to adapt or transform workplaces. They have to provide accommodations such as rehabilitation advisors, rehabilitation mentors and personal assistants if needed, and must have an occupational rehabilitation programme a</w:t>
      </w:r>
      <w:r>
        <w:rPr>
          <w:rFonts w:ascii="Verdana" w:hAnsi="Verdana" w:cs="Times New Roman"/>
          <w:noProof/>
          <w:sz w:val="20"/>
          <w:szCs w:val="20"/>
        </w:rPr>
        <w:t xml:space="preserve">nd a rehabilitation plan. Employers have to arrange the work tools, equipment, technology and the physical environment to the working abilities of the employees with disabilities.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support also includes personal subsidies such as wage costs and support</w:t>
      </w:r>
      <w:r>
        <w:rPr>
          <w:rFonts w:ascii="Verdana" w:hAnsi="Verdana" w:cs="Times New Roman"/>
          <w:noProof/>
          <w:sz w:val="20"/>
          <w:szCs w:val="20"/>
        </w:rPr>
        <w:t xml:space="preserve">, a job creation subsidy, or the so-called single-expense support. In addition a rehabilitation card was put in place in 2012 to ensure reliefs in the social contribution tax for any firm employing a person with disabilities who has such a card, up to the </w:t>
      </w:r>
      <w:r>
        <w:rPr>
          <w:rFonts w:ascii="Verdana" w:hAnsi="Verdana" w:cs="Times New Roman"/>
          <w:noProof/>
          <w:sz w:val="20"/>
          <w:szCs w:val="20"/>
        </w:rPr>
        <w:t xml:space="preserve">amount of 27% of the minimum wage twice for the entire duration of the employment. The number of people with the card is increasing (5,574 in 2012, 31,608 in 2014).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while avoiding an increase in administrative burden.</w:t>
      </w:r>
    </w:p>
    <w:p w:rsidR="001E527A" w:rsidRDefault="00CD69DA">
      <w:pPr>
        <w:jc w:val="both"/>
        <w:rPr>
          <w:rFonts w:ascii="Verdana" w:hAnsi="Verdana" w:cs="Times New Roman"/>
          <w:noProof/>
          <w:sz w:val="20"/>
          <w:szCs w:val="20"/>
        </w:rPr>
      </w:pPr>
      <w:r>
        <w:rPr>
          <w:rFonts w:ascii="Verdana" w:hAnsi="Verdana" w:cs="Times New Roman"/>
          <w:noProof/>
          <w:sz w:val="20"/>
          <w:szCs w:val="20"/>
        </w:rPr>
        <w:t>Conversely, some EU level</w:t>
      </w:r>
      <w:r>
        <w:rPr>
          <w:rStyle w:val="FootnoteReference"/>
          <w:rFonts w:ascii="Verdana" w:hAnsi="Verdana" w:cs="Times New Roman"/>
          <w:noProof/>
          <w:sz w:val="20"/>
          <w:szCs w:val="20"/>
        </w:rPr>
        <w:footnoteReference w:id="104"/>
      </w:r>
      <w:r>
        <w:rPr>
          <w:rFonts w:ascii="Verdana" w:hAnsi="Verdana" w:cs="Times New Roman"/>
          <w:noProof/>
          <w:sz w:val="20"/>
          <w:szCs w:val="20"/>
        </w:rPr>
        <w:t xml:space="preserve"> and nati</w:t>
      </w:r>
      <w:r>
        <w:rPr>
          <w:rFonts w:ascii="Verdana" w:hAnsi="Verdana" w:cs="Times New Roman"/>
          <w:noProof/>
          <w:sz w:val="20"/>
          <w:szCs w:val="20"/>
        </w:rPr>
        <w:t>onal employer organisations</w:t>
      </w:r>
      <w:r>
        <w:rPr>
          <w:rStyle w:val="FootnoteReference"/>
          <w:rFonts w:ascii="Verdana" w:hAnsi="Verdana" w:cs="Times New Roman"/>
          <w:noProof/>
          <w:sz w:val="20"/>
          <w:szCs w:val="20"/>
        </w:rPr>
        <w:footnoteReference w:id="105"/>
      </w:r>
      <w:r>
        <w:rPr>
          <w:rFonts w:ascii="Verdana" w:hAnsi="Verdana" w:cs="Times New Roman"/>
          <w:noProof/>
          <w:sz w:val="20"/>
          <w:szCs w:val="20"/>
        </w:rPr>
        <w:t xml:space="preserve"> were more sceptical of the principles put forward in the field of employment conditions. Issues were raised around subsidiarity as regards the introduction of minimum standards on notice and probation periods</w:t>
      </w:r>
      <w:r>
        <w:rPr>
          <w:rStyle w:val="FootnoteReference"/>
          <w:rFonts w:ascii="Verdana" w:hAnsi="Verdana" w:cs="Times New Roman"/>
          <w:noProof/>
          <w:sz w:val="20"/>
          <w:szCs w:val="20"/>
        </w:rPr>
        <w:footnoteReference w:id="106"/>
      </w:r>
      <w:r>
        <w:rPr>
          <w:rFonts w:ascii="Verdana" w:hAnsi="Verdana" w:cs="Times New Roman"/>
          <w:noProof/>
          <w:sz w:val="20"/>
          <w:szCs w:val="20"/>
        </w:rPr>
        <w:t>, and the introduc</w:t>
      </w:r>
      <w:r>
        <w:rPr>
          <w:rFonts w:ascii="Verdana" w:hAnsi="Verdana" w:cs="Times New Roman"/>
          <w:noProof/>
          <w:sz w:val="20"/>
          <w:szCs w:val="20"/>
        </w:rPr>
        <w:t xml:space="preserve">tion of new legislation covering new forms of work as this could potentially </w:t>
      </w:r>
      <w:r>
        <w:rPr>
          <w:rFonts w:ascii="Verdana" w:hAnsi="Verdana" w:cs="Times New Roman"/>
          <w:b/>
          <w:noProof/>
          <w:sz w:val="20"/>
          <w:szCs w:val="20"/>
        </w:rPr>
        <w:t>increase administrative burdens for employers</w:t>
      </w:r>
      <w:r>
        <w:rPr>
          <w:rFonts w:ascii="Verdana" w:hAnsi="Verdana" w:cs="Times New Roman"/>
          <w:noProof/>
          <w:sz w:val="20"/>
          <w:szCs w:val="20"/>
        </w:rPr>
        <w:t xml:space="preserve"> and lead to further circumventions of labour law</w:t>
      </w:r>
      <w:r>
        <w:rPr>
          <w:rStyle w:val="FootnoteReference"/>
          <w:rFonts w:ascii="Verdana" w:hAnsi="Verdana" w:cs="Times New Roman"/>
          <w:noProof/>
          <w:sz w:val="20"/>
          <w:szCs w:val="20"/>
        </w:rPr>
        <w:footnoteReference w:id="107"/>
      </w:r>
      <w:r>
        <w:rPr>
          <w:rFonts w:ascii="Verdana" w:hAnsi="Verdana" w:cs="Times New Roman"/>
          <w:noProof/>
          <w:sz w:val="20"/>
          <w:szCs w:val="20"/>
        </w:rPr>
        <w:t xml:space="preserve">. It can also negatively impact innovation in the labour market and the related job </w:t>
      </w:r>
      <w:r>
        <w:rPr>
          <w:rFonts w:ascii="Verdana" w:hAnsi="Verdana" w:cs="Times New Roman"/>
          <w:noProof/>
          <w:sz w:val="20"/>
          <w:szCs w:val="20"/>
        </w:rPr>
        <w:t>creation. Some Member States also expressed scepticism with regards to uniform standards in employment protection.</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Wages should provide for a decent standard of living while respecting the national traditions of wage setting. Adequate minimum wages…</w:t>
      </w:r>
    </w:p>
    <w:p w:rsidR="001E527A" w:rsidRDefault="00CD69DA">
      <w:pPr>
        <w:jc w:val="both"/>
        <w:rPr>
          <w:rFonts w:ascii="Verdana" w:hAnsi="Verdana" w:cs="Times New Roman"/>
          <w:noProof/>
          <w:sz w:val="20"/>
          <w:szCs w:val="20"/>
        </w:rPr>
      </w:pPr>
      <w:r>
        <w:rPr>
          <w:rFonts w:ascii="Verdana" w:hAnsi="Verdana" w:cs="Times New Roman"/>
          <w:noProof/>
          <w:sz w:val="20"/>
          <w:szCs w:val="20"/>
        </w:rPr>
        <w:t>Severa</w:t>
      </w:r>
      <w:r>
        <w:rPr>
          <w:rFonts w:ascii="Verdana" w:hAnsi="Verdana" w:cs="Times New Roman"/>
          <w:noProof/>
          <w:sz w:val="20"/>
          <w:szCs w:val="20"/>
        </w:rPr>
        <w:t xml:space="preserve">l trade unions and employers organisations opposed any EU intervention on </w:t>
      </w:r>
      <w:r>
        <w:rPr>
          <w:rFonts w:ascii="Verdana" w:hAnsi="Verdana" w:cs="Times New Roman"/>
          <w:b/>
          <w:noProof/>
          <w:sz w:val="20"/>
          <w:szCs w:val="20"/>
        </w:rPr>
        <w:t>wage formation</w:t>
      </w:r>
      <w:r>
        <w:rPr>
          <w:rFonts w:ascii="Verdana" w:hAnsi="Verdana" w:cs="Times New Roman"/>
          <w:noProof/>
          <w:sz w:val="20"/>
          <w:szCs w:val="20"/>
        </w:rPr>
        <w:t xml:space="preserve">, which should be left to the national level respecting the autonomy of social partners. ETUC and some national trade unions advocated increasing the number of workers </w:t>
      </w:r>
      <w:r>
        <w:rPr>
          <w:rFonts w:ascii="Verdana" w:hAnsi="Verdana" w:cs="Times New Roman"/>
          <w:noProof/>
          <w:sz w:val="20"/>
          <w:szCs w:val="20"/>
        </w:rPr>
        <w:t xml:space="preserve">covered by collective agreements and coverage of collective bargaining including for vulnerable workers.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European Parliament recommended the establishment of wage floors in the form of </w:t>
      </w:r>
      <w:r>
        <w:rPr>
          <w:rFonts w:ascii="Verdana" w:hAnsi="Verdana" w:cs="Times New Roman"/>
          <w:b/>
          <w:noProof/>
          <w:sz w:val="20"/>
          <w:szCs w:val="20"/>
        </w:rPr>
        <w:t>national minimum wage</w:t>
      </w:r>
      <w:r>
        <w:rPr>
          <w:rFonts w:ascii="Verdana" w:hAnsi="Verdana" w:cs="Times New Roman"/>
          <w:noProof/>
          <w:sz w:val="20"/>
          <w:szCs w:val="20"/>
        </w:rPr>
        <w:t xml:space="preserve">, where applicable, with due respect for the </w:t>
      </w:r>
      <w:r>
        <w:rPr>
          <w:rFonts w:ascii="Verdana" w:hAnsi="Verdana" w:cs="Times New Roman"/>
          <w:noProof/>
          <w:sz w:val="20"/>
          <w:szCs w:val="20"/>
        </w:rPr>
        <w:t>practices of each Member State and after consulting the social partners. The European Parliament also called on the Commission to help to exchange best practices in this regard.</w:t>
      </w:r>
    </w:p>
    <w:p w:rsidR="001E527A" w:rsidRDefault="00CD69DA">
      <w:pPr>
        <w:jc w:val="both"/>
        <w:rPr>
          <w:rFonts w:ascii="Verdana" w:hAnsi="Verdana" w:cs="Times New Roman"/>
          <w:noProof/>
          <w:sz w:val="20"/>
          <w:szCs w:val="20"/>
        </w:rPr>
      </w:pPr>
      <w:r>
        <w:rPr>
          <w:rFonts w:ascii="Verdana" w:hAnsi="Verdana" w:cs="Times New Roman"/>
          <w:noProof/>
          <w:sz w:val="20"/>
          <w:szCs w:val="20"/>
        </w:rPr>
        <w:t>ETUC, some national trade unions</w:t>
      </w:r>
      <w:r>
        <w:rPr>
          <w:rStyle w:val="FootnoteReference"/>
          <w:rFonts w:ascii="Verdana" w:hAnsi="Verdana" w:cs="Times New Roman"/>
          <w:noProof/>
          <w:sz w:val="20"/>
          <w:szCs w:val="20"/>
        </w:rPr>
        <w:footnoteReference w:id="108"/>
      </w:r>
      <w:r>
        <w:rPr>
          <w:rFonts w:ascii="Verdana" w:hAnsi="Verdana" w:cs="Times New Roman"/>
          <w:noProof/>
          <w:sz w:val="20"/>
          <w:szCs w:val="20"/>
        </w:rPr>
        <w:t xml:space="preserve"> and NGOs</w:t>
      </w:r>
      <w:r>
        <w:rPr>
          <w:rStyle w:val="FootnoteReference"/>
          <w:rFonts w:ascii="Verdana" w:hAnsi="Verdana" w:cs="Times New Roman"/>
          <w:noProof/>
          <w:sz w:val="20"/>
          <w:szCs w:val="20"/>
        </w:rPr>
        <w:footnoteReference w:id="109"/>
      </w:r>
      <w:r>
        <w:rPr>
          <w:rFonts w:ascii="Verdana" w:hAnsi="Verdana" w:cs="Times New Roman"/>
          <w:noProof/>
          <w:sz w:val="20"/>
          <w:szCs w:val="20"/>
        </w:rPr>
        <w:t xml:space="preserve"> were in favour of introducing </w:t>
      </w:r>
      <w:r>
        <w:rPr>
          <w:rFonts w:ascii="Verdana" w:hAnsi="Verdana" w:cs="Times New Roman"/>
          <w:b/>
          <w:noProof/>
          <w:sz w:val="20"/>
          <w:szCs w:val="20"/>
        </w:rPr>
        <w:t>a mi</w:t>
      </w:r>
      <w:r>
        <w:rPr>
          <w:rFonts w:ascii="Verdana" w:hAnsi="Verdana" w:cs="Times New Roman"/>
          <w:b/>
          <w:noProof/>
          <w:sz w:val="20"/>
          <w:szCs w:val="20"/>
        </w:rPr>
        <w:t>nimum wage threshold based on 60% of the median wage</w:t>
      </w:r>
      <w:r>
        <w:rPr>
          <w:rFonts w:ascii="Verdana" w:hAnsi="Verdana" w:cs="Times New Roman"/>
          <w:noProof/>
          <w:sz w:val="20"/>
          <w:szCs w:val="20"/>
        </w:rPr>
        <w:t xml:space="preserve"> in each country. The Friedrich Ebert Stiftung argued for a minimum wage between 55 and 60% of national median wages. The S&amp;D MEPs and the European Anti-Poverty Network requested the threshold for the min</w:t>
      </w:r>
      <w:r>
        <w:rPr>
          <w:rFonts w:ascii="Verdana" w:hAnsi="Verdana" w:cs="Times New Roman"/>
          <w:noProof/>
          <w:sz w:val="20"/>
          <w:szCs w:val="20"/>
        </w:rPr>
        <w:t xml:space="preserve">imum wage as 60% of the average wage. </w:t>
      </w:r>
    </w:p>
    <w:p w:rsidR="001E527A" w:rsidRDefault="00CD69DA">
      <w:pPr>
        <w:jc w:val="both"/>
        <w:rPr>
          <w:rFonts w:ascii="Verdana" w:hAnsi="Verdana" w:cs="Times New Roman"/>
          <w:noProof/>
          <w:sz w:val="20"/>
          <w:szCs w:val="20"/>
        </w:rPr>
      </w:pPr>
      <w:r>
        <w:rPr>
          <w:rFonts w:ascii="Verdana" w:hAnsi="Verdana" w:cs="Times New Roman"/>
          <w:noProof/>
          <w:sz w:val="20"/>
          <w:szCs w:val="20"/>
        </w:rPr>
        <w:t>Some governments also supported the setting of national minimum wage levels</w:t>
      </w:r>
      <w:r>
        <w:rPr>
          <w:rStyle w:val="FootnoteReference"/>
          <w:rFonts w:ascii="Verdana" w:hAnsi="Verdana" w:cs="Times New Roman"/>
          <w:noProof/>
          <w:sz w:val="20"/>
          <w:szCs w:val="20"/>
        </w:rPr>
        <w:footnoteReference w:id="110"/>
      </w:r>
      <w:r>
        <w:rPr>
          <w:rFonts w:ascii="Verdana" w:hAnsi="Verdana" w:cs="Times New Roman"/>
          <w:noProof/>
          <w:sz w:val="20"/>
          <w:szCs w:val="20"/>
        </w:rPr>
        <w:t>. Minimum wage floors, without a quantification, were requested by the European Youth Forum, CGIL, the French Economic Social and Environment</w:t>
      </w:r>
      <w:r>
        <w:rPr>
          <w:rFonts w:ascii="Verdana" w:hAnsi="Verdana" w:cs="Times New Roman"/>
          <w:noProof/>
          <w:sz w:val="20"/>
          <w:szCs w:val="20"/>
        </w:rPr>
        <w:t>al Council. The EESC argued that the adoption of a common approach to minimum wage policy at the EU level could help to limit the extent of poverty in the enlarged Union and limit the proportion of people on low pay within national contexts.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In others </w:t>
      </w:r>
      <w:r>
        <w:rPr>
          <w:rFonts w:ascii="Verdana" w:hAnsi="Verdana" w:cs="Times New Roman"/>
          <w:noProof/>
          <w:sz w:val="20"/>
          <w:szCs w:val="20"/>
        </w:rPr>
        <w:t>countries, trade unions argued that setting a minimum wage would harm their respective national collective bargaining models</w:t>
      </w:r>
      <w:r>
        <w:rPr>
          <w:rStyle w:val="FootnoteReference"/>
          <w:rFonts w:ascii="Verdana" w:hAnsi="Verdana" w:cs="Times New Roman"/>
          <w:noProof/>
          <w:sz w:val="20"/>
          <w:szCs w:val="20"/>
        </w:rPr>
        <w:footnoteReference w:id="111"/>
      </w:r>
      <w:r>
        <w:rPr>
          <w:rFonts w:ascii="Verdana" w:hAnsi="Verdana" w:cs="Times New Roman"/>
          <w:noProof/>
          <w:sz w:val="20"/>
          <w:szCs w:val="20"/>
        </w:rPr>
        <w:t>.</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Both the British and Polish government mentioned the </w:t>
      </w:r>
      <w:r>
        <w:rPr>
          <w:rFonts w:ascii="Verdana" w:hAnsi="Verdana" w:cs="Times New Roman"/>
          <w:b/>
          <w:noProof/>
          <w:sz w:val="20"/>
          <w:szCs w:val="20"/>
        </w:rPr>
        <w:t>‘living wage’</w:t>
      </w:r>
      <w:r>
        <w:rPr>
          <w:rStyle w:val="FootnoteReference"/>
          <w:rFonts w:ascii="Verdana" w:hAnsi="Verdana" w:cs="Times New Roman"/>
          <w:noProof/>
          <w:sz w:val="20"/>
          <w:szCs w:val="20"/>
        </w:rPr>
        <w:footnoteReference w:id="112"/>
      </w:r>
      <w:r>
        <w:rPr>
          <w:rFonts w:ascii="Verdana" w:hAnsi="Verdana" w:cs="Times New Roman"/>
          <w:noProof/>
          <w:sz w:val="20"/>
          <w:szCs w:val="20"/>
        </w:rPr>
        <w:t xml:space="preserve"> concept as a good practice example in this area.</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Committee of the Regions pointed out that some local and regional authorities have used their public procurement policies to encourage and require contractors to pay fair wages to their staff.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should address in-work poverty through quality jobs.</w:t>
      </w:r>
    </w:p>
    <w:p w:rsidR="001E527A" w:rsidRDefault="00CD69DA">
      <w:pPr>
        <w:jc w:val="both"/>
        <w:rPr>
          <w:rFonts w:ascii="Verdana" w:hAnsi="Verdana" w:cs="Times New Roman"/>
          <w:noProof/>
          <w:sz w:val="20"/>
          <w:szCs w:val="20"/>
        </w:rPr>
      </w:pPr>
      <w:r>
        <w:rPr>
          <w:rFonts w:ascii="Verdana" w:hAnsi="Verdana" w:cs="Times New Roman"/>
          <w:noProof/>
          <w:sz w:val="20"/>
          <w:szCs w:val="20"/>
        </w:rPr>
        <w:t>Cer</w:t>
      </w:r>
      <w:r>
        <w:rPr>
          <w:rFonts w:ascii="Verdana" w:hAnsi="Verdana" w:cs="Times New Roman"/>
          <w:noProof/>
          <w:sz w:val="20"/>
          <w:szCs w:val="20"/>
        </w:rPr>
        <w:t>tain EU</w:t>
      </w:r>
      <w:r>
        <w:rPr>
          <w:rStyle w:val="FootnoteReference"/>
          <w:rFonts w:ascii="Verdana" w:hAnsi="Verdana" w:cs="Times New Roman"/>
          <w:noProof/>
          <w:sz w:val="20"/>
          <w:szCs w:val="20"/>
        </w:rPr>
        <w:footnoteReference w:id="113"/>
      </w:r>
      <w:r>
        <w:rPr>
          <w:rFonts w:ascii="Verdana" w:hAnsi="Verdana" w:cs="Times New Roman"/>
          <w:noProof/>
          <w:sz w:val="20"/>
          <w:szCs w:val="20"/>
        </w:rPr>
        <w:t xml:space="preserve"> and national-level trade unions</w:t>
      </w:r>
      <w:r>
        <w:rPr>
          <w:rStyle w:val="FootnoteReference"/>
          <w:rFonts w:ascii="Verdana" w:hAnsi="Verdana" w:cs="Times New Roman"/>
          <w:noProof/>
          <w:sz w:val="20"/>
          <w:szCs w:val="20"/>
        </w:rPr>
        <w:footnoteReference w:id="114"/>
      </w:r>
      <w:r>
        <w:rPr>
          <w:rFonts w:ascii="Verdana" w:hAnsi="Verdana" w:cs="Times New Roman"/>
          <w:noProof/>
          <w:sz w:val="20"/>
          <w:szCs w:val="20"/>
        </w:rPr>
        <w:t xml:space="preserve"> highlighted that the current priority is to </w:t>
      </w:r>
      <w:r>
        <w:rPr>
          <w:rFonts w:ascii="Verdana" w:hAnsi="Verdana" w:cs="Times New Roman"/>
          <w:b/>
          <w:noProof/>
          <w:sz w:val="20"/>
          <w:szCs w:val="20"/>
        </w:rPr>
        <w:t>reduce precarious employment</w:t>
      </w:r>
      <w:r>
        <w:rPr>
          <w:rFonts w:ascii="Verdana" w:hAnsi="Verdana" w:cs="Times New Roman"/>
          <w:noProof/>
          <w:sz w:val="20"/>
          <w:szCs w:val="20"/>
        </w:rPr>
        <w:t xml:space="preserve"> and to guarantee fair pay for all workers, notably through an ambitious industrial policy for the creation of sustainable quality jobs. Other</w:t>
      </w:r>
      <w:r>
        <w:rPr>
          <w:rFonts w:ascii="Verdana" w:hAnsi="Verdana" w:cs="Times New Roman"/>
          <w:noProof/>
          <w:sz w:val="20"/>
          <w:szCs w:val="20"/>
        </w:rPr>
        <w:t xml:space="preserve"> trade unions</w:t>
      </w:r>
      <w:r>
        <w:rPr>
          <w:rStyle w:val="FootnoteReference"/>
          <w:rFonts w:ascii="Verdana" w:hAnsi="Verdana" w:cs="Times New Roman"/>
          <w:noProof/>
          <w:sz w:val="20"/>
          <w:szCs w:val="20"/>
        </w:rPr>
        <w:footnoteReference w:id="115"/>
      </w:r>
      <w:r>
        <w:rPr>
          <w:rFonts w:ascii="Verdana" w:hAnsi="Verdana" w:cs="Times New Roman"/>
          <w:noProof/>
          <w:sz w:val="20"/>
          <w:szCs w:val="20"/>
        </w:rPr>
        <w:t xml:space="preserve"> emphasised the importance of preserving the European soc</w:t>
      </w:r>
      <w:r>
        <w:rPr>
          <w:rFonts w:ascii="Verdana" w:hAnsi="Verdana" w:cs="Times New Roman"/>
          <w:noProof/>
          <w:sz w:val="20"/>
          <w:szCs w:val="20"/>
          <w:lang w:eastAsia="en-GB"/>
        </w:rPr>
        <mc:AlternateContent>
          <mc:Choice Requires="wps">
            <w:drawing>
              <wp:anchor distT="0" distB="0" distL="180340" distR="114300" simplePos="0" relativeHeight="251873280" behindDoc="1" locked="1" layoutInCell="0" allowOverlap="0">
                <wp:simplePos x="0" y="0"/>
                <wp:positionH relativeFrom="margin">
                  <wp:posOffset>4022725</wp:posOffset>
                </wp:positionH>
                <wp:positionV relativeFrom="paragraph">
                  <wp:posOffset>-516255</wp:posOffset>
                </wp:positionV>
                <wp:extent cx="1581150" cy="2750820"/>
                <wp:effectExtent l="348615" t="0" r="5715" b="5715"/>
                <wp:wrapSquare wrapText="bothSides"/>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81150" cy="2750820"/>
                        </a:xfrm>
                        <a:prstGeom prst="wedgeRoundRectCallout">
                          <a:avLst>
                            <a:gd name="adj1" fmla="val -21643"/>
                            <a:gd name="adj2" fmla="val 61938"/>
                            <a:gd name="adj3" fmla="val 16667"/>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1E527A" w:rsidRDefault="00CD69DA">
                            <w:pPr>
                              <w:spacing w:after="0" w:line="288" w:lineRule="auto"/>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b/>
                                <w:i/>
                                <w:iCs/>
                                <w:color w:val="FFFFFF" w:themeColor="background1"/>
                                <w:sz w:val="18"/>
                                <w:szCs w:val="18"/>
                              </w:rPr>
                              <w:t>ETUC</w:t>
                            </w:r>
                            <w:r>
                              <w:rPr>
                                <w:rFonts w:asciiTheme="majorHAnsi" w:eastAsiaTheme="majorEastAsia" w:hAnsiTheme="majorHAnsi" w:cstheme="majorBidi"/>
                                <w:i/>
                                <w:iCs/>
                                <w:color w:val="FFFFFF" w:themeColor="background1"/>
                                <w:sz w:val="18"/>
                                <w:szCs w:val="18"/>
                              </w:rPr>
                              <w:t>: “Building a strong social dimension in Europe means ending the unacceptable levels of unemployment Europe is facing, especially among young workers and women. (…) Public invest</w:t>
                            </w:r>
                            <w:r>
                              <w:rPr>
                                <w:rFonts w:asciiTheme="majorHAnsi" w:eastAsiaTheme="majorEastAsia" w:hAnsiTheme="majorHAnsi" w:cstheme="majorBidi"/>
                                <w:i/>
                                <w:iCs/>
                                <w:color w:val="FFFFFF" w:themeColor="background1"/>
                                <w:sz w:val="18"/>
                                <w:szCs w:val="18"/>
                              </w:rPr>
                              <w:t>ment for quality job creation and higher wages for sustainable and more equal growth are the fundamental pillars of a new economic strategy.”</w:t>
                            </w:r>
                          </w:p>
                          <w:p w:rsidR="001E527A" w:rsidRDefault="001E527A">
                            <w:pPr>
                              <w:spacing w:line="240" w:lineRule="auto"/>
                              <w:jc w:val="center"/>
                              <w:rPr>
                                <w:rFonts w:asciiTheme="majorHAnsi" w:eastAsiaTheme="majorEastAsia" w:hAnsiTheme="majorHAnsi" w:cstheme="majorBidi"/>
                                <w:i/>
                                <w:iCs/>
                                <w:color w:val="D2DFEE" w:themeColor="accent1" w:themeTint="40"/>
                                <w:sz w:val="18"/>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62" style="position:absolute;left:0;text-align:left;margin-left:316.75pt;margin-top:-40.65pt;width:124.5pt;height:216.6pt;rotation:90;z-index:-251443200;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s5PAMAAM8GAAAOAAAAZHJzL2Uyb0RvYy54bWysVdtu4zYQfS/QfyD4rkjUxbogyiJ27KJA&#10;trvYtOgzLVIWW0pUSTpyWvTfd0gpidL0oWhrA4IojoZzzpwzuv5w6SV65NoINdSYXEUY8aFRTAyn&#10;Gv/04yEoMDKWDoxKNfAaP3GDP9x8+831NFY8Vp2SjGsESQZTTWONO2vHKgxN0/Gemis18gE2W6V7&#10;amGpTyHTdILsvQzjKNqEk9Js1KrhxsDTu3kT3/j8bcsb+6ltDbdI1hhqs/6q/fXoruHNNa1Omo6d&#10;aJYy6L+ooqdigENfUt1RS9FZi3epetFoZVRrrxrVh6ptRcM9BkBDor+geejoyD0WIMeMLzSZ/y9t&#10;88PjZ40Eq3FcZhgNtIcm3Z6t8mej2BE0jaaCuIfxs3YQzXivml8NGtSuo8OJ32qtpo5TBmURFx++&#10;ecEtDLyKjtNHxSA7heyeq0ure6QV9CRLI/fzT4ETdPENenppEL9Y1MBDkhWEZNDHBvbiPIuK2Lcw&#10;pJVL5qobtbHfcdUjd1PjibMT/6LOA/sCWthRKdXZ+nPo472xvmVsgU3ZLwSjtpeggEcqURCTTZos&#10;ElkFxeugDSmT4n1Mso4hm80m98zQajkWKn6u1HOqpGAHIaVf6NNxJzWCGgDyIS3zu+Vlsw4DUhYE&#10;jh4vtj9KEqfRNi6Dw6bIg/SQZkGZR0UQkXJbbqK0TO8Ofzr4JK06wRgf7sXAn4VP0n8mrMWCs2S9&#10;9NFU44TkmWf2TZVmDSbbFck2/Tsw2rXIm9Epab/cWyrkfB++rRhERiuA7eh6RX97yKI8TYogz7Mk&#10;SJN9FGyLwy643UEH8v12t92Tt+j3fkSY/06AL8QnW3oCMuP6oWMTYsIJMcnKGNTFBAyfOJ/ljqg8&#10;wdRsrMbOBz8L23nbOd2/E0IRuf8sXTl2dJZH5n3jTAfGnKn29y/Hz0y9VrYicgH/yuXMqQfgPexs&#10;O9vfXo4XPyUS7zfn6aNiT+Bq719wJHwDAGWn9O8YTTBPa2x+O1PNMZLfDzAZSpKmbgD7RZrlYFyk&#10;1zvH9Q4dGki1UDMvdnYe2+dRi1MHZxHPxaDctGqFfR48c10AyhUJU9PDWya8G8vrtY96/Q7dfAUA&#10;AP//AwBQSwMEFAAGAAgAAAAhADlUHE3fAAAACgEAAA8AAABkcnMvZG93bnJldi54bWxMj0FOwzAQ&#10;RfdI3MEaJHbUaZWWNMSpqgILFizacgA3niYR8TjYbhI4PcOqLEf/6c/7xWaynRjQh9aRgvksAYFU&#10;OdNSreDj+PqQgQhRk9GdI1TwjQE25e1NoXPjRtrjcIi14BIKuVbQxNjnUoaqQavDzPVInJ2dtzry&#10;6WtpvB653HZykSQraXVL/KHRPe4arD4PF6tgkD/tDp/f9u9hzF6+oh/89nhW6v5u2j6BiDjFKwx/&#10;+qwOJTud3IVMEJ2CZTpPGeUg4QkMrB/TFYiTgsVynYEsC/l/QvkLAAD//wMAUEsBAi0AFAAGAAgA&#10;AAAhALaDOJL+AAAA4QEAABMAAAAAAAAAAAAAAAAAAAAAAFtDb250ZW50X1R5cGVzXS54bWxQSwEC&#10;LQAUAAYACAAAACEAOP0h/9YAAACUAQAACwAAAAAAAAAAAAAAAAAvAQAAX3JlbHMvLnJlbHNQSwEC&#10;LQAUAAYACAAAACEA23QrOTwDAADPBgAADgAAAAAAAAAAAAAAAAAuAgAAZHJzL2Uyb0RvYy54bWxQ&#10;SwECLQAUAAYACAAAACEAOVQcTd8AAAAKAQAADwAAAAAAAAAAAAAAAACWBQAAZHJzL2Rvd25yZXYu&#10;eG1sUEsFBgAAAAAEAAQA8wAAAKIGAAAAAA==&#10;" o:allowincell="f" o:allowoverlap="f" adj="6125,24179" fillcolor="#1f497d" stroked="f" strokecolor="#5c83b4" strokeweight=".25pt">
                <v:stroke joinstyle="round"/>
                <v:shadow opacity=".5"/>
                <v:textbox>
                  <w:txbxContent>
                    <w:p>
                      <w:pPr>
                        <w:spacing w:after="0" w:line="288" w:lineRule="auto"/>
                        <w:jc w:val="center"/>
                        <w:rPr>
                          <w:rFonts w:asciiTheme="majorHAnsi" w:eastAsiaTheme="majorEastAsia" w:hAnsiTheme="majorHAnsi" w:cstheme="majorBidi"/>
                          <w:i/>
                          <w:iCs/>
                          <w:color w:val="FFFFFF" w:themeColor="background1"/>
                          <w:sz w:val="18"/>
                          <w:szCs w:val="18"/>
                        </w:rPr>
                      </w:pPr>
                      <w:r>
                        <w:rPr>
                          <w:rFonts w:asciiTheme="majorHAnsi" w:eastAsiaTheme="majorEastAsia" w:hAnsiTheme="majorHAnsi" w:cstheme="majorBidi"/>
                          <w:b/>
                          <w:i/>
                          <w:iCs/>
                          <w:color w:val="FFFFFF" w:themeColor="background1"/>
                          <w:sz w:val="18"/>
                          <w:szCs w:val="18"/>
                        </w:rPr>
                        <w:t>ETUC</w:t>
                      </w:r>
                      <w:r>
                        <w:rPr>
                          <w:rFonts w:asciiTheme="majorHAnsi" w:eastAsiaTheme="majorEastAsia" w:hAnsiTheme="majorHAnsi" w:cstheme="majorBidi"/>
                          <w:i/>
                          <w:iCs/>
                          <w:color w:val="FFFFFF" w:themeColor="background1"/>
                          <w:sz w:val="18"/>
                          <w:szCs w:val="18"/>
                        </w:rPr>
                        <w:t>: “Building a strong social dimension in Europe means ending the unacceptable levels of unemployment Europe is facing, especially among young workers and women. (…) Public investment for quality job creation and higher wages for sustainable and more equal growth are the fundamental pillars of a new economic strategy.”</w:t>
                      </w:r>
                    </w:p>
                    <w:p>
                      <w:pPr>
                        <w:spacing w:line="240" w:lineRule="auto"/>
                        <w:jc w:val="center"/>
                        <w:rPr>
                          <w:rFonts w:asciiTheme="majorHAnsi" w:eastAsiaTheme="majorEastAsia" w:hAnsiTheme="majorHAnsi" w:cstheme="majorBidi"/>
                          <w:i/>
                          <w:iCs/>
                          <w:color w:val="D2DFEE" w:themeColor="accent1" w:themeTint="40"/>
                          <w:sz w:val="18"/>
                          <w:szCs w:val="20"/>
                        </w:rPr>
                      </w:pPr>
                    </w:p>
                  </w:txbxContent>
                </v:textbox>
                <w10:wrap type="square" anchorx="margin"/>
                <w10:anchorlock/>
              </v:shape>
            </w:pict>
          </mc:Fallback>
        </mc:AlternateContent>
      </w:r>
      <w:r>
        <w:rPr>
          <w:rFonts w:ascii="Verdana" w:hAnsi="Verdana" w:cs="Times New Roman"/>
          <w:noProof/>
          <w:sz w:val="20"/>
          <w:szCs w:val="20"/>
        </w:rPr>
        <w:t xml:space="preserve">ial model as a way of guaranteeing </w:t>
      </w:r>
      <w:r>
        <w:rPr>
          <w:rFonts w:ascii="Verdana" w:hAnsi="Verdana" w:cs="Times New Roman"/>
          <w:b/>
          <w:noProof/>
          <w:sz w:val="20"/>
          <w:szCs w:val="20"/>
        </w:rPr>
        <w:t>quality employment</w:t>
      </w:r>
      <w:r>
        <w:rPr>
          <w:rFonts w:ascii="Verdana" w:hAnsi="Verdana" w:cs="Times New Roman"/>
          <w:noProof/>
          <w:sz w:val="20"/>
          <w:szCs w:val="20"/>
        </w:rPr>
        <w:t>. Some called</w:t>
      </w:r>
      <w:r>
        <w:rPr>
          <w:rStyle w:val="FootnoteReference"/>
          <w:rFonts w:ascii="Verdana" w:hAnsi="Verdana" w:cs="Times New Roman"/>
          <w:noProof/>
          <w:sz w:val="20"/>
          <w:szCs w:val="20"/>
        </w:rPr>
        <w:footnoteReference w:id="116"/>
      </w:r>
      <w:r>
        <w:rPr>
          <w:rFonts w:ascii="Verdana" w:hAnsi="Verdana" w:cs="Times New Roman"/>
          <w:noProof/>
          <w:sz w:val="20"/>
          <w:szCs w:val="20"/>
        </w:rPr>
        <w:t xml:space="preserve"> for a reference framework </w:t>
      </w:r>
      <w:r>
        <w:rPr>
          <w:rFonts w:ascii="Verdana" w:hAnsi="Verdana" w:cs="Times New Roman"/>
          <w:b/>
          <w:noProof/>
          <w:sz w:val="20"/>
          <w:szCs w:val="20"/>
        </w:rPr>
        <w:t xml:space="preserve">to assess the </w:t>
      </w:r>
      <w:r>
        <w:rPr>
          <w:rFonts w:ascii="Verdana" w:hAnsi="Verdana" w:cs="Times New Roman"/>
          <w:b/>
          <w:noProof/>
          <w:sz w:val="20"/>
          <w:szCs w:val="20"/>
        </w:rPr>
        <w:t>quality of jobs</w:t>
      </w:r>
      <w:r>
        <w:rPr>
          <w:rFonts w:ascii="Verdana" w:hAnsi="Verdana" w:cs="Times New Roman"/>
          <w:noProof/>
          <w:sz w:val="20"/>
          <w:szCs w:val="20"/>
        </w:rPr>
        <w:t xml:space="preserve">.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Social dialogue should be promoted and workers' participation strengthened.</w:t>
      </w:r>
    </w:p>
    <w:p w:rsidR="001E527A" w:rsidRDefault="00CD69DA">
      <w:pPr>
        <w:jc w:val="both"/>
        <w:rPr>
          <w:rFonts w:ascii="Verdana" w:hAnsi="Verdana" w:cs="Times New Roman"/>
          <w:noProof/>
          <w:sz w:val="20"/>
          <w:szCs w:val="20"/>
        </w:rPr>
      </w:pPr>
      <w:r>
        <w:rPr>
          <w:rFonts w:ascii="Verdana" w:hAnsi="Verdana" w:cs="Times New Roman"/>
          <w:noProof/>
          <w:sz w:val="20"/>
          <w:szCs w:val="20"/>
        </w:rPr>
        <w:t>EU</w:t>
      </w:r>
      <w:r>
        <w:rPr>
          <w:rStyle w:val="FootnoteReference"/>
          <w:rFonts w:ascii="Verdana" w:hAnsi="Verdana" w:cs="Times New Roman"/>
          <w:noProof/>
          <w:sz w:val="20"/>
          <w:szCs w:val="20"/>
        </w:rPr>
        <w:footnoteReference w:id="117"/>
      </w:r>
      <w:r>
        <w:rPr>
          <w:rFonts w:ascii="Verdana" w:hAnsi="Verdana" w:cs="Times New Roman"/>
          <w:noProof/>
          <w:sz w:val="20"/>
          <w:szCs w:val="20"/>
        </w:rPr>
        <w:t xml:space="preserve"> and some national level trade unions</w:t>
      </w:r>
      <w:r>
        <w:rPr>
          <w:rStyle w:val="FootnoteReference"/>
          <w:rFonts w:ascii="Verdana" w:hAnsi="Verdana" w:cs="Times New Roman"/>
          <w:noProof/>
          <w:sz w:val="20"/>
          <w:szCs w:val="20"/>
        </w:rPr>
        <w:footnoteReference w:id="118"/>
      </w:r>
      <w:r>
        <w:rPr>
          <w:rFonts w:ascii="Verdana" w:hAnsi="Verdana" w:cs="Times New Roman"/>
          <w:noProof/>
          <w:sz w:val="20"/>
          <w:szCs w:val="20"/>
        </w:rPr>
        <w:t>, employer organisations</w:t>
      </w:r>
      <w:r>
        <w:rPr>
          <w:rStyle w:val="FootnoteReference"/>
          <w:rFonts w:ascii="Verdana" w:hAnsi="Verdana" w:cs="Times New Roman"/>
          <w:noProof/>
          <w:sz w:val="20"/>
          <w:szCs w:val="20"/>
        </w:rPr>
        <w:footnoteReference w:id="119"/>
      </w:r>
      <w:r>
        <w:rPr>
          <w:rFonts w:ascii="Verdana" w:hAnsi="Verdana" w:cs="Times New Roman"/>
          <w:noProof/>
          <w:sz w:val="20"/>
          <w:szCs w:val="20"/>
        </w:rPr>
        <w:t xml:space="preserve"> as well as the ILO expressed the view that </w:t>
      </w:r>
      <w:r>
        <w:rPr>
          <w:rFonts w:ascii="Verdana" w:hAnsi="Verdana" w:cs="Times New Roman"/>
          <w:b/>
          <w:noProof/>
          <w:sz w:val="20"/>
          <w:szCs w:val="20"/>
        </w:rPr>
        <w:t>social dialogue</w:t>
      </w:r>
      <w:r>
        <w:rPr>
          <w:rFonts w:ascii="Verdana" w:hAnsi="Verdana" w:cs="Times New Roman"/>
          <w:noProof/>
          <w:sz w:val="20"/>
          <w:szCs w:val="20"/>
        </w:rPr>
        <w:t xml:space="preserve"> should be more prominent in the Pill</w:t>
      </w:r>
      <w:r>
        <w:rPr>
          <w:rFonts w:ascii="Verdana" w:hAnsi="Verdana" w:cs="Times New Roman"/>
          <w:noProof/>
          <w:sz w:val="20"/>
          <w:szCs w:val="20"/>
        </w:rPr>
        <w:t xml:space="preserve">ar. According to ETUC, the Pillar should promote social dialogue and collective bargaining as the right way for its implementation. </w:t>
      </w:r>
    </w:p>
    <w:p w:rsidR="001E527A" w:rsidRDefault="00CD69DA">
      <w:pPr>
        <w:shd w:val="clear" w:color="auto" w:fill="F2DBDB" w:themeFill="accent2" w:themeFillTint="33"/>
        <w:jc w:val="both"/>
        <w:rPr>
          <w:rFonts w:ascii="Verdana" w:hAnsi="Verdana" w:cs="Times New Roman"/>
          <w:b/>
          <w:noProof/>
          <w:sz w:val="20"/>
          <w:szCs w:val="20"/>
          <w:u w:val="single"/>
        </w:rPr>
      </w:pPr>
      <w:r>
        <w:rPr>
          <w:rFonts w:ascii="Verdana" w:hAnsi="Verdana" w:cs="Times New Roman"/>
          <w:b/>
          <w:noProof/>
          <w:sz w:val="20"/>
          <w:szCs w:val="20"/>
          <w:u w:val="single"/>
        </w:rPr>
        <w:t>Highlight – Supporting atypical workers through social dialogue:</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The example of Italian trade unions</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In Italy, all major trade union federations have established specific trade union sections in order better to organise, recruit and support atypical workers, including specific branches in the General Confederation of Italian Workers (Nidil Cgil), in the U</w:t>
      </w:r>
      <w:r>
        <w:rPr>
          <w:rFonts w:ascii="Verdana" w:hAnsi="Verdana" w:cs="Times New Roman"/>
          <w:noProof/>
          <w:sz w:val="20"/>
          <w:szCs w:val="20"/>
        </w:rPr>
        <w:t xml:space="preserve">nion of Italian Workers (Uil-Temp) and in the Italian Confederation of Workers’ Trade Unions (FeLSA Cisl).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These organisations sign collective agreements with employer organisations representing temporary work agencies and provide atypical workers with sp</w:t>
      </w:r>
      <w:r>
        <w:rPr>
          <w:rFonts w:ascii="Verdana" w:hAnsi="Verdana" w:cs="Times New Roman"/>
          <w:noProof/>
          <w:sz w:val="20"/>
          <w:szCs w:val="20"/>
        </w:rPr>
        <w:t>ecific services, such as fiscal counselling, information on their rights and support in disputes.</w:t>
      </w:r>
    </w:p>
    <w:p w:rsidR="001E527A" w:rsidRDefault="00CD69DA">
      <w:pPr>
        <w:jc w:val="both"/>
        <w:rPr>
          <w:rFonts w:ascii="Verdana" w:hAnsi="Verdana" w:cs="Times New Roman"/>
          <w:noProof/>
          <w:sz w:val="20"/>
          <w:szCs w:val="20"/>
        </w:rPr>
      </w:pPr>
      <w:r>
        <w:rPr>
          <w:rFonts w:ascii="Verdana" w:hAnsi="Verdana" w:cs="Times New Roman"/>
          <w:noProof/>
          <w:sz w:val="20"/>
          <w:szCs w:val="20"/>
        </w:rPr>
        <w:t>Most trade unions saw the need to improve the EU framework for information, consultation and board-level representation of workers. More generally, most trade</w:t>
      </w:r>
      <w:r>
        <w:rPr>
          <w:rFonts w:ascii="Verdana" w:hAnsi="Verdana" w:cs="Times New Roman"/>
          <w:noProof/>
          <w:sz w:val="20"/>
          <w:szCs w:val="20"/>
        </w:rPr>
        <w:t xml:space="preserve"> unions and social economy representatives argued in favour of stronger participation rights, which become more important in the digital economy</w:t>
      </w:r>
      <w:r>
        <w:rPr>
          <w:rStyle w:val="FootnoteReference"/>
          <w:rFonts w:ascii="Verdana" w:hAnsi="Verdana" w:cs="Times New Roman"/>
          <w:noProof/>
          <w:sz w:val="20"/>
          <w:szCs w:val="20"/>
        </w:rPr>
        <w:footnoteReference w:id="120"/>
      </w:r>
      <w:r>
        <w:rPr>
          <w:rFonts w:ascii="Verdana" w:hAnsi="Verdana" w:cs="Times New Roman"/>
          <w:noProof/>
          <w:sz w:val="20"/>
          <w:szCs w:val="20"/>
        </w:rPr>
        <w:t xml:space="preserve">. The EESC called for </w:t>
      </w:r>
      <w:r>
        <w:rPr>
          <w:rFonts w:ascii="Verdana" w:hAnsi="Verdana" w:cs="Times New Roman"/>
          <w:b/>
          <w:noProof/>
          <w:sz w:val="20"/>
          <w:szCs w:val="20"/>
        </w:rPr>
        <w:t>new rights of association for the self-employed.</w:t>
      </w:r>
      <w:r>
        <w:rPr>
          <w:rFonts w:ascii="Verdana" w:hAnsi="Verdana" w:cs="Times New Roman"/>
          <w:noProof/>
          <w:sz w:val="20"/>
          <w:szCs w:val="20"/>
        </w:rPr>
        <w:t xml:space="preserve"> </w:t>
      </w:r>
    </w:p>
    <w:p w:rsidR="001E527A" w:rsidRDefault="00CD69DA">
      <w:pPr>
        <w:shd w:val="clear" w:color="auto" w:fill="F2DBDB" w:themeFill="accent2" w:themeFillTint="33"/>
        <w:jc w:val="both"/>
        <w:rPr>
          <w:rFonts w:ascii="Verdana" w:hAnsi="Verdana" w:cs="Times New Roman"/>
          <w:b/>
          <w:noProof/>
          <w:sz w:val="20"/>
          <w:szCs w:val="20"/>
          <w:u w:val="single"/>
        </w:rPr>
      </w:pPr>
      <w:r>
        <w:rPr>
          <w:rFonts w:ascii="Verdana" w:hAnsi="Verdana" w:cs="Times New Roman"/>
          <w:b/>
          <w:noProof/>
          <w:sz w:val="20"/>
          <w:szCs w:val="20"/>
          <w:u w:val="single"/>
        </w:rPr>
        <w:t>Highlight – Upskilling and work-life ba</w:t>
      </w:r>
      <w:r>
        <w:rPr>
          <w:rFonts w:ascii="Verdana" w:hAnsi="Verdana" w:cs="Times New Roman"/>
          <w:b/>
          <w:noProof/>
          <w:sz w:val="20"/>
          <w:szCs w:val="20"/>
          <w:u w:val="single"/>
        </w:rPr>
        <w:t>lance through collective agreements:</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noProof/>
          <w:sz w:val="20"/>
          <w:szCs w:val="20"/>
          <w:u w:val="single"/>
        </w:rPr>
        <w:t xml:space="preserve"> </w:t>
      </w:r>
      <w:r>
        <w:rPr>
          <w:rFonts w:ascii="Verdana" w:hAnsi="Verdana" w:cs="Times New Roman"/>
          <w:b/>
          <w:i/>
          <w:noProof/>
          <w:sz w:val="20"/>
          <w:szCs w:val="20"/>
          <w:u w:val="single"/>
        </w:rPr>
        <w:t xml:space="preserve">An example from Denmark </w:t>
      </w:r>
    </w:p>
    <w:p w:rsidR="001E527A" w:rsidRDefault="00CD69DA">
      <w:pPr>
        <w:shd w:val="clear" w:color="auto" w:fill="F2DBDB" w:themeFill="accent2" w:themeFillTint="33"/>
        <w:spacing w:before="240"/>
        <w:jc w:val="both"/>
        <w:rPr>
          <w:rFonts w:ascii="Verdana" w:hAnsi="Verdana" w:cs="Times New Roman"/>
          <w:noProof/>
          <w:sz w:val="20"/>
          <w:szCs w:val="20"/>
        </w:rPr>
      </w:pPr>
      <w:r>
        <w:rPr>
          <w:rFonts w:ascii="Verdana" w:hAnsi="Verdana" w:cs="Times New Roman"/>
          <w:noProof/>
          <w:sz w:val="20"/>
          <w:szCs w:val="20"/>
        </w:rPr>
        <w:t>A collective agreement between Danish social partners in the industrial sector combines up-skilling and adult learning with provisions for an improved work-life balance. It affects approx. 230,</w:t>
      </w:r>
      <w:r>
        <w:rPr>
          <w:rFonts w:ascii="Verdana" w:hAnsi="Verdana" w:cs="Times New Roman"/>
          <w:noProof/>
          <w:sz w:val="20"/>
          <w:szCs w:val="20"/>
        </w:rPr>
        <w:t>000 employees for a 3-year period (March 2017 - March 2020).</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The agreement envisages a 200 million DKK (27 million EUR) investment in up-skilling and adult learning, mainly targeted unskilled workers and workers with low reading and mathematical literacy. </w:t>
      </w:r>
      <w:r>
        <w:rPr>
          <w:rFonts w:ascii="Verdana" w:hAnsi="Verdana" w:cs="Times New Roman"/>
          <w:noProof/>
          <w:sz w:val="20"/>
          <w:szCs w:val="20"/>
        </w:rPr>
        <w:t xml:space="preserve">Work-life balance initiatives include full salary during parental leave, improved access to sick child leave and more flexible arrangements for older workers.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agreement also includes a system for accumulating rights related to job tenure for temporary</w:t>
      </w:r>
      <w:r>
        <w:rPr>
          <w:rFonts w:ascii="Verdana" w:hAnsi="Verdana" w:cs="Times New Roman"/>
          <w:noProof/>
          <w:sz w:val="20"/>
          <w:szCs w:val="20"/>
        </w:rPr>
        <w:t xml:space="preserve"> workers and pay rises for apprentices. It covers approx. 6,000 companies in the Danish industrial sector.</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 </w:t>
      </w:r>
    </w:p>
    <w:p w:rsidR="001E527A" w:rsidRDefault="001E527A">
      <w:pPr>
        <w:pStyle w:val="Heading2"/>
        <w:rPr>
          <w:noProof/>
        </w:rPr>
        <w:sectPr w:rsidR="001E527A">
          <w:headerReference w:type="even" r:id="rId51"/>
          <w:headerReference w:type="default" r:id="rId52"/>
          <w:footerReference w:type="even" r:id="rId53"/>
          <w:footerReference w:type="default" r:id="rId54"/>
          <w:headerReference w:type="first" r:id="rId55"/>
          <w:footerReference w:type="first" r:id="rId56"/>
          <w:pgSz w:w="11906" w:h="16838"/>
          <w:pgMar w:top="1418" w:right="1134" w:bottom="1418" w:left="1134" w:header="709" w:footer="709" w:gutter="0"/>
          <w:cols w:space="708"/>
          <w:docGrid w:linePitch="360"/>
        </w:sectPr>
      </w:pPr>
    </w:p>
    <w:p w:rsidR="001E527A" w:rsidRDefault="00CD69DA">
      <w:pPr>
        <w:pStyle w:val="Heading2"/>
        <w:rPr>
          <w:noProof/>
        </w:rPr>
      </w:pPr>
      <w:bookmarkStart w:id="27" w:name="_Toc479349471"/>
      <w:r>
        <w:rPr>
          <w:noProof/>
        </w:rPr>
        <w:t>3. Adequate and sustainable social protection</w:t>
      </w:r>
      <w:bookmarkEnd w:id="27"/>
      <w:r>
        <w:rPr>
          <w:noProof/>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The chapter on adequate and sustainable social protection in the draft Pillar included principles on access to social protection as well as high quality services, including childcare, healthcare and long-term care, to ensure dignified living and protection</w:t>
      </w:r>
      <w:r>
        <w:rPr>
          <w:rFonts w:ascii="Verdana" w:hAnsi="Verdana" w:cs="Times New Roman"/>
          <w:noProof/>
          <w:sz w:val="20"/>
          <w:szCs w:val="20"/>
        </w:rPr>
        <w:t xml:space="preserve"> against risks, and to enable individuals to participate fully in employment and more generally in society. </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b/>
          <w:noProof/>
          <w:sz w:val="20"/>
          <w:szCs w:val="20"/>
        </w:rPr>
      </w:pPr>
      <w:r>
        <w:rPr>
          <w:rFonts w:ascii="Verdana" w:hAnsi="Verdana" w:cs="Times New Roman"/>
          <w:b/>
          <w:noProof/>
          <w:sz w:val="20"/>
          <w:szCs w:val="20"/>
        </w:rPr>
        <w:t xml:space="preserve">Evidence </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b/>
          <w:noProof/>
          <w:sz w:val="20"/>
          <w:szCs w:val="20"/>
        </w:rPr>
        <w:t>After a surge during the crisis, poverty and social exclusion have recovered in most recent years</w:t>
      </w:r>
      <w:r>
        <w:rPr>
          <w:rFonts w:ascii="Verdana" w:hAnsi="Verdana" w:cs="Times New Roman"/>
          <w:noProof/>
          <w:sz w:val="20"/>
          <w:szCs w:val="20"/>
        </w:rPr>
        <w:t xml:space="preserve">, driven in particularly by a reduction </w:t>
      </w:r>
      <w:r>
        <w:rPr>
          <w:rFonts w:ascii="Verdana" w:hAnsi="Verdana" w:cs="Times New Roman"/>
          <w:noProof/>
          <w:sz w:val="20"/>
          <w:szCs w:val="20"/>
        </w:rPr>
        <w:t>in the proportion of people suffering from severe material deprivation, which reached in 2015 the lowest level of the past decade. The other components of the at-risk of poverty and social exclusion rate remained fairly constant over the past ten years. Ye</w:t>
      </w:r>
      <w:r>
        <w:rPr>
          <w:rFonts w:ascii="Verdana" w:hAnsi="Verdana" w:cs="Times New Roman"/>
          <w:noProof/>
          <w:sz w:val="20"/>
          <w:szCs w:val="20"/>
        </w:rPr>
        <w:t xml:space="preserve">t, in some countries poverty is still increasing. </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i/>
          <w:noProof/>
          <w:sz w:val="20"/>
          <w:szCs w:val="20"/>
        </w:rPr>
      </w:pPr>
      <w:r>
        <w:rPr>
          <w:rFonts w:ascii="Verdana" w:hAnsi="Verdana" w:cs="Times New Roman"/>
          <w:i/>
          <w:noProof/>
          <w:sz w:val="20"/>
          <w:szCs w:val="20"/>
        </w:rPr>
        <w:t>Figure 7: At-Risk of Poverty and Social Exclusion (AROPE) and at its components</w:t>
      </w:r>
    </w:p>
    <w:p w:rsidR="001E527A" w:rsidRDefault="00CD69DA">
      <w:pPr>
        <w:pBdr>
          <w:top w:val="single" w:sz="4" w:space="1" w:color="auto"/>
          <w:left w:val="single" w:sz="4" w:space="1" w:color="auto"/>
          <w:bottom w:val="single" w:sz="4" w:space="1" w:color="auto"/>
          <w:right w:val="single" w:sz="4" w:space="1" w:color="auto"/>
        </w:pBdr>
        <w:shd w:val="clear" w:color="auto" w:fill="D0EEF3"/>
        <w:jc w:val="center"/>
        <w:rPr>
          <w:rFonts w:ascii="Verdana" w:hAnsi="Verdana" w:cs="Times New Roman"/>
          <w:noProof/>
          <w:sz w:val="20"/>
          <w:szCs w:val="20"/>
        </w:rPr>
      </w:pPr>
      <w:r>
        <w:rPr>
          <w:rFonts w:ascii="Verdana" w:hAnsi="Verdana" w:cs="Times New Roman"/>
          <w:noProof/>
          <w:sz w:val="20"/>
          <w:szCs w:val="20"/>
          <w:lang w:eastAsia="en-GB"/>
        </w:rPr>
        <w:drawing>
          <wp:inline distT="0" distB="0" distL="0" distR="0">
            <wp:extent cx="5207000" cy="2489200"/>
            <wp:effectExtent l="0" t="0" r="0" b="635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noProof/>
          <w:sz w:val="20"/>
          <w:szCs w:val="20"/>
        </w:rPr>
        <w:t xml:space="preserve">Note EU27 for 2005-2014; EU28 for 2015. For the people living in households with very low work intensity the population </w:t>
      </w:r>
      <w:r>
        <w:rPr>
          <w:rFonts w:ascii="Verdana" w:hAnsi="Verdana" w:cs="Times New Roman"/>
          <w:noProof/>
          <w:sz w:val="20"/>
          <w:szCs w:val="20"/>
        </w:rPr>
        <w:t>consists of those younger than 60 years; for the other indicators the entire population is considered.</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i/>
          <w:noProof/>
          <w:sz w:val="18"/>
          <w:szCs w:val="18"/>
        </w:rPr>
      </w:pPr>
      <w:r>
        <w:rPr>
          <w:rFonts w:ascii="Verdana" w:hAnsi="Verdana" w:cs="Times New Roman"/>
          <w:i/>
          <w:noProof/>
          <w:sz w:val="18"/>
          <w:szCs w:val="18"/>
        </w:rPr>
        <w:t>Source: EUROSTAT</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b/>
          <w:noProof/>
          <w:sz w:val="20"/>
          <w:szCs w:val="20"/>
        </w:rPr>
        <w:t>Large disparities exist in the level of protection ensured by minimum income schemes across European countries.</w:t>
      </w:r>
      <w:r>
        <w:rPr>
          <w:rFonts w:ascii="Verdana" w:hAnsi="Verdana" w:cs="Times New Roman"/>
          <w:noProof/>
          <w:sz w:val="20"/>
          <w:szCs w:val="20"/>
        </w:rPr>
        <w:t xml:space="preserve"> In 2014, the level of mi</w:t>
      </w:r>
      <w:r>
        <w:rPr>
          <w:rFonts w:ascii="Verdana" w:hAnsi="Verdana" w:cs="Times New Roman"/>
          <w:noProof/>
          <w:sz w:val="20"/>
          <w:szCs w:val="20"/>
        </w:rPr>
        <w:t>nimum income fell below 60% of the median household disposable income of the respective country in almost all Member States and below 40% in about half of the Member States (Figure 8). In only four countries, minimum income recipients received an income th</w:t>
      </w:r>
      <w:r>
        <w:rPr>
          <w:rFonts w:ascii="Verdana" w:hAnsi="Verdana" w:cs="Times New Roman"/>
          <w:noProof/>
          <w:sz w:val="20"/>
          <w:szCs w:val="20"/>
        </w:rPr>
        <w:t>at is higher than 60% of median income. Similar divergence between countries can be observed when considering minimum incomes as a percentage of low wages. In eight countries the minimum income was below 50% of the earnings of a low-wage earner, while in t</w:t>
      </w:r>
      <w:r>
        <w:rPr>
          <w:rFonts w:ascii="Verdana" w:hAnsi="Verdana" w:cs="Times New Roman"/>
          <w:noProof/>
          <w:sz w:val="20"/>
          <w:szCs w:val="20"/>
        </w:rPr>
        <w:t xml:space="preserve">wo other countries the minimum income exceeded the earnings of a low-wage earner. </w:t>
      </w:r>
    </w:p>
    <w:p w:rsidR="001E527A" w:rsidRDefault="001E527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i/>
          <w:noProof/>
          <w:sz w:val="20"/>
          <w:szCs w:val="20"/>
        </w:rPr>
        <w:sectPr w:rsidR="001E527A">
          <w:headerReference w:type="even" r:id="rId58"/>
          <w:headerReference w:type="default" r:id="rId59"/>
          <w:footerReference w:type="even" r:id="rId60"/>
          <w:footerReference w:type="default" r:id="rId61"/>
          <w:headerReference w:type="first" r:id="rId62"/>
          <w:footerReference w:type="first" r:id="rId63"/>
          <w:pgSz w:w="11906" w:h="16838"/>
          <w:pgMar w:top="1418" w:right="1134" w:bottom="1418" w:left="1134" w:header="709" w:footer="709" w:gutter="0"/>
          <w:cols w:space="708"/>
          <w:docGrid w:linePitch="360"/>
        </w:sectPr>
      </w:pP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i/>
          <w:noProof/>
          <w:sz w:val="20"/>
          <w:szCs w:val="20"/>
        </w:rPr>
      </w:pPr>
      <w:r>
        <w:rPr>
          <w:rFonts w:ascii="Verdana" w:hAnsi="Verdana" w:cs="Times New Roman"/>
          <w:i/>
          <w:noProof/>
          <w:sz w:val="20"/>
          <w:szCs w:val="20"/>
        </w:rPr>
        <w:t>Figure 8: Minimum income as a percentage of poverty and low wages (2014)</w:t>
      </w:r>
    </w:p>
    <w:p w:rsidR="001E527A" w:rsidRDefault="00CD69DA">
      <w:pPr>
        <w:pBdr>
          <w:top w:val="single" w:sz="4" w:space="1" w:color="auto"/>
          <w:left w:val="single" w:sz="4" w:space="1" w:color="auto"/>
          <w:bottom w:val="single" w:sz="4" w:space="1" w:color="auto"/>
          <w:right w:val="single" w:sz="4" w:space="1" w:color="auto"/>
        </w:pBdr>
        <w:shd w:val="clear" w:color="auto" w:fill="D0EEF3"/>
        <w:jc w:val="center"/>
        <w:rPr>
          <w:rFonts w:ascii="Verdana" w:hAnsi="Verdana" w:cs="Times New Roman"/>
          <w:noProof/>
          <w:sz w:val="20"/>
          <w:szCs w:val="20"/>
        </w:rPr>
      </w:pPr>
      <w:r>
        <w:rPr>
          <w:rFonts w:ascii="Verdana" w:hAnsi="Verdana" w:cs="Times New Roman"/>
          <w:noProof/>
          <w:sz w:val="20"/>
          <w:szCs w:val="20"/>
          <w:lang w:eastAsia="en-GB"/>
        </w:rPr>
        <w:drawing>
          <wp:inline distT="0" distB="0" distL="0" distR="0">
            <wp:extent cx="5754029" cy="2397512"/>
            <wp:effectExtent l="0" t="0" r="0" b="3175"/>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E527A" w:rsidRDefault="00CD69DA">
      <w:pPr>
        <w:pBdr>
          <w:top w:val="single" w:sz="4" w:space="1" w:color="auto"/>
          <w:left w:val="single" w:sz="4" w:space="1" w:color="auto"/>
          <w:bottom w:val="single" w:sz="4" w:space="1" w:color="auto"/>
          <w:right w:val="single" w:sz="4" w:space="1" w:color="auto"/>
        </w:pBdr>
        <w:shd w:val="clear" w:color="auto" w:fill="D0EEF3"/>
        <w:spacing w:after="120" w:line="240" w:lineRule="auto"/>
        <w:jc w:val="both"/>
        <w:rPr>
          <w:rFonts w:ascii="Verdana" w:hAnsi="Verdana" w:cs="Times New Roman"/>
          <w:noProof/>
          <w:sz w:val="20"/>
          <w:szCs w:val="20"/>
        </w:rPr>
      </w:pPr>
      <w:r>
        <w:rPr>
          <w:rFonts w:ascii="Verdana" w:hAnsi="Verdana" w:cs="Times New Roman"/>
          <w:noProof/>
          <w:sz w:val="20"/>
          <w:szCs w:val="20"/>
        </w:rPr>
        <w:t xml:space="preserve">Note: * Greece and Italy had no national minimum income schemes at the time of data collection; ** no OECD tax-benefit model calculations on Cyprus; low wages are defined as 50% of the average wage. </w:t>
      </w:r>
    </w:p>
    <w:p w:rsidR="001E527A" w:rsidRDefault="00CD69DA">
      <w:pPr>
        <w:pBdr>
          <w:top w:val="single" w:sz="4" w:space="1" w:color="auto"/>
          <w:left w:val="single" w:sz="4" w:space="1" w:color="auto"/>
          <w:bottom w:val="single" w:sz="4" w:space="1" w:color="auto"/>
          <w:right w:val="single" w:sz="4" w:space="1" w:color="auto"/>
        </w:pBdr>
        <w:shd w:val="clear" w:color="auto" w:fill="D0EEF3"/>
        <w:spacing w:after="120" w:line="240" w:lineRule="auto"/>
        <w:jc w:val="both"/>
        <w:rPr>
          <w:rFonts w:ascii="Verdana" w:hAnsi="Verdana" w:cs="Times New Roman"/>
          <w:i/>
          <w:noProof/>
          <w:sz w:val="18"/>
          <w:szCs w:val="18"/>
        </w:rPr>
      </w:pPr>
      <w:r>
        <w:rPr>
          <w:rFonts w:ascii="Verdana" w:hAnsi="Verdana" w:cs="Times New Roman"/>
          <w:i/>
          <w:noProof/>
          <w:sz w:val="18"/>
          <w:szCs w:val="18"/>
        </w:rPr>
        <w:t xml:space="preserve">Source: DG EMPL elaborations based on OECD indicators </w:t>
      </w:r>
      <w:r>
        <w:rPr>
          <w:rFonts w:ascii="Verdana" w:hAnsi="Verdana" w:cs="Times New Roman"/>
          <w:i/>
          <w:noProof/>
          <w:sz w:val="18"/>
          <w:szCs w:val="18"/>
        </w:rPr>
        <w:t>based on the tax-benefit indicators.</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pacing w:val="-4"/>
          <w:sz w:val="20"/>
          <w:szCs w:val="20"/>
        </w:rPr>
      </w:pPr>
      <w:r>
        <w:rPr>
          <w:rFonts w:ascii="Verdana" w:hAnsi="Verdana" w:cs="Times New Roman"/>
          <w:b/>
          <w:noProof/>
          <w:sz w:val="20"/>
          <w:szCs w:val="20"/>
        </w:rPr>
        <w:t>Unemployment benefit coverage also varies greatly across Member States.</w:t>
      </w:r>
      <w:r>
        <w:rPr>
          <w:rFonts w:ascii="Verdana" w:hAnsi="Verdana" w:cs="Times New Roman"/>
          <w:noProof/>
          <w:sz w:val="20"/>
          <w:szCs w:val="20"/>
        </w:rPr>
        <w:t xml:space="preserve"> In 2013, less that one out of two (38%) of those unemployed less than 12 months (short-term unemployed) received unemployment benefits. Coverage of the short-term unemployed receiving unemployment benefits ranged from 82% in Germany to less than 20% in It</w:t>
      </w:r>
      <w:r>
        <w:rPr>
          <w:rFonts w:ascii="Verdana" w:hAnsi="Verdana" w:cs="Times New Roman"/>
          <w:noProof/>
          <w:sz w:val="20"/>
          <w:szCs w:val="20"/>
        </w:rPr>
        <w:t xml:space="preserve">aly, Romania, Malta, Poland and Slovakia. </w:t>
      </w:r>
      <w:r>
        <w:rPr>
          <w:rFonts w:ascii="Verdana" w:hAnsi="Verdana" w:cs="Times New Roman"/>
          <w:noProof/>
          <w:spacing w:val="-4"/>
          <w:sz w:val="20"/>
          <w:szCs w:val="20"/>
        </w:rPr>
        <w:t>For long-term unemployed (12 months and more), coverage is much lower (around 25% at the EU-level). Unemployment insurance is not accessible for the self-employed in 10 Member States, is compulsory for them in 12 a</w:t>
      </w:r>
      <w:r>
        <w:rPr>
          <w:rFonts w:ascii="Verdana" w:hAnsi="Verdana" w:cs="Times New Roman"/>
          <w:noProof/>
          <w:spacing w:val="-4"/>
          <w:sz w:val="20"/>
          <w:szCs w:val="20"/>
        </w:rPr>
        <w:t>nd voluntary in 6. Finally, almost a third of people on temporary full-time contracts in the EU do not qualify for unemployment benefits, ranging from &gt;70% to &lt;3%, depending on the Member State.</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i/>
          <w:noProof/>
          <w:sz w:val="20"/>
          <w:szCs w:val="20"/>
        </w:rPr>
      </w:pPr>
      <w:r>
        <w:rPr>
          <w:rFonts w:ascii="Verdana" w:hAnsi="Verdana" w:cs="Times New Roman"/>
          <w:i/>
          <w:noProof/>
          <w:sz w:val="20"/>
          <w:szCs w:val="20"/>
        </w:rPr>
        <w:t xml:space="preserve">Figure 9: Distribution of people in employment aged 15-64 at </w:t>
      </w:r>
      <w:r>
        <w:rPr>
          <w:rFonts w:ascii="Verdana" w:hAnsi="Verdana" w:cs="Times New Roman"/>
          <w:i/>
          <w:noProof/>
          <w:sz w:val="20"/>
          <w:szCs w:val="20"/>
        </w:rPr>
        <w:t>risk of not being entitled to unemployment benefits by type of employment, 2014 (% of total in employment)</w:t>
      </w:r>
    </w:p>
    <w:p w:rsidR="001E527A" w:rsidRDefault="00CD69DA">
      <w:pPr>
        <w:pBdr>
          <w:top w:val="single" w:sz="4" w:space="1" w:color="auto"/>
          <w:left w:val="single" w:sz="4" w:space="1" w:color="auto"/>
          <w:bottom w:val="single" w:sz="4" w:space="1" w:color="auto"/>
          <w:right w:val="single" w:sz="4" w:space="1" w:color="auto"/>
        </w:pBdr>
        <w:shd w:val="clear" w:color="auto" w:fill="D0EEF3"/>
        <w:jc w:val="center"/>
        <w:rPr>
          <w:rFonts w:ascii="Verdana" w:hAnsi="Verdana" w:cs="Times New Roman"/>
          <w:i/>
          <w:noProof/>
          <w:sz w:val="20"/>
          <w:szCs w:val="20"/>
        </w:rPr>
      </w:pPr>
      <w:r>
        <w:rPr>
          <w:rFonts w:ascii="Verdana" w:hAnsi="Verdana" w:cs="Times New Roman"/>
          <w:i/>
          <w:noProof/>
          <w:sz w:val="20"/>
          <w:szCs w:val="20"/>
          <w:lang w:eastAsia="en-GB"/>
        </w:rPr>
        <w:drawing>
          <wp:inline distT="0" distB="0" distL="0" distR="0">
            <wp:extent cx="5379522" cy="255319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82493" cy="2554605"/>
                    </a:xfrm>
                    <a:prstGeom prst="rect">
                      <a:avLst/>
                    </a:prstGeom>
                    <a:noFill/>
                  </pic:spPr>
                </pic:pic>
              </a:graphicData>
            </a:graphic>
          </wp:inline>
        </w:drawing>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i/>
          <w:noProof/>
          <w:sz w:val="18"/>
          <w:szCs w:val="18"/>
        </w:rPr>
      </w:pPr>
      <w:r>
        <w:rPr>
          <w:rFonts w:ascii="Verdana" w:hAnsi="Verdana" w:cs="Times New Roman"/>
          <w:i/>
          <w:noProof/>
          <w:sz w:val="18"/>
          <w:szCs w:val="18"/>
        </w:rPr>
        <w:t>Source: Matsaganis et al. 2016</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b/>
          <w:noProof/>
          <w:sz w:val="20"/>
          <w:szCs w:val="20"/>
        </w:rPr>
        <w:t>Access to quality and affordable early childhood education and care is key to give children the best chances in life</w:t>
      </w:r>
      <w:r>
        <w:rPr>
          <w:rFonts w:ascii="Verdana" w:hAnsi="Verdana" w:cs="Times New Roman"/>
          <w:b/>
          <w:noProof/>
          <w:sz w:val="20"/>
          <w:szCs w:val="20"/>
        </w:rPr>
        <w:t xml:space="preserve"> and eases their parents' integration in the labour market.</w:t>
      </w:r>
      <w:r>
        <w:rPr>
          <w:rFonts w:ascii="Verdana" w:hAnsi="Verdana" w:cs="Times New Roman"/>
          <w:noProof/>
          <w:sz w:val="20"/>
          <w:szCs w:val="20"/>
        </w:rPr>
        <w:t xml:space="preserve"> The share of children in early childhood education and care in the EU increased for all age groups over recent years. Of those younger than three, one out of four (26%) was in formal childcare in </w:t>
      </w:r>
      <w:r>
        <w:rPr>
          <w:rFonts w:ascii="Verdana" w:hAnsi="Verdana" w:cs="Times New Roman"/>
          <w:noProof/>
          <w:sz w:val="20"/>
          <w:szCs w:val="20"/>
        </w:rPr>
        <w:t>2007, increasing to almost one out of three (30%) in 2015. However, while in countries such as Denmark and Sweden coverage exceeded 60% in 2015, less than 10 % of children under three years are enrolled in formal care in Bulgaria, Czech Republic, Lithuania</w:t>
      </w:r>
      <w:r>
        <w:rPr>
          <w:rFonts w:ascii="Verdana" w:hAnsi="Verdana" w:cs="Times New Roman"/>
          <w:noProof/>
          <w:sz w:val="20"/>
          <w:szCs w:val="20"/>
        </w:rPr>
        <w:t>, Poland, Romania and Slovakia. This can reflect shortfalls in the provision of formal childcare services, but also difficulties in access (distance, opening hours, and strict eligibility criteria), high cost and poor quality. For those aged three years an</w:t>
      </w:r>
      <w:r>
        <w:rPr>
          <w:rFonts w:ascii="Verdana" w:hAnsi="Verdana" w:cs="Times New Roman"/>
          <w:noProof/>
          <w:sz w:val="20"/>
          <w:szCs w:val="20"/>
        </w:rPr>
        <w:t xml:space="preserve">d older, the coverage increased from 80% in 2007 to 83% in 2015. </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b/>
          <w:noProof/>
          <w:sz w:val="20"/>
          <w:szCs w:val="20"/>
        </w:rPr>
        <w:t>Ensuring universal and timely access to high-quality healthcare can prevent that the need for care leads to poverty and financial dependency.</w:t>
      </w:r>
      <w:r>
        <w:rPr>
          <w:rFonts w:ascii="Verdana" w:hAnsi="Verdana" w:cs="Times New Roman"/>
          <w:noProof/>
          <w:sz w:val="20"/>
          <w:szCs w:val="20"/>
        </w:rPr>
        <w:t xml:space="preserve"> In the past five years, the share of the populat</w:t>
      </w:r>
      <w:r>
        <w:rPr>
          <w:rFonts w:ascii="Verdana" w:hAnsi="Verdana" w:cs="Times New Roman"/>
          <w:noProof/>
          <w:sz w:val="20"/>
          <w:szCs w:val="20"/>
        </w:rPr>
        <w:t>ion that reported unmet need for medical care in the EU decreased from 7% in 2010 to 5% in 2015. However, in some countries, such as Estonia, Greece, Poland and Latvia, the proportion of people reporting unmet needs was considerably higher in 2015. The mos</w:t>
      </w:r>
      <w:r>
        <w:rPr>
          <w:rFonts w:ascii="Verdana" w:hAnsi="Verdana" w:cs="Times New Roman"/>
          <w:noProof/>
          <w:sz w:val="20"/>
          <w:szCs w:val="20"/>
        </w:rPr>
        <w:t>t common barriers for access to healthcare resulted from patients’ inability and/or unwillingness to pay for medical goods and services, while in some countries waiting times or travelling distance were an issue. Some groups face more problems with unmet h</w:t>
      </w:r>
      <w:r>
        <w:rPr>
          <w:rFonts w:ascii="Verdana" w:hAnsi="Verdana" w:cs="Times New Roman"/>
          <w:noProof/>
          <w:sz w:val="20"/>
          <w:szCs w:val="20"/>
        </w:rPr>
        <w:t>ealth needs than others. For example, in 2009 self-employed in the EU reported a rate of unmet medical needs that was 35% higher than the one reported by employees. In 2015 this difference increased to 55%. In the coming years, European health systems will</w:t>
      </w:r>
      <w:r>
        <w:rPr>
          <w:rFonts w:ascii="Verdana" w:hAnsi="Verdana" w:cs="Times New Roman"/>
          <w:noProof/>
          <w:sz w:val="20"/>
          <w:szCs w:val="20"/>
        </w:rPr>
        <w:t xml:space="preserve"> face the challenges of population ageing, a rise of chronic diseases, increasing costs of innovative technology and medicines, and shortages and uneven distribution of health professionals. Overall, a further increase in the share of public health expendi</w:t>
      </w:r>
      <w:r>
        <w:rPr>
          <w:rFonts w:ascii="Verdana" w:hAnsi="Verdana" w:cs="Times New Roman"/>
          <w:noProof/>
          <w:sz w:val="20"/>
          <w:szCs w:val="20"/>
        </w:rPr>
        <w:t xml:space="preserve">ture on GDP by 0.8 pp is projected from now until 2060. </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b/>
          <w:noProof/>
          <w:sz w:val="20"/>
          <w:szCs w:val="20"/>
        </w:rPr>
        <w:t>Pension systems are facing the dual challenge of remaining financially sustainable and being able to provide with an adequate income in retirement while remaining financially sustainable.</w:t>
      </w:r>
      <w:r>
        <w:rPr>
          <w:rFonts w:ascii="Verdana" w:hAnsi="Verdana" w:cs="Times New Roman"/>
          <w:noProof/>
          <w:sz w:val="20"/>
          <w:szCs w:val="20"/>
        </w:rPr>
        <w:t xml:space="preserve"> In 2015, 14</w:t>
      </w:r>
      <w:r>
        <w:rPr>
          <w:rFonts w:ascii="Verdana" w:hAnsi="Verdana" w:cs="Times New Roman"/>
          <w:noProof/>
          <w:sz w:val="20"/>
          <w:szCs w:val="20"/>
        </w:rPr>
        <w:t>.1% of those aged 65 and over were at risk of poverty compared to 18.1% for the rest of the population. Differences in poverty rates across countries are large, ranging from 5% in Hungary to 36% in Estonia. There are also significant gender gaps in pension</w:t>
      </w:r>
      <w:r>
        <w:rPr>
          <w:rFonts w:ascii="Verdana" w:hAnsi="Verdana" w:cs="Times New Roman"/>
          <w:noProof/>
          <w:sz w:val="20"/>
          <w:szCs w:val="20"/>
        </w:rPr>
        <w:t>s, with a gender gap in pension level at 38.3% in 2015. During the past decade, the income of older people was better protected than that of the working age population. However, the intensification of population ageing over the next 3 to 5 decades will inc</w:t>
      </w:r>
      <w:r>
        <w:rPr>
          <w:rFonts w:ascii="Verdana" w:hAnsi="Verdana" w:cs="Times New Roman"/>
          <w:noProof/>
          <w:sz w:val="20"/>
          <w:szCs w:val="20"/>
        </w:rPr>
        <w:t>rease the challenges with respect to adequacy and sustainability of pension systems and therefore intergenerational fairness. In most Member States, the medium and long-term sustainability of public pension expenditure has markedly been improved, but remai</w:t>
      </w:r>
      <w:r>
        <w:rPr>
          <w:rFonts w:ascii="Verdana" w:hAnsi="Verdana" w:cs="Times New Roman"/>
          <w:noProof/>
          <w:sz w:val="20"/>
          <w:szCs w:val="20"/>
        </w:rPr>
        <w:t>ns a concern in several EU countries. Some countries may also face sustainability problems already in the short to medium term perspective.</w:t>
      </w:r>
      <w:r>
        <w:rPr>
          <w:rStyle w:val="FootnoteReference"/>
          <w:rFonts w:ascii="Verdana" w:hAnsi="Verdana" w:cs="Times New Roman"/>
          <w:noProof/>
          <w:sz w:val="20"/>
          <w:szCs w:val="20"/>
        </w:rPr>
        <w:footnoteReference w:id="121"/>
      </w:r>
      <w:r>
        <w:rPr>
          <w:rFonts w:ascii="Verdana" w:hAnsi="Verdana" w:cs="Times New Roman"/>
          <w:noProof/>
          <w:sz w:val="20"/>
          <w:szCs w:val="20"/>
        </w:rPr>
        <w:t xml:space="preserve"> </w:t>
      </w:r>
    </w:p>
    <w:p w:rsidR="001E527A" w:rsidRDefault="00CD69DA">
      <w:pPr>
        <w:pBdr>
          <w:top w:val="single" w:sz="4" w:space="1" w:color="auto"/>
          <w:left w:val="single" w:sz="4" w:space="1" w:color="auto"/>
          <w:bottom w:val="single" w:sz="4" w:space="1" w:color="auto"/>
          <w:right w:val="single" w:sz="4" w:space="1" w:color="auto"/>
        </w:pBdr>
        <w:shd w:val="clear" w:color="auto" w:fill="D0EEF3"/>
        <w:jc w:val="both"/>
        <w:rPr>
          <w:rFonts w:ascii="Verdana" w:hAnsi="Verdana" w:cs="Times New Roman"/>
          <w:noProof/>
          <w:sz w:val="20"/>
          <w:szCs w:val="20"/>
        </w:rPr>
      </w:pPr>
      <w:r>
        <w:rPr>
          <w:rFonts w:ascii="Verdana" w:hAnsi="Verdana" w:cs="Times New Roman"/>
          <w:b/>
          <w:noProof/>
          <w:sz w:val="20"/>
          <w:szCs w:val="20"/>
        </w:rPr>
        <w:t>Access to adequate and affordable housing is an important step in reducing social exclusion and poverty.</w:t>
      </w:r>
      <w:r>
        <w:rPr>
          <w:rFonts w:ascii="Verdana" w:hAnsi="Verdana" w:cs="Times New Roman"/>
          <w:noProof/>
          <w:sz w:val="20"/>
          <w:szCs w:val="20"/>
        </w:rPr>
        <w:t xml:space="preserve"> Since 201</w:t>
      </w:r>
      <w:r>
        <w:rPr>
          <w:rFonts w:ascii="Verdana" w:hAnsi="Verdana" w:cs="Times New Roman"/>
          <w:noProof/>
          <w:sz w:val="20"/>
          <w:szCs w:val="20"/>
        </w:rPr>
        <w:t>0 the percentage of the population living in a household where the total housing costs (net of housing allowances) represent more than 40% of the total disposable household income (net of housing allowances) increased slightly from 10.7% in 2010 to 11.3% i</w:t>
      </w:r>
      <w:r>
        <w:rPr>
          <w:rFonts w:ascii="Verdana" w:hAnsi="Verdana" w:cs="Times New Roman"/>
          <w:noProof/>
          <w:sz w:val="20"/>
          <w:szCs w:val="20"/>
        </w:rPr>
        <w:t xml:space="preserve">n 2015. </w:t>
      </w:r>
    </w:p>
    <w:p w:rsidR="001E527A" w:rsidRDefault="00CD69DA">
      <w:pPr>
        <w:jc w:val="both"/>
        <w:rPr>
          <w:rFonts w:ascii="Verdana" w:hAnsi="Verdana" w:cs="Times New Roman"/>
          <w:b/>
          <w:i/>
          <w:noProof/>
          <w:sz w:val="20"/>
          <w:szCs w:val="20"/>
          <w:u w:val="single"/>
        </w:rPr>
      </w:pPr>
      <w:r>
        <w:rPr>
          <w:rFonts w:ascii="Verdana" w:hAnsi="Verdana" w:cs="Times New Roman"/>
          <w:b/>
          <w:i/>
          <w:noProof/>
          <w:sz w:val="20"/>
          <w:szCs w:val="20"/>
          <w:u w:val="single"/>
        </w:rPr>
        <w:t>What people told us</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xml:space="preserve">Adequate and sustainable social protection should cover all people regardless of their employment status …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prioritisation of principles relating to adequate and sustainable social protection was recurring among EU and national-level NGOs, in keeping with their emphasis on the fight against poverty and inequality.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Civil society organisations emphasised the importance of guaranteeing </w:t>
      </w:r>
      <w:r>
        <w:rPr>
          <w:rFonts w:ascii="Verdana" w:hAnsi="Verdana" w:cs="Times New Roman"/>
          <w:b/>
          <w:noProof/>
          <w:sz w:val="20"/>
          <w:szCs w:val="20"/>
        </w:rPr>
        <w:t>equal access to essential services</w:t>
      </w:r>
      <w:r>
        <w:rPr>
          <w:rFonts w:ascii="Verdana" w:hAnsi="Verdana" w:cs="Times New Roman"/>
          <w:noProof/>
          <w:sz w:val="20"/>
          <w:szCs w:val="20"/>
        </w:rPr>
        <w:t xml:space="preserve"> and integrated benefits. Some respondents called for </w:t>
      </w:r>
      <w:r>
        <w:rPr>
          <w:rFonts w:ascii="Verdana" w:hAnsi="Verdana" w:cs="Times New Roman"/>
          <w:b/>
          <w:noProof/>
          <w:sz w:val="20"/>
          <w:szCs w:val="20"/>
        </w:rPr>
        <w:t>universal access to quality welfare</w:t>
      </w:r>
      <w:r>
        <w:rPr>
          <w:rFonts w:ascii="Verdana" w:hAnsi="Verdana" w:cs="Times New Roman"/>
          <w:noProof/>
          <w:sz w:val="20"/>
          <w:szCs w:val="20"/>
        </w:rPr>
        <w:t xml:space="preserve"> </w:t>
      </w:r>
      <w:r>
        <w:rPr>
          <w:rFonts w:ascii="Verdana" w:hAnsi="Verdana" w:cs="Times New Roman"/>
          <w:b/>
          <w:noProof/>
          <w:sz w:val="20"/>
          <w:szCs w:val="20"/>
        </w:rPr>
        <w:t>systems and public services</w:t>
      </w:r>
      <w:r>
        <w:rPr>
          <w:rStyle w:val="FootnoteReference"/>
          <w:rFonts w:ascii="Verdana" w:hAnsi="Verdana" w:cs="Times New Roman"/>
          <w:noProof/>
          <w:sz w:val="20"/>
          <w:szCs w:val="20"/>
        </w:rPr>
        <w:footnoteReference w:id="122"/>
      </w:r>
      <w:r>
        <w:rPr>
          <w:rFonts w:ascii="Verdana" w:hAnsi="Verdana" w:cs="Times New Roman"/>
          <w:noProof/>
          <w:sz w:val="20"/>
          <w:szCs w:val="20"/>
        </w:rPr>
        <w:t xml:space="preserve"> as well as for the protection of </w:t>
      </w:r>
      <w:r>
        <w:rPr>
          <w:rFonts w:ascii="Verdana" w:hAnsi="Verdana" w:cs="Times New Roman"/>
          <w:noProof/>
          <w:sz w:val="20"/>
          <w:szCs w:val="20"/>
        </w:rPr>
        <w:t xml:space="preserve">the specific character of </w:t>
      </w:r>
      <w:r>
        <w:rPr>
          <w:rFonts w:ascii="Verdana" w:hAnsi="Verdana" w:cs="Times New Roman"/>
          <w:b/>
          <w:noProof/>
          <w:sz w:val="20"/>
          <w:szCs w:val="20"/>
        </w:rPr>
        <w:t>social services of general interest</w:t>
      </w:r>
      <w:r>
        <w:rPr>
          <w:rStyle w:val="FootnoteReference"/>
          <w:rFonts w:ascii="Verdana" w:hAnsi="Verdana" w:cs="Times New Roman"/>
          <w:noProof/>
          <w:sz w:val="20"/>
          <w:szCs w:val="20"/>
        </w:rPr>
        <w:footnoteReference w:id="123"/>
      </w:r>
      <w:r>
        <w:rPr>
          <w:rFonts w:ascii="Verdana" w:hAnsi="Verdana" w:cs="Times New Roman"/>
          <w:noProof/>
          <w:sz w:val="20"/>
          <w:szCs w:val="20"/>
        </w:rPr>
        <w:t>, while respecting Member States competences in this area. Services should be better protected through adequate levels of investment</w:t>
      </w:r>
      <w:r>
        <w:rPr>
          <w:rStyle w:val="FootnoteReference"/>
          <w:rFonts w:ascii="Verdana" w:hAnsi="Verdana" w:cs="Times New Roman"/>
          <w:noProof/>
          <w:sz w:val="20"/>
          <w:szCs w:val="20"/>
        </w:rPr>
        <w:footnoteReference w:id="124"/>
      </w:r>
      <w:r>
        <w:rPr>
          <w:rFonts w:ascii="Verdana" w:hAnsi="Verdana" w:cs="Times New Roman"/>
          <w:noProof/>
          <w:sz w:val="20"/>
          <w:szCs w:val="20"/>
        </w:rPr>
        <w:t>, and should be person-centred</w:t>
      </w:r>
      <w:r>
        <w:rPr>
          <w:rStyle w:val="FootnoteReference"/>
          <w:rFonts w:ascii="Verdana" w:hAnsi="Verdana" w:cs="Times New Roman"/>
          <w:noProof/>
          <w:sz w:val="20"/>
          <w:szCs w:val="20"/>
        </w:rPr>
        <w:footnoteReference w:id="125"/>
      </w:r>
      <w:r>
        <w:rPr>
          <w:rFonts w:ascii="Verdana" w:hAnsi="Verdana" w:cs="Times New Roman"/>
          <w:noProof/>
          <w:sz w:val="20"/>
          <w:szCs w:val="20"/>
        </w:rPr>
        <w:t>, age-friendly, accessible for</w:t>
      </w:r>
      <w:r>
        <w:rPr>
          <w:rFonts w:ascii="Verdana" w:hAnsi="Verdana" w:cs="Times New Roman"/>
          <w:noProof/>
          <w:sz w:val="20"/>
          <w:szCs w:val="20"/>
        </w:rPr>
        <w:t xml:space="preserve"> people with disabilities, and portable across the EU</w:t>
      </w:r>
      <w:r>
        <w:rPr>
          <w:rStyle w:val="FootnoteReference"/>
          <w:rFonts w:ascii="Verdana" w:hAnsi="Verdana" w:cs="Times New Roman"/>
          <w:noProof/>
          <w:sz w:val="20"/>
          <w:szCs w:val="20"/>
        </w:rPr>
        <w:footnoteReference w:id="126"/>
      </w:r>
      <w:r>
        <w:rPr>
          <w:rFonts w:ascii="Verdana" w:hAnsi="Verdana" w:cs="Times New Roman"/>
          <w:noProof/>
          <w:sz w:val="20"/>
          <w:szCs w:val="20"/>
        </w:rPr>
        <w:t xml:space="preserve">.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Access to services for students and portability cross-borders: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The European Student Card</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European Student Card aims to promote cooperation among institutions and allows reciprocity o</w:t>
      </w:r>
      <w:r>
        <w:rPr>
          <w:rFonts w:ascii="Verdana" w:hAnsi="Verdana" w:cs="Times New Roman"/>
          <w:noProof/>
          <w:sz w:val="20"/>
          <w:szCs w:val="20"/>
        </w:rPr>
        <w:t xml:space="preserve">f rights for certain student services such as student accommodation, cafeteria, library, etc. It has an electronic chip that allows for access across countries and campuses.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European Student Card project is the result of cooperation between European s</w:t>
      </w:r>
      <w:r>
        <w:rPr>
          <w:rFonts w:ascii="Verdana" w:hAnsi="Verdana" w:cs="Times New Roman"/>
          <w:noProof/>
          <w:sz w:val="20"/>
          <w:szCs w:val="20"/>
        </w:rPr>
        <w:t>tudent services organisations from Italy, France, Germany and Ireland. The project is supported through the framework of the Erasmus + programme and started in fall 2016 in select campuses.</w:t>
      </w:r>
    </w:p>
    <w:p w:rsidR="001E527A" w:rsidRDefault="00CD69DA">
      <w:pPr>
        <w:jc w:val="both"/>
        <w:rPr>
          <w:rFonts w:ascii="Verdana" w:hAnsi="Verdana" w:cs="Times New Roman"/>
          <w:noProof/>
          <w:sz w:val="20"/>
          <w:szCs w:val="20"/>
        </w:rPr>
      </w:pPr>
      <w:r>
        <w:rPr>
          <w:rFonts w:ascii="Verdana" w:hAnsi="Verdana" w:cs="Times New Roman"/>
          <w:noProof/>
          <w:sz w:val="20"/>
          <w:szCs w:val="20"/>
        </w:rPr>
        <w:t>For people in new forms of work as well as the self-employed there</w:t>
      </w:r>
      <w:r>
        <w:rPr>
          <w:rFonts w:ascii="Verdana" w:hAnsi="Verdana" w:cs="Times New Roman"/>
          <w:noProof/>
          <w:sz w:val="20"/>
          <w:szCs w:val="20"/>
        </w:rPr>
        <w:t xml:space="preserve"> was convergence on the need to </w:t>
      </w:r>
      <w:r>
        <w:rPr>
          <w:rFonts w:ascii="Verdana" w:hAnsi="Verdana" w:cs="Times New Roman"/>
          <w:b/>
          <w:noProof/>
          <w:sz w:val="20"/>
          <w:szCs w:val="20"/>
        </w:rPr>
        <w:t>improve the coverage of social protection</w:t>
      </w:r>
      <w:r>
        <w:rPr>
          <w:rFonts w:ascii="Verdana" w:hAnsi="Verdana" w:cs="Times New Roman"/>
          <w:noProof/>
          <w:sz w:val="20"/>
          <w:szCs w:val="20"/>
        </w:rPr>
        <w:t xml:space="preserve"> and labour market services thus safeguarding human capital investments, improving intergenerational fairness and contributing to upward social convergence. In particular, integrating</w:t>
      </w:r>
      <w:r>
        <w:rPr>
          <w:rFonts w:ascii="Verdana" w:hAnsi="Verdana" w:cs="Times New Roman"/>
          <w:noProof/>
          <w:sz w:val="20"/>
          <w:szCs w:val="20"/>
        </w:rPr>
        <w:t xml:space="preserve"> self-employed workers into statutory social insurance schemes was highlighted as a key dimension of the adaptation of welfare systems to the future of work, with an emphasis on the rights of young entrepreneurs</w:t>
      </w:r>
      <w:r>
        <w:rPr>
          <w:rStyle w:val="FootnoteReference"/>
          <w:rFonts w:ascii="Verdana" w:hAnsi="Verdana" w:cs="Times New Roman"/>
          <w:noProof/>
          <w:sz w:val="20"/>
          <w:szCs w:val="20"/>
        </w:rPr>
        <w:footnoteReference w:id="127"/>
      </w:r>
      <w:r>
        <w:rPr>
          <w:rFonts w:ascii="Verdana" w:hAnsi="Verdana" w:cs="Times New Roman"/>
          <w:noProof/>
          <w:sz w:val="20"/>
          <w:szCs w:val="20"/>
        </w:rPr>
        <w:t xml:space="preserve">. However, there were also considerable </w:t>
      </w:r>
      <w:r>
        <w:rPr>
          <w:rFonts w:ascii="Verdana" w:hAnsi="Verdana" w:cs="Times New Roman"/>
          <w:noProof/>
          <w:sz w:val="20"/>
          <w:szCs w:val="20"/>
        </w:rPr>
        <w:t>concerns on the impact that action in this area could have on public finances, job creation and business development. The participation of the self-employed in statutory pensions schemes was a matter of debate.</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With due consideration for the most vulnerabl</w:t>
      </w:r>
      <w:r>
        <w:rPr>
          <w:rFonts w:ascii="Verdana" w:hAnsi="Verdana" w:cs="Times New Roman"/>
          <w:i/>
          <w:noProof/>
          <w:color w:val="0070C0"/>
          <w:sz w:val="20"/>
          <w:szCs w:val="20"/>
        </w:rPr>
        <w:t>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A number of contributors mentioned that the protection needs and social rights of specific </w:t>
      </w:r>
      <w:r>
        <w:rPr>
          <w:rFonts w:ascii="Verdana" w:hAnsi="Verdana" w:cs="Times New Roman"/>
          <w:b/>
          <w:noProof/>
          <w:sz w:val="20"/>
          <w:szCs w:val="20"/>
        </w:rPr>
        <w:t>vulnerable groups</w:t>
      </w:r>
      <w:r>
        <w:rPr>
          <w:rFonts w:ascii="Verdana" w:hAnsi="Verdana" w:cs="Times New Roman"/>
          <w:noProof/>
          <w:sz w:val="20"/>
          <w:szCs w:val="20"/>
        </w:rPr>
        <w:t xml:space="preserve"> should be set out as </w:t>
      </w:r>
      <w:r>
        <w:rPr>
          <w:rFonts w:ascii="Verdana" w:hAnsi="Verdana" w:cs="Times New Roman"/>
          <w:b/>
          <w:noProof/>
          <w:sz w:val="20"/>
          <w:szCs w:val="20"/>
        </w:rPr>
        <w:t>separate principles in the Pillar.</w:t>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For example there should be a principle relating to the </w:t>
      </w:r>
      <w:r>
        <w:rPr>
          <w:rFonts w:ascii="Verdana" w:hAnsi="Verdana" w:cs="Times New Roman"/>
          <w:b/>
          <w:noProof/>
          <w:sz w:val="20"/>
          <w:szCs w:val="20"/>
        </w:rPr>
        <w:t>integration of third-country m</w:t>
      </w:r>
      <w:r>
        <w:rPr>
          <w:rFonts w:ascii="Verdana" w:hAnsi="Verdana" w:cs="Times New Roman"/>
          <w:b/>
          <w:noProof/>
          <w:sz w:val="20"/>
          <w:szCs w:val="20"/>
        </w:rPr>
        <w:t>igrants and refugees</w:t>
      </w:r>
      <w:r>
        <w:rPr>
          <w:rFonts w:ascii="Verdana" w:hAnsi="Verdana" w:cs="Times New Roman"/>
          <w:noProof/>
          <w:sz w:val="20"/>
          <w:szCs w:val="20"/>
        </w:rPr>
        <w:t xml:space="preserve"> with comprehensive policy solutions on education and employment as well as more specific actions to tackle discrimination and social exclusion</w:t>
      </w:r>
      <w:r>
        <w:rPr>
          <w:rStyle w:val="FootnoteReference"/>
          <w:rFonts w:ascii="Verdana" w:hAnsi="Verdana" w:cs="Times New Roman"/>
          <w:noProof/>
          <w:sz w:val="20"/>
          <w:szCs w:val="20"/>
        </w:rPr>
        <w:footnoteReference w:id="128"/>
      </w:r>
      <w:r>
        <w:rPr>
          <w:rFonts w:ascii="Verdana" w:hAnsi="Verdana" w:cs="Times New Roman"/>
          <w:noProof/>
          <w:sz w:val="20"/>
          <w:szCs w:val="20"/>
        </w:rPr>
        <w:t xml:space="preserve">. For similar reasons, others called for the recognition of the protection needs and rights </w:t>
      </w:r>
      <w:r>
        <w:rPr>
          <w:rFonts w:ascii="Verdana" w:hAnsi="Verdana" w:cs="Times New Roman"/>
          <w:noProof/>
          <w:sz w:val="20"/>
          <w:szCs w:val="20"/>
        </w:rPr>
        <w:t xml:space="preserve">of the </w:t>
      </w:r>
      <w:r>
        <w:rPr>
          <w:rFonts w:ascii="Verdana" w:hAnsi="Verdana" w:cs="Times New Roman"/>
          <w:b/>
          <w:noProof/>
          <w:sz w:val="20"/>
          <w:szCs w:val="20"/>
        </w:rPr>
        <w:t>Roma community</w:t>
      </w:r>
      <w:r>
        <w:rPr>
          <w:rStyle w:val="FootnoteReference"/>
          <w:rFonts w:ascii="Verdana" w:hAnsi="Verdana" w:cs="Times New Roman"/>
          <w:noProof/>
          <w:sz w:val="20"/>
          <w:szCs w:val="20"/>
        </w:rPr>
        <w:footnoteReference w:id="129"/>
      </w:r>
      <w:r>
        <w:rPr>
          <w:rFonts w:ascii="Verdana" w:hAnsi="Verdana" w:cs="Times New Roman"/>
          <w:noProof/>
          <w:sz w:val="20"/>
          <w:szCs w:val="20"/>
        </w:rPr>
        <w:t xml:space="preserve"> or for the inclusion of guarantees protecting </w:t>
      </w:r>
      <w:r>
        <w:rPr>
          <w:rFonts w:ascii="Verdana" w:hAnsi="Verdana" w:cs="Times New Roman"/>
          <w:b/>
          <w:noProof/>
          <w:sz w:val="20"/>
          <w:szCs w:val="20"/>
        </w:rPr>
        <w:t>disabled persons</w:t>
      </w:r>
      <w:r>
        <w:rPr>
          <w:rFonts w:ascii="Verdana" w:hAnsi="Verdana" w:cs="Times New Roman"/>
          <w:noProof/>
          <w:sz w:val="20"/>
          <w:szCs w:val="20"/>
        </w:rPr>
        <w:t xml:space="preserve"> from exploitation and forced labour</w:t>
      </w:r>
      <w:r>
        <w:rPr>
          <w:rStyle w:val="FootnoteReference"/>
          <w:rFonts w:ascii="Verdana" w:hAnsi="Verdana" w:cs="Times New Roman"/>
          <w:noProof/>
          <w:sz w:val="20"/>
          <w:szCs w:val="20"/>
        </w:rPr>
        <w:footnoteReference w:id="130"/>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i/>
          <w:noProof/>
          <w:color w:val="0070C0"/>
          <w:sz w:val="20"/>
          <w:szCs w:val="20"/>
        </w:rPr>
        <w:t xml:space="preserve">…based on an integrated approach of benefit and service delivery </w:t>
      </w:r>
      <w:r>
        <w:rPr>
          <w:rFonts w:ascii="Verdana" w:hAnsi="Verdana" w:cs="Times New Roman"/>
          <w:noProof/>
          <w:sz w:val="20"/>
          <w:szCs w:val="20"/>
        </w:rPr>
        <w:t xml:space="preserve">…                                                                 </w:t>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b/>
          <w:noProof/>
          <w:sz w:val="20"/>
          <w:szCs w:val="20"/>
        </w:rPr>
        <w:t>Integrating benefits with services</w:t>
      </w:r>
      <w:r>
        <w:rPr>
          <w:rFonts w:ascii="Verdana" w:hAnsi="Verdana" w:cs="Times New Roman"/>
          <w:noProof/>
          <w:sz w:val="20"/>
          <w:szCs w:val="20"/>
        </w:rPr>
        <w:t xml:space="preserve"> was seen as key</w:t>
      </w:r>
      <w:r>
        <w:rPr>
          <w:rStyle w:val="FootnoteReference"/>
          <w:rFonts w:ascii="Verdana" w:hAnsi="Verdana" w:cs="Times New Roman"/>
          <w:noProof/>
          <w:sz w:val="20"/>
          <w:szCs w:val="20"/>
        </w:rPr>
        <w:footnoteReference w:id="131"/>
      </w:r>
      <w:r>
        <w:rPr>
          <w:rFonts w:ascii="Verdana" w:hAnsi="Verdana" w:cs="Times New Roman"/>
          <w:noProof/>
          <w:sz w:val="20"/>
          <w:szCs w:val="20"/>
        </w:rPr>
        <w:t>. One-stop-shops, or single points of contact, were highlighted as a good example to improve cost efficiency, effectiveness of delivery and the capacity to tackle complex personal situations. They can al</w:t>
      </w:r>
      <w:r>
        <w:rPr>
          <w:rFonts w:ascii="Verdana" w:hAnsi="Verdana" w:cs="Times New Roman"/>
          <w:noProof/>
          <w:sz w:val="20"/>
          <w:szCs w:val="20"/>
        </w:rPr>
        <w:t>so help reduce bureaucratic hurdles, administrative costs and unnecessary overlaps, and ensure better take-up by those who need support.</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Integrating social services: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i/>
          <w:noProof/>
          <w:sz w:val="20"/>
          <w:szCs w:val="20"/>
          <w:u w:val="single"/>
        </w:rPr>
        <w:t>Ohjaamo Youth Guidance Centre - Finland</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One-Stop-Guidance Centre is an easy a</w:t>
      </w:r>
      <w:r>
        <w:rPr>
          <w:rFonts w:ascii="Verdana" w:hAnsi="Verdana" w:cs="Times New Roman"/>
          <w:noProof/>
          <w:sz w:val="20"/>
          <w:szCs w:val="20"/>
        </w:rPr>
        <w:t>ccess service point for young people below the age of 30 and is a part of the implementation of the Youth Guarantee in Finland. Support can encompass several stages such as social rehabilitation and health care services, getting onto the path towards educa</w:t>
      </w:r>
      <w:r>
        <w:rPr>
          <w:rFonts w:ascii="Verdana" w:hAnsi="Verdana" w:cs="Times New Roman"/>
          <w:noProof/>
          <w:sz w:val="20"/>
          <w:szCs w:val="20"/>
        </w:rPr>
        <w:t>tion or employment, and provide help with administrative procedures. The One-Stop-Guidance Centre also functions as a link to the business community through local companies and trade associations and promotes direct contacts between employers and young peo</w:t>
      </w:r>
      <w:r>
        <w:rPr>
          <w:rFonts w:ascii="Verdana" w:hAnsi="Verdana" w:cs="Times New Roman"/>
          <w:noProof/>
          <w:sz w:val="20"/>
          <w:szCs w:val="20"/>
        </w:rPr>
        <w:t>ple.</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More than 30 One-Stop-Guidance Centres are currently operating in different parts of Finland. The majority of them is being financed with the support of the ESF.</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 One suggestion was to develop policy </w:t>
      </w:r>
      <w:r>
        <w:rPr>
          <w:rFonts w:ascii="Verdana" w:hAnsi="Verdana" w:cs="Times New Roman"/>
          <w:b/>
          <w:noProof/>
          <w:sz w:val="20"/>
          <w:szCs w:val="20"/>
        </w:rPr>
        <w:t>benchmarks</w:t>
      </w:r>
      <w:r>
        <w:rPr>
          <w:rFonts w:ascii="Verdana" w:hAnsi="Verdana" w:cs="Times New Roman"/>
          <w:noProof/>
          <w:sz w:val="20"/>
          <w:szCs w:val="20"/>
        </w:rPr>
        <w:t xml:space="preserve"> to support convergence of performance be</w:t>
      </w:r>
      <w:r>
        <w:rPr>
          <w:rFonts w:ascii="Verdana" w:hAnsi="Verdana" w:cs="Times New Roman"/>
          <w:noProof/>
          <w:sz w:val="20"/>
          <w:szCs w:val="20"/>
        </w:rPr>
        <w:t>tween Member States related to the effectiveness of one-stop-shops for public employment services</w:t>
      </w:r>
      <w:r>
        <w:rPr>
          <w:rStyle w:val="FootnoteReference"/>
          <w:rFonts w:ascii="Verdana" w:hAnsi="Verdana" w:cs="Times New Roman"/>
          <w:noProof/>
          <w:sz w:val="20"/>
          <w:szCs w:val="20"/>
        </w:rPr>
        <w:footnoteReference w:id="132"/>
      </w:r>
      <w:r>
        <w:rPr>
          <w:rFonts w:ascii="Verdana" w:hAnsi="Verdana" w:cs="Times New Roman"/>
          <w:noProof/>
          <w:sz w:val="20"/>
          <w:szCs w:val="20"/>
        </w:rPr>
        <w:t xml:space="preserve">. There were, however, doubts about the attempt to standardise and provide integrated services, and some advocated instead for the advantages of diverse and </w:t>
      </w:r>
      <w:r>
        <w:rPr>
          <w:rFonts w:ascii="Verdana" w:hAnsi="Verdana" w:cs="Times New Roman"/>
          <w:noProof/>
          <w:sz w:val="20"/>
          <w:szCs w:val="20"/>
        </w:rPr>
        <w:t>well-tried offers which take into account the specific situation on the ground</w:t>
      </w:r>
      <w:r>
        <w:rPr>
          <w:rStyle w:val="FootnoteReference"/>
          <w:rFonts w:ascii="Verdana" w:hAnsi="Verdana" w:cs="Times New Roman"/>
          <w:noProof/>
          <w:sz w:val="20"/>
          <w:szCs w:val="20"/>
        </w:rPr>
        <w:footnoteReference w:id="133"/>
      </w:r>
      <w:r>
        <w:rPr>
          <w:rFonts w:ascii="Verdana" w:hAnsi="Verdana" w:cs="Times New Roman"/>
          <w:noProof/>
          <w:sz w:val="20"/>
          <w:szCs w:val="20"/>
        </w:rPr>
        <w:t xml:space="preserve">.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…including accessible and sustainable healthcare that takes into account the national circumstances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Employer associations as well as the Dutch Government and the Committee </w:t>
      </w:r>
      <w:r>
        <w:rPr>
          <w:rFonts w:ascii="Verdana" w:hAnsi="Verdana" w:cs="Times New Roman"/>
          <w:noProof/>
          <w:sz w:val="20"/>
          <w:szCs w:val="20"/>
        </w:rPr>
        <w:t xml:space="preserve">of the Regions emphasised the need to take account of various national systems and not impose an EU-wide one-size-fits-all solution for the principle on </w:t>
      </w:r>
      <w:r>
        <w:rPr>
          <w:rFonts w:ascii="Verdana" w:hAnsi="Verdana" w:cs="Times New Roman"/>
          <w:b/>
          <w:noProof/>
          <w:sz w:val="20"/>
          <w:szCs w:val="20"/>
        </w:rPr>
        <w:t>healthcare and sickness benefits</w:t>
      </w:r>
      <w:r>
        <w:rPr>
          <w:rFonts w:ascii="Verdana" w:hAnsi="Verdana" w:cs="Times New Roman"/>
          <w:noProof/>
          <w:sz w:val="20"/>
          <w:szCs w:val="20"/>
        </w:rPr>
        <w:t>. Some employer organisations</w:t>
      </w:r>
      <w:r>
        <w:rPr>
          <w:rStyle w:val="FootnoteReference"/>
          <w:rFonts w:ascii="Verdana" w:hAnsi="Verdana" w:cs="Times New Roman"/>
          <w:noProof/>
          <w:sz w:val="20"/>
          <w:szCs w:val="20"/>
        </w:rPr>
        <w:footnoteReference w:id="134"/>
      </w:r>
      <w:r>
        <w:rPr>
          <w:rFonts w:ascii="Verdana" w:hAnsi="Verdana" w:cs="Times New Roman"/>
          <w:noProof/>
          <w:sz w:val="20"/>
          <w:szCs w:val="20"/>
        </w:rPr>
        <w:t xml:space="preserve"> argued that sickness benefits coverage a</w:t>
      </w:r>
      <w:r>
        <w:rPr>
          <w:rFonts w:ascii="Verdana" w:hAnsi="Verdana" w:cs="Times New Roman"/>
          <w:noProof/>
          <w:sz w:val="20"/>
          <w:szCs w:val="20"/>
        </w:rPr>
        <w:t>cross all contract types can create undue burdens on employers to finance sick leave. Others were in favour of action in this domain and argued that healthcare contributions should be abolished or reduced for people with low financial resources</w:t>
      </w:r>
      <w:r>
        <w:rPr>
          <w:rStyle w:val="FootnoteReference"/>
          <w:rFonts w:ascii="Verdana" w:hAnsi="Verdana" w:cs="Times New Roman"/>
          <w:noProof/>
          <w:sz w:val="20"/>
          <w:szCs w:val="20"/>
        </w:rPr>
        <w:footnoteReference w:id="135"/>
      </w:r>
      <w:r>
        <w:rPr>
          <w:rFonts w:ascii="Verdana" w:hAnsi="Verdana" w:cs="Times New Roman"/>
          <w:noProof/>
          <w:sz w:val="20"/>
          <w:szCs w:val="20"/>
        </w:rPr>
        <w:t>, asked for</w:t>
      </w:r>
      <w:r>
        <w:rPr>
          <w:rFonts w:ascii="Verdana" w:hAnsi="Verdana" w:cs="Times New Roman"/>
          <w:noProof/>
          <w:sz w:val="20"/>
          <w:szCs w:val="20"/>
        </w:rPr>
        <w:t xml:space="preserve"> </w:t>
      </w:r>
      <w:r>
        <w:rPr>
          <w:rFonts w:ascii="Verdana" w:hAnsi="Verdana" w:cs="Times New Roman"/>
          <w:b/>
          <w:noProof/>
          <w:sz w:val="20"/>
          <w:szCs w:val="20"/>
        </w:rPr>
        <w:t>legislation on rehabilitation to work after illness</w:t>
      </w:r>
      <w:r>
        <w:rPr>
          <w:rFonts w:ascii="Verdana" w:hAnsi="Verdana" w:cs="Times New Roman"/>
          <w:noProof/>
          <w:sz w:val="20"/>
          <w:szCs w:val="20"/>
        </w:rPr>
        <w:t>,</w:t>
      </w:r>
      <w:r>
        <w:rPr>
          <w:rStyle w:val="FootnoteReference"/>
          <w:rFonts w:ascii="Verdana" w:hAnsi="Verdana" w:cs="Times New Roman"/>
          <w:noProof/>
          <w:sz w:val="20"/>
          <w:szCs w:val="20"/>
        </w:rPr>
        <w:footnoteReference w:id="136"/>
      </w:r>
      <w:r>
        <w:rPr>
          <w:rFonts w:ascii="Verdana" w:hAnsi="Verdana" w:cs="Times New Roman"/>
          <w:noProof/>
          <w:sz w:val="20"/>
          <w:szCs w:val="20"/>
        </w:rPr>
        <w:t xml:space="preserve"> or proposed the introduction of </w:t>
      </w:r>
      <w:r>
        <w:rPr>
          <w:rFonts w:ascii="Verdana" w:hAnsi="Verdana" w:cs="Times New Roman"/>
          <w:b/>
          <w:noProof/>
          <w:sz w:val="20"/>
          <w:szCs w:val="20"/>
        </w:rPr>
        <w:t>legislation to better address the socio-economic determinants of health inequalities</w:t>
      </w:r>
      <w:r>
        <w:rPr>
          <w:rStyle w:val="FootnoteReference"/>
          <w:rFonts w:ascii="Verdana" w:hAnsi="Verdana" w:cs="Times New Roman"/>
          <w:noProof/>
          <w:sz w:val="20"/>
          <w:szCs w:val="20"/>
        </w:rPr>
        <w:footnoteReference w:id="137"/>
      </w:r>
      <w:r>
        <w:rPr>
          <w:rFonts w:ascii="Verdana" w:hAnsi="Verdana" w:cs="Times New Roman"/>
          <w:noProof/>
          <w:sz w:val="20"/>
          <w:szCs w:val="20"/>
        </w:rPr>
        <w:t xml:space="preserve">.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…and quality long-term care based in particular on homecare and community-based s</w:t>
      </w:r>
      <w:r>
        <w:rPr>
          <w:rFonts w:ascii="Verdana" w:hAnsi="Verdana" w:cs="Times New Roman"/>
          <w:i/>
          <w:noProof/>
          <w:color w:val="0070C0"/>
          <w:sz w:val="20"/>
          <w:szCs w:val="20"/>
        </w:rPr>
        <w:t>ervices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On </w:t>
      </w:r>
      <w:r>
        <w:rPr>
          <w:rFonts w:ascii="Verdana" w:hAnsi="Verdana" w:cs="Times New Roman"/>
          <w:b/>
          <w:noProof/>
          <w:sz w:val="20"/>
          <w:szCs w:val="20"/>
        </w:rPr>
        <w:t>long-term care</w:t>
      </w:r>
      <w:r>
        <w:rPr>
          <w:rFonts w:ascii="Verdana" w:hAnsi="Verdana" w:cs="Times New Roman"/>
          <w:noProof/>
          <w:sz w:val="20"/>
          <w:szCs w:val="20"/>
        </w:rPr>
        <w:t>, it was argued that the draft Pillar focused too much on formal care provision and did not sufficiently consider the socio-economic value of informal care</w:t>
      </w:r>
      <w:r>
        <w:rPr>
          <w:rStyle w:val="FootnoteReference"/>
          <w:rFonts w:ascii="Verdana" w:hAnsi="Verdana" w:cs="Times New Roman"/>
          <w:noProof/>
          <w:sz w:val="20"/>
          <w:szCs w:val="20"/>
        </w:rPr>
        <w:footnoteReference w:id="138"/>
      </w:r>
      <w:r>
        <w:rPr>
          <w:rFonts w:ascii="Verdana" w:hAnsi="Verdana" w:cs="Times New Roman"/>
          <w:noProof/>
          <w:sz w:val="20"/>
          <w:szCs w:val="20"/>
        </w:rPr>
        <w:t xml:space="preserve">, nor did it consider independent living as a factor of social inclusion </w:t>
      </w:r>
      <w:r>
        <w:rPr>
          <w:rFonts w:ascii="Verdana" w:hAnsi="Verdana" w:cs="Times New Roman"/>
          <w:noProof/>
          <w:sz w:val="20"/>
          <w:szCs w:val="20"/>
        </w:rPr>
        <w:t>for the disabled and the elderly</w:t>
      </w:r>
      <w:r>
        <w:rPr>
          <w:rStyle w:val="FootnoteReference"/>
          <w:rFonts w:ascii="Verdana" w:hAnsi="Verdana" w:cs="Times New Roman"/>
          <w:noProof/>
          <w:sz w:val="20"/>
          <w:szCs w:val="20"/>
        </w:rPr>
        <w:footnoteReference w:id="139"/>
      </w:r>
      <w:r>
        <w:rPr>
          <w:rFonts w:ascii="Verdana" w:hAnsi="Verdana" w:cs="Times New Roman"/>
          <w:noProof/>
          <w:sz w:val="20"/>
          <w:szCs w:val="20"/>
        </w:rPr>
        <w:t xml:space="preserve">. In this context, stakeholders asked for an explicit reference to </w:t>
      </w:r>
      <w:r>
        <w:rPr>
          <w:rFonts w:ascii="Verdana" w:hAnsi="Verdana" w:cs="Times New Roman"/>
          <w:b/>
          <w:noProof/>
          <w:sz w:val="20"/>
          <w:szCs w:val="20"/>
        </w:rPr>
        <w:t>“deinstitutionalisation”</w:t>
      </w:r>
      <w:r>
        <w:rPr>
          <w:rStyle w:val="FootnoteReference"/>
          <w:rFonts w:ascii="Verdana" w:hAnsi="Verdana" w:cs="Times New Roman"/>
          <w:noProof/>
          <w:sz w:val="20"/>
          <w:szCs w:val="20"/>
        </w:rPr>
        <w:footnoteReference w:id="140"/>
      </w:r>
      <w:r>
        <w:rPr>
          <w:rFonts w:ascii="Verdana" w:hAnsi="Verdana" w:cs="Times New Roman"/>
          <w:noProof/>
          <w:sz w:val="20"/>
          <w:szCs w:val="20"/>
        </w:rPr>
        <w:t xml:space="preserve">. It was also proposed to develop a common </w:t>
      </w:r>
      <w:r>
        <w:rPr>
          <w:rFonts w:ascii="Verdana" w:hAnsi="Verdana" w:cs="Times New Roman"/>
          <w:b/>
          <w:noProof/>
          <w:sz w:val="20"/>
          <w:szCs w:val="20"/>
        </w:rPr>
        <w:t>European standard on the right to quality and professional long-term care</w:t>
      </w:r>
      <w:r>
        <w:rPr>
          <w:rFonts w:ascii="Verdana" w:hAnsi="Verdana" w:cs="Times New Roman"/>
          <w:noProof/>
          <w:sz w:val="20"/>
          <w:szCs w:val="20"/>
        </w:rPr>
        <w:t xml:space="preserve"> including prov</w:t>
      </w:r>
      <w:r>
        <w:rPr>
          <w:rFonts w:ascii="Verdana" w:hAnsi="Verdana" w:cs="Times New Roman"/>
          <w:noProof/>
          <w:sz w:val="20"/>
          <w:szCs w:val="20"/>
        </w:rPr>
        <w:t>ision of care, leave entitlement for carers and compensation in respect of care leave</w:t>
      </w:r>
      <w:r>
        <w:rPr>
          <w:rStyle w:val="FootnoteReference"/>
          <w:rFonts w:ascii="Verdana" w:hAnsi="Verdana" w:cs="Times New Roman"/>
          <w:noProof/>
          <w:sz w:val="20"/>
          <w:szCs w:val="20"/>
        </w:rPr>
        <w:footnoteReference w:id="141"/>
      </w:r>
      <w:r>
        <w:rPr>
          <w:rFonts w:ascii="Verdana" w:hAnsi="Verdana" w:cs="Times New Roman"/>
          <w:noProof/>
          <w:sz w:val="20"/>
          <w:szCs w:val="20"/>
        </w:rPr>
        <w:t>. Furthermore, the European Parliament called for an action plan that would include targets on care for elderly persons, persons with disabilities and other dependants, s</w:t>
      </w:r>
      <w:r>
        <w:rPr>
          <w:rFonts w:ascii="Verdana" w:hAnsi="Verdana" w:cs="Times New Roman"/>
          <w:noProof/>
          <w:sz w:val="20"/>
          <w:szCs w:val="20"/>
        </w:rPr>
        <w:t>imilar to the Barcelona targets, with monitoring tools that should measure quality, accessibility and affordability.</w:t>
      </w:r>
    </w:p>
    <w:p w:rsidR="001E527A" w:rsidRDefault="00CD69DA">
      <w:pPr>
        <w:shd w:val="clear" w:color="auto" w:fill="F2DBDB" w:themeFill="accent2" w:themeFillTint="33"/>
        <w:spacing w:before="240"/>
        <w:jc w:val="both"/>
        <w:rPr>
          <w:rFonts w:ascii="Verdana" w:hAnsi="Verdana" w:cs="Times New Roman"/>
          <w:b/>
          <w:noProof/>
          <w:sz w:val="20"/>
          <w:szCs w:val="20"/>
        </w:rPr>
      </w:pPr>
      <w:r>
        <w:rPr>
          <w:rFonts w:ascii="Verdana" w:hAnsi="Verdana" w:cs="Times New Roman"/>
          <w:b/>
          <w:noProof/>
          <w:sz w:val="20"/>
          <w:szCs w:val="20"/>
        </w:rPr>
        <w:t>Highlight – Creating community-based services as alterative to institutional care:</w:t>
      </w:r>
    </w:p>
    <w:p w:rsidR="001E527A" w:rsidRDefault="00CD69DA">
      <w:pPr>
        <w:shd w:val="clear" w:color="auto" w:fill="F2DBDB" w:themeFill="accent2" w:themeFillTint="33"/>
        <w:spacing w:before="240"/>
        <w:jc w:val="both"/>
        <w:rPr>
          <w:rFonts w:ascii="Verdana" w:hAnsi="Verdana" w:cs="Times New Roman"/>
          <w:b/>
          <w:noProof/>
          <w:sz w:val="20"/>
          <w:szCs w:val="20"/>
        </w:rPr>
      </w:pPr>
      <w:r>
        <w:rPr>
          <w:rFonts w:ascii="Verdana" w:hAnsi="Verdana" w:cs="Times New Roman"/>
          <w:b/>
          <w:i/>
          <w:noProof/>
          <w:sz w:val="20"/>
          <w:szCs w:val="20"/>
          <w:u w:val="single"/>
        </w:rPr>
        <w:t>The example of Bulgaria</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Structural funds have been suppo</w:t>
      </w:r>
      <w:r>
        <w:rPr>
          <w:rFonts w:ascii="Verdana" w:hAnsi="Verdana" w:cs="Times New Roman"/>
          <w:noProof/>
          <w:sz w:val="20"/>
          <w:szCs w:val="20"/>
        </w:rPr>
        <w:t xml:space="preserve">rting the process of deinstitutionalisation in Bulgaria, securing investments both in infrastructure (ERDF) and in newly-established services and staff training (ESF) for 80 million Euro in 2007-2013.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As a result of these operations, more than 5,000 children, formerly accommodated in specialised institutions, were provided with community-based services. Bulgaria managed to close all institutions with children with disabilities, replacing them with small</w:t>
      </w:r>
      <w:r>
        <w:rPr>
          <w:rFonts w:ascii="Verdana" w:hAnsi="Verdana" w:cs="Times New Roman"/>
          <w:noProof/>
          <w:sz w:val="20"/>
          <w:szCs w:val="20"/>
        </w:rPr>
        <w:t xml:space="preserve"> group homes. The ESF also financed the development of services for provision of family-based or family-like environment and care, training of staff, the assessment of individual needs and the development of a new model of foster care for children at risk </w:t>
      </w:r>
      <w:r>
        <w:rPr>
          <w:rFonts w:ascii="Verdana" w:hAnsi="Verdana" w:cs="Times New Roman"/>
          <w:noProof/>
          <w:sz w:val="20"/>
          <w:szCs w:val="20"/>
        </w:rPr>
        <w:t xml:space="preserve">of abandonment.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process continues in the programming period 2014-2020 with a provisional budget of 50 million Euro and a special attention to prevention of institutionalisation and support to families as well as support to people with disabilities and</w:t>
      </w:r>
      <w:r>
        <w:rPr>
          <w:rFonts w:ascii="Verdana" w:hAnsi="Verdana" w:cs="Times New Roman"/>
          <w:noProof/>
          <w:sz w:val="20"/>
          <w:szCs w:val="20"/>
        </w:rPr>
        <w:t xml:space="preserve"> elderly people currently placed in institutions.</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as well as adequate housing and support to the homeless towards their social reintegration.</w:t>
      </w:r>
    </w:p>
    <w:p w:rsidR="001E527A" w:rsidRDefault="00CD69DA">
      <w:pPr>
        <w:jc w:val="both"/>
        <w:rPr>
          <w:rFonts w:ascii="Verdana" w:hAnsi="Verdana" w:cs="Times New Roman"/>
          <w:noProof/>
          <w:sz w:val="20"/>
          <w:szCs w:val="20"/>
        </w:rPr>
      </w:pPr>
      <w:r>
        <w:rPr>
          <w:rFonts w:ascii="Verdana" w:hAnsi="Verdana" w:cs="Times New Roman"/>
          <w:noProof/>
          <w:sz w:val="20"/>
          <w:szCs w:val="20"/>
        </w:rPr>
        <w:t>Participants in the consultation saw scope for ensuring access to quality and affordable housing,</w:t>
      </w:r>
      <w:r>
        <w:rPr>
          <w:rStyle w:val="FootnoteReference"/>
          <w:rFonts w:ascii="Verdana" w:hAnsi="Verdana" w:cs="Times New Roman"/>
          <w:noProof/>
          <w:sz w:val="20"/>
          <w:szCs w:val="20"/>
        </w:rPr>
        <w:footnoteReference w:id="142"/>
      </w:r>
      <w:r>
        <w:rPr>
          <w:rFonts w:ascii="Verdana" w:hAnsi="Verdana" w:cs="Times New Roman"/>
          <w:noProof/>
          <w:sz w:val="20"/>
          <w:szCs w:val="20"/>
        </w:rPr>
        <w:t xml:space="preserve"> </w:t>
      </w:r>
      <w:r>
        <w:rPr>
          <w:rFonts w:ascii="Verdana" w:hAnsi="Verdana" w:cs="Times New Roman"/>
          <w:b/>
          <w:noProof/>
          <w:sz w:val="20"/>
          <w:szCs w:val="20"/>
        </w:rPr>
        <w:t xml:space="preserve">appropriate </w:t>
      </w:r>
      <w:r>
        <w:rPr>
          <w:rFonts w:ascii="Verdana" w:hAnsi="Verdana" w:cs="Times New Roman"/>
          <w:b/>
          <w:noProof/>
          <w:sz w:val="20"/>
          <w:szCs w:val="20"/>
        </w:rPr>
        <w:t>levels of investment in social housing</w:t>
      </w:r>
      <w:r>
        <w:rPr>
          <w:rStyle w:val="FootnoteReference"/>
          <w:rFonts w:ascii="Verdana" w:hAnsi="Verdana" w:cs="Times New Roman"/>
          <w:noProof/>
          <w:sz w:val="20"/>
          <w:szCs w:val="20"/>
        </w:rPr>
        <w:footnoteReference w:id="143"/>
      </w:r>
      <w:r>
        <w:rPr>
          <w:rFonts w:ascii="Verdana" w:hAnsi="Verdana" w:cs="Times New Roman"/>
          <w:noProof/>
          <w:sz w:val="20"/>
          <w:szCs w:val="20"/>
        </w:rPr>
        <w:t xml:space="preserve">, scaling up </w:t>
      </w:r>
      <w:r>
        <w:rPr>
          <w:rFonts w:ascii="Verdana" w:hAnsi="Verdana" w:cs="Times New Roman"/>
          <w:b/>
          <w:noProof/>
          <w:sz w:val="20"/>
          <w:szCs w:val="20"/>
        </w:rPr>
        <w:t xml:space="preserve">social innovation </w:t>
      </w:r>
      <w:r>
        <w:rPr>
          <w:rFonts w:ascii="Verdana" w:hAnsi="Verdana" w:cs="Times New Roman"/>
          <w:noProof/>
          <w:sz w:val="20"/>
          <w:szCs w:val="20"/>
        </w:rPr>
        <w:t xml:space="preserve">to deliver on social housing and </w:t>
      </w:r>
      <w:r>
        <w:rPr>
          <w:rFonts w:ascii="Verdana" w:hAnsi="Verdana" w:cs="Times New Roman"/>
          <w:b/>
          <w:noProof/>
          <w:sz w:val="20"/>
          <w:szCs w:val="20"/>
        </w:rPr>
        <w:t>homelessness</w:t>
      </w:r>
      <w:r>
        <w:rPr>
          <w:rStyle w:val="FootnoteReference"/>
          <w:rFonts w:ascii="Verdana" w:hAnsi="Verdana" w:cs="Times New Roman"/>
          <w:noProof/>
          <w:sz w:val="20"/>
          <w:szCs w:val="20"/>
        </w:rPr>
        <w:footnoteReference w:id="144"/>
      </w:r>
      <w:r>
        <w:rPr>
          <w:rFonts w:ascii="Verdana" w:hAnsi="Verdana" w:cs="Times New Roman"/>
          <w:noProof/>
          <w:sz w:val="20"/>
          <w:szCs w:val="20"/>
        </w:rPr>
        <w:t xml:space="preserve"> and greater use of </w:t>
      </w:r>
      <w:r>
        <w:rPr>
          <w:rFonts w:ascii="Verdana" w:hAnsi="Verdana" w:cs="Times New Roman"/>
          <w:b/>
          <w:noProof/>
          <w:sz w:val="20"/>
          <w:szCs w:val="20"/>
        </w:rPr>
        <w:t>European financial instruments</w:t>
      </w:r>
      <w:r>
        <w:rPr>
          <w:rFonts w:ascii="Verdana" w:hAnsi="Verdana" w:cs="Times New Roman"/>
          <w:noProof/>
          <w:sz w:val="20"/>
          <w:szCs w:val="20"/>
        </w:rPr>
        <w:t xml:space="preserve"> to support affordable housing</w:t>
      </w:r>
      <w:r>
        <w:rPr>
          <w:rStyle w:val="FootnoteReference"/>
          <w:rFonts w:ascii="Verdana" w:hAnsi="Verdana" w:cs="Times New Roman"/>
          <w:noProof/>
          <w:sz w:val="20"/>
          <w:szCs w:val="20"/>
        </w:rPr>
        <w:footnoteReference w:id="145"/>
      </w:r>
      <w:r>
        <w:rPr>
          <w:rFonts w:ascii="Verdana" w:hAnsi="Verdana" w:cs="Times New Roman"/>
          <w:noProof/>
          <w:sz w:val="20"/>
          <w:szCs w:val="20"/>
        </w:rPr>
        <w:t xml:space="preserve">. Increasing monitoring of </w:t>
      </w:r>
      <w:r>
        <w:rPr>
          <w:rFonts w:ascii="Verdana" w:hAnsi="Verdana" w:cs="Times New Roman"/>
          <w:b/>
          <w:noProof/>
          <w:sz w:val="20"/>
          <w:szCs w:val="20"/>
        </w:rPr>
        <w:t>housing policies</w:t>
      </w:r>
      <w:r>
        <w:rPr>
          <w:rFonts w:ascii="Verdana" w:hAnsi="Verdana" w:cs="Times New Roman"/>
          <w:noProof/>
          <w:sz w:val="20"/>
          <w:szCs w:val="20"/>
        </w:rPr>
        <w:t>, through new an</w:t>
      </w:r>
      <w:r>
        <w:rPr>
          <w:rFonts w:ascii="Verdana" w:hAnsi="Verdana" w:cs="Times New Roman"/>
          <w:noProof/>
          <w:sz w:val="20"/>
          <w:szCs w:val="20"/>
        </w:rPr>
        <w:t>d existing indicators in the framework of the Semester, was also proposed</w:t>
      </w:r>
      <w:r>
        <w:rPr>
          <w:rStyle w:val="FootnoteReference"/>
          <w:rFonts w:ascii="Verdana" w:hAnsi="Verdana" w:cs="Times New Roman"/>
          <w:noProof/>
          <w:sz w:val="20"/>
          <w:szCs w:val="20"/>
        </w:rPr>
        <w:footnoteReference w:id="146"/>
      </w:r>
      <w:r>
        <w:rPr>
          <w:rFonts w:ascii="Verdana" w:hAnsi="Verdana" w:cs="Times New Roman"/>
          <w:noProof/>
          <w:sz w:val="20"/>
          <w:szCs w:val="20"/>
        </w:rPr>
        <w:t>.</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Adequate unemployment benefits of reasonable duration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There was strong support for unemployment benefits that should be </w:t>
      </w:r>
      <w:r>
        <w:rPr>
          <w:rFonts w:ascii="Verdana" w:hAnsi="Verdana" w:cs="Times New Roman"/>
          <w:b/>
          <w:noProof/>
          <w:sz w:val="20"/>
          <w:szCs w:val="20"/>
        </w:rPr>
        <w:t>adequate</w:t>
      </w:r>
      <w:r>
        <w:rPr>
          <w:rFonts w:ascii="Verdana" w:hAnsi="Verdana" w:cs="Times New Roman"/>
          <w:noProof/>
          <w:sz w:val="20"/>
          <w:szCs w:val="20"/>
        </w:rPr>
        <w:t xml:space="preserve"> and of </w:t>
      </w:r>
      <w:r>
        <w:rPr>
          <w:rFonts w:ascii="Verdana" w:hAnsi="Verdana" w:cs="Times New Roman"/>
          <w:b/>
          <w:noProof/>
          <w:sz w:val="20"/>
          <w:szCs w:val="20"/>
        </w:rPr>
        <w:t>reasonable duration</w:t>
      </w:r>
      <w:r>
        <w:rPr>
          <w:rFonts w:ascii="Verdana" w:hAnsi="Verdana" w:cs="Times New Roman"/>
          <w:noProof/>
          <w:sz w:val="20"/>
          <w:szCs w:val="20"/>
        </w:rPr>
        <w:t xml:space="preserve">, providing a </w:t>
      </w:r>
      <w:r>
        <w:rPr>
          <w:rFonts w:ascii="Verdana" w:hAnsi="Verdana" w:cs="Times New Roman"/>
          <w:b/>
          <w:noProof/>
          <w:sz w:val="20"/>
          <w:szCs w:val="20"/>
        </w:rPr>
        <w:t>broad cov</w:t>
      </w:r>
      <w:r>
        <w:rPr>
          <w:rFonts w:ascii="Verdana" w:hAnsi="Verdana" w:cs="Times New Roman"/>
          <w:b/>
          <w:noProof/>
          <w:sz w:val="20"/>
          <w:szCs w:val="20"/>
        </w:rPr>
        <w:t>erage</w:t>
      </w:r>
      <w:r>
        <w:rPr>
          <w:rFonts w:ascii="Verdana" w:hAnsi="Verdana" w:cs="Times New Roman"/>
          <w:noProof/>
          <w:sz w:val="20"/>
          <w:szCs w:val="20"/>
        </w:rPr>
        <w:t>. Others argued that unemployment insurance should be transformed into an employment insurance that includes more preventive support</w:t>
      </w:r>
      <w:r>
        <w:rPr>
          <w:rStyle w:val="FootnoteReference"/>
          <w:rFonts w:ascii="Verdana" w:hAnsi="Verdana" w:cs="Times New Roman"/>
          <w:noProof/>
          <w:sz w:val="20"/>
          <w:szCs w:val="20"/>
        </w:rPr>
        <w:footnoteReference w:id="147"/>
      </w:r>
      <w:r>
        <w:rPr>
          <w:rFonts w:ascii="Verdana" w:hAnsi="Verdana" w:cs="Times New Roman"/>
          <w:noProof/>
          <w:sz w:val="20"/>
          <w:szCs w:val="20"/>
        </w:rPr>
        <w:t xml:space="preserve">. Employer organisations called for </w:t>
      </w:r>
      <w:r>
        <w:rPr>
          <w:rFonts w:ascii="Verdana" w:hAnsi="Verdana" w:cs="Times New Roman"/>
          <w:b/>
          <w:noProof/>
          <w:sz w:val="20"/>
          <w:szCs w:val="20"/>
        </w:rPr>
        <w:t>benchmarks</w:t>
      </w:r>
      <w:r>
        <w:rPr>
          <w:rFonts w:ascii="Verdana" w:hAnsi="Verdana" w:cs="Times New Roman"/>
          <w:noProof/>
          <w:sz w:val="20"/>
          <w:szCs w:val="20"/>
        </w:rPr>
        <w:t xml:space="preserve"> in this field.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as well as adequate minimum income schemes should pro</w:t>
      </w:r>
      <w:r>
        <w:rPr>
          <w:rFonts w:ascii="Verdana" w:hAnsi="Verdana" w:cs="Times New Roman"/>
          <w:i/>
          <w:noProof/>
          <w:color w:val="0070C0"/>
          <w:sz w:val="20"/>
          <w:szCs w:val="20"/>
        </w:rPr>
        <w:t>vide a resilient social protection floor capable to labour market reintegration.</w:t>
      </w:r>
    </w:p>
    <w:p w:rsidR="001E527A" w:rsidRDefault="00CD69DA">
      <w:pPr>
        <w:jc w:val="both"/>
        <w:rPr>
          <w:rFonts w:ascii="Verdana" w:hAnsi="Verdana" w:cs="Times New Roman"/>
          <w:noProof/>
          <w:sz w:val="20"/>
          <w:szCs w:val="20"/>
        </w:rPr>
      </w:pPr>
      <w:r>
        <w:rPr>
          <w:rFonts w:ascii="Verdana" w:hAnsi="Verdana" w:cs="Times New Roman"/>
          <w:noProof/>
          <w:sz w:val="20"/>
          <w:szCs w:val="20"/>
        </w:rPr>
        <w:t>At dedicated hearings gathering trade unions and NGOs, minimum income and benefits systems were often considered to have the potential to foster renewed convergence at EU leve</w:t>
      </w:r>
      <w:r>
        <w:rPr>
          <w:rFonts w:ascii="Verdana" w:hAnsi="Verdana" w:cs="Times New Roman"/>
          <w:noProof/>
          <w:sz w:val="20"/>
          <w:szCs w:val="20"/>
        </w:rPr>
        <w:t xml:space="preserve">l.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Minimum income protection was identified by some as a </w:t>
      </w:r>
      <w:r>
        <w:rPr>
          <w:rFonts w:ascii="Verdana" w:hAnsi="Verdana" w:cs="Times New Roman"/>
          <w:b/>
          <w:noProof/>
          <w:sz w:val="20"/>
          <w:szCs w:val="20"/>
        </w:rPr>
        <w:t>specific area for EU action</w:t>
      </w:r>
      <w:r>
        <w:rPr>
          <w:rFonts w:ascii="Verdana" w:hAnsi="Verdana" w:cs="Times New Roman"/>
          <w:noProof/>
          <w:sz w:val="20"/>
          <w:szCs w:val="20"/>
        </w:rPr>
        <w:t xml:space="preserve"> through the establishment of a </w:t>
      </w:r>
      <w:r>
        <w:rPr>
          <w:rFonts w:ascii="Verdana" w:hAnsi="Verdana" w:cs="Times New Roman"/>
          <w:b/>
          <w:noProof/>
          <w:sz w:val="20"/>
          <w:szCs w:val="20"/>
        </w:rPr>
        <w:t>EU framework Directive on minimum income</w:t>
      </w:r>
      <w:r>
        <w:rPr>
          <w:rStyle w:val="FootnoteReference"/>
          <w:rFonts w:ascii="Verdana" w:hAnsi="Verdana" w:cs="Times New Roman"/>
          <w:noProof/>
          <w:sz w:val="20"/>
          <w:szCs w:val="20"/>
        </w:rPr>
        <w:footnoteReference w:id="148"/>
      </w:r>
      <w:r>
        <w:rPr>
          <w:rFonts w:ascii="Verdana" w:hAnsi="Verdana" w:cs="Times New Roman"/>
          <w:noProof/>
          <w:sz w:val="20"/>
          <w:szCs w:val="20"/>
        </w:rPr>
        <w:t>. The Social Platform was in favour of a framework Directive defining adequacy of minimum income e</w:t>
      </w:r>
      <w:r>
        <w:rPr>
          <w:rFonts w:ascii="Verdana" w:hAnsi="Verdana" w:cs="Times New Roman"/>
          <w:noProof/>
          <w:sz w:val="20"/>
          <w:szCs w:val="20"/>
        </w:rPr>
        <w:t>.g. 60% of national median income, material deprivation or reference budgets. COMECE argued for the minimum income to be set against the poverty threshold of 60% of Gross National Income (GNI) per capita and/or against a basket of essential goods and servi</w:t>
      </w:r>
      <w:r>
        <w:rPr>
          <w:rFonts w:ascii="Verdana" w:hAnsi="Verdana" w:cs="Times New Roman"/>
          <w:noProof/>
          <w:sz w:val="20"/>
          <w:szCs w:val="20"/>
        </w:rPr>
        <w:t xml:space="preserve">ces. EuroHealthNet suggested using an existing index – the Minimum Income for Healthy Living. The EESC also called for an appropriate European fund.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The European Parliament invited the Commission and the Member States to </w:t>
      </w:r>
      <w:r>
        <w:rPr>
          <w:rFonts w:ascii="Verdana" w:hAnsi="Verdana" w:cs="Times New Roman"/>
          <w:b/>
          <w:noProof/>
          <w:sz w:val="20"/>
          <w:szCs w:val="20"/>
        </w:rPr>
        <w:t>assess minimum income schemes in t</w:t>
      </w:r>
      <w:r>
        <w:rPr>
          <w:rFonts w:ascii="Verdana" w:hAnsi="Verdana" w:cs="Times New Roman"/>
          <w:b/>
          <w:noProof/>
          <w:sz w:val="20"/>
          <w:szCs w:val="20"/>
        </w:rPr>
        <w:t>he EU</w:t>
      </w:r>
      <w:r>
        <w:rPr>
          <w:rFonts w:ascii="Verdana" w:hAnsi="Verdana" w:cs="Times New Roman"/>
          <w:noProof/>
          <w:sz w:val="20"/>
          <w:szCs w:val="20"/>
        </w:rPr>
        <w:t xml:space="preserve">, including whether the schemes enable households to meet their needs; and to evaluate the manner and the means of providing an adequate minimum income in all Member States. </w:t>
      </w:r>
    </w:p>
    <w:p w:rsidR="001E527A" w:rsidRDefault="00CD69DA">
      <w:pPr>
        <w:shd w:val="clear" w:color="auto" w:fill="F2DBDB" w:themeFill="accent2" w:themeFillTint="33"/>
        <w:jc w:val="both"/>
        <w:rPr>
          <w:rFonts w:ascii="Verdana" w:hAnsi="Verdana" w:cs="Times New Roman"/>
          <w:b/>
          <w:noProof/>
          <w:sz w:val="20"/>
          <w:szCs w:val="20"/>
        </w:rPr>
      </w:pPr>
      <w:r>
        <w:rPr>
          <w:rFonts w:ascii="Verdana" w:hAnsi="Verdana" w:cs="Times New Roman"/>
          <w:b/>
          <w:noProof/>
          <w:sz w:val="20"/>
          <w:szCs w:val="20"/>
        </w:rPr>
        <w:t xml:space="preserve">Highlight – Minimum income support for those in the need: </w:t>
      </w:r>
    </w:p>
    <w:p w:rsidR="001E527A" w:rsidRDefault="00CD69DA">
      <w:pPr>
        <w:shd w:val="clear" w:color="auto" w:fill="F2DBDB" w:themeFill="accent2" w:themeFillTint="33"/>
        <w:jc w:val="both"/>
        <w:rPr>
          <w:rFonts w:ascii="Verdana" w:hAnsi="Verdana" w:cs="Times New Roman"/>
          <w:b/>
          <w:i/>
          <w:noProof/>
          <w:sz w:val="20"/>
          <w:szCs w:val="20"/>
          <w:u w:val="single"/>
        </w:rPr>
      </w:pPr>
      <w:r>
        <w:rPr>
          <w:rFonts w:ascii="Verdana" w:hAnsi="Verdana" w:cs="Times New Roman"/>
          <w:b/>
          <w:i/>
          <w:noProof/>
          <w:sz w:val="20"/>
          <w:szCs w:val="20"/>
          <w:u w:val="single"/>
        </w:rPr>
        <w:t xml:space="preserve">The Guaranteed Minimum Income in Cyprus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Cyprus' social welfare system has undergone a major reform in recent years to better support an increasing number of people at risk of poverty and social exclusion.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At the core of the new social welfare system is t</w:t>
      </w:r>
      <w:r>
        <w:rPr>
          <w:rFonts w:ascii="Verdana" w:hAnsi="Verdana" w:cs="Times New Roman"/>
          <w:noProof/>
          <w:sz w:val="20"/>
          <w:szCs w:val="20"/>
        </w:rPr>
        <w:t>he reformed public assistance programme, the Guaranteed Minimum Income (GMI). The scheme covers the basic needs of different household types defined on the basis of a new minimum consumption basket, and additional allowances for housing cost and tax exempt</w:t>
      </w:r>
      <w:r>
        <w:rPr>
          <w:rFonts w:ascii="Verdana" w:hAnsi="Verdana" w:cs="Times New Roman"/>
          <w:noProof/>
          <w:sz w:val="20"/>
          <w:szCs w:val="20"/>
        </w:rPr>
        <w:t xml:space="preserve">ions. It is designed to incentivise work, as beneficiaries that are able to work must be registered with the public employment services, be willing to participate in active labour market programmes and accept an employment offer.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implementation of the</w:t>
      </w:r>
      <w:r>
        <w:rPr>
          <w:rFonts w:ascii="Verdana" w:hAnsi="Verdana" w:cs="Times New Roman"/>
          <w:noProof/>
          <w:sz w:val="20"/>
          <w:szCs w:val="20"/>
        </w:rPr>
        <w:t xml:space="preserve"> GMI and the streamlining of benefits with specific criteria and control processes should enable a more effective allocation of benefits to those in need. The key success factor for this reform is the combination of increased effectiveness with a more effi</w:t>
      </w:r>
      <w:r>
        <w:rPr>
          <w:rFonts w:ascii="Verdana" w:hAnsi="Verdana" w:cs="Times New Roman"/>
          <w:noProof/>
          <w:sz w:val="20"/>
          <w:szCs w:val="20"/>
        </w:rPr>
        <w:t>cient use of public resources. The number of GMI applications has risen steadily since its introduction, and the scheme is expected to help reduce the intensity of poverty in Cyprus in the coming years.</w:t>
      </w:r>
    </w:p>
    <w:p w:rsidR="001E527A" w:rsidRDefault="00CD69DA">
      <w:pPr>
        <w:jc w:val="both"/>
        <w:rPr>
          <w:rFonts w:ascii="Verdana" w:hAnsi="Verdana" w:cs="Times New Roman"/>
          <w:noProof/>
          <w:sz w:val="20"/>
          <w:szCs w:val="20"/>
        </w:rPr>
      </w:pPr>
      <w:r>
        <w:rPr>
          <w:rFonts w:ascii="Verdana" w:hAnsi="Verdana" w:cs="Times New Roman"/>
          <w:noProof/>
          <w:sz w:val="20"/>
          <w:szCs w:val="20"/>
        </w:rPr>
        <w:t>France supported the generalisation of the minimum in</w:t>
      </w:r>
      <w:r>
        <w:rPr>
          <w:rFonts w:ascii="Verdana" w:hAnsi="Verdana" w:cs="Times New Roman"/>
          <w:noProof/>
          <w:sz w:val="20"/>
          <w:szCs w:val="20"/>
        </w:rPr>
        <w:t>come to all adult persons in each Member State. Germany was in favour of a gradual upward convergence with exchange of best practices as an initial step. Romania supported the establishment of common indicators on the adequacy of minimum income.</w:t>
      </w:r>
    </w:p>
    <w:p w:rsidR="001E527A" w:rsidRDefault="00CD69DA">
      <w:pPr>
        <w:jc w:val="both"/>
        <w:rPr>
          <w:rFonts w:ascii="Verdana" w:hAnsi="Verdana" w:cs="Times New Roman"/>
          <w:noProof/>
          <w:sz w:val="20"/>
          <w:szCs w:val="20"/>
        </w:rPr>
      </w:pPr>
      <w:r>
        <w:rPr>
          <w:rFonts w:ascii="Verdana" w:hAnsi="Verdana" w:cs="Times New Roman"/>
          <w:noProof/>
          <w:sz w:val="20"/>
          <w:szCs w:val="20"/>
        </w:rPr>
        <w:t>Other prop</w:t>
      </w:r>
      <w:r>
        <w:rPr>
          <w:rFonts w:ascii="Verdana" w:hAnsi="Verdana" w:cs="Times New Roman"/>
          <w:noProof/>
          <w:sz w:val="20"/>
          <w:szCs w:val="20"/>
        </w:rPr>
        <w:t xml:space="preserve">osals included the promotion of a </w:t>
      </w:r>
      <w:r>
        <w:rPr>
          <w:rFonts w:ascii="Verdana" w:hAnsi="Verdana" w:cs="Times New Roman"/>
          <w:b/>
          <w:noProof/>
          <w:sz w:val="20"/>
          <w:szCs w:val="20"/>
        </w:rPr>
        <w:t>universal social protection floor</w:t>
      </w:r>
      <w:r>
        <w:rPr>
          <w:rStyle w:val="FootnoteReference"/>
          <w:rFonts w:ascii="Verdana" w:hAnsi="Verdana" w:cs="Times New Roman"/>
          <w:noProof/>
          <w:sz w:val="20"/>
          <w:szCs w:val="20"/>
        </w:rPr>
        <w:footnoteReference w:id="149"/>
      </w:r>
      <w:r>
        <w:rPr>
          <w:rFonts w:ascii="Verdana" w:hAnsi="Verdana" w:cs="Times New Roman"/>
          <w:noProof/>
          <w:sz w:val="20"/>
          <w:szCs w:val="20"/>
        </w:rPr>
        <w:t xml:space="preserve">. Some advocated for the introduction of </w:t>
      </w:r>
      <w:r>
        <w:rPr>
          <w:rFonts w:ascii="Verdana" w:hAnsi="Verdana" w:cs="Times New Roman"/>
          <w:b/>
          <w:noProof/>
          <w:sz w:val="20"/>
          <w:szCs w:val="20"/>
        </w:rPr>
        <w:t>universal basic income</w:t>
      </w:r>
      <w:r>
        <w:rPr>
          <w:rFonts w:ascii="Verdana" w:hAnsi="Verdana" w:cs="Times New Roman"/>
          <w:noProof/>
          <w:sz w:val="20"/>
          <w:szCs w:val="20"/>
        </w:rPr>
        <w:t xml:space="preserve"> to limit precariousness</w:t>
      </w:r>
      <w:r>
        <w:rPr>
          <w:rStyle w:val="FootnoteReference"/>
          <w:rFonts w:ascii="Verdana" w:hAnsi="Verdana" w:cs="Times New Roman"/>
          <w:noProof/>
          <w:sz w:val="20"/>
          <w:szCs w:val="20"/>
        </w:rPr>
        <w:footnoteReference w:id="150"/>
      </w:r>
      <w:r>
        <w:rPr>
          <w:rFonts w:ascii="Verdana" w:hAnsi="Verdana" w:cs="Times New Roman"/>
          <w:noProof/>
          <w:sz w:val="20"/>
          <w:szCs w:val="20"/>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Employer organisations, however, were less favourable of EU intervention in this area and propose</w:t>
      </w:r>
      <w:r>
        <w:rPr>
          <w:rFonts w:ascii="Verdana" w:hAnsi="Verdana" w:cs="Times New Roman"/>
          <w:noProof/>
          <w:sz w:val="20"/>
          <w:szCs w:val="20"/>
        </w:rPr>
        <w:t xml:space="preserve">d </w:t>
      </w:r>
      <w:r>
        <w:rPr>
          <w:rFonts w:ascii="Verdana" w:hAnsi="Verdana" w:cs="Times New Roman"/>
          <w:b/>
          <w:noProof/>
          <w:sz w:val="20"/>
          <w:szCs w:val="20"/>
        </w:rPr>
        <w:t>benchmarks</w:t>
      </w:r>
      <w:r>
        <w:rPr>
          <w:rFonts w:ascii="Verdana" w:hAnsi="Verdana" w:cs="Times New Roman"/>
          <w:noProof/>
          <w:sz w:val="20"/>
          <w:szCs w:val="20"/>
        </w:rPr>
        <w:t xml:space="preserve"> on efficient and effective social expenditure.</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Pension systems should provide adequate protection against old-age poverty while assuring sustainability with a view to protect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Participants to the consultation emphasised the importance of </w:t>
      </w:r>
      <w:r>
        <w:rPr>
          <w:rFonts w:ascii="Verdana" w:hAnsi="Verdana" w:cs="Times New Roman"/>
          <w:b/>
          <w:noProof/>
          <w:sz w:val="20"/>
          <w:szCs w:val="20"/>
        </w:rPr>
        <w:t>adeq</w:t>
      </w:r>
      <w:r>
        <w:rPr>
          <w:rFonts w:ascii="Verdana" w:hAnsi="Verdana" w:cs="Times New Roman"/>
          <w:b/>
          <w:noProof/>
          <w:sz w:val="20"/>
          <w:szCs w:val="20"/>
        </w:rPr>
        <w:t>uate</w:t>
      </w:r>
      <w:r>
        <w:rPr>
          <w:rFonts w:ascii="Verdana" w:hAnsi="Verdana" w:cs="Times New Roman"/>
          <w:noProof/>
          <w:sz w:val="20"/>
          <w:szCs w:val="20"/>
        </w:rPr>
        <w:t xml:space="preserve"> </w:t>
      </w:r>
      <w:r>
        <w:rPr>
          <w:rFonts w:ascii="Verdana" w:hAnsi="Verdana" w:cs="Times New Roman"/>
          <w:b/>
          <w:noProof/>
          <w:sz w:val="20"/>
          <w:szCs w:val="20"/>
        </w:rPr>
        <w:t>pensions</w:t>
      </w:r>
      <w:r>
        <w:rPr>
          <w:rFonts w:ascii="Verdana" w:hAnsi="Verdana" w:cs="Times New Roman"/>
          <w:noProof/>
          <w:sz w:val="20"/>
          <w:szCs w:val="20"/>
        </w:rPr>
        <w:t xml:space="preserve">, including minimum pensions, to protect the purchasing power of the elderly. At the same time, intergenerational fairness should be safeguarded by making sure that the pension systems are </w:t>
      </w:r>
      <w:r>
        <w:rPr>
          <w:rFonts w:ascii="Verdana" w:hAnsi="Verdana" w:cs="Times New Roman"/>
          <w:b/>
          <w:noProof/>
          <w:sz w:val="20"/>
          <w:szCs w:val="20"/>
        </w:rPr>
        <w:t>fiscally sustainable</w:t>
      </w:r>
      <w:r>
        <w:rPr>
          <w:rFonts w:ascii="Verdana" w:hAnsi="Verdana" w:cs="Times New Roman"/>
          <w:noProof/>
          <w:sz w:val="20"/>
          <w:szCs w:val="20"/>
        </w:rPr>
        <w:t xml:space="preserve">. The </w:t>
      </w:r>
      <w:r>
        <w:rPr>
          <w:rFonts w:ascii="Verdana" w:hAnsi="Verdana" w:cs="Times New Roman"/>
          <w:b/>
          <w:noProof/>
          <w:sz w:val="20"/>
          <w:szCs w:val="20"/>
        </w:rPr>
        <w:t>gender dimension</w:t>
      </w:r>
      <w:r>
        <w:rPr>
          <w:rFonts w:ascii="Verdana" w:hAnsi="Verdana" w:cs="Times New Roman"/>
          <w:noProof/>
          <w:sz w:val="20"/>
          <w:szCs w:val="20"/>
        </w:rPr>
        <w:t xml:space="preserve"> of pension adequacy should also be addressed. There appears to be wide consensus among stakeholders as regards the need to remove the </w:t>
      </w:r>
      <w:r>
        <w:rPr>
          <w:rFonts w:ascii="Verdana" w:hAnsi="Verdana" w:cs="Times New Roman"/>
          <w:b/>
          <w:noProof/>
          <w:sz w:val="20"/>
          <w:szCs w:val="20"/>
        </w:rPr>
        <w:t>principle linking statutory retirement age to life expectancy on pensions.</w:t>
      </w:r>
      <w:r>
        <w:rPr>
          <w:rFonts w:ascii="Verdana" w:hAnsi="Verdana" w:cs="Times New Roman"/>
          <w:noProof/>
          <w:sz w:val="20"/>
          <w:szCs w:val="20"/>
        </w:rPr>
        <w:t xml:space="preserve"> According to employers and national government</w:t>
      </w:r>
      <w:r>
        <w:rPr>
          <w:rFonts w:ascii="Verdana" w:hAnsi="Verdana" w:cs="Times New Roman"/>
          <w:noProof/>
          <w:sz w:val="20"/>
          <w:szCs w:val="20"/>
        </w:rPr>
        <w:t xml:space="preserve"> representatives, the principle on </w:t>
      </w:r>
      <w:r>
        <w:rPr>
          <w:rFonts w:ascii="Verdana" w:hAnsi="Verdana" w:cs="Times New Roman"/>
          <w:b/>
          <w:noProof/>
          <w:sz w:val="20"/>
          <w:szCs w:val="20"/>
        </w:rPr>
        <w:t>pensions</w:t>
      </w:r>
      <w:r>
        <w:rPr>
          <w:rFonts w:ascii="Verdana" w:hAnsi="Verdana" w:cs="Times New Roman"/>
          <w:noProof/>
          <w:sz w:val="20"/>
          <w:szCs w:val="20"/>
        </w:rPr>
        <w:t xml:space="preserve"> is not easily enforceable and it should be left to each Member States to decide on the most appropriate statutory retirement age. From the perspective of trade unions and academia</w:t>
      </w:r>
      <w:r>
        <w:rPr>
          <w:rStyle w:val="FootnoteReference"/>
          <w:rFonts w:ascii="Verdana" w:hAnsi="Verdana" w:cs="Times New Roman"/>
          <w:noProof/>
          <w:sz w:val="20"/>
          <w:szCs w:val="20"/>
        </w:rPr>
        <w:footnoteReference w:id="151"/>
      </w:r>
      <w:r>
        <w:rPr>
          <w:rFonts w:ascii="Verdana" w:hAnsi="Verdana" w:cs="Times New Roman"/>
          <w:noProof/>
          <w:sz w:val="20"/>
          <w:szCs w:val="20"/>
        </w:rPr>
        <w:t>, life expectancy is mostly irre</w:t>
      </w:r>
      <w:r>
        <w:rPr>
          <w:rFonts w:ascii="Verdana" w:hAnsi="Verdana" w:cs="Times New Roman"/>
          <w:noProof/>
          <w:sz w:val="20"/>
          <w:szCs w:val="20"/>
        </w:rPr>
        <w:t xml:space="preserve">levant and should be replaced by other indicators such as </w:t>
      </w:r>
      <w:r>
        <w:rPr>
          <w:rFonts w:ascii="Verdana" w:hAnsi="Verdana" w:cs="Times New Roman"/>
          <w:b/>
          <w:noProof/>
          <w:sz w:val="20"/>
          <w:szCs w:val="20"/>
        </w:rPr>
        <w:t>“healthy life years”</w:t>
      </w:r>
      <w:r>
        <w:rPr>
          <w:rFonts w:ascii="Verdana" w:hAnsi="Verdana" w:cs="Times New Roman"/>
          <w:noProof/>
          <w:sz w:val="20"/>
          <w:szCs w:val="20"/>
        </w:rPr>
        <w:t xml:space="preserve">, “arduous work” or general arrangements allowing more flexibility for older workers. </w:t>
      </w:r>
    </w:p>
    <w:p w:rsidR="001E527A" w:rsidRDefault="00CD69DA">
      <w:pPr>
        <w:jc w:val="both"/>
        <w:rPr>
          <w:rFonts w:ascii="Verdana" w:hAnsi="Verdana" w:cs="Times New Roman"/>
          <w:i/>
          <w:noProof/>
          <w:color w:val="0070C0"/>
          <w:sz w:val="20"/>
          <w:szCs w:val="20"/>
        </w:rPr>
      </w:pPr>
      <w:r>
        <w:rPr>
          <w:rFonts w:ascii="Verdana" w:hAnsi="Verdana" w:cs="Times New Roman"/>
          <w:i/>
          <w:noProof/>
          <w:color w:val="0070C0"/>
          <w:sz w:val="20"/>
          <w:szCs w:val="20"/>
        </w:rPr>
        <w:t>… the future generation and provide the necessary resources for a childhood without poverty</w:t>
      </w:r>
      <w:r>
        <w:rPr>
          <w:rFonts w:ascii="Verdana" w:hAnsi="Verdana" w:cs="Times New Roman"/>
          <w:i/>
          <w:noProof/>
          <w:color w:val="0070C0"/>
          <w:sz w:val="20"/>
          <w:szCs w:val="20"/>
        </w:rPr>
        <w:t>.</w:t>
      </w:r>
    </w:p>
    <w:p w:rsidR="001E527A" w:rsidRDefault="00CD69DA">
      <w:pPr>
        <w:jc w:val="both"/>
        <w:rPr>
          <w:rFonts w:ascii="Verdana" w:hAnsi="Verdana" w:cs="Times New Roman"/>
          <w:noProof/>
          <w:sz w:val="20"/>
          <w:szCs w:val="20"/>
        </w:rPr>
      </w:pPr>
      <w:r>
        <w:rPr>
          <w:rFonts w:ascii="Verdana" w:hAnsi="Verdana" w:cs="Times New Roman"/>
          <w:noProof/>
          <w:sz w:val="20"/>
          <w:szCs w:val="20"/>
        </w:rPr>
        <w:t>The European Parliament and others</w:t>
      </w:r>
      <w:r>
        <w:rPr>
          <w:rStyle w:val="FootnoteReference"/>
          <w:rFonts w:ascii="Verdana" w:hAnsi="Verdana" w:cs="Times New Roman"/>
          <w:noProof/>
          <w:sz w:val="20"/>
          <w:szCs w:val="20"/>
        </w:rPr>
        <w:footnoteReference w:id="152"/>
      </w:r>
      <w:r>
        <w:rPr>
          <w:rFonts w:ascii="Verdana" w:hAnsi="Verdana" w:cs="Times New Roman"/>
          <w:noProof/>
          <w:sz w:val="20"/>
          <w:szCs w:val="20"/>
        </w:rPr>
        <w:t xml:space="preserve"> called for the creation of a </w:t>
      </w:r>
      <w:r>
        <w:rPr>
          <w:rFonts w:ascii="Verdana" w:hAnsi="Verdana" w:cs="Times New Roman"/>
          <w:b/>
          <w:noProof/>
          <w:sz w:val="20"/>
          <w:szCs w:val="20"/>
        </w:rPr>
        <w:t>Child Guarantee</w:t>
      </w:r>
      <w:r>
        <w:rPr>
          <w:rFonts w:ascii="Verdana" w:hAnsi="Verdana" w:cs="Times New Roman"/>
          <w:noProof/>
          <w:sz w:val="20"/>
          <w:szCs w:val="20"/>
        </w:rPr>
        <w:t xml:space="preserve"> in all Member States, an integrated approach </w:t>
      </w:r>
      <w:r>
        <w:rPr>
          <w:rFonts w:ascii="Verdana" w:hAnsi="Verdana" w:cs="Times New Roman"/>
          <w:b/>
          <w:noProof/>
          <w:sz w:val="20"/>
          <w:szCs w:val="20"/>
        </w:rPr>
        <w:t>for tackling child poverty</w:t>
      </w:r>
      <w:r>
        <w:rPr>
          <w:rFonts w:ascii="Verdana" w:hAnsi="Verdana" w:cs="Times New Roman"/>
          <w:noProof/>
          <w:sz w:val="20"/>
          <w:szCs w:val="20"/>
        </w:rPr>
        <w:t xml:space="preserve"> and ensuring that each child in Europe who is at risk of poverty has access to free healthcare, educa</w:t>
      </w:r>
      <w:r>
        <w:rPr>
          <w:rFonts w:ascii="Verdana" w:hAnsi="Verdana" w:cs="Times New Roman"/>
          <w:noProof/>
          <w:sz w:val="20"/>
          <w:szCs w:val="20"/>
        </w:rPr>
        <w:t xml:space="preserve">tion, childcare, decent housing and adequate nutrition. It could combine assessing national and EU interventions tackling multi-dimensional aspects of child poverty and mapping best practices, with improved use of EU structural funds as well as monitoring </w:t>
      </w:r>
      <w:r>
        <w:rPr>
          <w:rFonts w:ascii="Verdana" w:hAnsi="Verdana" w:cs="Times New Roman"/>
          <w:noProof/>
          <w:sz w:val="20"/>
          <w:szCs w:val="20"/>
        </w:rPr>
        <w:t>and evaluation mechanisms.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Several stakeholders pointed to the need to </w:t>
      </w:r>
      <w:r>
        <w:rPr>
          <w:rFonts w:ascii="Verdana" w:hAnsi="Verdana" w:cs="Times New Roman"/>
          <w:b/>
          <w:noProof/>
          <w:sz w:val="20"/>
          <w:szCs w:val="20"/>
        </w:rPr>
        <w:t>address children well-being</w:t>
      </w:r>
      <w:r>
        <w:rPr>
          <w:rFonts w:ascii="Verdana" w:hAnsi="Verdana" w:cs="Times New Roman"/>
          <w:noProof/>
          <w:sz w:val="20"/>
          <w:szCs w:val="20"/>
        </w:rPr>
        <w:t xml:space="preserve"> and protection in a broader perspective, by paying due attention to preventing and combating poverty and social exclusion through a range of policies, in par</w:t>
      </w:r>
      <w:r>
        <w:rPr>
          <w:rFonts w:ascii="Verdana" w:hAnsi="Verdana" w:cs="Times New Roman"/>
          <w:noProof/>
          <w:sz w:val="20"/>
          <w:szCs w:val="20"/>
        </w:rPr>
        <w:t xml:space="preserve">ticular </w:t>
      </w:r>
      <w:r>
        <w:rPr>
          <w:rFonts w:ascii="Verdana" w:hAnsi="Verdana" w:cs="Times New Roman"/>
          <w:b/>
          <w:noProof/>
          <w:sz w:val="20"/>
          <w:szCs w:val="20"/>
        </w:rPr>
        <w:t>quality childcare and early-childhood education</w:t>
      </w:r>
      <w:r>
        <w:rPr>
          <w:rFonts w:ascii="Verdana" w:hAnsi="Verdana" w:cs="Times New Roman"/>
          <w:noProof/>
          <w:sz w:val="20"/>
          <w:szCs w:val="20"/>
        </w:rPr>
        <w:t>, but also protection of children through adequate social safety nets</w:t>
      </w:r>
      <w:r>
        <w:rPr>
          <w:rStyle w:val="FootnoteReference"/>
          <w:rFonts w:ascii="Verdana" w:hAnsi="Verdana" w:cs="Times New Roman"/>
          <w:noProof/>
          <w:sz w:val="20"/>
          <w:szCs w:val="20"/>
        </w:rPr>
        <w:footnoteReference w:id="153"/>
      </w:r>
      <w:r>
        <w:rPr>
          <w:rFonts w:ascii="Verdana" w:hAnsi="Verdana" w:cs="Times New Roman"/>
          <w:noProof/>
          <w:sz w:val="20"/>
          <w:szCs w:val="20"/>
        </w:rPr>
        <w:t xml:space="preserve">. The European research community underlined the importance of </w:t>
      </w:r>
      <w:r>
        <w:rPr>
          <w:rFonts w:ascii="Verdana" w:hAnsi="Verdana" w:cs="Times New Roman"/>
          <w:b/>
          <w:noProof/>
          <w:sz w:val="20"/>
          <w:szCs w:val="20"/>
        </w:rPr>
        <w:t>early interventions</w:t>
      </w:r>
      <w:r>
        <w:rPr>
          <w:rFonts w:ascii="Verdana" w:hAnsi="Verdana" w:cs="Times New Roman"/>
          <w:noProof/>
          <w:sz w:val="20"/>
          <w:szCs w:val="20"/>
        </w:rPr>
        <w:t xml:space="preserve"> in the well-being and competencies of children</w:t>
      </w:r>
      <w:r>
        <w:rPr>
          <w:rStyle w:val="FootnoteReference"/>
          <w:rFonts w:ascii="Verdana" w:hAnsi="Verdana" w:cs="Times New Roman"/>
          <w:noProof/>
          <w:sz w:val="20"/>
          <w:szCs w:val="20"/>
        </w:rPr>
        <w:footnoteReference w:id="154"/>
      </w:r>
      <w:r>
        <w:rPr>
          <w:rFonts w:ascii="Verdana" w:hAnsi="Verdana" w:cs="Times New Roman"/>
          <w:noProof/>
          <w:sz w:val="20"/>
          <w:szCs w:val="20"/>
        </w:rPr>
        <w:t>.</w:t>
      </w:r>
      <w:r>
        <w:rPr>
          <w:rFonts w:ascii="Verdana" w:hAnsi="Verdana" w:cs="Times New Roman"/>
          <w:noProof/>
          <w:sz w:val="20"/>
          <w:szCs w:val="20"/>
        </w:rPr>
        <w:t xml:space="preserve"> During consultation meetings, early education was indicated as crucial for both competitiveness and upwards social mobility</w:t>
      </w:r>
      <w:r>
        <w:rPr>
          <w:rStyle w:val="FootnoteReference"/>
          <w:rFonts w:ascii="Verdana" w:hAnsi="Verdana" w:cs="Times New Roman"/>
          <w:noProof/>
          <w:sz w:val="20"/>
          <w:szCs w:val="20"/>
        </w:rPr>
        <w:footnoteReference w:id="155"/>
      </w:r>
      <w:r>
        <w:rPr>
          <w:rFonts w:ascii="Verdana" w:hAnsi="Verdana" w:cs="Times New Roman"/>
          <w:noProof/>
          <w:sz w:val="20"/>
          <w:szCs w:val="20"/>
        </w:rPr>
        <w:t xml:space="preserve">. Some asked that a reference to </w:t>
      </w:r>
      <w:r>
        <w:rPr>
          <w:rFonts w:ascii="Verdana" w:hAnsi="Verdana" w:cs="Times New Roman"/>
          <w:b/>
          <w:noProof/>
          <w:sz w:val="20"/>
          <w:szCs w:val="20"/>
        </w:rPr>
        <w:t>children’s rights</w:t>
      </w:r>
      <w:r>
        <w:rPr>
          <w:rFonts w:ascii="Verdana" w:hAnsi="Verdana" w:cs="Times New Roman"/>
          <w:noProof/>
          <w:sz w:val="20"/>
          <w:szCs w:val="20"/>
        </w:rPr>
        <w:t xml:space="preserve"> should be included in the Pillar to break the intergenerational transmission of </w:t>
      </w:r>
      <w:r>
        <w:rPr>
          <w:rFonts w:ascii="Verdana" w:hAnsi="Verdana" w:cs="Times New Roman"/>
          <w:noProof/>
          <w:sz w:val="20"/>
          <w:szCs w:val="20"/>
        </w:rPr>
        <w:t>disadvantage</w:t>
      </w:r>
      <w:r>
        <w:rPr>
          <w:rStyle w:val="FootnoteReference"/>
          <w:rFonts w:ascii="Verdana" w:hAnsi="Verdana" w:cs="Times New Roman"/>
          <w:noProof/>
          <w:sz w:val="20"/>
          <w:szCs w:val="20"/>
        </w:rPr>
        <w:footnoteReference w:id="156"/>
      </w:r>
      <w:r>
        <w:rPr>
          <w:rFonts w:ascii="Verdana" w:hAnsi="Verdana" w:cs="Times New Roman"/>
          <w:noProof/>
          <w:sz w:val="20"/>
          <w:szCs w:val="20"/>
        </w:rPr>
        <w:t xml:space="preserve">. </w:t>
      </w:r>
    </w:p>
    <w:p w:rsidR="001E527A" w:rsidRDefault="00CD69DA">
      <w:pPr>
        <w:shd w:val="clear" w:color="auto" w:fill="F2DBDB" w:themeFill="accent2" w:themeFillTint="33"/>
        <w:spacing w:before="240" w:after="0"/>
        <w:jc w:val="both"/>
        <w:rPr>
          <w:rFonts w:ascii="Verdana" w:hAnsi="Verdana" w:cs="Times New Roman"/>
          <w:b/>
          <w:noProof/>
          <w:sz w:val="20"/>
          <w:szCs w:val="20"/>
        </w:rPr>
      </w:pPr>
      <w:r>
        <w:rPr>
          <w:rFonts w:ascii="Verdana" w:hAnsi="Verdana" w:cs="Times New Roman"/>
          <w:b/>
          <w:noProof/>
          <w:sz w:val="20"/>
          <w:szCs w:val="20"/>
        </w:rPr>
        <w:t xml:space="preserve">Highlight – Leaving no child behind: </w:t>
      </w:r>
    </w:p>
    <w:p w:rsidR="001E527A" w:rsidRDefault="00CD69DA">
      <w:pPr>
        <w:shd w:val="clear" w:color="auto" w:fill="F2DBDB" w:themeFill="accent2" w:themeFillTint="33"/>
        <w:spacing w:before="240"/>
        <w:jc w:val="both"/>
        <w:rPr>
          <w:rFonts w:ascii="Verdana" w:hAnsi="Verdana" w:cs="Times New Roman"/>
          <w:b/>
          <w:i/>
          <w:noProof/>
          <w:sz w:val="20"/>
          <w:szCs w:val="20"/>
          <w:u w:val="single"/>
        </w:rPr>
      </w:pPr>
      <w:r>
        <w:rPr>
          <w:rFonts w:ascii="Verdana" w:hAnsi="Verdana" w:cs="Times New Roman"/>
          <w:b/>
          <w:i/>
          <w:noProof/>
          <w:sz w:val="20"/>
          <w:szCs w:val="20"/>
          <w:u w:val="single"/>
        </w:rPr>
        <w:t>Creation of prevention chains in North Rhine-Westphalia, Germany</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 xml:space="preserve">In 2012, the North Rhine-Westphalia state in Germany decided to focus its preventive welfare policy on the safe upbringing of children, </w:t>
      </w:r>
      <w:r>
        <w:rPr>
          <w:rFonts w:ascii="Verdana" w:hAnsi="Verdana" w:cs="Times New Roman"/>
          <w:noProof/>
          <w:sz w:val="20"/>
          <w:szCs w:val="20"/>
        </w:rPr>
        <w:t>to ensure every child has equal opportunities for the future, irrespective of social background.</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state established council-run prevention chains to provide non-stop support to children and make sure different sectors at local level – such as health, ed</w:t>
      </w:r>
      <w:r>
        <w:rPr>
          <w:rFonts w:ascii="Verdana" w:hAnsi="Verdana" w:cs="Times New Roman"/>
          <w:noProof/>
          <w:sz w:val="20"/>
          <w:szCs w:val="20"/>
        </w:rPr>
        <w:t xml:space="preserve">ucation, child and youth welfare - effectively cooperate in providing support and services for children and families. </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The prevention chains encompass many types of services, ranging from health screenings during pregnancy, language interpreters in kinderg</w:t>
      </w:r>
      <w:r>
        <w:rPr>
          <w:rFonts w:ascii="Verdana" w:hAnsi="Verdana" w:cs="Times New Roman"/>
          <w:noProof/>
          <w:sz w:val="20"/>
          <w:szCs w:val="20"/>
        </w:rPr>
        <w:t>arten to overcome integration problems for migrants, or personalised and targeted counselling available to children and parents in kindergarten, primary and secondary schools. An extra focus is on transitional periods such as from crèche to school.</w:t>
      </w:r>
    </w:p>
    <w:p w:rsidR="001E527A" w:rsidRDefault="00CD69DA">
      <w:pPr>
        <w:shd w:val="clear" w:color="auto" w:fill="F2DBDB" w:themeFill="accent2" w:themeFillTint="33"/>
        <w:jc w:val="both"/>
        <w:rPr>
          <w:rFonts w:ascii="Verdana" w:hAnsi="Verdana" w:cs="Times New Roman"/>
          <w:noProof/>
          <w:sz w:val="20"/>
          <w:szCs w:val="20"/>
        </w:rPr>
      </w:pPr>
      <w:r>
        <w:rPr>
          <w:rFonts w:ascii="Verdana" w:hAnsi="Verdana" w:cs="Times New Roman"/>
          <w:noProof/>
          <w:sz w:val="20"/>
          <w:szCs w:val="20"/>
        </w:rPr>
        <w:t>Followi</w:t>
      </w:r>
      <w:r>
        <w:rPr>
          <w:rFonts w:ascii="Verdana" w:hAnsi="Verdana" w:cs="Times New Roman"/>
          <w:noProof/>
          <w:sz w:val="20"/>
          <w:szCs w:val="20"/>
        </w:rPr>
        <w:t>ng a four-year pilot project, the scheme is due to be rolled out to all urban and rural areas across the state in 2017. The project is funded by the ESF, the State Government, the Bertelsmann Foundation and local authorities.</w:t>
      </w:r>
    </w:p>
    <w:p w:rsidR="001E527A" w:rsidRDefault="001E527A">
      <w:pPr>
        <w:shd w:val="clear" w:color="auto" w:fill="F2DBDB" w:themeFill="accent2" w:themeFillTint="33"/>
        <w:jc w:val="both"/>
        <w:rPr>
          <w:rFonts w:ascii="Verdana" w:hAnsi="Verdana" w:cs="Times New Roman"/>
          <w:noProof/>
          <w:sz w:val="20"/>
          <w:szCs w:val="20"/>
        </w:rPr>
        <w:sectPr w:rsidR="001E527A">
          <w:headerReference w:type="even" r:id="rId66"/>
          <w:headerReference w:type="default" r:id="rId67"/>
          <w:footerReference w:type="even" r:id="rId68"/>
          <w:footerReference w:type="default" r:id="rId69"/>
          <w:headerReference w:type="first" r:id="rId70"/>
          <w:footerReference w:type="first" r:id="rId71"/>
          <w:pgSz w:w="11906" w:h="16838"/>
          <w:pgMar w:top="1418" w:right="1134" w:bottom="1418" w:left="1134" w:header="709" w:footer="709" w:gutter="0"/>
          <w:cols w:space="708"/>
          <w:docGrid w:linePitch="360"/>
        </w:sectPr>
      </w:pPr>
    </w:p>
    <w:p w:rsidR="001E527A" w:rsidRDefault="00CD69DA">
      <w:pPr>
        <w:pStyle w:val="Heading2"/>
        <w:rPr>
          <w:noProof/>
        </w:rPr>
      </w:pPr>
      <w:bookmarkStart w:id="28" w:name="_Toc479349472"/>
      <w:r>
        <w:rPr>
          <w:noProof/>
        </w:rPr>
        <w:t>List of acronyms</w:t>
      </w:r>
      <w:bookmarkEnd w:id="28"/>
      <w:r>
        <w:rPr>
          <w:noProof/>
        </w:rPr>
        <w:t xml:space="preserve">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AIM: European Association of Mutual Benefit Societies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BDA: German employer organisation </w:t>
      </w:r>
    </w:p>
    <w:p w:rsidR="001E527A" w:rsidRDefault="00CD69DA">
      <w:pPr>
        <w:jc w:val="both"/>
        <w:rPr>
          <w:rFonts w:ascii="Verdana" w:hAnsi="Verdana" w:cs="Times New Roman"/>
          <w:noProof/>
          <w:sz w:val="20"/>
          <w:szCs w:val="20"/>
        </w:rPr>
      </w:pPr>
      <w:r>
        <w:rPr>
          <w:rFonts w:ascii="Verdana" w:hAnsi="Verdana" w:cs="Times New Roman"/>
          <w:noProof/>
          <w:sz w:val="20"/>
          <w:szCs w:val="20"/>
        </w:rPr>
        <w:t>BEERG: Brussels European Employee Relations Group</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CEEMET: Council of European Employers </w:t>
      </w:r>
      <w:r>
        <w:rPr>
          <w:rFonts w:ascii="Verdana" w:hAnsi="Verdana" w:cs="Times New Roman"/>
          <w:noProof/>
          <w:sz w:val="20"/>
          <w:szCs w:val="20"/>
        </w:rPr>
        <w:t>of the Metal, Engineering and Technology-based industries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CEEP: European Centre of Employers and Enterprises Providing public services and services of general interest </w:t>
      </w:r>
    </w:p>
    <w:p w:rsidR="001E527A" w:rsidRDefault="00CD69DA">
      <w:pPr>
        <w:jc w:val="both"/>
        <w:rPr>
          <w:rFonts w:ascii="Verdana" w:hAnsi="Verdana" w:cs="Times New Roman"/>
          <w:noProof/>
          <w:sz w:val="20"/>
          <w:szCs w:val="20"/>
        </w:rPr>
      </w:pPr>
      <w:r>
        <w:rPr>
          <w:rFonts w:ascii="Verdana" w:hAnsi="Verdana" w:cs="Times New Roman"/>
          <w:noProof/>
          <w:sz w:val="20"/>
          <w:szCs w:val="20"/>
        </w:rPr>
        <w:t>CERMI: Spanish National Committee of People with Disabilities</w:t>
      </w:r>
    </w:p>
    <w:p w:rsidR="001E527A" w:rsidRDefault="00CD69DA">
      <w:pPr>
        <w:jc w:val="both"/>
        <w:rPr>
          <w:rFonts w:ascii="Verdana" w:hAnsi="Verdana" w:cs="Times New Roman"/>
          <w:noProof/>
          <w:sz w:val="20"/>
          <w:szCs w:val="20"/>
        </w:rPr>
      </w:pPr>
      <w:r>
        <w:rPr>
          <w:rFonts w:ascii="Verdana" w:hAnsi="Verdana" w:cs="Times New Roman"/>
          <w:noProof/>
          <w:sz w:val="20"/>
          <w:szCs w:val="20"/>
        </w:rPr>
        <w:t>CESI: European Confederat</w:t>
      </w:r>
      <w:r>
        <w:rPr>
          <w:rFonts w:ascii="Verdana" w:hAnsi="Verdana" w:cs="Times New Roman"/>
          <w:noProof/>
          <w:sz w:val="20"/>
          <w:szCs w:val="20"/>
        </w:rPr>
        <w:t>ion of Independent Trade Unions</w:t>
      </w:r>
    </w:p>
    <w:p w:rsidR="001E527A" w:rsidRDefault="00CD69DA">
      <w:pPr>
        <w:jc w:val="both"/>
        <w:rPr>
          <w:rFonts w:ascii="Verdana" w:hAnsi="Verdana" w:cs="Times New Roman"/>
          <w:noProof/>
          <w:sz w:val="20"/>
          <w:szCs w:val="20"/>
        </w:rPr>
      </w:pPr>
      <w:r>
        <w:rPr>
          <w:rFonts w:ascii="Verdana" w:hAnsi="Verdana" w:cs="Times New Roman"/>
          <w:noProof/>
          <w:sz w:val="20"/>
          <w:szCs w:val="20"/>
        </w:rPr>
        <w:t>CGIL: Italian General Confederation of Labour</w:t>
      </w:r>
    </w:p>
    <w:p w:rsidR="001E527A" w:rsidRDefault="00CD69DA">
      <w:pPr>
        <w:jc w:val="both"/>
        <w:rPr>
          <w:rFonts w:ascii="Verdana" w:hAnsi="Verdana" w:cs="Times New Roman"/>
          <w:noProof/>
          <w:sz w:val="20"/>
          <w:szCs w:val="20"/>
        </w:rPr>
      </w:pPr>
      <w:r>
        <w:rPr>
          <w:rFonts w:ascii="Verdana" w:hAnsi="Verdana" w:cs="Times New Roman"/>
          <w:noProof/>
          <w:sz w:val="20"/>
          <w:szCs w:val="20"/>
        </w:rPr>
        <w:t>COFACE: Confederation of Family Organisations in the European Union</w:t>
      </w:r>
    </w:p>
    <w:p w:rsidR="001E527A" w:rsidRDefault="00CD69DA">
      <w:pPr>
        <w:jc w:val="both"/>
        <w:rPr>
          <w:rFonts w:ascii="Verdana" w:hAnsi="Verdana" w:cs="Times New Roman"/>
          <w:noProof/>
          <w:sz w:val="20"/>
          <w:szCs w:val="20"/>
        </w:rPr>
      </w:pPr>
      <w:r>
        <w:rPr>
          <w:rFonts w:ascii="Verdana" w:hAnsi="Verdana" w:cs="Times New Roman"/>
          <w:noProof/>
          <w:sz w:val="20"/>
          <w:szCs w:val="20"/>
        </w:rPr>
        <w:t>COMECE: Commission of the Bishops' Conferences of the European Community</w:t>
      </w:r>
    </w:p>
    <w:p w:rsidR="001E527A" w:rsidRDefault="00CD69DA">
      <w:pPr>
        <w:jc w:val="both"/>
        <w:rPr>
          <w:rFonts w:ascii="Verdana" w:hAnsi="Verdana" w:cs="Times New Roman"/>
          <w:noProof/>
          <w:sz w:val="20"/>
          <w:szCs w:val="20"/>
        </w:rPr>
      </w:pPr>
      <w:r>
        <w:rPr>
          <w:rFonts w:ascii="Verdana" w:hAnsi="Verdana" w:cs="Times New Roman"/>
          <w:noProof/>
          <w:sz w:val="20"/>
          <w:szCs w:val="20"/>
        </w:rPr>
        <w:t>COPA/GEOPA: Committee of Professional</w:t>
      </w:r>
      <w:r>
        <w:rPr>
          <w:rFonts w:ascii="Verdana" w:hAnsi="Verdana" w:cs="Times New Roman"/>
          <w:noProof/>
          <w:sz w:val="20"/>
          <w:szCs w:val="20"/>
        </w:rPr>
        <w:t xml:space="preserve"> Agricultural Organisations / General Confederation of Agricultural Cooperatives</w:t>
      </w:r>
    </w:p>
    <w:p w:rsidR="001E527A" w:rsidRDefault="00CD69DA">
      <w:pPr>
        <w:jc w:val="both"/>
        <w:rPr>
          <w:rFonts w:ascii="Verdana" w:hAnsi="Verdana" w:cs="Times New Roman"/>
          <w:noProof/>
          <w:sz w:val="20"/>
          <w:szCs w:val="20"/>
          <w:lang w:val="fr-BE"/>
        </w:rPr>
      </w:pPr>
      <w:r>
        <w:rPr>
          <w:rFonts w:ascii="Verdana" w:hAnsi="Verdana" w:cs="Times New Roman"/>
          <w:noProof/>
          <w:sz w:val="20"/>
          <w:szCs w:val="20"/>
          <w:lang w:val="fr-BE"/>
        </w:rPr>
        <w:t>CPA: Compte Personnel d'activité</w:t>
      </w:r>
    </w:p>
    <w:p w:rsidR="001E527A" w:rsidRDefault="00CD69DA">
      <w:pPr>
        <w:jc w:val="both"/>
        <w:rPr>
          <w:rFonts w:ascii="Verdana" w:hAnsi="Verdana" w:cs="Times New Roman"/>
          <w:noProof/>
          <w:sz w:val="20"/>
          <w:szCs w:val="20"/>
          <w:lang w:val="fr-BE"/>
        </w:rPr>
      </w:pPr>
      <w:r>
        <w:rPr>
          <w:rFonts w:ascii="Verdana" w:hAnsi="Verdana" w:cs="Times New Roman"/>
          <w:noProof/>
          <w:sz w:val="20"/>
          <w:szCs w:val="20"/>
          <w:lang w:val="fr-BE"/>
        </w:rPr>
        <w:t>ECEG: European Chemical Employers Group</w:t>
      </w:r>
    </w:p>
    <w:p w:rsidR="001E527A" w:rsidRDefault="00CD69DA">
      <w:pPr>
        <w:jc w:val="both"/>
        <w:rPr>
          <w:rFonts w:ascii="Verdana" w:hAnsi="Verdana" w:cs="Times New Roman"/>
          <w:noProof/>
          <w:sz w:val="20"/>
          <w:szCs w:val="20"/>
        </w:rPr>
      </w:pPr>
      <w:r>
        <w:rPr>
          <w:rFonts w:ascii="Verdana" w:hAnsi="Verdana" w:cs="Times New Roman"/>
          <w:noProof/>
          <w:sz w:val="20"/>
          <w:szCs w:val="20"/>
        </w:rPr>
        <w:t>EESC: European Economic and Social Committee</w:t>
      </w:r>
    </w:p>
    <w:p w:rsidR="001E527A" w:rsidRDefault="00CD69DA">
      <w:pPr>
        <w:jc w:val="both"/>
        <w:rPr>
          <w:rFonts w:ascii="Verdana" w:hAnsi="Verdana" w:cs="Times New Roman"/>
          <w:noProof/>
          <w:sz w:val="20"/>
          <w:szCs w:val="20"/>
        </w:rPr>
      </w:pPr>
      <w:r>
        <w:rPr>
          <w:rFonts w:ascii="Verdana" w:hAnsi="Verdana" w:cs="Times New Roman"/>
          <w:noProof/>
          <w:sz w:val="20"/>
          <w:szCs w:val="20"/>
        </w:rPr>
        <w:t>EFCI: European Federation of Cleaning Industries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EFFAT: European Federation of Food, Agriculture and Tourism Trade </w:t>
      </w:r>
    </w:p>
    <w:p w:rsidR="001E527A" w:rsidRDefault="00CD69DA">
      <w:pPr>
        <w:jc w:val="both"/>
        <w:rPr>
          <w:rFonts w:ascii="Verdana" w:hAnsi="Verdana" w:cs="Times New Roman"/>
          <w:noProof/>
          <w:sz w:val="20"/>
          <w:szCs w:val="20"/>
        </w:rPr>
      </w:pPr>
      <w:r>
        <w:rPr>
          <w:rFonts w:ascii="Verdana" w:hAnsi="Verdana" w:cs="Times New Roman"/>
          <w:noProof/>
          <w:sz w:val="20"/>
          <w:szCs w:val="20"/>
        </w:rPr>
        <w:t>EMU: Economic and Monetary Union</w:t>
      </w:r>
    </w:p>
    <w:p w:rsidR="001E527A" w:rsidRDefault="00CD69DA">
      <w:pPr>
        <w:jc w:val="both"/>
        <w:rPr>
          <w:rFonts w:ascii="Verdana" w:hAnsi="Verdana" w:cs="Times New Roman"/>
          <w:noProof/>
          <w:sz w:val="20"/>
          <w:szCs w:val="20"/>
        </w:rPr>
      </w:pPr>
      <w:r>
        <w:rPr>
          <w:rFonts w:ascii="Verdana" w:hAnsi="Verdana" w:cs="Times New Roman"/>
          <w:noProof/>
          <w:sz w:val="20"/>
          <w:szCs w:val="20"/>
        </w:rPr>
        <w:t>ERDF: European Regional Development Fund</w:t>
      </w:r>
    </w:p>
    <w:p w:rsidR="001E527A" w:rsidRDefault="00CD69DA">
      <w:pPr>
        <w:jc w:val="both"/>
        <w:rPr>
          <w:rFonts w:ascii="Verdana" w:hAnsi="Verdana" w:cs="Times New Roman"/>
          <w:noProof/>
          <w:sz w:val="20"/>
          <w:szCs w:val="20"/>
        </w:rPr>
      </w:pPr>
      <w:r>
        <w:rPr>
          <w:rFonts w:ascii="Verdana" w:hAnsi="Verdana" w:cs="Times New Roman"/>
          <w:noProof/>
          <w:sz w:val="20"/>
          <w:szCs w:val="20"/>
        </w:rPr>
        <w:t>ESF: European Social Fund</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ESIP: European Social Insurance Platform  </w:t>
      </w:r>
    </w:p>
    <w:p w:rsidR="001E527A" w:rsidRDefault="00CD69DA">
      <w:pPr>
        <w:jc w:val="both"/>
        <w:rPr>
          <w:rFonts w:ascii="Verdana" w:hAnsi="Verdana" w:cs="Times New Roman"/>
          <w:noProof/>
          <w:sz w:val="20"/>
          <w:szCs w:val="20"/>
        </w:rPr>
      </w:pPr>
      <w:r>
        <w:rPr>
          <w:rFonts w:ascii="Verdana" w:hAnsi="Verdana" w:cs="Times New Roman"/>
          <w:noProof/>
          <w:sz w:val="20"/>
          <w:szCs w:val="20"/>
        </w:rPr>
        <w:t>Euratex: European Apparel and Textile Confeder</w:t>
      </w:r>
      <w:r>
        <w:rPr>
          <w:rFonts w:ascii="Verdana" w:hAnsi="Verdana" w:cs="Times New Roman"/>
          <w:noProof/>
          <w:sz w:val="20"/>
          <w:szCs w:val="20"/>
        </w:rPr>
        <w:t xml:space="preserve">ation </w:t>
      </w:r>
    </w:p>
    <w:p w:rsidR="001E527A" w:rsidRDefault="00CD69DA">
      <w:pPr>
        <w:jc w:val="both"/>
        <w:rPr>
          <w:rFonts w:ascii="Verdana" w:hAnsi="Verdana" w:cs="Times New Roman"/>
          <w:noProof/>
          <w:sz w:val="20"/>
          <w:szCs w:val="20"/>
        </w:rPr>
      </w:pPr>
      <w:r>
        <w:rPr>
          <w:rFonts w:ascii="Verdana" w:hAnsi="Verdana" w:cs="Times New Roman"/>
          <w:noProof/>
          <w:sz w:val="20"/>
          <w:szCs w:val="20"/>
        </w:rPr>
        <w:t>Eurofound: European Foundation for the Improvement of Living and Working Conditions</w:t>
      </w:r>
    </w:p>
    <w:p w:rsidR="001E527A" w:rsidRDefault="00CD69DA">
      <w:pPr>
        <w:jc w:val="both"/>
        <w:rPr>
          <w:rFonts w:ascii="Verdana" w:hAnsi="Verdana" w:cs="Times New Roman"/>
          <w:noProof/>
          <w:sz w:val="20"/>
          <w:szCs w:val="20"/>
        </w:rPr>
      </w:pPr>
      <w:r>
        <w:rPr>
          <w:rFonts w:ascii="Verdana" w:hAnsi="Verdana" w:cs="Times New Roman"/>
          <w:noProof/>
          <w:sz w:val="20"/>
          <w:szCs w:val="20"/>
        </w:rPr>
        <w:t>ETUC: European Trade Union Confederation</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FEANTSA: European Federation of National Organisations Working with the Homeless </w:t>
      </w:r>
    </w:p>
    <w:p w:rsidR="001E527A" w:rsidRDefault="00CD69DA">
      <w:pPr>
        <w:jc w:val="both"/>
        <w:rPr>
          <w:rFonts w:ascii="Verdana" w:hAnsi="Verdana" w:cs="Times New Roman"/>
          <w:noProof/>
          <w:sz w:val="20"/>
          <w:szCs w:val="20"/>
        </w:rPr>
      </w:pPr>
      <w:r>
        <w:rPr>
          <w:rFonts w:ascii="Verdana" w:hAnsi="Verdana" w:cs="Times New Roman"/>
          <w:noProof/>
          <w:sz w:val="20"/>
          <w:szCs w:val="20"/>
        </w:rPr>
        <w:t>FIEC: European Construction Industry Feder</w:t>
      </w:r>
      <w:r>
        <w:rPr>
          <w:rFonts w:ascii="Verdana" w:hAnsi="Verdana" w:cs="Times New Roman"/>
          <w:noProof/>
          <w:sz w:val="20"/>
          <w:szCs w:val="20"/>
        </w:rPr>
        <w:t xml:space="preserve">ation </w:t>
      </w:r>
    </w:p>
    <w:p w:rsidR="001E527A" w:rsidRDefault="00CD69DA">
      <w:pPr>
        <w:jc w:val="both"/>
        <w:rPr>
          <w:rFonts w:ascii="Verdana" w:hAnsi="Verdana" w:cs="Times New Roman"/>
          <w:noProof/>
          <w:sz w:val="20"/>
          <w:szCs w:val="20"/>
        </w:rPr>
      </w:pPr>
      <w:r>
        <w:rPr>
          <w:rFonts w:ascii="Verdana" w:hAnsi="Verdana" w:cs="Times New Roman"/>
          <w:noProof/>
          <w:sz w:val="20"/>
          <w:szCs w:val="20"/>
        </w:rPr>
        <w:t>HOTREC: the Association of Hotels, Restaurants and Cafés in Europe</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ILO: International Labour Organization </w:t>
      </w:r>
    </w:p>
    <w:p w:rsidR="001E527A" w:rsidRDefault="00CD69DA">
      <w:pPr>
        <w:jc w:val="both"/>
        <w:rPr>
          <w:rFonts w:ascii="Verdana" w:hAnsi="Verdana" w:cs="Times New Roman"/>
          <w:noProof/>
          <w:sz w:val="20"/>
          <w:szCs w:val="20"/>
        </w:rPr>
      </w:pPr>
      <w:r>
        <w:rPr>
          <w:rFonts w:ascii="Verdana" w:hAnsi="Verdana" w:cs="Times New Roman"/>
          <w:noProof/>
          <w:sz w:val="20"/>
          <w:szCs w:val="20"/>
        </w:rPr>
        <w:t>IRU: International Road Transport Union</w:t>
      </w:r>
    </w:p>
    <w:p w:rsidR="001E527A" w:rsidRDefault="00CD69DA">
      <w:pPr>
        <w:jc w:val="both"/>
        <w:rPr>
          <w:rFonts w:ascii="Verdana" w:hAnsi="Verdana" w:cs="Times New Roman"/>
          <w:noProof/>
          <w:sz w:val="20"/>
          <w:szCs w:val="20"/>
        </w:rPr>
      </w:pPr>
      <w:r>
        <w:rPr>
          <w:rFonts w:ascii="Verdana" w:hAnsi="Verdana" w:cs="Times New Roman"/>
          <w:noProof/>
          <w:sz w:val="20"/>
          <w:szCs w:val="20"/>
        </w:rPr>
        <w:t>MEP: Member of the European Parliament</w:t>
      </w:r>
    </w:p>
    <w:p w:rsidR="001E527A" w:rsidRDefault="00CD69DA">
      <w:pPr>
        <w:jc w:val="both"/>
        <w:rPr>
          <w:rFonts w:ascii="Verdana" w:hAnsi="Verdana" w:cs="Times New Roman"/>
          <w:noProof/>
          <w:sz w:val="20"/>
          <w:szCs w:val="20"/>
        </w:rPr>
      </w:pPr>
      <w:r>
        <w:rPr>
          <w:rFonts w:ascii="Verdana" w:hAnsi="Verdana" w:cs="Times New Roman"/>
          <w:noProof/>
          <w:sz w:val="20"/>
          <w:szCs w:val="20"/>
        </w:rPr>
        <w:t>NGO: Non-governmental organisation</w:t>
      </w:r>
    </w:p>
    <w:p w:rsidR="001E527A" w:rsidRDefault="00CD69DA">
      <w:pPr>
        <w:jc w:val="both"/>
        <w:rPr>
          <w:rFonts w:ascii="Verdana" w:hAnsi="Verdana" w:cs="Times New Roman"/>
          <w:noProof/>
          <w:sz w:val="20"/>
          <w:szCs w:val="20"/>
        </w:rPr>
      </w:pPr>
      <w:r>
        <w:rPr>
          <w:rFonts w:ascii="Verdana" w:hAnsi="Verdana" w:cs="Times New Roman"/>
          <w:noProof/>
          <w:sz w:val="20"/>
          <w:szCs w:val="20"/>
        </w:rPr>
        <w:t>OECD: Organisation for Econo</w:t>
      </w:r>
      <w:r>
        <w:rPr>
          <w:rFonts w:ascii="Verdana" w:hAnsi="Verdana" w:cs="Times New Roman"/>
          <w:noProof/>
          <w:sz w:val="20"/>
          <w:szCs w:val="20"/>
        </w:rPr>
        <w:t xml:space="preserve">mic Co-operation and Development </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ONCE: Spanish National Organisation of the Blind </w:t>
      </w:r>
    </w:p>
    <w:p w:rsidR="001E527A" w:rsidRDefault="00CD69DA">
      <w:pPr>
        <w:jc w:val="both"/>
        <w:rPr>
          <w:rFonts w:ascii="Verdana" w:hAnsi="Verdana" w:cs="Times New Roman"/>
          <w:noProof/>
          <w:sz w:val="20"/>
          <w:szCs w:val="20"/>
        </w:rPr>
      </w:pPr>
      <w:r>
        <w:rPr>
          <w:rFonts w:ascii="Verdana" w:hAnsi="Verdana" w:cs="Times New Roman"/>
          <w:noProof/>
          <w:sz w:val="20"/>
          <w:szCs w:val="20"/>
        </w:rPr>
        <w:t>REVES network: European Network of Cities &amp; Regions for the Social Economy</w:t>
      </w:r>
    </w:p>
    <w:p w:rsidR="001E527A" w:rsidRDefault="00CD69DA">
      <w:pPr>
        <w:jc w:val="both"/>
        <w:rPr>
          <w:rFonts w:ascii="Verdana" w:hAnsi="Verdana" w:cs="Times New Roman"/>
          <w:noProof/>
          <w:sz w:val="20"/>
          <w:szCs w:val="20"/>
        </w:rPr>
      </w:pPr>
      <w:r>
        <w:rPr>
          <w:rFonts w:ascii="Verdana" w:hAnsi="Verdana" w:cs="Times New Roman"/>
          <w:noProof/>
          <w:sz w:val="20"/>
          <w:szCs w:val="20"/>
        </w:rPr>
        <w:t>UEAPME: European Association of Craft, Small and Medium-sized Enterprises</w:t>
      </w:r>
    </w:p>
    <w:p w:rsidR="001E527A" w:rsidRDefault="00CD69DA">
      <w:pPr>
        <w:jc w:val="both"/>
        <w:rPr>
          <w:rFonts w:ascii="Verdana" w:hAnsi="Verdana" w:cs="Times New Roman"/>
          <w:noProof/>
          <w:sz w:val="20"/>
          <w:szCs w:val="20"/>
        </w:rPr>
      </w:pPr>
      <w:r>
        <w:rPr>
          <w:rFonts w:ascii="Verdana" w:hAnsi="Verdana" w:cs="Times New Roman"/>
          <w:noProof/>
          <w:sz w:val="20"/>
          <w:szCs w:val="20"/>
        </w:rPr>
        <w:t xml:space="preserve">UNI Europa: the </w:t>
      </w:r>
      <w:r>
        <w:rPr>
          <w:rFonts w:ascii="Verdana" w:hAnsi="Verdana" w:cs="Times New Roman"/>
          <w:noProof/>
          <w:sz w:val="20"/>
          <w:szCs w:val="20"/>
        </w:rPr>
        <w:t>European services workers union</w:t>
      </w:r>
    </w:p>
    <w:p w:rsidR="001E527A" w:rsidRDefault="001E527A">
      <w:pPr>
        <w:jc w:val="both"/>
        <w:rPr>
          <w:rFonts w:ascii="Verdana" w:hAnsi="Verdana" w:cs="Times New Roman"/>
          <w:noProof/>
          <w:sz w:val="20"/>
          <w:szCs w:val="20"/>
        </w:rPr>
      </w:pPr>
    </w:p>
    <w:p w:rsidR="001E527A" w:rsidRDefault="001E527A">
      <w:pPr>
        <w:jc w:val="both"/>
        <w:rPr>
          <w:rFonts w:ascii="Verdana" w:hAnsi="Verdana" w:cs="Times New Roman"/>
          <w:noProof/>
          <w:sz w:val="20"/>
          <w:szCs w:val="20"/>
        </w:rPr>
      </w:pPr>
    </w:p>
    <w:sectPr w:rsidR="001E527A">
      <w:headerReference w:type="even" r:id="rId72"/>
      <w:headerReference w:type="default" r:id="rId73"/>
      <w:footerReference w:type="even" r:id="rId74"/>
      <w:footerReference w:type="default" r:id="rId75"/>
      <w:headerReference w:type="first" r:id="rId76"/>
      <w:footerReference w:type="first" r:id="rId7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7A" w:rsidRDefault="00CD69DA">
      <w:pPr>
        <w:spacing w:after="0" w:line="240" w:lineRule="auto"/>
      </w:pPr>
      <w:r>
        <w:separator/>
      </w:r>
    </w:p>
  </w:endnote>
  <w:endnote w:type="continuationSeparator" w:id="0">
    <w:p w:rsidR="001E527A" w:rsidRDefault="00CD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83347"/>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29</w:t>
        </w:r>
        <w:r>
          <w:rPr>
            <w:rFonts w:ascii="Verdana" w:hAnsi="Verdana"/>
            <w:noProof/>
            <w:sz w:val="20"/>
            <w:szCs w:val="20"/>
          </w:rPr>
          <w:fldChar w:fldCharType="end"/>
        </w:r>
      </w:p>
    </w:sdtContent>
  </w:sdt>
  <w:p w:rsidR="001E527A" w:rsidRDefault="001E527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600933"/>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75306"/>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31</w:t>
        </w:r>
        <w:r>
          <w:rPr>
            <w:rFonts w:ascii="Verdana" w:hAnsi="Verdana"/>
            <w:noProof/>
            <w:sz w:val="20"/>
            <w:szCs w:val="20"/>
          </w:rPr>
          <w:fldChar w:fldCharType="end"/>
        </w:r>
      </w:p>
    </w:sdtContent>
  </w:sdt>
  <w:p w:rsidR="001E527A" w:rsidRDefault="001E527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62033"/>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17854"/>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35</w:t>
        </w:r>
        <w:r>
          <w:rPr>
            <w:rFonts w:ascii="Verdana" w:hAnsi="Verdana"/>
            <w:noProof/>
            <w:sz w:val="20"/>
            <w:szCs w:val="20"/>
          </w:rPr>
          <w:fldChar w:fldCharType="end"/>
        </w:r>
      </w:p>
    </w:sdtContent>
  </w:sdt>
  <w:p w:rsidR="001E527A" w:rsidRDefault="001E527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91407"/>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CD69D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191784"/>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42</w:t>
        </w:r>
        <w:r>
          <w:rPr>
            <w:rFonts w:ascii="Verdana" w:hAnsi="Verdana"/>
            <w:noProof/>
            <w:sz w:val="20"/>
            <w:szCs w:val="20"/>
          </w:rPr>
          <w:fldChar w:fldCharType="end"/>
        </w:r>
      </w:p>
    </w:sdtContent>
  </w:sdt>
  <w:p w:rsidR="001E527A" w:rsidRDefault="001E527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517444"/>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21273"/>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43</w:t>
        </w:r>
        <w:r>
          <w:rPr>
            <w:rFonts w:ascii="Verdana" w:hAnsi="Verdana"/>
            <w:noProof/>
            <w:sz w:val="20"/>
            <w:szCs w:val="20"/>
          </w:rPr>
          <w:fldChar w:fldCharType="end"/>
        </w:r>
      </w:p>
    </w:sdtContent>
  </w:sdt>
  <w:p w:rsidR="001E527A" w:rsidRDefault="001E527A">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575148"/>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662054"/>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51</w:t>
        </w:r>
        <w:r>
          <w:rPr>
            <w:rFonts w:ascii="Verdana" w:hAnsi="Verdana"/>
            <w:noProof/>
            <w:sz w:val="20"/>
            <w:szCs w:val="20"/>
          </w:rPr>
          <w:fldChar w:fldCharType="end"/>
        </w:r>
      </w:p>
    </w:sdtContent>
  </w:sdt>
  <w:p w:rsidR="001E527A" w:rsidRDefault="001E527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01775"/>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44460"/>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53</w:t>
        </w:r>
        <w:r>
          <w:rPr>
            <w:rFonts w:ascii="Verdana" w:hAnsi="Verdana"/>
            <w:noProof/>
            <w:sz w:val="20"/>
            <w:szCs w:val="20"/>
          </w:rPr>
          <w:fldChar w:fldCharType="end"/>
        </w:r>
      </w:p>
    </w:sdtContent>
  </w:sdt>
  <w:p w:rsidR="001E527A" w:rsidRDefault="001E5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380049"/>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30608"/>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noProof/>
            <w:sz w:val="20"/>
            <w:szCs w:val="20"/>
          </w:rPr>
          <w:t>6</w:t>
        </w:r>
        <w:r>
          <w:rPr>
            <w:rFonts w:ascii="Verdana" w:hAnsi="Verdana"/>
            <w:noProof/>
            <w:sz w:val="20"/>
            <w:szCs w:val="20"/>
          </w:rPr>
          <w:fldChar w:fldCharType="end"/>
        </w:r>
      </w:p>
    </w:sdtContent>
  </w:sdt>
  <w:p w:rsidR="001E527A" w:rsidRDefault="001E52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19857"/>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w:t>
        </w:r>
        <w:r>
          <w:rPr>
            <w:rFonts w:ascii="Verdana" w:hAnsi="Verdana"/>
            <w:noProof/>
            <w:sz w:val="20"/>
          </w:rPr>
          <w:fldChar w:fldCharType="end"/>
        </w:r>
      </w:p>
    </w:sdtContent>
  </w:sdt>
  <w:p w:rsidR="001E527A" w:rsidRDefault="001E52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91223"/>
      <w:docPartObj>
        <w:docPartGallery w:val="Page Numbers (Bottom of Page)"/>
        <w:docPartUnique/>
      </w:docPartObj>
    </w:sdtPr>
    <w:sdtEndPr>
      <w:rPr>
        <w:rFonts w:ascii="Verdana" w:hAnsi="Verdana"/>
        <w:noProof/>
        <w:sz w:val="20"/>
        <w:szCs w:val="20"/>
      </w:rPr>
    </w:sdtEndPr>
    <w:sdtContent>
      <w:p w:rsidR="001E527A" w:rsidRDefault="00CD69DA">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w:instrText>
        </w:r>
        <w:r>
          <w:rPr>
            <w:rFonts w:ascii="Verdana" w:hAnsi="Verdana"/>
            <w:sz w:val="20"/>
            <w:szCs w:val="20"/>
          </w:rPr>
          <w:instrText xml:space="preserve">RMAT </w:instrText>
        </w:r>
        <w:r>
          <w:rPr>
            <w:rFonts w:ascii="Verdana" w:hAnsi="Verdana"/>
            <w:sz w:val="20"/>
            <w:szCs w:val="20"/>
          </w:rPr>
          <w:fldChar w:fldCharType="separate"/>
        </w:r>
        <w:r>
          <w:rPr>
            <w:rFonts w:ascii="Verdana" w:hAnsi="Verdana"/>
            <w:noProof/>
            <w:sz w:val="20"/>
            <w:szCs w:val="20"/>
          </w:rPr>
          <w:t>28</w:t>
        </w:r>
        <w:r>
          <w:rPr>
            <w:rFonts w:ascii="Verdana" w:hAnsi="Verdana"/>
            <w:noProof/>
            <w:sz w:val="20"/>
            <w:szCs w:val="20"/>
          </w:rPr>
          <w:fldChar w:fldCharType="end"/>
        </w:r>
      </w:p>
    </w:sdtContent>
  </w:sdt>
  <w:p w:rsidR="001E527A" w:rsidRDefault="001E527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016206"/>
      <w:docPartObj>
        <w:docPartGallery w:val="Page Numbers (Bottom of Page)"/>
        <w:docPartUnique/>
      </w:docPartObj>
    </w:sdtPr>
    <w:sdtEndPr>
      <w:rPr>
        <w:rFonts w:ascii="Verdana" w:hAnsi="Verdana"/>
        <w:noProof/>
        <w:sz w:val="20"/>
      </w:rPr>
    </w:sdtEndPr>
    <w:sdtContent>
      <w:p w:rsidR="001E527A" w:rsidRDefault="00CD69DA">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24</w:t>
        </w:r>
        <w:r>
          <w:rPr>
            <w:rFonts w:ascii="Verdana" w:hAnsi="Verdana"/>
            <w:noProof/>
            <w:sz w:val="20"/>
          </w:rPr>
          <w:fldChar w:fldCharType="end"/>
        </w:r>
      </w:p>
    </w:sdtContent>
  </w:sdt>
  <w:p w:rsidR="001E527A" w:rsidRDefault="001E5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7A" w:rsidRDefault="00CD69DA">
      <w:pPr>
        <w:spacing w:after="0" w:line="240" w:lineRule="auto"/>
      </w:pPr>
      <w:r>
        <w:separator/>
      </w:r>
    </w:p>
  </w:footnote>
  <w:footnote w:type="continuationSeparator" w:id="0">
    <w:p w:rsidR="001E527A" w:rsidRDefault="00CD69DA">
      <w:pPr>
        <w:spacing w:after="0" w:line="240" w:lineRule="auto"/>
      </w:pPr>
      <w:r>
        <w:continuationSeparator/>
      </w:r>
    </w:p>
  </w:footnote>
  <w:footnote w:id="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COM (2016) 127 final.</w:t>
      </w:r>
    </w:p>
  </w:footnote>
  <w:footnote w:id="2">
    <w:p w:rsidR="001E527A" w:rsidRDefault="00CD69DA">
      <w:pPr>
        <w:pStyle w:val="Default"/>
        <w:jc w:val="both"/>
        <w:rPr>
          <w:rFonts w:ascii="Verdana" w:hAnsi="Verdana" w:cs="Times New Roman"/>
          <w:color w:val="auto"/>
          <w:sz w:val="18"/>
          <w:szCs w:val="18"/>
        </w:rPr>
      </w:pPr>
      <w:r>
        <w:rPr>
          <w:rStyle w:val="FootnoteReference"/>
          <w:rFonts w:ascii="Verdana" w:hAnsi="Verdana" w:cs="Times New Roman"/>
          <w:color w:val="auto"/>
          <w:sz w:val="18"/>
          <w:szCs w:val="18"/>
        </w:rPr>
        <w:footnoteRef/>
      </w:r>
      <w:r>
        <w:rPr>
          <w:rStyle w:val="FootnoteReference"/>
          <w:rFonts w:ascii="Verdana" w:hAnsi="Verdana" w:cs="Times New Roman"/>
          <w:color w:val="auto"/>
          <w:sz w:val="18"/>
          <w:szCs w:val="18"/>
        </w:rPr>
        <w:t xml:space="preserve"> </w:t>
      </w:r>
      <w:r>
        <w:rPr>
          <w:rFonts w:ascii="Verdana" w:hAnsi="Verdana"/>
          <w:color w:val="auto"/>
          <w:sz w:val="18"/>
          <w:szCs w:val="18"/>
        </w:rPr>
        <w:t xml:space="preserve">It was accompanied by two Staff Working Documents: the first one describing key economic, labour market and societal trends on which the Pillar builds and which it should contribute to address; the second one recalling the most relevant legal acquis at EU </w:t>
      </w:r>
      <w:r>
        <w:rPr>
          <w:rFonts w:ascii="Verdana" w:hAnsi="Verdana"/>
          <w:color w:val="auto"/>
          <w:sz w:val="18"/>
          <w:szCs w:val="18"/>
        </w:rPr>
        <w:t xml:space="preserve">level. </w:t>
      </w:r>
      <w:r>
        <w:rPr>
          <w:rFonts w:ascii="Verdana" w:hAnsi="Verdana" w:cs="Times New Roman"/>
          <w:color w:val="auto"/>
          <w:sz w:val="18"/>
          <w:szCs w:val="18"/>
          <w:lang w:val="en-US"/>
        </w:rPr>
        <w:t>Commission Staff</w:t>
      </w:r>
      <w:r>
        <w:rPr>
          <w:rFonts w:ascii="Verdana" w:hAnsi="Verdana" w:cs="Times New Roman"/>
          <w:color w:val="auto"/>
          <w:sz w:val="18"/>
          <w:szCs w:val="18"/>
        </w:rPr>
        <w:t xml:space="preserve"> Working Documents "Key economic, employment and social trends behind the European Pillar of Social Rights" (SWD (2016) 51), and "The EU social acquis" (SWD (2016) 50) of 8 March 2016.</w:t>
      </w:r>
    </w:p>
  </w:footnote>
  <w:footnote w:id="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hyperlink r:id="rId1" w:history="1">
        <w:r>
          <w:rPr>
            <w:rStyle w:val="Hyperlink"/>
            <w:rFonts w:ascii="Verdana" w:hAnsi="Verdana"/>
            <w:color w:val="auto"/>
            <w:sz w:val="18"/>
            <w:szCs w:val="18"/>
          </w:rPr>
          <w:t>Conference website</w:t>
        </w:r>
      </w:hyperlink>
      <w:r>
        <w:rPr>
          <w:rFonts w:ascii="Verdana" w:hAnsi="Verdana"/>
          <w:sz w:val="18"/>
          <w:szCs w:val="18"/>
        </w:rPr>
        <w:t>.</w:t>
      </w:r>
    </w:p>
  </w:footnote>
  <w:footnote w:id="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See page 19 for work stream 1, page 25 for work stream 2, and page 12 for work stream 3.</w:t>
      </w:r>
    </w:p>
  </w:footnote>
  <w:footnote w:id="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In </w:t>
      </w:r>
      <w:r>
        <w:rPr>
          <w:rFonts w:ascii="Verdana" w:hAnsi="Verdana" w:cs="Arial"/>
          <w:sz w:val="18"/>
          <w:szCs w:val="18"/>
        </w:rPr>
        <w:t>Austria, Cyprus, Czech Republic, Denmark, Estonia, Finland, Germany, Italy, Latvi</w:t>
      </w:r>
      <w:r>
        <w:rPr>
          <w:rFonts w:ascii="Verdana" w:hAnsi="Verdana" w:cs="Arial"/>
          <w:sz w:val="18"/>
          <w:szCs w:val="18"/>
        </w:rPr>
        <w:t>a, Luxembourg, Malta, Slovenia, Spain and Sweden. In parallel with the Commission’s public consultation, the EESC launched a series of national debates in the 28 Member States.</w:t>
      </w:r>
    </w:p>
  </w:footnote>
  <w:footnote w:id="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In </w:t>
      </w:r>
      <w:r>
        <w:rPr>
          <w:rFonts w:ascii="Verdana" w:hAnsi="Verdana" w:cs="Arial"/>
          <w:sz w:val="18"/>
          <w:szCs w:val="18"/>
        </w:rPr>
        <w:t xml:space="preserve">Spain, Denmark, Germany, Italy, the Netherlands and the UK. </w:t>
      </w:r>
    </w:p>
  </w:footnote>
  <w:footnote w:id="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positio</w:t>
      </w:r>
      <w:r>
        <w:rPr>
          <w:rFonts w:ascii="Verdana" w:hAnsi="Verdana"/>
          <w:sz w:val="18"/>
          <w:szCs w:val="18"/>
        </w:rPr>
        <w:t xml:space="preserve">n papers are available at </w:t>
      </w:r>
      <w:hyperlink r:id="rId2" w:history="1">
        <w:r>
          <w:rPr>
            <w:rStyle w:val="Hyperlink"/>
            <w:rFonts w:ascii="Verdana" w:hAnsi="Verdana"/>
            <w:color w:val="auto"/>
            <w:sz w:val="18"/>
            <w:szCs w:val="18"/>
          </w:rPr>
          <w:t>http://ec.europa.eu/social/main.jsp?catId=1235&amp;langId=en</w:t>
        </w:r>
      </w:hyperlink>
    </w:p>
  </w:footnote>
  <w:footnote w:id="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Times New Roman"/>
          <w:sz w:val="18"/>
          <w:szCs w:val="18"/>
        </w:rPr>
        <w:t xml:space="preserve">The ETUC campaign was especially successful in Austria and Belgium: together, almost 60 % of the </w:t>
      </w:r>
      <w:r>
        <w:rPr>
          <w:rFonts w:ascii="Verdana" w:hAnsi="Verdana" w:cs="Times New Roman"/>
          <w:sz w:val="18"/>
          <w:szCs w:val="18"/>
        </w:rPr>
        <w:t>standard replies originated in these two countries.</w:t>
      </w:r>
      <w:r>
        <w:rPr>
          <w:rFonts w:ascii="Verdana" w:hAnsi="Verdana" w:cs="Arial"/>
          <w:sz w:val="18"/>
          <w:szCs w:val="18"/>
        </w:rPr>
        <w:t xml:space="preserve"> </w:t>
      </w:r>
    </w:p>
  </w:footnote>
  <w:footnote w:id="9">
    <w:p w:rsidR="001E527A" w:rsidRDefault="00CD69DA">
      <w:pPr>
        <w:pStyle w:val="Bullet1"/>
        <w:numPr>
          <w:ilvl w:val="0"/>
          <w:numId w:val="0"/>
        </w:numPr>
        <w:spacing w:before="0" w:after="0"/>
        <w:jc w:val="both"/>
        <w:rPr>
          <w:color w:val="auto"/>
          <w:sz w:val="18"/>
          <w:szCs w:val="18"/>
        </w:rPr>
      </w:pPr>
      <w:r>
        <w:rPr>
          <w:rStyle w:val="FootnoteReference"/>
          <w:color w:val="auto"/>
          <w:sz w:val="18"/>
          <w:szCs w:val="18"/>
        </w:rPr>
        <w:footnoteRef/>
      </w:r>
      <w:r>
        <w:rPr>
          <w:color w:val="auto"/>
          <w:sz w:val="18"/>
          <w:szCs w:val="18"/>
        </w:rPr>
        <w:t xml:space="preserve"> The Spanish Fundación Cepaim and Italian General Confederation of Labour (CGIL).</w:t>
      </w:r>
    </w:p>
  </w:footnote>
  <w:footnote w:id="10">
    <w:p w:rsidR="001E527A" w:rsidRDefault="00CD69DA">
      <w:pPr>
        <w:pStyle w:val="Default"/>
        <w:jc w:val="both"/>
        <w:rPr>
          <w:rFonts w:ascii="Verdana" w:hAnsi="Verdana"/>
          <w:color w:val="auto"/>
          <w:sz w:val="18"/>
          <w:szCs w:val="18"/>
        </w:rPr>
      </w:pPr>
      <w:r>
        <w:rPr>
          <w:rStyle w:val="FootnoteReference"/>
          <w:rFonts w:ascii="Verdana" w:hAnsi="Verdana"/>
          <w:color w:val="auto"/>
          <w:sz w:val="18"/>
          <w:szCs w:val="18"/>
        </w:rPr>
        <w:footnoteRef/>
      </w:r>
      <w:r>
        <w:rPr>
          <w:rFonts w:ascii="Verdana" w:hAnsi="Verdana" w:cs="Times New Roman"/>
          <w:bCs/>
          <w:color w:val="auto"/>
          <w:sz w:val="18"/>
          <w:szCs w:val="18"/>
        </w:rPr>
        <w:t xml:space="preserve"> 2016/2095(INI).</w:t>
      </w:r>
    </w:p>
  </w:footnote>
  <w:footnote w:id="1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Times New Roman"/>
          <w:bCs/>
          <w:sz w:val="18"/>
          <w:szCs w:val="18"/>
        </w:rPr>
        <w:t>CDR 2868/2016.</w:t>
      </w:r>
    </w:p>
  </w:footnote>
  <w:footnote w:id="1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Times New Roman"/>
          <w:bCs/>
          <w:sz w:val="18"/>
          <w:szCs w:val="18"/>
        </w:rPr>
        <w:t>SOC/542-01902-00-01-ac.</w:t>
      </w:r>
    </w:p>
  </w:footnote>
  <w:footnote w:id="1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w:t>
      </w:r>
      <w:r>
        <w:rPr>
          <w:rStyle w:val="Strong"/>
          <w:rFonts w:ascii="Verdana" w:hAnsi="Verdana"/>
          <w:b w:val="0"/>
          <w:sz w:val="18"/>
          <w:szCs w:val="18"/>
          <w:lang w:val="en-US"/>
        </w:rPr>
        <w:t>European Centre of Employers and Enterprises providin</w:t>
      </w:r>
      <w:r>
        <w:rPr>
          <w:rStyle w:val="Strong"/>
          <w:rFonts w:ascii="Verdana" w:hAnsi="Verdana"/>
          <w:b w:val="0"/>
          <w:sz w:val="18"/>
          <w:szCs w:val="18"/>
          <w:lang w:val="en-US"/>
        </w:rPr>
        <w:t>g Public Services and Services of general interest.</w:t>
      </w:r>
    </w:p>
  </w:footnote>
  <w:footnote w:id="1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Style w:val="Strong"/>
          <w:rFonts w:ascii="Verdana" w:hAnsi="Verdana"/>
          <w:b w:val="0"/>
          <w:sz w:val="18"/>
          <w:szCs w:val="18"/>
          <w:lang w:val="en"/>
        </w:rPr>
        <w:t>The European Association of Craft, Small and Medium-sized Enterprises.</w:t>
      </w:r>
    </w:p>
  </w:footnote>
  <w:footnote w:id="1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Presentations and the conference report are available at </w:t>
      </w:r>
    </w:p>
    <w:p w:rsidR="001E527A" w:rsidRDefault="00CD69DA">
      <w:pPr>
        <w:pStyle w:val="FootnoteText"/>
        <w:jc w:val="both"/>
        <w:rPr>
          <w:rFonts w:ascii="Verdana" w:hAnsi="Verdana"/>
          <w:sz w:val="18"/>
          <w:szCs w:val="18"/>
        </w:rPr>
      </w:pPr>
      <w:r>
        <w:rPr>
          <w:rFonts w:ascii="Verdana" w:hAnsi="Verdana"/>
          <w:sz w:val="18"/>
          <w:szCs w:val="18"/>
        </w:rPr>
        <w:t>http://ec.europa.eu/research/social-sciences/index.cfm?pg=newspage&amp;item</w:t>
      </w:r>
      <w:r>
        <w:rPr>
          <w:rFonts w:ascii="Verdana" w:hAnsi="Verdana"/>
          <w:sz w:val="18"/>
          <w:szCs w:val="18"/>
        </w:rPr>
        <w:t>=160901</w:t>
      </w:r>
    </w:p>
  </w:footnote>
  <w:footnote w:id="1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http://bookshop.europa.eu/en/fighting-poverty-and-exclusion-through-social-investment-pbKI0116761/</w:t>
      </w:r>
    </w:p>
  </w:footnote>
  <w:footnote w:id="1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Arial"/>
          <w:sz w:val="18"/>
          <w:szCs w:val="18"/>
        </w:rPr>
        <w:t>This issue was raised by Member States as crucial in the Competitiveness Council.</w:t>
      </w:r>
    </w:p>
  </w:footnote>
  <w:footnote w:id="1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Fair labour mobility was one of the priority areas highlighted by ETUC in its position paper, and was mentioned in several other contributions.</w:t>
      </w:r>
    </w:p>
  </w:footnote>
  <w:footnote w:id="19">
    <w:p w:rsidR="001E527A" w:rsidRDefault="00CD69DA">
      <w:pPr>
        <w:widowControl w:val="0"/>
        <w:autoSpaceDE w:val="0"/>
        <w:autoSpaceDN w:val="0"/>
        <w:adjustRightInd w:val="0"/>
        <w:spacing w:after="0" w:line="240" w:lineRule="auto"/>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Mentioned for instance by Italy, Sweden, the European Anti-Poverty Network, European Social Policy Network. </w:t>
      </w:r>
    </w:p>
  </w:footnote>
  <w:footnote w:id="20">
    <w:p w:rsidR="001E527A" w:rsidRDefault="00CD69DA">
      <w:pPr>
        <w:spacing w:after="0" w:line="240" w:lineRule="auto"/>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This was mentioned, among others, by the Social Platform and the European Youth Forum.</w:t>
      </w:r>
    </w:p>
  </w:footnote>
  <w:footnote w:id="21">
    <w:p w:rsidR="001E527A" w:rsidRDefault="00CD69DA">
      <w:pPr>
        <w:spacing w:after="0" w:line="240" w:lineRule="auto"/>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European Social Policy Network noted for instance that insufficient attention is given to taxation as the essential element of redistribution in EU welfare model</w:t>
      </w:r>
      <w:r>
        <w:rPr>
          <w:rFonts w:ascii="Verdana" w:hAnsi="Verdana"/>
          <w:sz w:val="18"/>
          <w:szCs w:val="18"/>
        </w:rPr>
        <w:t>s. Tax justice was raised by the European Anti-Poverty Network. For UEAPME labour taxation is the main missing dimension and represents a barrier to make work pay and encourage enterprises to hire new workers.</w:t>
      </w:r>
    </w:p>
  </w:footnote>
  <w:footnote w:id="2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This view was shared by CEEP.</w:t>
      </w:r>
    </w:p>
  </w:footnote>
  <w:footnote w:id="2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Times New Roman"/>
          <w:bCs/>
          <w:sz w:val="18"/>
          <w:szCs w:val="18"/>
        </w:rPr>
        <w:t>2016/2095(IN</w:t>
      </w:r>
      <w:r>
        <w:rPr>
          <w:rFonts w:ascii="Verdana" w:hAnsi="Verdana" w:cs="Times New Roman"/>
          <w:bCs/>
          <w:sz w:val="18"/>
          <w:szCs w:val="18"/>
        </w:rPr>
        <w:t>I), para 2.</w:t>
      </w:r>
    </w:p>
  </w:footnote>
  <w:footnote w:id="24">
    <w:p w:rsidR="001E527A" w:rsidRDefault="00CD69DA">
      <w:pPr>
        <w:spacing w:after="0" w:line="240" w:lineRule="auto"/>
        <w:jc w:val="both"/>
        <w:rPr>
          <w:rFonts w:ascii="Verdana" w:hAnsi="Verdana" w:cs="Arial"/>
          <w:sz w:val="18"/>
          <w:szCs w:val="18"/>
        </w:rPr>
      </w:pPr>
      <w:r>
        <w:rPr>
          <w:rStyle w:val="FootnoteReference"/>
          <w:rFonts w:ascii="Verdana" w:hAnsi="Verdana"/>
          <w:sz w:val="18"/>
          <w:szCs w:val="18"/>
        </w:rPr>
        <w:footnoteRef/>
      </w:r>
      <w:r>
        <w:rPr>
          <w:rFonts w:ascii="Verdana" w:hAnsi="Verdana"/>
          <w:sz w:val="18"/>
          <w:szCs w:val="18"/>
        </w:rPr>
        <w:t xml:space="preserve"> See for instance the joint statement of 18 January 2017 by </w:t>
      </w:r>
      <w:r>
        <w:rPr>
          <w:rFonts w:ascii="Verdana" w:hAnsi="Verdana" w:cs="Arial"/>
          <w:sz w:val="18"/>
          <w:szCs w:val="18"/>
        </w:rPr>
        <w:t>BusinessEurope, UEAPME and the following sectors: CEEMET, COPA/GEOPA (agriculture), ECEG (chemical), EFCI (cleaning), Euratex (textile), Eurocommerce, FIEC (construction), HOTREC (hot</w:t>
      </w:r>
      <w:r>
        <w:rPr>
          <w:rFonts w:ascii="Verdana" w:hAnsi="Verdana" w:cs="Arial"/>
          <w:sz w:val="18"/>
          <w:szCs w:val="18"/>
        </w:rPr>
        <w:t>el/catering), Insurance Europe, IRU (road transport) and World Employment Confederation (agency work).</w:t>
      </w:r>
    </w:p>
  </w:footnote>
  <w:footnote w:id="25">
    <w:p w:rsidR="001E527A" w:rsidRDefault="00CD69DA">
      <w:pPr>
        <w:pStyle w:val="FootnoteText"/>
        <w:jc w:val="both"/>
        <w:rPr>
          <w:rFonts w:ascii="Verdana" w:hAnsi="Verdana" w:cs="Times New Roman"/>
          <w:sz w:val="18"/>
          <w:szCs w:val="18"/>
        </w:rPr>
      </w:pPr>
      <w:r>
        <w:rPr>
          <w:rStyle w:val="FootnoteReference"/>
          <w:rFonts w:ascii="Verdana" w:hAnsi="Verdana" w:cs="Times New Roman"/>
          <w:sz w:val="18"/>
          <w:szCs w:val="18"/>
        </w:rPr>
        <w:footnoteRef/>
      </w:r>
      <w:r>
        <w:rPr>
          <w:rFonts w:ascii="Verdana" w:hAnsi="Verdana" w:cs="Times New Roman"/>
          <w:sz w:val="18"/>
          <w:szCs w:val="18"/>
        </w:rPr>
        <w:t xml:space="preserve"> </w:t>
      </w:r>
      <w:r>
        <w:rPr>
          <w:rFonts w:ascii="Verdana" w:hAnsi="Verdana" w:cs="Times New Roman"/>
          <w:noProof/>
          <w:sz w:val="18"/>
          <w:szCs w:val="18"/>
        </w:rPr>
        <w:t>For instance, Article 153 of the Treaty on the Functioning of the European Union does not provide competence of the Union to legislate on “pay”.</w:t>
      </w:r>
    </w:p>
  </w:footnote>
  <w:footnote w:id="2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w:t>
      </w:r>
      <w:r>
        <w:rPr>
          <w:rFonts w:ascii="Verdana" w:hAnsi="Verdana"/>
          <w:sz w:val="18"/>
          <w:szCs w:val="18"/>
        </w:rPr>
        <w:t>example suggested by the Austrian Federal Chamber of Labour (AK) and the European Pact for Social Progress.</w:t>
      </w:r>
    </w:p>
  </w:footnote>
  <w:footnote w:id="27">
    <w:p w:rsidR="001E527A" w:rsidRDefault="00CD69DA">
      <w:pPr>
        <w:pStyle w:val="FootnoteText"/>
        <w:jc w:val="both"/>
        <w:rPr>
          <w:rFonts w:ascii="Verdana" w:hAnsi="Verdana" w:cs="Times New Roman"/>
          <w:noProof/>
          <w:sz w:val="18"/>
          <w:szCs w:val="18"/>
        </w:rPr>
      </w:pPr>
      <w:r>
        <w:rPr>
          <w:rStyle w:val="FootnoteReference"/>
          <w:rFonts w:ascii="Verdana" w:hAnsi="Verdana"/>
          <w:sz w:val="18"/>
          <w:szCs w:val="18"/>
        </w:rPr>
        <w:footnoteRef/>
      </w:r>
      <w:r>
        <w:rPr>
          <w:rFonts w:ascii="Verdana" w:hAnsi="Verdana"/>
          <w:sz w:val="18"/>
          <w:szCs w:val="18"/>
        </w:rPr>
        <w:t xml:space="preserve"> For example suggested by the </w:t>
      </w:r>
      <w:r>
        <w:rPr>
          <w:rFonts w:ascii="Verdana" w:hAnsi="Verdana" w:cs="Times New Roman"/>
          <w:noProof/>
          <w:sz w:val="18"/>
          <w:szCs w:val="18"/>
        </w:rPr>
        <w:t xml:space="preserve">Friedrich-Ebert-Stiftung. </w:t>
      </w:r>
    </w:p>
  </w:footnote>
  <w:footnote w:id="2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Italian General Confederation of Labour (CGIL).</w:t>
      </w:r>
    </w:p>
  </w:footnote>
  <w:footnote w:id="2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example suggested by the </w:t>
      </w:r>
      <w:r>
        <w:rPr>
          <w:rFonts w:ascii="Verdana" w:hAnsi="Verdana" w:cs="Times New Roman"/>
          <w:noProof/>
          <w:sz w:val="18"/>
          <w:szCs w:val="18"/>
        </w:rPr>
        <w:t xml:space="preserve">Austrian </w:t>
      </w:r>
      <w:r>
        <w:rPr>
          <w:rFonts w:ascii="Verdana" w:hAnsi="Verdana" w:cs="Times New Roman"/>
          <w:noProof/>
          <w:sz w:val="18"/>
          <w:szCs w:val="18"/>
        </w:rPr>
        <w:t>Trade Union Federation (ÖGB).</w:t>
      </w:r>
    </w:p>
  </w:footnote>
  <w:footnote w:id="3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Times New Roman"/>
          <w:noProof/>
          <w:sz w:val="18"/>
          <w:szCs w:val="18"/>
        </w:rPr>
        <w:t>Germany rejected a regulation or a directive as the legal form of the Pillar, and suggested that a recommendation under Article 288 TFEU would be suitable.</w:t>
      </w:r>
    </w:p>
  </w:footnote>
  <w:footnote w:id="31">
    <w:p w:rsidR="001E527A" w:rsidRDefault="00CD69DA">
      <w:pPr>
        <w:spacing w:after="0" w:line="240" w:lineRule="auto"/>
        <w:jc w:val="both"/>
        <w:rPr>
          <w:rFonts w:ascii="Verdana" w:hAnsi="Verdana"/>
          <w:sz w:val="18"/>
          <w:szCs w:val="18"/>
          <w:lang w:val="en-US"/>
        </w:rPr>
      </w:pPr>
      <w:r>
        <w:rPr>
          <w:rStyle w:val="FootnoteReference"/>
          <w:rFonts w:ascii="Verdana" w:hAnsi="Verdana"/>
          <w:sz w:val="18"/>
          <w:szCs w:val="18"/>
        </w:rPr>
        <w:footnoteRef/>
      </w:r>
      <w:r>
        <w:rPr>
          <w:rFonts w:ascii="Verdana" w:hAnsi="Verdana"/>
          <w:sz w:val="18"/>
          <w:szCs w:val="18"/>
        </w:rPr>
        <w:t xml:space="preserve"> For ETUC, the Pillar should enforce the rights elaborated in the E</w:t>
      </w:r>
      <w:r>
        <w:rPr>
          <w:rFonts w:ascii="Verdana" w:hAnsi="Verdana"/>
          <w:sz w:val="18"/>
          <w:szCs w:val="18"/>
        </w:rPr>
        <w:t xml:space="preserve">U Charter of Fundamental Rights, the European Social Charter and the European Convention of Human Rights. Both SOLIDAR and the </w:t>
      </w:r>
      <w:hyperlink r:id="rId3" w:history="1">
        <w:r>
          <w:rPr>
            <w:rFonts w:ascii="Verdana" w:hAnsi="Verdana"/>
            <w:sz w:val="18"/>
            <w:szCs w:val="18"/>
          </w:rPr>
          <w:t xml:space="preserve">European Trade Union Institute </w:t>
        </w:r>
      </w:hyperlink>
      <w:r>
        <w:rPr>
          <w:rFonts w:ascii="Verdana" w:hAnsi="Verdana"/>
          <w:sz w:val="18"/>
          <w:szCs w:val="18"/>
        </w:rPr>
        <w:t>criticised the draft Pillar for blurring the distinction bet</w:t>
      </w:r>
      <w:r>
        <w:rPr>
          <w:rFonts w:ascii="Verdana" w:hAnsi="Verdana"/>
          <w:sz w:val="18"/>
          <w:szCs w:val="18"/>
        </w:rPr>
        <w:t>ween social rights and principles. During consultation meetings, trade unions in several countries held the view that principles as opposed to legal rights would be less effective in achieving upward convergence in employment and social outcomes.</w:t>
      </w:r>
    </w:p>
  </w:footnote>
  <w:footnote w:id="3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noProof/>
          <w:sz w:val="18"/>
          <w:szCs w:val="18"/>
        </w:rPr>
        <w:t>Denmark</w:t>
      </w:r>
      <w:r>
        <w:rPr>
          <w:rFonts w:ascii="Verdana" w:hAnsi="Verdana"/>
          <w:noProof/>
          <w:sz w:val="18"/>
          <w:szCs w:val="18"/>
        </w:rPr>
        <w:t xml:space="preserve">, Hungary and the Netherlands made it clear that a prescriptive and uniform Pillar would fail to deliver on its objectives. This </w:t>
      </w:r>
      <w:r>
        <w:rPr>
          <w:rFonts w:ascii="Verdana" w:hAnsi="Verdana"/>
          <w:sz w:val="18"/>
          <w:szCs w:val="18"/>
        </w:rPr>
        <w:t>view was echoed by BusinessEurope and UEAPME.</w:t>
      </w:r>
    </w:p>
  </w:footnote>
  <w:footnote w:id="33">
    <w:p w:rsidR="001E527A" w:rsidRDefault="00CD69DA">
      <w:pPr>
        <w:spacing w:after="0" w:line="240" w:lineRule="auto"/>
        <w:jc w:val="both"/>
        <w:rPr>
          <w:rFonts w:ascii="Verdana" w:hAnsi="Verdana"/>
          <w:i/>
          <w:sz w:val="18"/>
          <w:szCs w:val="18"/>
          <w:highlight w:val="yellow"/>
        </w:rPr>
      </w:pPr>
      <w:r>
        <w:rPr>
          <w:rStyle w:val="FootnoteReference"/>
          <w:rFonts w:ascii="Verdana" w:hAnsi="Verdana"/>
          <w:sz w:val="18"/>
          <w:szCs w:val="18"/>
        </w:rPr>
        <w:footnoteRef/>
      </w:r>
      <w:r>
        <w:rPr>
          <w:rFonts w:ascii="Verdana" w:hAnsi="Verdana"/>
          <w:sz w:val="18"/>
          <w:szCs w:val="18"/>
        </w:rPr>
        <w:t xml:space="preserve"> Raised for instance by the Committee of the Regions.</w:t>
      </w:r>
    </w:p>
  </w:footnote>
  <w:footnote w:id="34">
    <w:p w:rsidR="001E527A" w:rsidRDefault="00CD69DA">
      <w:pPr>
        <w:spacing w:after="0" w:line="240" w:lineRule="auto"/>
        <w:jc w:val="both"/>
        <w:rPr>
          <w:rFonts w:ascii="Verdana" w:hAnsi="Verdana"/>
          <w:i/>
          <w:sz w:val="18"/>
          <w:szCs w:val="18"/>
        </w:rPr>
      </w:pPr>
      <w:r>
        <w:rPr>
          <w:rStyle w:val="FootnoteReference"/>
          <w:rFonts w:ascii="Verdana" w:hAnsi="Verdana"/>
          <w:sz w:val="18"/>
          <w:szCs w:val="18"/>
        </w:rPr>
        <w:footnoteRef/>
      </w:r>
      <w:r>
        <w:rPr>
          <w:rFonts w:ascii="Verdana" w:hAnsi="Verdana"/>
          <w:sz w:val="18"/>
          <w:szCs w:val="18"/>
        </w:rPr>
        <w:t xml:space="preserve"> Mentioned for instance b</w:t>
      </w:r>
      <w:r>
        <w:rPr>
          <w:rFonts w:ascii="Verdana" w:hAnsi="Verdana"/>
          <w:sz w:val="18"/>
          <w:szCs w:val="18"/>
        </w:rPr>
        <w:t xml:space="preserve">y the European Association for the Education of Adults, Social Platform, the Confederation of Family Organisations in the European Union (COFACE), the European Youth Forum, the Commission of the Bishops' Conferences of the European Community (COMECE), the </w:t>
      </w:r>
      <w:r>
        <w:rPr>
          <w:rFonts w:ascii="Verdana" w:hAnsi="Verdana"/>
          <w:sz w:val="18"/>
          <w:szCs w:val="18"/>
        </w:rPr>
        <w:t>REVES network (European Network of Cities &amp; Regions for the Social Economy) and the European Disability Forum.</w:t>
      </w:r>
    </w:p>
  </w:footnote>
  <w:footnote w:id="3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NGOs such as the Social Platform and experts consulted in the work streams. </w:t>
      </w:r>
    </w:p>
  </w:footnote>
  <w:footnote w:id="3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This list is non-exhaustive.</w:t>
      </w:r>
    </w:p>
  </w:footnote>
  <w:footnote w:id="37">
    <w:p w:rsidR="001E527A" w:rsidRDefault="00CD69DA">
      <w:pPr>
        <w:pStyle w:val="FootnoteText"/>
        <w:jc w:val="both"/>
        <w:rPr>
          <w:rFonts w:ascii="Verdana" w:hAnsi="Verdana"/>
          <w:sz w:val="18"/>
          <w:szCs w:val="18"/>
        </w:rPr>
      </w:pPr>
      <w:r>
        <w:rPr>
          <w:rFonts w:ascii="Verdana" w:hAnsi="Verdana"/>
          <w:sz w:val="18"/>
          <w:szCs w:val="18"/>
          <w:vertAlign w:val="superscript"/>
          <w:lang w:val="pt-PT"/>
        </w:rPr>
        <w:footnoteRef/>
      </w:r>
      <w:r>
        <w:rPr>
          <w:rFonts w:ascii="Verdana" w:hAnsi="Verdana"/>
          <w:sz w:val="18"/>
          <w:szCs w:val="18"/>
        </w:rPr>
        <w:t xml:space="preserve"> See Commission Staff Working Docu</w:t>
      </w:r>
      <w:r>
        <w:rPr>
          <w:rFonts w:ascii="Verdana" w:hAnsi="Verdana"/>
          <w:sz w:val="18"/>
          <w:szCs w:val="18"/>
        </w:rPr>
        <w:t>ment "The EU social acquis", SWD (2016) 51 final.</w:t>
      </w:r>
    </w:p>
  </w:footnote>
  <w:footnote w:id="3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This point was made for instance by Greece, France, Italy, the Netherlands, Portugal and Luxembourg.</w:t>
      </w:r>
    </w:p>
  </w:footnote>
  <w:footnote w:id="39">
    <w:p w:rsidR="001E527A" w:rsidRDefault="00CD69DA">
      <w:pPr>
        <w:spacing w:after="0" w:line="240" w:lineRule="auto"/>
        <w:jc w:val="both"/>
        <w:rPr>
          <w:rFonts w:ascii="Verdana" w:eastAsia="Times New Roman" w:hAnsi="Verdana" w:cs="Times New Roman"/>
          <w:sz w:val="18"/>
          <w:szCs w:val="18"/>
          <w:lang w:eastAsia="de-DE"/>
        </w:rPr>
      </w:pPr>
      <w:r>
        <w:rPr>
          <w:rStyle w:val="FootnoteReference"/>
          <w:rFonts w:ascii="Verdana" w:hAnsi="Verdana"/>
          <w:sz w:val="18"/>
          <w:szCs w:val="18"/>
        </w:rPr>
        <w:footnoteRef/>
      </w:r>
      <w:r>
        <w:rPr>
          <w:rFonts w:ascii="Verdana" w:hAnsi="Verdana"/>
          <w:sz w:val="18"/>
          <w:szCs w:val="18"/>
        </w:rPr>
        <w:t xml:space="preserve"> This point was also confirmed by ETUC who called for </w:t>
      </w:r>
      <w:r>
        <w:rPr>
          <w:rFonts w:ascii="Verdana" w:eastAsia="Times New Roman" w:hAnsi="Verdana" w:cs="Times New Roman"/>
          <w:sz w:val="18"/>
          <w:szCs w:val="18"/>
          <w:lang w:eastAsia="de-DE"/>
        </w:rPr>
        <w:t>widening the scope of the definition of a worker</w:t>
      </w:r>
      <w:r>
        <w:rPr>
          <w:rFonts w:ascii="Verdana" w:eastAsia="Times New Roman" w:hAnsi="Verdana" w:cs="Times New Roman"/>
          <w:sz w:val="18"/>
          <w:szCs w:val="18"/>
          <w:lang w:eastAsia="de-DE"/>
        </w:rPr>
        <w:t xml:space="preserve"> so that it is not restricted or interpreted to apply to the more limited category of ‘employee’, and removing unfair exemptions that leave some workers outside the scope of protection.</w:t>
      </w:r>
    </w:p>
  </w:footnote>
  <w:footnote w:id="40">
    <w:p w:rsidR="001E527A" w:rsidRDefault="00CD69DA">
      <w:pPr>
        <w:spacing w:after="0" w:line="240" w:lineRule="auto"/>
        <w:jc w:val="both"/>
        <w:rPr>
          <w:rFonts w:ascii="Verdana" w:hAnsi="Verdana" w:cs="Times New Roman"/>
          <w:sz w:val="18"/>
          <w:szCs w:val="18"/>
        </w:rPr>
      </w:pPr>
      <w:r>
        <w:rPr>
          <w:rStyle w:val="FootnoteReference"/>
          <w:rFonts w:ascii="Verdana" w:hAnsi="Verdana" w:cs="Times New Roman"/>
          <w:sz w:val="18"/>
          <w:szCs w:val="18"/>
        </w:rPr>
        <w:footnoteRef/>
      </w:r>
      <w:r>
        <w:rPr>
          <w:rFonts w:ascii="Verdana" w:hAnsi="Verdana" w:cs="Times New Roman"/>
          <w:sz w:val="18"/>
          <w:szCs w:val="18"/>
        </w:rPr>
        <w:t xml:space="preserve"> Inspiration could be drawn from the ILO recommendation on employment relationships.</w:t>
      </w:r>
    </w:p>
  </w:footnote>
  <w:footnote w:id="4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European Parliament invited the Commission and the Member States to evaluate the how an adequate minimum income could be provided in all Member States. See Resolutio</w:t>
      </w:r>
      <w:r>
        <w:rPr>
          <w:rFonts w:ascii="Verdana" w:hAnsi="Verdana"/>
          <w:sz w:val="18"/>
          <w:szCs w:val="18"/>
        </w:rPr>
        <w:t xml:space="preserve">n </w:t>
      </w:r>
      <w:r>
        <w:rPr>
          <w:rFonts w:ascii="Verdana" w:hAnsi="Verdana" w:cs="Times New Roman"/>
          <w:bCs/>
          <w:sz w:val="18"/>
          <w:szCs w:val="18"/>
        </w:rPr>
        <w:t>2016/2095(INI), p</w:t>
      </w:r>
      <w:r>
        <w:rPr>
          <w:rFonts w:ascii="Verdana" w:hAnsi="Verdana"/>
          <w:sz w:val="18"/>
          <w:szCs w:val="18"/>
        </w:rPr>
        <w:t>ara. 15.</w:t>
      </w:r>
    </w:p>
  </w:footnote>
  <w:footnote w:id="42">
    <w:p w:rsidR="001E527A" w:rsidRDefault="00CD69DA">
      <w:pPr>
        <w:pStyle w:val="FootnoteText"/>
        <w:jc w:val="both"/>
        <w:rPr>
          <w:rFonts w:ascii="Verdana" w:hAnsi="Verdana" w:cs="Times New Roman"/>
          <w:sz w:val="18"/>
          <w:szCs w:val="18"/>
        </w:rPr>
      </w:pPr>
      <w:r>
        <w:rPr>
          <w:rStyle w:val="FootnoteReference"/>
          <w:rFonts w:ascii="Verdana" w:hAnsi="Verdana"/>
          <w:sz w:val="18"/>
          <w:szCs w:val="18"/>
        </w:rPr>
        <w:footnoteRef/>
      </w:r>
      <w:r>
        <w:rPr>
          <w:rFonts w:ascii="Verdana" w:hAnsi="Verdana"/>
          <w:sz w:val="18"/>
          <w:szCs w:val="18"/>
        </w:rPr>
        <w:t xml:space="preserve"> Evangelical Church in Germany</w:t>
      </w:r>
      <w:r>
        <w:rPr>
          <w:rFonts w:ascii="Verdana" w:hAnsi="Verdana" w:cs="Times New Roman"/>
          <w:sz w:val="18"/>
          <w:szCs w:val="18"/>
        </w:rPr>
        <w:t>, Diakonie, Kommissariat der Deutschen Bischöfe, Caritas.</w:t>
      </w:r>
    </w:p>
  </w:footnote>
  <w:footnote w:id="4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Benchmarking was particularly discussed in work stream 3. See page 13 of this report.</w:t>
      </w:r>
    </w:p>
  </w:footnote>
  <w:footnote w:id="44">
    <w:p w:rsidR="001E527A" w:rsidRDefault="00CD69DA">
      <w:pPr>
        <w:spacing w:after="0" w:line="240" w:lineRule="auto"/>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Employer organisations in Belgium, Czech Republic, Germany, Denmark, Finland, Ireland, Malta, Sweden and Slovakia argued that the Pillar should not set binding standards, but rather be a broad guide for development of the economic and social systems in th</w:t>
      </w:r>
      <w:r>
        <w:rPr>
          <w:rFonts w:ascii="Verdana" w:hAnsi="Verdana"/>
          <w:sz w:val="18"/>
          <w:szCs w:val="18"/>
        </w:rPr>
        <w:t>e Member States. This position is shared by a number of Member States, including the UK, Denmark, the Netherlands, Latvia and Sweden who considered that any EU initiative would need to carefully take into account different national starting points, challen</w:t>
      </w:r>
      <w:r>
        <w:rPr>
          <w:rFonts w:ascii="Verdana" w:hAnsi="Verdana"/>
          <w:sz w:val="18"/>
          <w:szCs w:val="18"/>
        </w:rPr>
        <w:t xml:space="preserve">ges and institutional set ups. </w:t>
      </w:r>
    </w:p>
  </w:footnote>
  <w:footnote w:id="4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instance, ETUC, the EESC, Italian Camera dei Deputati, CGIL and NGOs such as the Social Platform and European Anti-Poverty Network.</w:t>
      </w:r>
    </w:p>
  </w:footnote>
  <w:footnote w:id="46">
    <w:p w:rsidR="001E527A" w:rsidRDefault="00CD69DA">
      <w:pPr>
        <w:spacing w:after="0" w:line="240" w:lineRule="auto"/>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instance NGOs like the European Anti-Poverty Network, SOLIDAR, COFACE, Save the </w:t>
      </w:r>
      <w:r>
        <w:rPr>
          <w:rFonts w:ascii="Verdana" w:hAnsi="Verdana"/>
          <w:sz w:val="18"/>
          <w:szCs w:val="18"/>
        </w:rPr>
        <w:t>Children, the Social Platform, SOS Children's Villages International, as well as the European Social Policy Network and the European Pact for Social Progress (Vienna, 29 November 2016).</w:t>
      </w:r>
    </w:p>
  </w:footnote>
  <w:footnote w:id="4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Proposed for instance by Portugal for the euro area.</w:t>
      </w:r>
    </w:p>
  </w:footnote>
  <w:footnote w:id="4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Proposed by F</w:t>
      </w:r>
      <w:r>
        <w:rPr>
          <w:rFonts w:ascii="Verdana" w:hAnsi="Verdana"/>
          <w:sz w:val="18"/>
          <w:szCs w:val="18"/>
        </w:rPr>
        <w:t>rance.</w:t>
      </w:r>
    </w:p>
  </w:footnote>
  <w:footnote w:id="4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Proposed by France.</w:t>
      </w:r>
    </w:p>
  </w:footnote>
  <w:footnote w:id="5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Proposed for instance by Italy.</w:t>
      </w:r>
    </w:p>
  </w:footnote>
  <w:footnote w:id="5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Committee of the Regions called for </w:t>
      </w:r>
      <w:r>
        <w:rPr>
          <w:rFonts w:ascii="Verdana" w:hAnsi="Verdana"/>
          <w:bCs/>
          <w:iCs/>
          <w:sz w:val="18"/>
          <w:szCs w:val="18"/>
        </w:rPr>
        <w:t>the Commission</w:t>
      </w:r>
      <w:r>
        <w:rPr>
          <w:rFonts w:ascii="Verdana" w:hAnsi="Verdana"/>
          <w:sz w:val="18"/>
          <w:szCs w:val="18"/>
        </w:rPr>
        <w:t xml:space="preserve"> to </w:t>
      </w:r>
      <w:r>
        <w:rPr>
          <w:rFonts w:ascii="Verdana" w:hAnsi="Verdana"/>
          <w:bCs/>
          <w:iCs/>
          <w:sz w:val="18"/>
          <w:szCs w:val="18"/>
        </w:rPr>
        <w:t>propose</w:t>
      </w:r>
      <w:r>
        <w:rPr>
          <w:rFonts w:ascii="Verdana" w:hAnsi="Verdana"/>
          <w:sz w:val="18"/>
          <w:szCs w:val="18"/>
        </w:rPr>
        <w:t xml:space="preserve"> a </w:t>
      </w:r>
      <w:r>
        <w:rPr>
          <w:rFonts w:ascii="Verdana" w:hAnsi="Verdana"/>
          <w:bCs/>
          <w:iCs/>
          <w:sz w:val="18"/>
          <w:szCs w:val="18"/>
        </w:rPr>
        <w:t>fiscal capacity for the euro area, open</w:t>
      </w:r>
      <w:r>
        <w:rPr>
          <w:rFonts w:ascii="Verdana" w:hAnsi="Verdana"/>
          <w:sz w:val="18"/>
          <w:szCs w:val="18"/>
        </w:rPr>
        <w:t xml:space="preserve"> to </w:t>
      </w:r>
      <w:r>
        <w:rPr>
          <w:rFonts w:ascii="Verdana" w:hAnsi="Verdana"/>
          <w:bCs/>
          <w:iCs/>
          <w:sz w:val="18"/>
          <w:szCs w:val="18"/>
        </w:rPr>
        <w:t>all Member States, which could also allow for</w:t>
      </w:r>
      <w:r>
        <w:rPr>
          <w:rFonts w:ascii="Verdana" w:hAnsi="Verdana"/>
          <w:sz w:val="18"/>
          <w:szCs w:val="18"/>
        </w:rPr>
        <w:t xml:space="preserve"> a European coordination of</w:t>
      </w:r>
      <w:r>
        <w:rPr>
          <w:rFonts w:ascii="Verdana" w:hAnsi="Verdana"/>
          <w:bCs/>
          <w:iCs/>
          <w:sz w:val="18"/>
          <w:szCs w:val="18"/>
        </w:rPr>
        <w:t xml:space="preserve"> anti-cy</w:t>
      </w:r>
      <w:r>
        <w:rPr>
          <w:rFonts w:ascii="Verdana" w:hAnsi="Verdana"/>
          <w:bCs/>
          <w:iCs/>
          <w:sz w:val="18"/>
          <w:szCs w:val="18"/>
        </w:rPr>
        <w:t>clical policies</w:t>
      </w:r>
      <w:r>
        <w:rPr>
          <w:rFonts w:ascii="Verdana" w:hAnsi="Verdana"/>
          <w:sz w:val="18"/>
          <w:szCs w:val="18"/>
        </w:rPr>
        <w:t>.</w:t>
      </w:r>
    </w:p>
  </w:footnote>
  <w:footnote w:id="5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more details, see page 12 of this report, as part of the feedback gathered through work stream 3.</w:t>
      </w:r>
    </w:p>
  </w:footnote>
  <w:footnote w:id="5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This point was also highlighted by the European research community in the seminar on 'Work, Welfare and Inequalities in Europe – The </w:t>
      </w:r>
      <w:r>
        <w:rPr>
          <w:rFonts w:ascii="Verdana" w:hAnsi="Verdana"/>
          <w:sz w:val="18"/>
          <w:szCs w:val="18"/>
        </w:rPr>
        <w:t>Research Perspective', 10 October 2016.</w:t>
      </w:r>
    </w:p>
  </w:footnote>
  <w:footnote w:id="5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Low-qualified individuals are those without an upper secondary degree; medium-qualified are those with at most an upper secondary or a post-secondary non-tertiary qualification; high-qualified individuals hold a tertiary qualification.</w:t>
      </w:r>
    </w:p>
  </w:footnote>
  <w:footnote w:id="5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Parliame</w:t>
      </w:r>
      <w:r>
        <w:rPr>
          <w:rFonts w:ascii="Verdana" w:hAnsi="Verdana"/>
          <w:sz w:val="18"/>
          <w:szCs w:val="18"/>
        </w:rPr>
        <w:t>nt, ETUC, see also the French government's proposal on "statut du stagiaire".</w:t>
      </w:r>
    </w:p>
  </w:footnote>
  <w:footnote w:id="5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UNI Europa (the European services workers union), Diakonisches Werk Baden, ETUC.</w:t>
      </w:r>
    </w:p>
  </w:footnote>
  <w:footnote w:id="5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UEAPME and CEC European Managers.</w:t>
      </w:r>
    </w:p>
  </w:footnote>
  <w:footnote w:id="5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UNI Europa, German government.</w:t>
      </w:r>
    </w:p>
  </w:footnote>
  <w:footnote w:id="5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Austria, Germany, Finlan</w:t>
      </w:r>
      <w:r>
        <w:rPr>
          <w:rFonts w:ascii="Verdana" w:hAnsi="Verdana"/>
          <w:sz w:val="18"/>
          <w:szCs w:val="18"/>
        </w:rPr>
        <w:t>d, Hungary, and Lithuania.</w:t>
      </w:r>
    </w:p>
  </w:footnote>
  <w:footnote w:id="6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OECD, the World Bank, ILO</w:t>
      </w:r>
    </w:p>
  </w:footnote>
  <w:footnote w:id="6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Association for the Education of Adults, REVES Network.</w:t>
      </w:r>
    </w:p>
  </w:footnote>
  <w:footnote w:id="6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ETUC.</w:t>
      </w:r>
    </w:p>
  </w:footnote>
  <w:footnote w:id="6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BusinessEurope</w:t>
      </w:r>
    </w:p>
  </w:footnote>
  <w:footnote w:id="6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CEEP, BusinessEurope.</w:t>
      </w:r>
    </w:p>
  </w:footnote>
  <w:footnote w:id="6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OECD.</w:t>
      </w:r>
    </w:p>
  </w:footnote>
  <w:footnote w:id="6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French government.</w:t>
      </w:r>
    </w:p>
  </w:footnote>
  <w:footnote w:id="6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ATD (All Together in Dignity) Fourth World NGO.</w:t>
      </w:r>
    </w:p>
  </w:footnote>
  <w:footnote w:id="6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Amon</w:t>
      </w:r>
      <w:r>
        <w:rPr>
          <w:rFonts w:ascii="Verdana" w:hAnsi="Verdana"/>
          <w:sz w:val="18"/>
          <w:szCs w:val="18"/>
        </w:rPr>
        <w:t>g others: European Parliament, European Confederation of Independent Trade Unions (CESI), Swedish association of Regions (SKL), Bulgarian Fund for Women.</w:t>
      </w:r>
    </w:p>
  </w:footnote>
  <w:footnote w:id="69">
    <w:p w:rsidR="001E527A" w:rsidRDefault="00CD69DA">
      <w:pPr>
        <w:pStyle w:val="FootnoteText"/>
        <w:jc w:val="both"/>
        <w:rPr>
          <w:rFonts w:ascii="Verdana" w:hAnsi="Verdana"/>
          <w:sz w:val="18"/>
          <w:szCs w:val="18"/>
          <w:lang w:val="it-IT"/>
        </w:rPr>
      </w:pPr>
      <w:r>
        <w:rPr>
          <w:rStyle w:val="FootnoteReference"/>
          <w:rFonts w:ascii="Verdana" w:hAnsi="Verdana"/>
          <w:sz w:val="18"/>
          <w:szCs w:val="18"/>
        </w:rPr>
        <w:footnoteRef/>
      </w:r>
      <w:r>
        <w:rPr>
          <w:rFonts w:ascii="Verdana" w:hAnsi="Verdana"/>
          <w:sz w:val="18"/>
          <w:szCs w:val="18"/>
          <w:lang w:val="it-IT"/>
        </w:rPr>
        <w:t xml:space="preserve"> Social Platform, UNI Europa.</w:t>
      </w:r>
    </w:p>
  </w:footnote>
  <w:footnote w:id="70">
    <w:p w:rsidR="001E527A" w:rsidRDefault="00CD69DA">
      <w:pPr>
        <w:pStyle w:val="FootnoteText"/>
        <w:jc w:val="both"/>
        <w:rPr>
          <w:rFonts w:ascii="Verdana" w:hAnsi="Verdana"/>
          <w:sz w:val="18"/>
          <w:szCs w:val="18"/>
          <w:lang w:val="it-IT"/>
        </w:rPr>
      </w:pPr>
      <w:r>
        <w:rPr>
          <w:rStyle w:val="FootnoteReference"/>
          <w:rFonts w:ascii="Verdana" w:hAnsi="Verdana"/>
          <w:sz w:val="18"/>
          <w:szCs w:val="18"/>
        </w:rPr>
        <w:footnoteRef/>
      </w:r>
      <w:r>
        <w:rPr>
          <w:rFonts w:ascii="Verdana" w:hAnsi="Verdana"/>
          <w:sz w:val="18"/>
          <w:szCs w:val="18"/>
          <w:lang w:val="it-IT"/>
        </w:rPr>
        <w:t xml:space="preserve"> European Parliament.</w:t>
      </w:r>
    </w:p>
  </w:footnote>
  <w:footnote w:id="7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Anti-Poverty Network, Social Platform</w:t>
      </w:r>
      <w:r>
        <w:rPr>
          <w:rFonts w:ascii="Verdana" w:hAnsi="Verdana"/>
          <w:sz w:val="18"/>
          <w:szCs w:val="18"/>
        </w:rPr>
        <w:t>, Eurochild, FEANTSA (European Federation of National Organisations Working with the Homeless), Eurodiaconia and others.</w:t>
      </w:r>
    </w:p>
  </w:footnote>
  <w:footnote w:id="7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ETUC, Uni Europa.</w:t>
      </w:r>
    </w:p>
  </w:footnote>
  <w:footnote w:id="7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BEERG (Brussels European Employee Relations Group), BusinessEurope.</w:t>
      </w:r>
    </w:p>
  </w:footnote>
  <w:footnote w:id="7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Bulgaria, Finland, France, Ireland, Poland, and Spain.</w:t>
      </w:r>
    </w:p>
  </w:footnote>
  <w:footnote w:id="7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BusinessEurope, UEAPME.</w:t>
      </w:r>
    </w:p>
  </w:footnote>
  <w:footnote w:id="7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BusinessEurope.</w:t>
      </w:r>
    </w:p>
  </w:footnote>
  <w:footnote w:id="7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Political Strategy Centre.</w:t>
      </w:r>
    </w:p>
  </w:footnote>
  <w:footnote w:id="7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ATD (All Together in Dignity) Fourth World, Diakonisches Werk Baden.</w:t>
      </w:r>
    </w:p>
  </w:footnote>
  <w:footnote w:id="7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Association for the Education of Adu</w:t>
      </w:r>
      <w:r>
        <w:rPr>
          <w:rFonts w:ascii="Verdana" w:hAnsi="Verdana"/>
          <w:sz w:val="18"/>
          <w:szCs w:val="18"/>
        </w:rPr>
        <w:t>lts.</w:t>
      </w:r>
    </w:p>
  </w:footnote>
  <w:footnote w:id="8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Anti-Poverty Network and affiliates.</w:t>
      </w:r>
    </w:p>
  </w:footnote>
  <w:footnote w:id="8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Parliament, EESC, Social Platform, International and European Association of Mutual Benefit Societies (AIM), Commission of the Bishops' Conferences of the European Community (COMECE).</w:t>
      </w:r>
    </w:p>
  </w:footnote>
  <w:footnote w:id="8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REVES network.</w:t>
      </w:r>
    </w:p>
  </w:footnote>
  <w:footnote w:id="8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German and French governments, European Confederation of Independent Trade Unions (CESI).</w:t>
      </w:r>
    </w:p>
  </w:footnote>
  <w:footnote w:id="8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A summary of the CPA's expected objectives is at </w:t>
      </w:r>
      <w:hyperlink r:id="rId4" w:history="1">
        <w:r>
          <w:rPr>
            <w:rStyle w:val="Hyperlink"/>
            <w:rFonts w:ascii="Verdana" w:hAnsi="Verdana"/>
            <w:sz w:val="18"/>
            <w:szCs w:val="18"/>
          </w:rPr>
          <w:t>http://www.strategie.gouv.fr/sites/strategie.gouv.fr/files/atoms/files/note-cpa-trois-questions.pdf</w:t>
        </w:r>
      </w:hyperlink>
      <w:r>
        <w:rPr>
          <w:rFonts w:ascii="Verdana" w:hAnsi="Verdana"/>
          <w:sz w:val="18"/>
          <w:szCs w:val="18"/>
        </w:rPr>
        <w:t xml:space="preserve">, and a more detailed description is at </w:t>
      </w:r>
      <w:hyperlink r:id="rId5" w:history="1">
        <w:r>
          <w:rPr>
            <w:rStyle w:val="Hyperlink"/>
            <w:rFonts w:ascii="Verdana" w:hAnsi="Verdana"/>
            <w:sz w:val="18"/>
            <w:szCs w:val="18"/>
          </w:rPr>
          <w:t>http://www.strategie.gouv.fr/sites/strategie.gouv.fr/files/atoms/files/fs_rapport_cpa_final_2.pdf</w:t>
        </w:r>
      </w:hyperlink>
      <w:r>
        <w:rPr>
          <w:rFonts w:ascii="Verdana" w:hAnsi="Verdana"/>
          <w:sz w:val="18"/>
          <w:szCs w:val="18"/>
        </w:rPr>
        <w:t xml:space="preserve">. </w:t>
      </w:r>
    </w:p>
  </w:footnote>
  <w:footnote w:id="8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German Federal Ministry of Labour and Social Affairs.</w:t>
      </w:r>
    </w:p>
  </w:footnote>
  <w:footnote w:id="8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Parliament.</w:t>
      </w:r>
    </w:p>
  </w:footnote>
  <w:footnote w:id="8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Business Europe, UEAPME.</w:t>
      </w:r>
    </w:p>
  </w:footnote>
  <w:footnote w:id="8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Areas include: reducing labour co</w:t>
      </w:r>
      <w:r>
        <w:rPr>
          <w:rFonts w:ascii="Verdana" w:hAnsi="Verdana"/>
          <w:sz w:val="18"/>
          <w:szCs w:val="18"/>
        </w:rPr>
        <w:t>st, attractiveness of employment contracts, access to unemployment benefits, entrepreneurship, active labour market policies, etc.</w:t>
      </w:r>
    </w:p>
  </w:footnote>
  <w:footnote w:id="8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Based on the 6th European Working Conditions Survey by Eurofound.</w:t>
      </w:r>
    </w:p>
  </w:footnote>
  <w:footnote w:id="9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OECD (2016), Automation and Independent work in a Digit</w:t>
      </w:r>
      <w:r>
        <w:rPr>
          <w:rFonts w:ascii="Verdana" w:hAnsi="Verdana"/>
          <w:sz w:val="18"/>
          <w:szCs w:val="18"/>
        </w:rPr>
        <w:t>al Economy, Policy Brief on the Future of Work, OECD.</w:t>
      </w:r>
    </w:p>
  </w:footnote>
  <w:footnote w:id="9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According the physical environment index developed by Eurofound based on European Working Conditions Survey, which measures the physical risks people encounter in their workplace. They include: exposu</w:t>
      </w:r>
      <w:r>
        <w:rPr>
          <w:rFonts w:ascii="Verdana" w:hAnsi="Verdana"/>
          <w:sz w:val="18"/>
          <w:szCs w:val="18"/>
        </w:rPr>
        <w:t>re to noise, dust, chemicals or infectious agents; lifting heavy loads; and repetitive hand movements.</w:t>
      </w:r>
    </w:p>
  </w:footnote>
  <w:footnote w:id="9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Social Policy Network, COMECE, European Federation of Food, Agriculture and Tourism Trade (EFFAT), European Social Insurance Platform (ESIP) a</w:t>
      </w:r>
      <w:r>
        <w:rPr>
          <w:rFonts w:ascii="Verdana" w:hAnsi="Verdana"/>
          <w:sz w:val="18"/>
          <w:szCs w:val="18"/>
        </w:rPr>
        <w:t>nd representatives from Central and Eastern Europe in consultation meetings.</w:t>
      </w:r>
    </w:p>
  </w:footnote>
  <w:footnote w:id="9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Parliament, EESC, Scottish Government, ETUC, CESI, Irish Congress of Trade Unions, and others.</w:t>
      </w:r>
    </w:p>
  </w:footnote>
  <w:footnote w:id="9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European Youth Forum called for a Directive on fair working conditi</w:t>
      </w:r>
      <w:r>
        <w:rPr>
          <w:rFonts w:ascii="Verdana" w:hAnsi="Verdana"/>
          <w:sz w:val="18"/>
          <w:szCs w:val="18"/>
        </w:rPr>
        <w:t>ons, and a Framework on minimum standards for all internships and apprenticeships.</w:t>
      </w:r>
    </w:p>
  </w:footnote>
  <w:footnote w:id="9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ETUC.</w:t>
      </w:r>
    </w:p>
  </w:footnote>
  <w:footnote w:id="9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CESI.</w:t>
      </w:r>
    </w:p>
  </w:footnote>
  <w:footnote w:id="9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proposed Directive should ensure for every worker a core set of enforceable rights, including equal treatment, social protection, protection in case of</w:t>
      </w:r>
      <w:r>
        <w:rPr>
          <w:rFonts w:ascii="Verdana" w:hAnsi="Verdana"/>
          <w:sz w:val="18"/>
          <w:szCs w:val="18"/>
        </w:rPr>
        <w:t xml:space="preserve"> dismissal, health and safety protection, provisions on working time and rest time, freedom of association and representation, collective bargaining, collective action, access to training, and adequate information and consultation rights; the directive sho</w:t>
      </w:r>
      <w:r>
        <w:rPr>
          <w:rFonts w:ascii="Verdana" w:hAnsi="Verdana"/>
          <w:sz w:val="18"/>
          <w:szCs w:val="18"/>
        </w:rPr>
        <w:t>uld apply to employees as well as to all workers in non-standard forms of employment, such as fixed-term work, part-time work, on-demand work, self-employment, crowd-working, internship or traineeship.</w:t>
      </w:r>
    </w:p>
  </w:footnote>
  <w:footnote w:id="9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Member States, EQUINET (European Network of Equality</w:t>
      </w:r>
      <w:r>
        <w:rPr>
          <w:rFonts w:ascii="Verdana" w:hAnsi="Verdana"/>
          <w:sz w:val="18"/>
          <w:szCs w:val="18"/>
        </w:rPr>
        <w:t xml:space="preserve"> Bodies), the EESC and others.</w:t>
      </w:r>
    </w:p>
  </w:footnote>
  <w:footnote w:id="9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Swedish Government, EQUINET.</w:t>
      </w:r>
    </w:p>
  </w:footnote>
  <w:footnote w:id="10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EFFAT (European Federation of Food, Agriculture, Tourism and Trade), ESIP (European Social Insurance Platform).</w:t>
      </w:r>
    </w:p>
  </w:footnote>
  <w:footnote w:id="101">
    <w:p w:rsidR="001E527A" w:rsidRDefault="00CD69DA">
      <w:pPr>
        <w:pStyle w:val="FootnoteText"/>
        <w:jc w:val="both"/>
        <w:rPr>
          <w:rFonts w:ascii="Verdana" w:hAnsi="Verdana"/>
          <w:sz w:val="18"/>
          <w:szCs w:val="18"/>
          <w:lang w:val="fi-FI"/>
        </w:rPr>
      </w:pPr>
      <w:r>
        <w:rPr>
          <w:rStyle w:val="FootnoteReference"/>
          <w:rFonts w:ascii="Verdana" w:hAnsi="Verdana"/>
          <w:sz w:val="18"/>
          <w:szCs w:val="18"/>
        </w:rPr>
        <w:footnoteRef/>
      </w:r>
      <w:r>
        <w:rPr>
          <w:rFonts w:ascii="Verdana" w:hAnsi="Verdana"/>
          <w:sz w:val="18"/>
          <w:szCs w:val="18"/>
          <w:lang w:val="fi-FI"/>
        </w:rPr>
        <w:t xml:space="preserve"> Uni Europa, EuroHealth Net.</w:t>
      </w:r>
    </w:p>
  </w:footnote>
  <w:footnote w:id="102">
    <w:p w:rsidR="001E527A" w:rsidRDefault="00CD69DA">
      <w:pPr>
        <w:pStyle w:val="FootnoteText"/>
        <w:jc w:val="both"/>
        <w:rPr>
          <w:rFonts w:ascii="Verdana" w:hAnsi="Verdana"/>
          <w:sz w:val="18"/>
          <w:szCs w:val="18"/>
          <w:lang w:val="fi-FI"/>
        </w:rPr>
      </w:pPr>
      <w:r>
        <w:rPr>
          <w:rStyle w:val="FootnoteReference"/>
          <w:rFonts w:ascii="Verdana" w:hAnsi="Verdana"/>
          <w:sz w:val="18"/>
          <w:szCs w:val="18"/>
        </w:rPr>
        <w:footnoteRef/>
      </w:r>
      <w:r>
        <w:rPr>
          <w:rFonts w:ascii="Verdana" w:hAnsi="Verdana"/>
          <w:sz w:val="18"/>
          <w:szCs w:val="18"/>
          <w:lang w:val="fi-FI"/>
        </w:rPr>
        <w:t xml:space="preserve"> ESIP.</w:t>
      </w:r>
    </w:p>
  </w:footnote>
  <w:footnote w:id="10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Autism Europe, European Blind Union, European Disability Forum, CGIL.</w:t>
      </w:r>
    </w:p>
  </w:footnote>
  <w:footnote w:id="10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BusinessEurope, UEAPME.</w:t>
      </w:r>
    </w:p>
  </w:footnote>
  <w:footnote w:id="10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Germany and Czech Republic.</w:t>
      </w:r>
    </w:p>
  </w:footnote>
  <w:footnote w:id="10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German employer organisation (BDA)</w:t>
      </w:r>
    </w:p>
  </w:footnote>
  <w:footnote w:id="10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Czech trade associations.</w:t>
      </w:r>
    </w:p>
  </w:footnote>
  <w:footnote w:id="10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example in the Czech Republic and Lithuania.</w:t>
      </w:r>
    </w:p>
  </w:footnote>
  <w:footnote w:id="10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w:t>
      </w:r>
      <w:r>
        <w:rPr>
          <w:rFonts w:ascii="Verdana" w:hAnsi="Verdana"/>
          <w:sz w:val="18"/>
          <w:szCs w:val="18"/>
        </w:rPr>
        <w:t>e the Social Platform and Solidar.</w:t>
      </w:r>
    </w:p>
  </w:footnote>
  <w:footnote w:id="11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French authorities supported the threshold of 60% of the median wage. The Portuguese government supported a discussion around a European reference level for minimum wages.</w:t>
      </w:r>
    </w:p>
  </w:footnote>
  <w:footnote w:id="111">
    <w:p w:rsidR="001E527A" w:rsidRDefault="00CD69DA">
      <w:pPr>
        <w:pStyle w:val="FootnoteText"/>
        <w:jc w:val="both"/>
        <w:rPr>
          <w:rFonts w:ascii="Verdana" w:hAnsi="Verdana"/>
          <w:sz w:val="18"/>
          <w:szCs w:val="18"/>
          <w:lang w:val="de-DE"/>
        </w:rPr>
      </w:pPr>
      <w:r>
        <w:rPr>
          <w:rStyle w:val="FootnoteReference"/>
          <w:rFonts w:ascii="Verdana" w:hAnsi="Verdana"/>
          <w:sz w:val="18"/>
          <w:szCs w:val="18"/>
        </w:rPr>
        <w:footnoteRef/>
      </w:r>
      <w:r>
        <w:rPr>
          <w:rFonts w:ascii="Verdana" w:hAnsi="Verdana"/>
          <w:sz w:val="18"/>
          <w:szCs w:val="18"/>
          <w:lang w:val="de-DE"/>
        </w:rPr>
        <w:t xml:space="preserve"> In Denmark, Finland, Sweden and Germany.</w:t>
      </w:r>
    </w:p>
    <w:p w:rsidR="001E527A" w:rsidRDefault="00CD69DA">
      <w:pPr>
        <w:pStyle w:val="FootnoteText"/>
        <w:jc w:val="both"/>
        <w:rPr>
          <w:rFonts w:ascii="Verdana" w:hAnsi="Verdana"/>
          <w:sz w:val="18"/>
          <w:szCs w:val="18"/>
        </w:rPr>
      </w:pPr>
      <w:r>
        <w:rPr>
          <w:rFonts w:ascii="Verdana" w:hAnsi="Verdana"/>
          <w:sz w:val="18"/>
          <w:szCs w:val="18"/>
          <w:lang w:val="de-DE"/>
        </w:rPr>
        <w:t xml:space="preserve">  </w:t>
      </w:r>
      <w:r>
        <w:rPr>
          <w:rFonts w:ascii="Verdana" w:hAnsi="Verdana"/>
          <w:sz w:val="18"/>
          <w:szCs w:val="18"/>
        </w:rPr>
        <w:t>Living wages are calculated according to the cost of living based on a basket of goods and household services.</w:t>
      </w:r>
    </w:p>
  </w:footnote>
  <w:footnote w:id="11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Living wages are calculated according to the cost of living based on a basket of goods and household services.</w:t>
      </w:r>
    </w:p>
  </w:footnote>
  <w:footnote w:id="11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instance ETUC.</w:t>
      </w:r>
    </w:p>
  </w:footnote>
  <w:footnote w:id="11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Belgium</w:t>
      </w:r>
      <w:r>
        <w:rPr>
          <w:rFonts w:ascii="Verdana" w:hAnsi="Verdana"/>
          <w:sz w:val="18"/>
          <w:szCs w:val="18"/>
        </w:rPr>
        <w:t>, Germany, France.</w:t>
      </w:r>
    </w:p>
  </w:footnote>
  <w:footnote w:id="11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instance UNI Europa.</w:t>
      </w:r>
    </w:p>
  </w:footnote>
  <w:footnote w:id="11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Social Policy Network.</w:t>
      </w:r>
    </w:p>
  </w:footnote>
  <w:footnote w:id="11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ETUC, the European Trade Union Institute and UNI Europa.</w:t>
      </w:r>
    </w:p>
  </w:footnote>
  <w:footnote w:id="11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France, Finland, Germany, Italy and Portugal.</w:t>
      </w:r>
    </w:p>
  </w:footnote>
  <w:footnote w:id="11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UEAPME, CEEP.</w:t>
      </w:r>
    </w:p>
  </w:footnote>
  <w:footnote w:id="12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ETUC, REVES Network and Smart Europe.</w:t>
      </w:r>
    </w:p>
  </w:footnote>
  <w:footnote w:id="12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Co</w:t>
      </w:r>
      <w:r>
        <w:rPr>
          <w:rFonts w:ascii="Verdana" w:hAnsi="Verdana"/>
          <w:sz w:val="18"/>
          <w:szCs w:val="18"/>
        </w:rPr>
        <w:t>mmission – Economic Policy Committee:  Joint Report on Health Care and Long-Term Care Systems &amp; Fiscal Sustainability (October 2016).</w:t>
      </w:r>
    </w:p>
  </w:footnote>
  <w:footnote w:id="12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instance the Committee of the Regions.</w:t>
      </w:r>
    </w:p>
  </w:footnote>
  <w:footnote w:id="12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REVES Network, European Association of Mutual Benefit Societies.</w:t>
      </w:r>
    </w:p>
  </w:footnote>
  <w:footnote w:id="12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CEEP.</w:t>
      </w:r>
    </w:p>
  </w:footnote>
  <w:footnote w:id="12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Social Platform.</w:t>
      </w:r>
    </w:p>
  </w:footnote>
  <w:footnote w:id="12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AGE Europe Platform, European Disability Forum.</w:t>
      </w:r>
    </w:p>
  </w:footnote>
  <w:footnote w:id="12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Youth Forum.</w:t>
      </w:r>
    </w:p>
  </w:footnote>
  <w:footnote w:id="12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Anti-Poverty Network, European Social Policy Network.</w:t>
      </w:r>
    </w:p>
  </w:footnote>
  <w:footnote w:id="12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Swedish Association for Vulnerable Citizens, the Irish Human Rights and Equality Commission.</w:t>
      </w:r>
    </w:p>
  </w:footnote>
  <w:footnote w:id="13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Disability Forum, Autism Europe, European Blind Union.</w:t>
      </w:r>
    </w:p>
  </w:footnote>
  <w:footnote w:id="13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European Trade Union Institute called for a right to effective integration of all social benefits and services ensuring a decent standard of living for the persons concerned.</w:t>
      </w:r>
    </w:p>
  </w:footnote>
  <w:footnote w:id="132">
    <w:p w:rsidR="001E527A" w:rsidRDefault="00CD69DA">
      <w:pPr>
        <w:pStyle w:val="FootnoteText"/>
        <w:jc w:val="both"/>
        <w:rPr>
          <w:rFonts w:ascii="Verdana" w:hAnsi="Verdana"/>
          <w:sz w:val="18"/>
          <w:szCs w:val="18"/>
          <w:lang w:val="de-DE"/>
        </w:rPr>
      </w:pPr>
      <w:r>
        <w:rPr>
          <w:rStyle w:val="FootnoteReference"/>
          <w:rFonts w:ascii="Verdana" w:hAnsi="Verdana"/>
          <w:sz w:val="18"/>
          <w:szCs w:val="18"/>
        </w:rPr>
        <w:footnoteRef/>
      </w:r>
      <w:r>
        <w:rPr>
          <w:rFonts w:ascii="Verdana" w:hAnsi="Verdana"/>
          <w:sz w:val="18"/>
          <w:szCs w:val="18"/>
          <w:lang w:val="de-DE"/>
        </w:rPr>
        <w:t xml:space="preserve"> CEC Euro</w:t>
      </w:r>
      <w:r>
        <w:rPr>
          <w:rFonts w:ascii="Verdana" w:hAnsi="Verdana"/>
          <w:sz w:val="18"/>
          <w:szCs w:val="18"/>
          <w:lang w:val="de-DE"/>
        </w:rPr>
        <w:t>pean Managers.</w:t>
      </w:r>
    </w:p>
  </w:footnote>
  <w:footnote w:id="133">
    <w:p w:rsidR="001E527A" w:rsidRDefault="00CD69DA">
      <w:pPr>
        <w:pStyle w:val="FootnoteText"/>
        <w:jc w:val="both"/>
        <w:rPr>
          <w:rFonts w:ascii="Verdana" w:hAnsi="Verdana"/>
          <w:sz w:val="18"/>
          <w:szCs w:val="18"/>
          <w:lang w:val="de-DE"/>
        </w:rPr>
      </w:pPr>
      <w:r>
        <w:rPr>
          <w:rStyle w:val="FootnoteReference"/>
          <w:rFonts w:ascii="Verdana" w:hAnsi="Verdana"/>
          <w:sz w:val="18"/>
          <w:szCs w:val="18"/>
        </w:rPr>
        <w:footnoteRef/>
      </w:r>
      <w:r>
        <w:rPr>
          <w:rFonts w:ascii="Verdana" w:hAnsi="Verdana"/>
          <w:sz w:val="18"/>
          <w:szCs w:val="18"/>
          <w:lang w:val="de-DE"/>
        </w:rPr>
        <w:t xml:space="preserve"> Diakonisches Werk Baden, Deutsche Rentenversicherung.</w:t>
      </w:r>
    </w:p>
  </w:footnote>
  <w:footnote w:id="13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Business Europe and affiliates.</w:t>
      </w:r>
    </w:p>
  </w:footnote>
  <w:footnote w:id="13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Anti-Poverty Network.</w:t>
      </w:r>
    </w:p>
  </w:footnote>
  <w:footnote w:id="13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European Trade Union Institute.</w:t>
      </w:r>
    </w:p>
  </w:footnote>
  <w:footnote w:id="13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EuroHealthNet.</w:t>
      </w:r>
    </w:p>
  </w:footnote>
  <w:footnote w:id="13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Dutch Government.</w:t>
      </w:r>
    </w:p>
  </w:footnote>
  <w:footnote w:id="13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Such as Eurocarers, European Federation f</w:t>
      </w:r>
      <w:r>
        <w:rPr>
          <w:rFonts w:ascii="Verdana" w:hAnsi="Verdana"/>
          <w:sz w:val="18"/>
          <w:szCs w:val="18"/>
        </w:rPr>
        <w:t>or Services to Individuals and Autism Europe.</w:t>
      </w:r>
    </w:p>
  </w:footnote>
  <w:footnote w:id="140">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Network on Independent Living, AGE Platform Europe, Eurodiaconia.</w:t>
      </w:r>
    </w:p>
  </w:footnote>
  <w:footnote w:id="141">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ETUC.</w:t>
      </w:r>
    </w:p>
  </w:footnote>
  <w:footnote w:id="14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Parliament.</w:t>
      </w:r>
    </w:p>
  </w:footnote>
  <w:footnote w:id="14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instance by adapting deficit rules for investment in social infrastructure as mentioned by Housi</w:t>
      </w:r>
      <w:r>
        <w:rPr>
          <w:rFonts w:ascii="Verdana" w:hAnsi="Verdana"/>
          <w:sz w:val="18"/>
          <w:szCs w:val="18"/>
        </w:rPr>
        <w:t>ng Europe.</w:t>
      </w:r>
    </w:p>
  </w:footnote>
  <w:footnote w:id="14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FEANTSA pointed to Housing First as innovation in homeless service provision.</w:t>
      </w:r>
    </w:p>
  </w:footnote>
  <w:footnote w:id="14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Parliament.</w:t>
      </w:r>
    </w:p>
  </w:footnote>
  <w:footnote w:id="14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Housing Europe, FEANTSA.</w:t>
      </w:r>
    </w:p>
  </w:footnote>
  <w:footnote w:id="147">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German Federal Ministry of Labour and Social Affairs.</w:t>
      </w:r>
    </w:p>
  </w:footnote>
  <w:footnote w:id="148">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EESC, Portugal, trade unions (ETUC, UNI-Europa, CGIL), and NGOs (such as for instance European Anti-Poverty Network, European Disability Forum, the Friedrich Ebert Stiftung, Solidar, European Youth Forum, AGE Europe).</w:t>
      </w:r>
      <w:r>
        <w:rPr>
          <w:rStyle w:val="FootnoteReference"/>
          <w:rFonts w:ascii="Verdana" w:hAnsi="Verdana"/>
          <w:sz w:val="18"/>
          <w:szCs w:val="18"/>
        </w:rPr>
        <w:t xml:space="preserve"> </w:t>
      </w:r>
      <w:r>
        <w:rPr>
          <w:rStyle w:val="FootnoteReference"/>
          <w:rFonts w:ascii="Verdana" w:hAnsi="Verdana"/>
          <w:sz w:val="18"/>
          <w:szCs w:val="18"/>
        </w:rPr>
        <w:footnoteRef/>
      </w:r>
      <w:r>
        <w:rPr>
          <w:rFonts w:ascii="Verdana" w:hAnsi="Verdana"/>
          <w:sz w:val="18"/>
          <w:szCs w:val="18"/>
        </w:rPr>
        <w:t xml:space="preserve"> German Federal Ministry of Labour a</w:t>
      </w:r>
      <w:r>
        <w:rPr>
          <w:rFonts w:ascii="Verdana" w:hAnsi="Verdana"/>
          <w:sz w:val="18"/>
          <w:szCs w:val="18"/>
        </w:rPr>
        <w:t>nd Social Affairs.</w:t>
      </w:r>
    </w:p>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EESC, Portugal, trade unions (ETUC, UNI-Europa, CGIL), and NGOs (such as for instance European Anti-Poverty Network, European Disability Forum, the Friedrich Ebert Stiftung, Solidar, European Youth Forum, AGE Europe).</w:t>
      </w:r>
    </w:p>
  </w:footnote>
  <w:footnote w:id="149">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JUST Fair, CERM</w:t>
      </w:r>
      <w:r>
        <w:rPr>
          <w:rFonts w:ascii="Verdana" w:hAnsi="Verdana"/>
          <w:sz w:val="18"/>
          <w:szCs w:val="18"/>
        </w:rPr>
        <w:t>I (Spanish National Committee of People with Disabilities), ONCE (Spanish National Organisation of the Blind).</w:t>
      </w:r>
    </w:p>
  </w:footnote>
  <w:footnote w:id="150">
    <w:p w:rsidR="001E527A" w:rsidRDefault="00CD69DA">
      <w:pPr>
        <w:pStyle w:val="FootnoteText"/>
        <w:jc w:val="both"/>
        <w:rPr>
          <w:rFonts w:ascii="Verdana" w:hAnsi="Verdana"/>
          <w:sz w:val="18"/>
          <w:szCs w:val="18"/>
          <w:lang w:val="es-ES"/>
        </w:rPr>
      </w:pPr>
      <w:r>
        <w:rPr>
          <w:rStyle w:val="FootnoteReference"/>
          <w:rFonts w:ascii="Verdana" w:hAnsi="Verdana"/>
          <w:sz w:val="18"/>
          <w:szCs w:val="18"/>
        </w:rPr>
        <w:footnoteRef/>
      </w:r>
      <w:r>
        <w:rPr>
          <w:rFonts w:ascii="Verdana" w:hAnsi="Verdana"/>
          <w:sz w:val="18"/>
          <w:szCs w:val="18"/>
          <w:lang w:val="es-ES"/>
        </w:rPr>
        <w:t xml:space="preserve"> Solidar.</w:t>
      </w:r>
    </w:p>
  </w:footnote>
  <w:footnote w:id="151">
    <w:p w:rsidR="001E527A" w:rsidRDefault="00CD69DA">
      <w:pPr>
        <w:pStyle w:val="FootnoteText"/>
        <w:jc w:val="both"/>
        <w:rPr>
          <w:rFonts w:ascii="Verdana" w:hAnsi="Verdana"/>
          <w:sz w:val="18"/>
          <w:szCs w:val="18"/>
          <w:lang w:val="es-ES"/>
        </w:rPr>
      </w:pPr>
      <w:r>
        <w:rPr>
          <w:rStyle w:val="FootnoteReference"/>
          <w:rFonts w:ascii="Verdana" w:hAnsi="Verdana"/>
          <w:sz w:val="18"/>
          <w:szCs w:val="18"/>
        </w:rPr>
        <w:footnoteRef/>
      </w:r>
      <w:r>
        <w:rPr>
          <w:rFonts w:ascii="Verdana" w:hAnsi="Verdana"/>
          <w:sz w:val="18"/>
          <w:szCs w:val="18"/>
          <w:lang w:val="es-ES"/>
        </w:rPr>
        <w:t xml:space="preserve"> European Social Policy Network.</w:t>
      </w:r>
    </w:p>
  </w:footnote>
  <w:footnote w:id="152">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For example Eurochild and Save the Children.</w:t>
      </w:r>
    </w:p>
  </w:footnote>
  <w:footnote w:id="153">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Social Platform, Save the Children, Eurochild.</w:t>
      </w:r>
    </w:p>
  </w:footnote>
  <w:footnote w:id="154">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Se</w:t>
      </w:r>
      <w:r>
        <w:rPr>
          <w:rFonts w:ascii="Verdana" w:hAnsi="Verdana"/>
          <w:sz w:val="18"/>
          <w:szCs w:val="18"/>
        </w:rPr>
        <w:t>minar on 'Work, Welfare and Inequalities in Europe – The Research Perspective', 10 October 2016.</w:t>
      </w:r>
    </w:p>
  </w:footnote>
  <w:footnote w:id="155">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World Bank.</w:t>
      </w:r>
    </w:p>
  </w:footnote>
  <w:footnote w:id="156">
    <w:p w:rsidR="001E527A" w:rsidRDefault="00CD69DA">
      <w:pPr>
        <w:pStyle w:val="FootnoteText"/>
        <w:jc w:val="both"/>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European Social Policy Network and Save the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7A" w:rsidRDefault="001E5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962"/>
    <w:multiLevelType w:val="hybridMultilevel"/>
    <w:tmpl w:val="DA64D6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
    <w:nsid w:val="01EF5006"/>
    <w:multiLevelType w:val="multilevel"/>
    <w:tmpl w:val="8F320F56"/>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03E940F6"/>
    <w:multiLevelType w:val="hybridMultilevel"/>
    <w:tmpl w:val="4A5C0410"/>
    <w:lvl w:ilvl="0" w:tplc="1A7A16C6">
      <w:start w:val="1"/>
      <w:numFmt w:val="decimal"/>
      <w:lvlText w:val="%1."/>
      <w:lvlJc w:val="left"/>
      <w:pPr>
        <w:ind w:left="720" w:hanging="360"/>
      </w:pPr>
      <w:rPr>
        <w:b/>
        <w:i w:val="0"/>
      </w:rPr>
    </w:lvl>
    <w:lvl w:ilvl="1" w:tplc="08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57CB1"/>
    <w:multiLevelType w:val="hybridMultilevel"/>
    <w:tmpl w:val="B83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808CB"/>
    <w:multiLevelType w:val="multilevel"/>
    <w:tmpl w:val="9B0ED194"/>
    <w:styleLink w:val="NumbListFigures"/>
    <w:lvl w:ilvl="0">
      <w:start w:val="1"/>
      <w:numFmt w:val="decimal"/>
      <w:pStyle w:val="FigureTitle"/>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9AF7D9B"/>
    <w:multiLevelType w:val="multilevel"/>
    <w:tmpl w:val="4F3C45F4"/>
    <w:lvl w:ilvl="0">
      <w:start w:val="1"/>
      <w:numFmt w:val="upperRoman"/>
      <w:lvlText w:val="%1."/>
      <w:lvlJc w:val="right"/>
      <w:pPr>
        <w:ind w:left="360" w:hanging="360"/>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DF03D4F"/>
    <w:multiLevelType w:val="hybridMultilevel"/>
    <w:tmpl w:val="99CC9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B86EE1"/>
    <w:multiLevelType w:val="multilevel"/>
    <w:tmpl w:val="1B723D92"/>
    <w:lvl w:ilvl="0">
      <w:start w:val="1"/>
      <w:numFmt w:val="bullet"/>
      <w:lvlText w:val=""/>
      <w:lvlJc w:val="left"/>
      <w:pPr>
        <w:tabs>
          <w:tab w:val="num" w:pos="482"/>
        </w:tabs>
        <w:ind w:left="482" w:hanging="340"/>
      </w:pPr>
      <w:rPr>
        <w:rFonts w:ascii="Wingdings" w:hAnsi="Wingdings" w:hint="default"/>
        <w:color w:val="002395"/>
        <w:sz w:val="24"/>
      </w:rPr>
    </w:lvl>
    <w:lvl w:ilvl="1">
      <w:start w:val="1"/>
      <w:numFmt w:val="decimal"/>
      <w:lvlText w:val="%2)"/>
      <w:lvlJc w:val="left"/>
      <w:pPr>
        <w:tabs>
          <w:tab w:val="num" w:pos="823"/>
        </w:tabs>
        <w:ind w:left="823" w:hanging="341"/>
      </w:pPr>
      <w:rPr>
        <w:rFonts w:hint="default"/>
        <w:color w:val="auto"/>
        <w:sz w:val="24"/>
      </w:rPr>
    </w:lvl>
    <w:lvl w:ilvl="2">
      <w:start w:val="1"/>
      <w:numFmt w:val="bullet"/>
      <w:lvlText w:val="◦"/>
      <w:lvlJc w:val="left"/>
      <w:pPr>
        <w:tabs>
          <w:tab w:val="num" w:pos="1163"/>
        </w:tabs>
        <w:ind w:left="1163" w:hanging="340"/>
      </w:pPr>
      <w:rPr>
        <w:rFonts w:ascii="Arial" w:hAnsi="Arial" w:hint="default"/>
        <w:color w:val="1F497D" w:themeColor="text2"/>
        <w:sz w:val="28"/>
      </w:rPr>
    </w:lvl>
    <w:lvl w:ilvl="3">
      <w:start w:val="1"/>
      <w:numFmt w:val="none"/>
      <w:lvlText w:val=""/>
      <w:lvlJc w:val="left"/>
      <w:pPr>
        <w:tabs>
          <w:tab w:val="num" w:pos="1163"/>
        </w:tabs>
        <w:ind w:left="1163" w:firstLine="0"/>
      </w:pPr>
      <w:rPr>
        <w:rFonts w:hint="default"/>
      </w:rPr>
    </w:lvl>
    <w:lvl w:ilvl="4">
      <w:start w:val="1"/>
      <w:numFmt w:val="none"/>
      <w:lvlText w:val=""/>
      <w:lvlJc w:val="left"/>
      <w:pPr>
        <w:tabs>
          <w:tab w:val="num" w:pos="1163"/>
        </w:tabs>
        <w:ind w:left="1163" w:firstLine="0"/>
      </w:pPr>
      <w:rPr>
        <w:rFonts w:hint="default"/>
      </w:rPr>
    </w:lvl>
    <w:lvl w:ilvl="5">
      <w:start w:val="1"/>
      <w:numFmt w:val="none"/>
      <w:lvlText w:val=""/>
      <w:lvlJc w:val="left"/>
      <w:pPr>
        <w:tabs>
          <w:tab w:val="num" w:pos="1163"/>
        </w:tabs>
        <w:ind w:left="1163" w:firstLine="0"/>
      </w:pPr>
      <w:rPr>
        <w:rFonts w:hint="default"/>
      </w:rPr>
    </w:lvl>
    <w:lvl w:ilvl="6">
      <w:start w:val="1"/>
      <w:numFmt w:val="none"/>
      <w:lvlText w:val=""/>
      <w:lvlJc w:val="left"/>
      <w:pPr>
        <w:tabs>
          <w:tab w:val="num" w:pos="1163"/>
        </w:tabs>
        <w:ind w:left="1163" w:firstLine="0"/>
      </w:pPr>
      <w:rPr>
        <w:rFonts w:hint="default"/>
      </w:rPr>
    </w:lvl>
    <w:lvl w:ilvl="7">
      <w:start w:val="1"/>
      <w:numFmt w:val="none"/>
      <w:lvlText w:val=""/>
      <w:lvlJc w:val="left"/>
      <w:pPr>
        <w:tabs>
          <w:tab w:val="num" w:pos="1163"/>
        </w:tabs>
        <w:ind w:left="1163" w:firstLine="0"/>
      </w:pPr>
      <w:rPr>
        <w:rFonts w:hint="default"/>
      </w:rPr>
    </w:lvl>
    <w:lvl w:ilvl="8">
      <w:start w:val="1"/>
      <w:numFmt w:val="none"/>
      <w:lvlText w:val=""/>
      <w:lvlJc w:val="left"/>
      <w:pPr>
        <w:tabs>
          <w:tab w:val="num" w:pos="1163"/>
        </w:tabs>
        <w:ind w:left="1163" w:firstLine="0"/>
      </w:pPr>
      <w:rPr>
        <w:rFonts w:hint="default"/>
      </w:rPr>
    </w:lvl>
  </w:abstractNum>
  <w:abstractNum w:abstractNumId="8">
    <w:nsid w:val="22931EDF"/>
    <w:multiLevelType w:val="hybridMultilevel"/>
    <w:tmpl w:val="188C2F74"/>
    <w:styleLink w:val="ImportedStyle4"/>
    <w:lvl w:ilvl="0" w:tplc="D8DC00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5C09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D00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4A3E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49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8C2F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A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ACB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1617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57417E0"/>
    <w:multiLevelType w:val="hybridMultilevel"/>
    <w:tmpl w:val="3EC2E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7838A5"/>
    <w:multiLevelType w:val="hybridMultilevel"/>
    <w:tmpl w:val="8F22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BF2DED"/>
    <w:multiLevelType w:val="hybridMultilevel"/>
    <w:tmpl w:val="25B63BF8"/>
    <w:lvl w:ilvl="0" w:tplc="8C1E035A">
      <w:start w:val="1"/>
      <w:numFmt w:val="decimal"/>
      <w:lvlText w:val="%1."/>
      <w:lvlJc w:val="left"/>
      <w:pPr>
        <w:ind w:left="720" w:hanging="360"/>
      </w:pPr>
    </w:lvl>
    <w:lvl w:ilvl="1" w:tplc="080C001B">
      <w:start w:val="1"/>
      <w:numFmt w:val="lowerRoman"/>
      <w:lvlText w:val="%2."/>
      <w:lvlJc w:val="right"/>
      <w:pPr>
        <w:ind w:left="1440" w:hanging="360"/>
      </w:pPr>
    </w:lvl>
    <w:lvl w:ilvl="2" w:tplc="080C0001">
      <w:start w:val="1"/>
      <w:numFmt w:val="bullet"/>
      <w:lvlText w:val=""/>
      <w:lvlJc w:val="left"/>
      <w:pPr>
        <w:ind w:left="2160" w:hanging="180"/>
      </w:pPr>
      <w:rPr>
        <w:rFonts w:ascii="Symbol" w:hAnsi="Symbol"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nsid w:val="2EF64207"/>
    <w:multiLevelType w:val="hybridMultilevel"/>
    <w:tmpl w:val="7290837A"/>
    <w:lvl w:ilvl="0" w:tplc="7D14F17A">
      <w:start w:val="1"/>
      <w:numFmt w:val="decimal"/>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30893394"/>
    <w:multiLevelType w:val="hybridMultilevel"/>
    <w:tmpl w:val="34726470"/>
    <w:lvl w:ilvl="0" w:tplc="AA78703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5">
    <w:nsid w:val="36CA24B3"/>
    <w:multiLevelType w:val="hybridMultilevel"/>
    <w:tmpl w:val="54DAAD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3DB92A87"/>
    <w:multiLevelType w:val="multilevel"/>
    <w:tmpl w:val="F4D664D2"/>
    <w:styleLink w:val="Bullets"/>
    <w:lvl w:ilvl="0">
      <w:start w:val="1"/>
      <w:numFmt w:val="bullet"/>
      <w:pStyle w:val="Bullet1"/>
      <w:lvlText w:val=""/>
      <w:lvlJc w:val="left"/>
      <w:pPr>
        <w:tabs>
          <w:tab w:val="num" w:pos="482"/>
        </w:tabs>
        <w:ind w:left="482" w:hanging="340"/>
      </w:pPr>
      <w:rPr>
        <w:rFonts w:ascii="Wingdings" w:hAnsi="Wingdings" w:hint="default"/>
        <w:color w:val="002395"/>
        <w:sz w:val="24"/>
      </w:rPr>
    </w:lvl>
    <w:lvl w:ilvl="1">
      <w:start w:val="1"/>
      <w:numFmt w:val="decimal"/>
      <w:pStyle w:val="Bullet2"/>
      <w:lvlText w:val="%2)"/>
      <w:lvlJc w:val="left"/>
      <w:pPr>
        <w:tabs>
          <w:tab w:val="num" w:pos="823"/>
        </w:tabs>
        <w:ind w:left="823" w:hanging="341"/>
      </w:pPr>
      <w:rPr>
        <w:rFonts w:hint="default"/>
        <w:color w:val="auto"/>
        <w:sz w:val="24"/>
      </w:rPr>
    </w:lvl>
    <w:lvl w:ilvl="2">
      <w:start w:val="1"/>
      <w:numFmt w:val="bullet"/>
      <w:pStyle w:val="Bullet3"/>
      <w:lvlText w:val="◦"/>
      <w:lvlJc w:val="left"/>
      <w:pPr>
        <w:tabs>
          <w:tab w:val="num" w:pos="1163"/>
        </w:tabs>
        <w:ind w:left="1163" w:hanging="340"/>
      </w:pPr>
      <w:rPr>
        <w:rFonts w:ascii="Arial" w:hAnsi="Arial" w:hint="default"/>
        <w:color w:val="1F497D" w:themeColor="text2"/>
        <w:sz w:val="28"/>
      </w:rPr>
    </w:lvl>
    <w:lvl w:ilvl="3">
      <w:start w:val="1"/>
      <w:numFmt w:val="none"/>
      <w:lvlText w:val=""/>
      <w:lvlJc w:val="left"/>
      <w:pPr>
        <w:tabs>
          <w:tab w:val="num" w:pos="1163"/>
        </w:tabs>
        <w:ind w:left="1163" w:firstLine="0"/>
      </w:pPr>
      <w:rPr>
        <w:rFonts w:hint="default"/>
      </w:rPr>
    </w:lvl>
    <w:lvl w:ilvl="4">
      <w:start w:val="1"/>
      <w:numFmt w:val="none"/>
      <w:lvlText w:val=""/>
      <w:lvlJc w:val="left"/>
      <w:pPr>
        <w:tabs>
          <w:tab w:val="num" w:pos="1163"/>
        </w:tabs>
        <w:ind w:left="1163" w:firstLine="0"/>
      </w:pPr>
      <w:rPr>
        <w:rFonts w:hint="default"/>
      </w:rPr>
    </w:lvl>
    <w:lvl w:ilvl="5">
      <w:start w:val="1"/>
      <w:numFmt w:val="none"/>
      <w:lvlText w:val=""/>
      <w:lvlJc w:val="left"/>
      <w:pPr>
        <w:tabs>
          <w:tab w:val="num" w:pos="1163"/>
        </w:tabs>
        <w:ind w:left="1163" w:firstLine="0"/>
      </w:pPr>
      <w:rPr>
        <w:rFonts w:hint="default"/>
      </w:rPr>
    </w:lvl>
    <w:lvl w:ilvl="6">
      <w:start w:val="1"/>
      <w:numFmt w:val="none"/>
      <w:lvlText w:val=""/>
      <w:lvlJc w:val="left"/>
      <w:pPr>
        <w:tabs>
          <w:tab w:val="num" w:pos="1163"/>
        </w:tabs>
        <w:ind w:left="1163" w:firstLine="0"/>
      </w:pPr>
      <w:rPr>
        <w:rFonts w:hint="default"/>
      </w:rPr>
    </w:lvl>
    <w:lvl w:ilvl="7">
      <w:start w:val="1"/>
      <w:numFmt w:val="none"/>
      <w:lvlText w:val=""/>
      <w:lvlJc w:val="left"/>
      <w:pPr>
        <w:tabs>
          <w:tab w:val="num" w:pos="1163"/>
        </w:tabs>
        <w:ind w:left="1163" w:firstLine="0"/>
      </w:pPr>
      <w:rPr>
        <w:rFonts w:hint="default"/>
      </w:rPr>
    </w:lvl>
    <w:lvl w:ilvl="8">
      <w:start w:val="1"/>
      <w:numFmt w:val="none"/>
      <w:lvlText w:val=""/>
      <w:lvlJc w:val="left"/>
      <w:pPr>
        <w:tabs>
          <w:tab w:val="num" w:pos="1163"/>
        </w:tabs>
        <w:ind w:left="1163" w:firstLine="0"/>
      </w:pPr>
      <w:rPr>
        <w:rFonts w:hint="default"/>
      </w:rPr>
    </w:lvl>
  </w:abstractNum>
  <w:abstractNum w:abstractNumId="17">
    <w:nsid w:val="418B2A39"/>
    <w:multiLevelType w:val="hybridMultilevel"/>
    <w:tmpl w:val="11707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44A05E5"/>
    <w:multiLevelType w:val="hybridMultilevel"/>
    <w:tmpl w:val="8E2A5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4D5C55B6">
      <w:start w:val="3"/>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EB406F"/>
    <w:multiLevelType w:val="hybridMultilevel"/>
    <w:tmpl w:val="6B806F54"/>
    <w:styleLink w:val="ImportedStyle5"/>
    <w:lvl w:ilvl="0" w:tplc="67B614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23A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808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923F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E6A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84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F268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1A35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7A02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8C27F0D"/>
    <w:multiLevelType w:val="hybridMultilevel"/>
    <w:tmpl w:val="7290837A"/>
    <w:lvl w:ilvl="0" w:tplc="7D14F17A">
      <w:start w:val="1"/>
      <w:numFmt w:val="decimal"/>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6B23707E"/>
    <w:multiLevelType w:val="hybridMultilevel"/>
    <w:tmpl w:val="52C60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C35132"/>
    <w:multiLevelType w:val="hybridMultilevel"/>
    <w:tmpl w:val="4E6AC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640298"/>
    <w:multiLevelType w:val="hybridMultilevel"/>
    <w:tmpl w:val="BBDA33EA"/>
    <w:lvl w:ilvl="0" w:tplc="2B96935C">
      <w:start w:val="1"/>
      <w:numFmt w:val="decimal"/>
      <w:lvlText w:val="%1."/>
      <w:lvlJc w:val="left"/>
      <w:pPr>
        <w:ind w:left="720" w:hanging="360"/>
      </w:pPr>
      <w:rPr>
        <w:i w:val="0"/>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Theme="minorHAns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290694"/>
    <w:multiLevelType w:val="hybridMultilevel"/>
    <w:tmpl w:val="2596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312C18"/>
    <w:multiLevelType w:val="hybridMultilevel"/>
    <w:tmpl w:val="A0F0AD78"/>
    <w:styleLink w:val="ImportedStyle6"/>
    <w:lvl w:ilvl="0" w:tplc="4F281E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2CE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F43B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864B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78D0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CDE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E03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EDD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07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7D1C5D96"/>
    <w:multiLevelType w:val="hybridMultilevel"/>
    <w:tmpl w:val="3162F724"/>
    <w:lvl w:ilvl="0" w:tplc="08090001">
      <w:start w:val="1"/>
      <w:numFmt w:val="bullet"/>
      <w:lvlText w:val=""/>
      <w:lvlJc w:val="left"/>
      <w:pPr>
        <w:ind w:left="720" w:hanging="360"/>
      </w:pPr>
      <w:rPr>
        <w:rFonts w:ascii="Symbol" w:hAnsi="Symbol" w:hint="default"/>
        <w:i w:val="0"/>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Theme="minorHAns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B50F80"/>
    <w:multiLevelType w:val="hybridMultilevel"/>
    <w:tmpl w:val="9FDC3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8"/>
  </w:num>
  <w:num w:numId="5">
    <w:abstractNumId w:val="19"/>
  </w:num>
  <w:num w:numId="6">
    <w:abstractNumId w:val="25"/>
  </w:num>
  <w:num w:numId="7">
    <w:abstractNumId w:val="5"/>
  </w:num>
  <w:num w:numId="8">
    <w:abstractNumId w:val="1"/>
  </w:num>
  <w:num w:numId="9">
    <w:abstractNumId w:val="13"/>
  </w:num>
  <w:num w:numId="10">
    <w:abstractNumId w:val="7"/>
  </w:num>
  <w:num w:numId="11">
    <w:abstractNumId w:val="18"/>
  </w:num>
  <w:num w:numId="12">
    <w:abstractNumId w:val="23"/>
  </w:num>
  <w:num w:numId="13">
    <w:abstractNumId w:val="2"/>
  </w:num>
  <w:num w:numId="14">
    <w:abstractNumId w:val="26"/>
  </w:num>
  <w:num w:numId="15">
    <w:abstractNumId w:val="27"/>
  </w:num>
  <w:num w:numId="16">
    <w:abstractNumId w:val="24"/>
  </w:num>
  <w:num w:numId="17">
    <w:abstractNumId w:val="17"/>
  </w:num>
  <w:num w:numId="18">
    <w:abstractNumId w:val="3"/>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6"/>
  </w:num>
  <w:num w:numId="26">
    <w:abstractNumId w:val="22"/>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1"/>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0"/>
  </w:num>
  <w:num w:numId="41">
    <w:abstractNumId w:val="16"/>
  </w:num>
  <w:num w:numId="4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EDCE39788D84E6898C6CD001E9B3633"/>
    <w:docVar w:name="LW_CROSSREFERENCE" w:val="{COM(2017) 250 final}_x000b_{SWD(2017) 200 final}_x000b_{SWD(2017) 201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stablishing a European Pillar of Social Rights"/>
    <w:docVar w:name="LW_PART_NBR" w:val="1"/>
    <w:docVar w:name="LW_PART_NBR_TOTAL" w:val="1"/>
    <w:docVar w:name="LW_REF.INST.NEW" w:val="SWD"/>
    <w:docVar w:name="LW_REF.INST.NEW_ADOPTED" w:val="final"/>
    <w:docVar w:name="LW_REF.INST.NEW_TEXT" w:val="(2017) 206"/>
    <w:docVar w:name="LW_REF.INTERNE" w:val="&lt;UNUSED&gt;"/>
    <w:docVar w:name="LW_SUPERTITRE" w:val="&lt;UNUSED&gt;"/>
    <w:docVar w:name="LW_TITRE.OBJ.CP" w:val="Report of the public consultation "/>
    <w:docVar w:name="LW_TYPE.DOC.CP" w:val="COMMISSION STAFF WORKING DOCUMENT"/>
    <w:docVar w:name="LW_TYPEACTEPRINCIPAL.CP" w:val="COMMUNICATION FROM THE COMMISSION TO THE EUROPEAN PARLIAMENT, THE COUNCIL, THE EUROPEAN ECONOMIC AND SOCIAL COMMITTEE AND THE COMMITTEE OF THE REGIONS_x000b_"/>
  </w:docVars>
  <w:rsids>
    <w:rsidRoot w:val="001E527A"/>
    <w:rsid w:val="001E527A"/>
    <w:rsid w:val="00CD6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
    <w:basedOn w:val="Normal"/>
    <w:next w:val="Normal"/>
    <w:link w:val="Heading1Char"/>
    <w:qFormat/>
    <w:pPr>
      <w:keepNext/>
      <w:keepLines/>
      <w:spacing w:before="480" w:after="0" w:line="240" w:lineRule="auto"/>
      <w:ind w:left="360" w:hanging="360"/>
      <w:outlineLvl w:val="0"/>
    </w:pPr>
    <w:rPr>
      <w:rFonts w:ascii="Verdana" w:eastAsiaTheme="majorEastAsia" w:hAnsi="Verdana" w:cstheme="majorBidi"/>
      <w:b/>
      <w:bCs/>
      <w:color w:val="0070C0"/>
      <w:sz w:val="32"/>
      <w:szCs w:val="20"/>
    </w:rPr>
  </w:style>
  <w:style w:type="paragraph" w:styleId="Heading2">
    <w:name w:val="heading 2"/>
    <w:aliases w:val="Heading2,AnnexH2,ESHeading 2,BoxNumb,CaseStudy,Conclusion,Evidence,Recommendation"/>
    <w:basedOn w:val="Normal"/>
    <w:next w:val="Normal"/>
    <w:link w:val="Heading2Char"/>
    <w:autoRedefine/>
    <w:unhideWhenUsed/>
    <w:qFormat/>
    <w:pPr>
      <w:keepNext/>
      <w:keepLines/>
      <w:spacing w:before="240" w:after="240" w:line="240" w:lineRule="auto"/>
      <w:outlineLvl w:val="1"/>
    </w:pPr>
    <w:rPr>
      <w:rFonts w:ascii="Verdana" w:eastAsiaTheme="majorEastAsia" w:hAnsi="Verdana" w:cstheme="majorBidi"/>
      <w:b/>
      <w:bCs/>
      <w:color w:val="0070C0"/>
      <w:sz w:val="28"/>
      <w:szCs w:val="26"/>
    </w:rPr>
  </w:style>
  <w:style w:type="paragraph" w:styleId="Heading3">
    <w:name w:val="heading 3"/>
    <w:aliases w:val="Heading3,AnnexH3,ESHeading 3,Box,Stage"/>
    <w:basedOn w:val="Normal"/>
    <w:next w:val="Normal"/>
    <w:link w:val="Heading3Char"/>
    <w:autoRedefine/>
    <w:unhideWhenUsed/>
    <w:qFormat/>
    <w:pPr>
      <w:keepNext/>
      <w:keepLines/>
      <w:pBdr>
        <w:top w:val="single" w:sz="4" w:space="1" w:color="auto"/>
        <w:left w:val="single" w:sz="4" w:space="4" w:color="auto"/>
        <w:bottom w:val="single" w:sz="4" w:space="1" w:color="auto"/>
        <w:right w:val="single" w:sz="4" w:space="4" w:color="auto"/>
      </w:pBdr>
      <w:shd w:val="clear" w:color="auto" w:fill="99CCFF"/>
      <w:spacing w:before="240" w:after="240" w:line="240" w:lineRule="auto"/>
      <w:outlineLvl w:val="2"/>
    </w:pPr>
    <w:rPr>
      <w:rFonts w:ascii="Verdana" w:eastAsiaTheme="majorEastAsia" w:hAnsi="Verdana" w:cstheme="majorBidi"/>
      <w:b/>
      <w:bCs/>
      <w:i/>
      <w:iCs/>
      <w:color w:val="17365D" w:themeColor="text2" w:themeShade="BF"/>
      <w:sz w:val="20"/>
    </w:rPr>
  </w:style>
  <w:style w:type="paragraph" w:styleId="Heading4">
    <w:name w:val="heading 4"/>
    <w:aliases w:val="Heading4,AnnexH4,ESHeading 4,GHKContactsHeading,Task"/>
    <w:basedOn w:val="Normal"/>
    <w:next w:val="Normal"/>
    <w:link w:val="Heading4Char"/>
    <w:unhideWhenUsed/>
    <w:qFormat/>
    <w:pPr>
      <w:keepNext/>
      <w:keepLines/>
      <w:numPr>
        <w:ilvl w:val="3"/>
        <w:numId w:val="7"/>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7"/>
      </w:numPr>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7"/>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Pr>
      <w:rFonts w:ascii="Verdana" w:eastAsiaTheme="majorEastAsia" w:hAnsi="Verdana" w:cstheme="majorBidi"/>
      <w:b/>
      <w:bCs/>
      <w:color w:val="0070C0"/>
      <w:sz w:val="32"/>
      <w:szCs w:val="20"/>
    </w:rPr>
  </w:style>
  <w:style w:type="character" w:customStyle="1" w:styleId="Heading2Char">
    <w:name w:val="Heading 2 Char"/>
    <w:aliases w:val="Heading2 Char,AnnexH2 Char,ESHeading 2 Char,BoxNumb Char,CaseStudy Char,Conclusion Char,Evidence Char,Recommendation Char"/>
    <w:basedOn w:val="DefaultParagraphFont"/>
    <w:link w:val="Heading2"/>
    <w:rPr>
      <w:rFonts w:ascii="Verdana" w:eastAsiaTheme="majorEastAsia" w:hAnsi="Verdana" w:cstheme="majorBidi"/>
      <w:b/>
      <w:bCs/>
      <w:color w:val="0070C0"/>
      <w:sz w:val="28"/>
      <w:szCs w:val="26"/>
    </w:rPr>
  </w:style>
  <w:style w:type="character" w:customStyle="1" w:styleId="Heading3Char">
    <w:name w:val="Heading 3 Char"/>
    <w:aliases w:val="Heading3 Char,AnnexH3 Char,ESHeading 3 Char,Box Char,Stage Char"/>
    <w:basedOn w:val="DefaultParagraphFont"/>
    <w:link w:val="Heading3"/>
    <w:rPr>
      <w:rFonts w:ascii="Verdana" w:eastAsiaTheme="majorEastAsia" w:hAnsi="Verdana" w:cstheme="majorBidi"/>
      <w:b/>
      <w:bCs/>
      <w:i/>
      <w:iCs/>
      <w:color w:val="17365D" w:themeColor="text2" w:themeShade="BF"/>
      <w:sz w:val="20"/>
      <w:shd w:val="clear" w:color="auto" w:fill="99CCFF"/>
    </w:rPr>
  </w:style>
  <w:style w:type="character" w:customStyle="1" w:styleId="Heading4Char">
    <w:name w:val="Heading 4 Char"/>
    <w:aliases w:val="Heading4 Char,AnnexH4 Char,ESHeading 4 Char,GHKContactsHeading Char,Task Char"/>
    <w:basedOn w:val="DefaultParagraphFont"/>
    <w:link w:val="Heading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table" w:styleId="TableGrid">
    <w:name w:val="Table Grid"/>
    <w:aliases w:val="Table Format 1,TabelEcorys,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bCs/>
      <w:i/>
      <w:iCs/>
      <w:color w:val="4F81BD" w:themeColor="accent1"/>
    </w:rPr>
  </w:style>
  <w:style w:type="paragraph" w:styleId="Subtitle">
    <w:name w:val="Subtitle"/>
    <w:basedOn w:val="Normal"/>
    <w:next w:val="Normal"/>
    <w:link w:val="SubtitleChar"/>
    <w:uiPriority w:val="11"/>
    <w:qFormat/>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tex, BVI fnr"/>
    <w:basedOn w:val="DefaultParagraphFont"/>
    <w:link w:val="BVIfn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NumPar2">
    <w:name w:val="NumPar 2"/>
    <w:basedOn w:val="Heading2"/>
    <w:next w:val="Text2"/>
    <w:pPr>
      <w:keepNext w:val="0"/>
      <w:keepLines w:val="0"/>
      <w:spacing w:before="0"/>
      <w:jc w:val="both"/>
      <w:outlineLvl w:val="9"/>
    </w:pPr>
    <w:rPr>
      <w:rFonts w:eastAsia="Times New Roman" w:cs="Times New Roman"/>
      <w:b w:val="0"/>
      <w:bCs w:val="0"/>
      <w:szCs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Wingdings" w:hAnsi="Wingdings" w:cs="Wingdings"/>
      <w:color w:val="000000"/>
      <w:sz w:val="24"/>
      <w:szCs w:val="24"/>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numbering" w:customStyle="1" w:styleId="Bullets">
    <w:name w:val="Bullets"/>
    <w:aliases w:val="NumbLstBTBullet,NumbLstBullet"/>
    <w:uiPriority w:val="99"/>
    <w:pPr>
      <w:numPr>
        <w:numId w:val="1"/>
      </w:numPr>
    </w:pPr>
  </w:style>
  <w:style w:type="paragraph" w:customStyle="1" w:styleId="Bullet1">
    <w:name w:val="Bullet 1"/>
    <w:aliases w:val="Bullet1,BTBullet1"/>
    <w:basedOn w:val="Normal"/>
    <w:uiPriority w:val="6"/>
    <w:qFormat/>
    <w:pPr>
      <w:numPr>
        <w:numId w:val="1"/>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6"/>
    <w:qFormat/>
    <w:pPr>
      <w:numPr>
        <w:ilvl w:val="1"/>
        <w:numId w:val="1"/>
      </w:numPr>
      <w:spacing w:before="120" w:after="120" w:line="240" w:lineRule="auto"/>
      <w:contextualSpacing/>
    </w:pPr>
    <w:rPr>
      <w:rFonts w:ascii="Verdana" w:hAnsi="Verdana"/>
      <w:color w:val="000000" w:themeColor="text1"/>
      <w:sz w:val="20"/>
    </w:rPr>
  </w:style>
  <w:style w:type="paragraph" w:customStyle="1" w:styleId="Bullet1Space">
    <w:name w:val="Bullet 1 Space"/>
    <w:aliases w:val="Bullet1Last,BTBullet1Last"/>
    <w:basedOn w:val="Bullet1"/>
    <w:uiPriority w:val="11"/>
    <w:pPr>
      <w:contextualSpacing w:val="0"/>
    </w:pPr>
  </w:style>
  <w:style w:type="paragraph" w:customStyle="1" w:styleId="Bullet3">
    <w:name w:val="Bullet 3"/>
    <w:aliases w:val="Bullet3,BTBullet3"/>
    <w:basedOn w:val="Bullet2"/>
    <w:uiPriority w:val="6"/>
    <w:qFormat/>
    <w:pPr>
      <w:numPr>
        <w:ilvl w:val="2"/>
      </w:numPr>
    </w:pPr>
  </w:style>
  <w:style w:type="paragraph" w:customStyle="1" w:styleId="FigureTitle">
    <w:name w:val="Figure Title"/>
    <w:basedOn w:val="Normal"/>
    <w:uiPriority w:val="29"/>
    <w:qFormat/>
    <w:pPr>
      <w:keepNext/>
      <w:keepLines/>
      <w:numPr>
        <w:numId w:val="2"/>
      </w:numPr>
      <w:spacing w:before="120" w:after="120" w:line="240" w:lineRule="auto"/>
      <w:outlineLvl w:val="2"/>
    </w:pPr>
    <w:rPr>
      <w:rFonts w:ascii="Verdana" w:eastAsiaTheme="majorEastAsia" w:hAnsi="Verdana" w:cstheme="majorBidi"/>
      <w:bCs/>
      <w:i/>
      <w:sz w:val="20"/>
    </w:rPr>
  </w:style>
  <w:style w:type="numbering" w:customStyle="1" w:styleId="NumbListFigures">
    <w:name w:val="NumbList Figures"/>
    <w:uiPriority w:val="99"/>
    <w:pPr>
      <w:numPr>
        <w:numId w:val="2"/>
      </w:numPr>
    </w:pPr>
  </w:style>
  <w:style w:type="numbering" w:customStyle="1" w:styleId="NumbListHeading">
    <w:name w:val="NumbListHeading"/>
    <w:aliases w:val="NumbLstAnnex,NumbLstBoxes,NumbLstExecSumm,NumbLstMain,NumbLstStage,NumbLstTableSimpleNo"/>
    <w:uiPriority w:val="99"/>
    <w:pPr>
      <w:numPr>
        <w:numId w:val="3"/>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3NoNumb">
    <w:name w:val="Heading 3NoNumb"/>
    <w:aliases w:val="Heading3NoNumb"/>
    <w:basedOn w:val="Heading3"/>
    <w:next w:val="Normal"/>
    <w:uiPriority w:val="5"/>
    <w:qFormat/>
    <w:pPr>
      <w:spacing w:before="120" w:after="120"/>
    </w:pPr>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paragraph" w:customStyle="1" w:styleId="sdfootnote">
    <w:name w:val="sdfootnote"/>
    <w:basedOn w:val="Normal"/>
    <w:pPr>
      <w:spacing w:before="100" w:beforeAutospacing="1" w:after="0" w:line="240" w:lineRule="auto"/>
      <w:ind w:left="284" w:hanging="284"/>
    </w:pPr>
    <w:rPr>
      <w:rFonts w:ascii="Times" w:hAnsi="Times"/>
      <w:sz w:val="20"/>
      <w:szCs w:val="20"/>
      <w:lang w:val="de-DE" w:eastAsia="de-D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uiPriority w:val="99"/>
    <w:pPr>
      <w:spacing w:after="160" w:line="240" w:lineRule="exact"/>
    </w:pPr>
    <w:rPr>
      <w:vertAlign w:val="superscript"/>
    </w:rPr>
  </w:style>
  <w:style w:type="paragraph" w:styleId="TOCHeading">
    <w:name w:val="TOC Heading"/>
    <w:basedOn w:val="Heading1"/>
    <w:next w:val="Normal"/>
    <w:uiPriority w:val="39"/>
    <w:unhideWhenUsed/>
    <w:qFormat/>
    <w:pPr>
      <w:spacing w:line="276" w:lineRule="auto"/>
      <w:ind w:left="0" w:firstLine="0"/>
      <w:outlineLvl w:val="9"/>
    </w:pPr>
    <w:rPr>
      <w:rFonts w:asciiTheme="majorHAnsi" w:hAnsiTheme="majorHAnsi"/>
      <w:caps/>
      <w:color w:val="365F91" w:themeColor="accent1" w:themeShade="BF"/>
      <w:sz w:val="28"/>
      <w:lang w:val="en-US" w:eastAsia="ja-JP"/>
    </w:rPr>
  </w:style>
  <w:style w:type="paragraph" w:styleId="TOC1">
    <w:name w:val="toc 1"/>
    <w:basedOn w:val="Normal"/>
    <w:next w:val="Normal"/>
    <w:autoRedefine/>
    <w:uiPriority w:val="39"/>
    <w:unhideWhenUsed/>
    <w:pPr>
      <w:spacing w:after="100" w:line="240" w:lineRule="auto"/>
    </w:pPr>
  </w:style>
  <w:style w:type="paragraph" w:styleId="TOC2">
    <w:name w:val="toc 2"/>
    <w:basedOn w:val="Normal"/>
    <w:next w:val="Normal"/>
    <w:autoRedefine/>
    <w:uiPriority w:val="39"/>
    <w:unhideWhenUsed/>
    <w:pPr>
      <w:tabs>
        <w:tab w:val="right" w:leader="dot" w:pos="9628"/>
      </w:tabs>
      <w:spacing w:after="100" w:line="240" w:lineRule="auto"/>
      <w:ind w:left="220"/>
    </w:pPr>
    <w:rPr>
      <w:rFonts w:ascii="Verdana" w:hAnsi="Verdana"/>
      <w:noProof/>
    </w:rPr>
  </w:style>
  <w:style w:type="paragraph" w:styleId="TOC3">
    <w:name w:val="toc 3"/>
    <w:basedOn w:val="Normal"/>
    <w:next w:val="Normal"/>
    <w:autoRedefine/>
    <w:uiPriority w:val="39"/>
    <w:unhideWhenUsed/>
    <w:pPr>
      <w:spacing w:after="100" w:line="240" w:lineRule="auto"/>
      <w:ind w:left="440"/>
    </w:pPr>
  </w:style>
  <w:style w:type="paragraph" w:customStyle="1" w:styleId="Body">
    <w:name w:val="Body"/>
    <w:basedOn w:val="Normal"/>
    <w:link w:val="BodyChar"/>
    <w:qFormat/>
    <w:pPr>
      <w:keepNext/>
      <w:autoSpaceDE w:val="0"/>
      <w:autoSpaceDN w:val="0"/>
      <w:adjustRightInd w:val="0"/>
      <w:spacing w:after="120" w:line="240" w:lineRule="auto"/>
      <w:jc w:val="both"/>
    </w:pPr>
    <w:rPr>
      <w:rFonts w:ascii="Verdana" w:eastAsia="Times New Roman" w:hAnsi="Verdana" w:cs="Times New Roman"/>
      <w:noProof/>
      <w:sz w:val="20"/>
      <w:szCs w:val="20"/>
      <w:lang w:val="fr-BE" w:eastAsia="en-GB"/>
    </w:rPr>
  </w:style>
  <w:style w:type="character" w:customStyle="1" w:styleId="BodyChar">
    <w:name w:val="Body Char"/>
    <w:link w:val="Body"/>
    <w:rPr>
      <w:rFonts w:ascii="Verdana" w:eastAsia="Times New Roman" w:hAnsi="Verdana" w:cs="Times New Roman"/>
      <w:noProof/>
      <w:sz w:val="20"/>
      <w:szCs w:val="20"/>
      <w:lang w:val="fr-BE"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ITLE">
    <w:name w:val="BOX-TITLE"/>
    <w:basedOn w:val="Body"/>
    <w:link w:val="BOX-TITLEChar"/>
    <w:qFormat/>
    <w:pPr>
      <w:shd w:val="clear" w:color="auto" w:fill="4F81BD" w:themeFill="accent1"/>
    </w:pPr>
    <w:rPr>
      <w:rFonts w:ascii="Times New Roman" w:hAnsi="Times New Roman"/>
      <w:color w:val="FFFFFF" w:themeColor="background1"/>
      <w:sz w:val="24"/>
      <w:szCs w:val="24"/>
    </w:rPr>
  </w:style>
  <w:style w:type="character" w:customStyle="1" w:styleId="BOX-TITLEChar">
    <w:name w:val="BOX-TITLE Char"/>
    <w:basedOn w:val="BodyChar"/>
    <w:link w:val="BOX-TITLE"/>
    <w:rPr>
      <w:rFonts w:ascii="Times New Roman" w:eastAsia="Times New Roman" w:hAnsi="Times New Roman" w:cs="Times New Roman"/>
      <w:noProof/>
      <w:color w:val="FFFFFF" w:themeColor="background1"/>
      <w:sz w:val="24"/>
      <w:szCs w:val="24"/>
      <w:shd w:val="clear" w:color="auto" w:fill="4F81BD" w:themeFill="accent1"/>
      <w:lang w:val="fr-BE" w:eastAsia="en-GB"/>
    </w:rPr>
  </w:style>
  <w:style w:type="table" w:customStyle="1" w:styleId="LightGrid1">
    <w:name w:val="Light Grid1"/>
    <w:basedOn w:val="TableNormal"/>
    <w:uiPriority w:val="62"/>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Title">
    <w:name w:val="TableTitle"/>
    <w:aliases w:val="Table,AnnexTable,AnnexFigure,Figure,ESTable,ESTableLeft,TableSimpleNo,TableLeft,ESFigure,ESFigureLeft"/>
    <w:basedOn w:val="Heading3"/>
    <w:uiPriority w:val="29"/>
    <w:qFormat/>
    <w:pPr>
      <w:numPr>
        <w:numId w:val="8"/>
      </w:numPr>
      <w:tabs>
        <w:tab w:val="clear" w:pos="1077"/>
        <w:tab w:val="num" w:pos="360"/>
      </w:tabs>
      <w:spacing w:before="120" w:after="120"/>
      <w:ind w:left="0" w:firstLine="0"/>
    </w:pPr>
    <w:rPr>
      <w:b w:val="0"/>
    </w:rPr>
  </w:style>
  <w:style w:type="paragraph" w:customStyle="1" w:styleId="Heading2NoNumb">
    <w:name w:val="Heading 2NoNumb"/>
    <w:aliases w:val="Heading2NoNumb,BoxTitle"/>
    <w:basedOn w:val="Heading2"/>
    <w:next w:val="Normal"/>
    <w:uiPriority w:val="5"/>
    <w:qFormat/>
    <w:pPr>
      <w:spacing w:before="120" w:after="120"/>
    </w:pPr>
    <w:rPr>
      <w:sz w:val="22"/>
    </w:rPr>
  </w:style>
  <w:style w:type="numbering" w:customStyle="1" w:styleId="NumblistTables">
    <w:name w:val="Numblist Tables"/>
    <w:uiPriority w:val="99"/>
    <w:pPr>
      <w:numPr>
        <w:numId w:val="8"/>
      </w:numPr>
    </w:pPr>
  </w:style>
  <w:style w:type="character" w:customStyle="1" w:styleId="st1">
    <w:name w:val="st1"/>
    <w:basedOn w:val="DefaultParagraphFont"/>
  </w:style>
  <w:style w:type="paragraph" w:customStyle="1" w:styleId="bullet10">
    <w:name w:val="bullet10"/>
    <w:basedOn w:val="Normal"/>
    <w:pPr>
      <w:spacing w:before="100" w:beforeAutospacing="1" w:after="100" w:afterAutospacing="1" w:line="240" w:lineRule="auto"/>
    </w:pPr>
    <w:rPr>
      <w:rFonts w:ascii="Times" w:hAnsi="Times"/>
      <w:sz w:val="20"/>
      <w:szCs w:val="20"/>
      <w:lang w:val="it-IT" w:eastAsia="de-D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horttext">
    <w:name w:val="short_text"/>
    <w:basedOn w:val="DefaultParagraphFont"/>
  </w:style>
  <w:style w:type="table" w:customStyle="1" w:styleId="HTG1">
    <w:name w:val="HTG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customStyle="1" w:styleId="info">
    <w:name w:val="info"/>
    <w:basedOn w:val="DefaultParagraphFont"/>
  </w:style>
  <w:style w:type="paragraph" w:customStyle="1" w:styleId="Normal1">
    <w:name w:val="Normal1"/>
    <w:basedOn w:val="Normal"/>
    <w:pPr>
      <w:spacing w:before="100" w:beforeAutospacing="1" w:after="100" w:afterAutospacing="1" w:line="240" w:lineRule="auto"/>
    </w:pPr>
    <w:rPr>
      <w:rFonts w:ascii="Times" w:hAnsi="Times"/>
      <w:sz w:val="20"/>
      <w:szCs w:val="20"/>
      <w:lang w:val="de-DE"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p1">
    <w:name w:val="p1"/>
    <w:basedOn w:val="Normal"/>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Pr>
      <w:rFonts w:ascii=".SFUIText" w:hAnsi=".SFUIText" w:hint="default"/>
      <w:b w:val="0"/>
      <w:bCs w:val="0"/>
      <w:i w:val="0"/>
      <w:iCs w:val="0"/>
      <w:sz w:val="34"/>
      <w:szCs w:val="34"/>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
    <w:basedOn w:val="Normal"/>
    <w:next w:val="Normal"/>
    <w:link w:val="Heading1Char"/>
    <w:qFormat/>
    <w:pPr>
      <w:keepNext/>
      <w:keepLines/>
      <w:spacing w:before="480" w:after="0" w:line="240" w:lineRule="auto"/>
      <w:ind w:left="360" w:hanging="360"/>
      <w:outlineLvl w:val="0"/>
    </w:pPr>
    <w:rPr>
      <w:rFonts w:ascii="Verdana" w:eastAsiaTheme="majorEastAsia" w:hAnsi="Verdana" w:cstheme="majorBidi"/>
      <w:b/>
      <w:bCs/>
      <w:color w:val="0070C0"/>
      <w:sz w:val="32"/>
      <w:szCs w:val="20"/>
    </w:rPr>
  </w:style>
  <w:style w:type="paragraph" w:styleId="Heading2">
    <w:name w:val="heading 2"/>
    <w:aliases w:val="Heading2,AnnexH2,ESHeading 2,BoxNumb,CaseStudy,Conclusion,Evidence,Recommendation"/>
    <w:basedOn w:val="Normal"/>
    <w:next w:val="Normal"/>
    <w:link w:val="Heading2Char"/>
    <w:autoRedefine/>
    <w:unhideWhenUsed/>
    <w:qFormat/>
    <w:pPr>
      <w:keepNext/>
      <w:keepLines/>
      <w:spacing w:before="240" w:after="240" w:line="240" w:lineRule="auto"/>
      <w:outlineLvl w:val="1"/>
    </w:pPr>
    <w:rPr>
      <w:rFonts w:ascii="Verdana" w:eastAsiaTheme="majorEastAsia" w:hAnsi="Verdana" w:cstheme="majorBidi"/>
      <w:b/>
      <w:bCs/>
      <w:color w:val="0070C0"/>
      <w:sz w:val="28"/>
      <w:szCs w:val="26"/>
    </w:rPr>
  </w:style>
  <w:style w:type="paragraph" w:styleId="Heading3">
    <w:name w:val="heading 3"/>
    <w:aliases w:val="Heading3,AnnexH3,ESHeading 3,Box,Stage"/>
    <w:basedOn w:val="Normal"/>
    <w:next w:val="Normal"/>
    <w:link w:val="Heading3Char"/>
    <w:autoRedefine/>
    <w:unhideWhenUsed/>
    <w:qFormat/>
    <w:pPr>
      <w:keepNext/>
      <w:keepLines/>
      <w:pBdr>
        <w:top w:val="single" w:sz="4" w:space="1" w:color="auto"/>
        <w:left w:val="single" w:sz="4" w:space="4" w:color="auto"/>
        <w:bottom w:val="single" w:sz="4" w:space="1" w:color="auto"/>
        <w:right w:val="single" w:sz="4" w:space="4" w:color="auto"/>
      </w:pBdr>
      <w:shd w:val="clear" w:color="auto" w:fill="99CCFF"/>
      <w:spacing w:before="240" w:after="240" w:line="240" w:lineRule="auto"/>
      <w:outlineLvl w:val="2"/>
    </w:pPr>
    <w:rPr>
      <w:rFonts w:ascii="Verdana" w:eastAsiaTheme="majorEastAsia" w:hAnsi="Verdana" w:cstheme="majorBidi"/>
      <w:b/>
      <w:bCs/>
      <w:i/>
      <w:iCs/>
      <w:color w:val="17365D" w:themeColor="text2" w:themeShade="BF"/>
      <w:sz w:val="20"/>
    </w:rPr>
  </w:style>
  <w:style w:type="paragraph" w:styleId="Heading4">
    <w:name w:val="heading 4"/>
    <w:aliases w:val="Heading4,AnnexH4,ESHeading 4,GHKContactsHeading,Task"/>
    <w:basedOn w:val="Normal"/>
    <w:next w:val="Normal"/>
    <w:link w:val="Heading4Char"/>
    <w:unhideWhenUsed/>
    <w:qFormat/>
    <w:pPr>
      <w:keepNext/>
      <w:keepLines/>
      <w:numPr>
        <w:ilvl w:val="3"/>
        <w:numId w:val="7"/>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7"/>
      </w:numPr>
      <w:spacing w:before="200" w:after="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7"/>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Pr>
      <w:rFonts w:ascii="Verdana" w:eastAsiaTheme="majorEastAsia" w:hAnsi="Verdana" w:cstheme="majorBidi"/>
      <w:b/>
      <w:bCs/>
      <w:color w:val="0070C0"/>
      <w:sz w:val="32"/>
      <w:szCs w:val="20"/>
    </w:rPr>
  </w:style>
  <w:style w:type="character" w:customStyle="1" w:styleId="Heading2Char">
    <w:name w:val="Heading 2 Char"/>
    <w:aliases w:val="Heading2 Char,AnnexH2 Char,ESHeading 2 Char,BoxNumb Char,CaseStudy Char,Conclusion Char,Evidence Char,Recommendation Char"/>
    <w:basedOn w:val="DefaultParagraphFont"/>
    <w:link w:val="Heading2"/>
    <w:rPr>
      <w:rFonts w:ascii="Verdana" w:eastAsiaTheme="majorEastAsia" w:hAnsi="Verdana" w:cstheme="majorBidi"/>
      <w:b/>
      <w:bCs/>
      <w:color w:val="0070C0"/>
      <w:sz w:val="28"/>
      <w:szCs w:val="26"/>
    </w:rPr>
  </w:style>
  <w:style w:type="character" w:customStyle="1" w:styleId="Heading3Char">
    <w:name w:val="Heading 3 Char"/>
    <w:aliases w:val="Heading3 Char,AnnexH3 Char,ESHeading 3 Char,Box Char,Stage Char"/>
    <w:basedOn w:val="DefaultParagraphFont"/>
    <w:link w:val="Heading3"/>
    <w:rPr>
      <w:rFonts w:ascii="Verdana" w:eastAsiaTheme="majorEastAsia" w:hAnsi="Verdana" w:cstheme="majorBidi"/>
      <w:b/>
      <w:bCs/>
      <w:i/>
      <w:iCs/>
      <w:color w:val="17365D" w:themeColor="text2" w:themeShade="BF"/>
      <w:sz w:val="20"/>
      <w:shd w:val="clear" w:color="auto" w:fill="99CCFF"/>
    </w:rPr>
  </w:style>
  <w:style w:type="character" w:customStyle="1" w:styleId="Heading4Char">
    <w:name w:val="Heading 4 Char"/>
    <w:aliases w:val="Heading4 Char,AnnexH4 Char,ESHeading 4 Char,GHKContactsHeading Char,Task Char"/>
    <w:basedOn w:val="DefaultParagraphFont"/>
    <w:link w:val="Heading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table" w:styleId="TableGrid">
    <w:name w:val="Table Grid"/>
    <w:aliases w:val="Table Format 1,TabelEcorys,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bCs/>
      <w:i/>
      <w:iCs/>
      <w:color w:val="4F81BD" w:themeColor="accent1"/>
    </w:rPr>
  </w:style>
  <w:style w:type="paragraph" w:styleId="Subtitle">
    <w:name w:val="Subtitle"/>
    <w:basedOn w:val="Normal"/>
    <w:next w:val="Normal"/>
    <w:link w:val="SubtitleChar"/>
    <w:uiPriority w:val="11"/>
    <w:qFormat/>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tex, BVI fnr"/>
    <w:basedOn w:val="DefaultParagraphFont"/>
    <w:link w:val="BVIfn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NumPar2">
    <w:name w:val="NumPar 2"/>
    <w:basedOn w:val="Heading2"/>
    <w:next w:val="Text2"/>
    <w:pPr>
      <w:keepNext w:val="0"/>
      <w:keepLines w:val="0"/>
      <w:spacing w:before="0"/>
      <w:jc w:val="both"/>
      <w:outlineLvl w:val="9"/>
    </w:pPr>
    <w:rPr>
      <w:rFonts w:eastAsia="Times New Roman" w:cs="Times New Roman"/>
      <w:b w:val="0"/>
      <w:bCs w:val="0"/>
      <w:szCs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Wingdings" w:hAnsi="Wingdings" w:cs="Wingdings"/>
      <w:color w:val="000000"/>
      <w:sz w:val="24"/>
      <w:szCs w:val="24"/>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numbering" w:customStyle="1" w:styleId="Bullets">
    <w:name w:val="Bullets"/>
    <w:aliases w:val="NumbLstBTBullet,NumbLstBullet"/>
    <w:uiPriority w:val="99"/>
    <w:pPr>
      <w:numPr>
        <w:numId w:val="1"/>
      </w:numPr>
    </w:pPr>
  </w:style>
  <w:style w:type="paragraph" w:customStyle="1" w:styleId="Bullet1">
    <w:name w:val="Bullet 1"/>
    <w:aliases w:val="Bullet1,BTBullet1"/>
    <w:basedOn w:val="Normal"/>
    <w:uiPriority w:val="6"/>
    <w:qFormat/>
    <w:pPr>
      <w:numPr>
        <w:numId w:val="1"/>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6"/>
    <w:qFormat/>
    <w:pPr>
      <w:numPr>
        <w:ilvl w:val="1"/>
        <w:numId w:val="1"/>
      </w:numPr>
      <w:spacing w:before="120" w:after="120" w:line="240" w:lineRule="auto"/>
      <w:contextualSpacing/>
    </w:pPr>
    <w:rPr>
      <w:rFonts w:ascii="Verdana" w:hAnsi="Verdana"/>
      <w:color w:val="000000" w:themeColor="text1"/>
      <w:sz w:val="20"/>
    </w:rPr>
  </w:style>
  <w:style w:type="paragraph" w:customStyle="1" w:styleId="Bullet1Space">
    <w:name w:val="Bullet 1 Space"/>
    <w:aliases w:val="Bullet1Last,BTBullet1Last"/>
    <w:basedOn w:val="Bullet1"/>
    <w:uiPriority w:val="11"/>
    <w:pPr>
      <w:contextualSpacing w:val="0"/>
    </w:pPr>
  </w:style>
  <w:style w:type="paragraph" w:customStyle="1" w:styleId="Bullet3">
    <w:name w:val="Bullet 3"/>
    <w:aliases w:val="Bullet3,BTBullet3"/>
    <w:basedOn w:val="Bullet2"/>
    <w:uiPriority w:val="6"/>
    <w:qFormat/>
    <w:pPr>
      <w:numPr>
        <w:ilvl w:val="2"/>
      </w:numPr>
    </w:pPr>
  </w:style>
  <w:style w:type="paragraph" w:customStyle="1" w:styleId="FigureTitle">
    <w:name w:val="Figure Title"/>
    <w:basedOn w:val="Normal"/>
    <w:uiPriority w:val="29"/>
    <w:qFormat/>
    <w:pPr>
      <w:keepNext/>
      <w:keepLines/>
      <w:numPr>
        <w:numId w:val="2"/>
      </w:numPr>
      <w:spacing w:before="120" w:after="120" w:line="240" w:lineRule="auto"/>
      <w:outlineLvl w:val="2"/>
    </w:pPr>
    <w:rPr>
      <w:rFonts w:ascii="Verdana" w:eastAsiaTheme="majorEastAsia" w:hAnsi="Verdana" w:cstheme="majorBidi"/>
      <w:bCs/>
      <w:i/>
      <w:sz w:val="20"/>
    </w:rPr>
  </w:style>
  <w:style w:type="numbering" w:customStyle="1" w:styleId="NumbListFigures">
    <w:name w:val="NumbList Figures"/>
    <w:uiPriority w:val="99"/>
    <w:pPr>
      <w:numPr>
        <w:numId w:val="2"/>
      </w:numPr>
    </w:pPr>
  </w:style>
  <w:style w:type="numbering" w:customStyle="1" w:styleId="NumbListHeading">
    <w:name w:val="NumbListHeading"/>
    <w:aliases w:val="NumbLstAnnex,NumbLstBoxes,NumbLstExecSumm,NumbLstMain,NumbLstStage,NumbLstTableSimpleNo"/>
    <w:uiPriority w:val="99"/>
    <w:pPr>
      <w:numPr>
        <w:numId w:val="3"/>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3NoNumb">
    <w:name w:val="Heading 3NoNumb"/>
    <w:aliases w:val="Heading3NoNumb"/>
    <w:basedOn w:val="Heading3"/>
    <w:next w:val="Normal"/>
    <w:uiPriority w:val="5"/>
    <w:qFormat/>
    <w:pPr>
      <w:spacing w:before="120" w:after="120"/>
    </w:pPr>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paragraph" w:customStyle="1" w:styleId="sdfootnote">
    <w:name w:val="sdfootnote"/>
    <w:basedOn w:val="Normal"/>
    <w:pPr>
      <w:spacing w:before="100" w:beforeAutospacing="1" w:after="0" w:line="240" w:lineRule="auto"/>
      <w:ind w:left="284" w:hanging="284"/>
    </w:pPr>
    <w:rPr>
      <w:rFonts w:ascii="Times" w:hAnsi="Times"/>
      <w:sz w:val="20"/>
      <w:szCs w:val="20"/>
      <w:lang w:val="de-DE" w:eastAsia="de-D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uiPriority w:val="99"/>
    <w:pPr>
      <w:spacing w:after="160" w:line="240" w:lineRule="exact"/>
    </w:pPr>
    <w:rPr>
      <w:vertAlign w:val="superscript"/>
    </w:rPr>
  </w:style>
  <w:style w:type="paragraph" w:styleId="TOCHeading">
    <w:name w:val="TOC Heading"/>
    <w:basedOn w:val="Heading1"/>
    <w:next w:val="Normal"/>
    <w:uiPriority w:val="39"/>
    <w:unhideWhenUsed/>
    <w:qFormat/>
    <w:pPr>
      <w:spacing w:line="276" w:lineRule="auto"/>
      <w:ind w:left="0" w:firstLine="0"/>
      <w:outlineLvl w:val="9"/>
    </w:pPr>
    <w:rPr>
      <w:rFonts w:asciiTheme="majorHAnsi" w:hAnsiTheme="majorHAnsi"/>
      <w:caps/>
      <w:color w:val="365F91" w:themeColor="accent1" w:themeShade="BF"/>
      <w:sz w:val="28"/>
      <w:lang w:val="en-US" w:eastAsia="ja-JP"/>
    </w:rPr>
  </w:style>
  <w:style w:type="paragraph" w:styleId="TOC1">
    <w:name w:val="toc 1"/>
    <w:basedOn w:val="Normal"/>
    <w:next w:val="Normal"/>
    <w:autoRedefine/>
    <w:uiPriority w:val="39"/>
    <w:unhideWhenUsed/>
    <w:pPr>
      <w:spacing w:after="100" w:line="240" w:lineRule="auto"/>
    </w:pPr>
  </w:style>
  <w:style w:type="paragraph" w:styleId="TOC2">
    <w:name w:val="toc 2"/>
    <w:basedOn w:val="Normal"/>
    <w:next w:val="Normal"/>
    <w:autoRedefine/>
    <w:uiPriority w:val="39"/>
    <w:unhideWhenUsed/>
    <w:pPr>
      <w:tabs>
        <w:tab w:val="right" w:leader="dot" w:pos="9628"/>
      </w:tabs>
      <w:spacing w:after="100" w:line="240" w:lineRule="auto"/>
      <w:ind w:left="220"/>
    </w:pPr>
    <w:rPr>
      <w:rFonts w:ascii="Verdana" w:hAnsi="Verdana"/>
      <w:noProof/>
    </w:rPr>
  </w:style>
  <w:style w:type="paragraph" w:styleId="TOC3">
    <w:name w:val="toc 3"/>
    <w:basedOn w:val="Normal"/>
    <w:next w:val="Normal"/>
    <w:autoRedefine/>
    <w:uiPriority w:val="39"/>
    <w:unhideWhenUsed/>
    <w:pPr>
      <w:spacing w:after="100" w:line="240" w:lineRule="auto"/>
      <w:ind w:left="440"/>
    </w:pPr>
  </w:style>
  <w:style w:type="paragraph" w:customStyle="1" w:styleId="Body">
    <w:name w:val="Body"/>
    <w:basedOn w:val="Normal"/>
    <w:link w:val="BodyChar"/>
    <w:qFormat/>
    <w:pPr>
      <w:keepNext/>
      <w:autoSpaceDE w:val="0"/>
      <w:autoSpaceDN w:val="0"/>
      <w:adjustRightInd w:val="0"/>
      <w:spacing w:after="120" w:line="240" w:lineRule="auto"/>
      <w:jc w:val="both"/>
    </w:pPr>
    <w:rPr>
      <w:rFonts w:ascii="Verdana" w:eastAsia="Times New Roman" w:hAnsi="Verdana" w:cs="Times New Roman"/>
      <w:noProof/>
      <w:sz w:val="20"/>
      <w:szCs w:val="20"/>
      <w:lang w:val="fr-BE" w:eastAsia="en-GB"/>
    </w:rPr>
  </w:style>
  <w:style w:type="character" w:customStyle="1" w:styleId="BodyChar">
    <w:name w:val="Body Char"/>
    <w:link w:val="Body"/>
    <w:rPr>
      <w:rFonts w:ascii="Verdana" w:eastAsia="Times New Roman" w:hAnsi="Verdana" w:cs="Times New Roman"/>
      <w:noProof/>
      <w:sz w:val="20"/>
      <w:szCs w:val="20"/>
      <w:lang w:val="fr-BE"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ITLE">
    <w:name w:val="BOX-TITLE"/>
    <w:basedOn w:val="Body"/>
    <w:link w:val="BOX-TITLEChar"/>
    <w:qFormat/>
    <w:pPr>
      <w:shd w:val="clear" w:color="auto" w:fill="4F81BD" w:themeFill="accent1"/>
    </w:pPr>
    <w:rPr>
      <w:rFonts w:ascii="Times New Roman" w:hAnsi="Times New Roman"/>
      <w:color w:val="FFFFFF" w:themeColor="background1"/>
      <w:sz w:val="24"/>
      <w:szCs w:val="24"/>
    </w:rPr>
  </w:style>
  <w:style w:type="character" w:customStyle="1" w:styleId="BOX-TITLEChar">
    <w:name w:val="BOX-TITLE Char"/>
    <w:basedOn w:val="BodyChar"/>
    <w:link w:val="BOX-TITLE"/>
    <w:rPr>
      <w:rFonts w:ascii="Times New Roman" w:eastAsia="Times New Roman" w:hAnsi="Times New Roman" w:cs="Times New Roman"/>
      <w:noProof/>
      <w:color w:val="FFFFFF" w:themeColor="background1"/>
      <w:sz w:val="24"/>
      <w:szCs w:val="24"/>
      <w:shd w:val="clear" w:color="auto" w:fill="4F81BD" w:themeFill="accent1"/>
      <w:lang w:val="fr-BE" w:eastAsia="en-GB"/>
    </w:rPr>
  </w:style>
  <w:style w:type="table" w:customStyle="1" w:styleId="LightGrid1">
    <w:name w:val="Light Grid1"/>
    <w:basedOn w:val="TableNormal"/>
    <w:uiPriority w:val="62"/>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Title">
    <w:name w:val="TableTitle"/>
    <w:aliases w:val="Table,AnnexTable,AnnexFigure,Figure,ESTable,ESTableLeft,TableSimpleNo,TableLeft,ESFigure,ESFigureLeft"/>
    <w:basedOn w:val="Heading3"/>
    <w:uiPriority w:val="29"/>
    <w:qFormat/>
    <w:pPr>
      <w:numPr>
        <w:numId w:val="8"/>
      </w:numPr>
      <w:tabs>
        <w:tab w:val="clear" w:pos="1077"/>
        <w:tab w:val="num" w:pos="360"/>
      </w:tabs>
      <w:spacing w:before="120" w:after="120"/>
      <w:ind w:left="0" w:firstLine="0"/>
    </w:pPr>
    <w:rPr>
      <w:b w:val="0"/>
    </w:rPr>
  </w:style>
  <w:style w:type="paragraph" w:customStyle="1" w:styleId="Heading2NoNumb">
    <w:name w:val="Heading 2NoNumb"/>
    <w:aliases w:val="Heading2NoNumb,BoxTitle"/>
    <w:basedOn w:val="Heading2"/>
    <w:next w:val="Normal"/>
    <w:uiPriority w:val="5"/>
    <w:qFormat/>
    <w:pPr>
      <w:spacing w:before="120" w:after="120"/>
    </w:pPr>
    <w:rPr>
      <w:sz w:val="22"/>
    </w:rPr>
  </w:style>
  <w:style w:type="numbering" w:customStyle="1" w:styleId="NumblistTables">
    <w:name w:val="Numblist Tables"/>
    <w:uiPriority w:val="99"/>
    <w:pPr>
      <w:numPr>
        <w:numId w:val="8"/>
      </w:numPr>
    </w:pPr>
  </w:style>
  <w:style w:type="character" w:customStyle="1" w:styleId="st1">
    <w:name w:val="st1"/>
    <w:basedOn w:val="DefaultParagraphFont"/>
  </w:style>
  <w:style w:type="paragraph" w:customStyle="1" w:styleId="bullet10">
    <w:name w:val="bullet10"/>
    <w:basedOn w:val="Normal"/>
    <w:pPr>
      <w:spacing w:before="100" w:beforeAutospacing="1" w:after="100" w:afterAutospacing="1" w:line="240" w:lineRule="auto"/>
    </w:pPr>
    <w:rPr>
      <w:rFonts w:ascii="Times" w:hAnsi="Times"/>
      <w:sz w:val="20"/>
      <w:szCs w:val="20"/>
      <w:lang w:val="it-IT" w:eastAsia="de-D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horttext">
    <w:name w:val="short_text"/>
    <w:basedOn w:val="DefaultParagraphFont"/>
  </w:style>
  <w:style w:type="table" w:customStyle="1" w:styleId="HTG1">
    <w:name w:val="HTG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customStyle="1" w:styleId="info">
    <w:name w:val="info"/>
    <w:basedOn w:val="DefaultParagraphFont"/>
  </w:style>
  <w:style w:type="paragraph" w:customStyle="1" w:styleId="Normal1">
    <w:name w:val="Normal1"/>
    <w:basedOn w:val="Normal"/>
    <w:pPr>
      <w:spacing w:before="100" w:beforeAutospacing="1" w:after="100" w:afterAutospacing="1" w:line="240" w:lineRule="auto"/>
    </w:pPr>
    <w:rPr>
      <w:rFonts w:ascii="Times" w:hAnsi="Times"/>
      <w:sz w:val="20"/>
      <w:szCs w:val="20"/>
      <w:lang w:val="de-DE"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0"/>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0"/>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p1">
    <w:name w:val="p1"/>
    <w:basedOn w:val="Normal"/>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Pr>
      <w:rFonts w:ascii=".SFUIText" w:hAnsi=".SFUIText" w:hint="default"/>
      <w:b w:val="0"/>
      <w:bCs w:val="0"/>
      <w:i w:val="0"/>
      <w:iCs w:val="0"/>
      <w:sz w:val="34"/>
      <w:szCs w:val="34"/>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075">
      <w:bodyDiv w:val="1"/>
      <w:marLeft w:val="0"/>
      <w:marRight w:val="0"/>
      <w:marTop w:val="0"/>
      <w:marBottom w:val="0"/>
      <w:divBdr>
        <w:top w:val="none" w:sz="0" w:space="0" w:color="auto"/>
        <w:left w:val="none" w:sz="0" w:space="0" w:color="auto"/>
        <w:bottom w:val="none" w:sz="0" w:space="0" w:color="auto"/>
        <w:right w:val="none" w:sz="0" w:space="0" w:color="auto"/>
      </w:divBdr>
    </w:div>
    <w:div w:id="76556016">
      <w:bodyDiv w:val="1"/>
      <w:marLeft w:val="0"/>
      <w:marRight w:val="0"/>
      <w:marTop w:val="0"/>
      <w:marBottom w:val="0"/>
      <w:divBdr>
        <w:top w:val="none" w:sz="0" w:space="0" w:color="auto"/>
        <w:left w:val="none" w:sz="0" w:space="0" w:color="auto"/>
        <w:bottom w:val="none" w:sz="0" w:space="0" w:color="auto"/>
        <w:right w:val="none" w:sz="0" w:space="0" w:color="auto"/>
      </w:divBdr>
    </w:div>
    <w:div w:id="81798926">
      <w:bodyDiv w:val="1"/>
      <w:marLeft w:val="0"/>
      <w:marRight w:val="0"/>
      <w:marTop w:val="0"/>
      <w:marBottom w:val="0"/>
      <w:divBdr>
        <w:top w:val="none" w:sz="0" w:space="0" w:color="auto"/>
        <w:left w:val="none" w:sz="0" w:space="0" w:color="auto"/>
        <w:bottom w:val="none" w:sz="0" w:space="0" w:color="auto"/>
        <w:right w:val="none" w:sz="0" w:space="0" w:color="auto"/>
      </w:divBdr>
    </w:div>
    <w:div w:id="134178177">
      <w:bodyDiv w:val="1"/>
      <w:marLeft w:val="0"/>
      <w:marRight w:val="0"/>
      <w:marTop w:val="0"/>
      <w:marBottom w:val="0"/>
      <w:divBdr>
        <w:top w:val="none" w:sz="0" w:space="0" w:color="auto"/>
        <w:left w:val="none" w:sz="0" w:space="0" w:color="auto"/>
        <w:bottom w:val="none" w:sz="0" w:space="0" w:color="auto"/>
        <w:right w:val="none" w:sz="0" w:space="0" w:color="auto"/>
      </w:divBdr>
    </w:div>
    <w:div w:id="208491304">
      <w:bodyDiv w:val="1"/>
      <w:marLeft w:val="0"/>
      <w:marRight w:val="0"/>
      <w:marTop w:val="0"/>
      <w:marBottom w:val="0"/>
      <w:divBdr>
        <w:top w:val="none" w:sz="0" w:space="0" w:color="auto"/>
        <w:left w:val="none" w:sz="0" w:space="0" w:color="auto"/>
        <w:bottom w:val="none" w:sz="0" w:space="0" w:color="auto"/>
        <w:right w:val="none" w:sz="0" w:space="0" w:color="auto"/>
      </w:divBdr>
    </w:div>
    <w:div w:id="264584317">
      <w:bodyDiv w:val="1"/>
      <w:marLeft w:val="0"/>
      <w:marRight w:val="0"/>
      <w:marTop w:val="0"/>
      <w:marBottom w:val="0"/>
      <w:divBdr>
        <w:top w:val="none" w:sz="0" w:space="0" w:color="auto"/>
        <w:left w:val="none" w:sz="0" w:space="0" w:color="auto"/>
        <w:bottom w:val="none" w:sz="0" w:space="0" w:color="auto"/>
        <w:right w:val="none" w:sz="0" w:space="0" w:color="auto"/>
      </w:divBdr>
    </w:div>
    <w:div w:id="335233867">
      <w:bodyDiv w:val="1"/>
      <w:marLeft w:val="0"/>
      <w:marRight w:val="0"/>
      <w:marTop w:val="0"/>
      <w:marBottom w:val="0"/>
      <w:divBdr>
        <w:top w:val="none" w:sz="0" w:space="0" w:color="auto"/>
        <w:left w:val="none" w:sz="0" w:space="0" w:color="auto"/>
        <w:bottom w:val="none" w:sz="0" w:space="0" w:color="auto"/>
        <w:right w:val="none" w:sz="0" w:space="0" w:color="auto"/>
      </w:divBdr>
    </w:div>
    <w:div w:id="400717981">
      <w:bodyDiv w:val="1"/>
      <w:marLeft w:val="0"/>
      <w:marRight w:val="0"/>
      <w:marTop w:val="0"/>
      <w:marBottom w:val="0"/>
      <w:divBdr>
        <w:top w:val="none" w:sz="0" w:space="0" w:color="auto"/>
        <w:left w:val="none" w:sz="0" w:space="0" w:color="auto"/>
        <w:bottom w:val="none" w:sz="0" w:space="0" w:color="auto"/>
        <w:right w:val="none" w:sz="0" w:space="0" w:color="auto"/>
      </w:divBdr>
    </w:div>
    <w:div w:id="436293279">
      <w:bodyDiv w:val="1"/>
      <w:marLeft w:val="0"/>
      <w:marRight w:val="0"/>
      <w:marTop w:val="0"/>
      <w:marBottom w:val="0"/>
      <w:divBdr>
        <w:top w:val="none" w:sz="0" w:space="0" w:color="auto"/>
        <w:left w:val="none" w:sz="0" w:space="0" w:color="auto"/>
        <w:bottom w:val="none" w:sz="0" w:space="0" w:color="auto"/>
        <w:right w:val="none" w:sz="0" w:space="0" w:color="auto"/>
      </w:divBdr>
    </w:div>
    <w:div w:id="442697645">
      <w:bodyDiv w:val="1"/>
      <w:marLeft w:val="0"/>
      <w:marRight w:val="0"/>
      <w:marTop w:val="0"/>
      <w:marBottom w:val="0"/>
      <w:divBdr>
        <w:top w:val="none" w:sz="0" w:space="0" w:color="auto"/>
        <w:left w:val="none" w:sz="0" w:space="0" w:color="auto"/>
        <w:bottom w:val="none" w:sz="0" w:space="0" w:color="auto"/>
        <w:right w:val="none" w:sz="0" w:space="0" w:color="auto"/>
      </w:divBdr>
    </w:div>
    <w:div w:id="595287675">
      <w:bodyDiv w:val="1"/>
      <w:marLeft w:val="0"/>
      <w:marRight w:val="0"/>
      <w:marTop w:val="0"/>
      <w:marBottom w:val="0"/>
      <w:divBdr>
        <w:top w:val="none" w:sz="0" w:space="0" w:color="auto"/>
        <w:left w:val="none" w:sz="0" w:space="0" w:color="auto"/>
        <w:bottom w:val="none" w:sz="0" w:space="0" w:color="auto"/>
        <w:right w:val="none" w:sz="0" w:space="0" w:color="auto"/>
      </w:divBdr>
    </w:div>
    <w:div w:id="613364770">
      <w:bodyDiv w:val="1"/>
      <w:marLeft w:val="0"/>
      <w:marRight w:val="0"/>
      <w:marTop w:val="0"/>
      <w:marBottom w:val="0"/>
      <w:divBdr>
        <w:top w:val="none" w:sz="0" w:space="0" w:color="auto"/>
        <w:left w:val="none" w:sz="0" w:space="0" w:color="auto"/>
        <w:bottom w:val="none" w:sz="0" w:space="0" w:color="auto"/>
        <w:right w:val="none" w:sz="0" w:space="0" w:color="auto"/>
      </w:divBdr>
    </w:div>
    <w:div w:id="625889419">
      <w:bodyDiv w:val="1"/>
      <w:marLeft w:val="0"/>
      <w:marRight w:val="0"/>
      <w:marTop w:val="0"/>
      <w:marBottom w:val="0"/>
      <w:divBdr>
        <w:top w:val="none" w:sz="0" w:space="0" w:color="auto"/>
        <w:left w:val="none" w:sz="0" w:space="0" w:color="auto"/>
        <w:bottom w:val="none" w:sz="0" w:space="0" w:color="auto"/>
        <w:right w:val="none" w:sz="0" w:space="0" w:color="auto"/>
      </w:divBdr>
    </w:div>
    <w:div w:id="674966002">
      <w:bodyDiv w:val="1"/>
      <w:marLeft w:val="0"/>
      <w:marRight w:val="0"/>
      <w:marTop w:val="0"/>
      <w:marBottom w:val="0"/>
      <w:divBdr>
        <w:top w:val="none" w:sz="0" w:space="0" w:color="auto"/>
        <w:left w:val="none" w:sz="0" w:space="0" w:color="auto"/>
        <w:bottom w:val="none" w:sz="0" w:space="0" w:color="auto"/>
        <w:right w:val="none" w:sz="0" w:space="0" w:color="auto"/>
      </w:divBdr>
    </w:div>
    <w:div w:id="716315855">
      <w:bodyDiv w:val="1"/>
      <w:marLeft w:val="0"/>
      <w:marRight w:val="0"/>
      <w:marTop w:val="0"/>
      <w:marBottom w:val="0"/>
      <w:divBdr>
        <w:top w:val="none" w:sz="0" w:space="0" w:color="auto"/>
        <w:left w:val="none" w:sz="0" w:space="0" w:color="auto"/>
        <w:bottom w:val="none" w:sz="0" w:space="0" w:color="auto"/>
        <w:right w:val="none" w:sz="0" w:space="0" w:color="auto"/>
      </w:divBdr>
    </w:div>
    <w:div w:id="740568871">
      <w:bodyDiv w:val="1"/>
      <w:marLeft w:val="0"/>
      <w:marRight w:val="0"/>
      <w:marTop w:val="0"/>
      <w:marBottom w:val="0"/>
      <w:divBdr>
        <w:top w:val="none" w:sz="0" w:space="0" w:color="auto"/>
        <w:left w:val="none" w:sz="0" w:space="0" w:color="auto"/>
        <w:bottom w:val="none" w:sz="0" w:space="0" w:color="auto"/>
        <w:right w:val="none" w:sz="0" w:space="0" w:color="auto"/>
      </w:divBdr>
    </w:div>
    <w:div w:id="756710195">
      <w:bodyDiv w:val="1"/>
      <w:marLeft w:val="0"/>
      <w:marRight w:val="0"/>
      <w:marTop w:val="0"/>
      <w:marBottom w:val="0"/>
      <w:divBdr>
        <w:top w:val="none" w:sz="0" w:space="0" w:color="auto"/>
        <w:left w:val="none" w:sz="0" w:space="0" w:color="auto"/>
        <w:bottom w:val="none" w:sz="0" w:space="0" w:color="auto"/>
        <w:right w:val="none" w:sz="0" w:space="0" w:color="auto"/>
      </w:divBdr>
    </w:div>
    <w:div w:id="770932291">
      <w:bodyDiv w:val="1"/>
      <w:marLeft w:val="0"/>
      <w:marRight w:val="0"/>
      <w:marTop w:val="0"/>
      <w:marBottom w:val="0"/>
      <w:divBdr>
        <w:top w:val="none" w:sz="0" w:space="0" w:color="auto"/>
        <w:left w:val="none" w:sz="0" w:space="0" w:color="auto"/>
        <w:bottom w:val="none" w:sz="0" w:space="0" w:color="auto"/>
        <w:right w:val="none" w:sz="0" w:space="0" w:color="auto"/>
      </w:divBdr>
    </w:div>
    <w:div w:id="829295723">
      <w:bodyDiv w:val="1"/>
      <w:marLeft w:val="0"/>
      <w:marRight w:val="0"/>
      <w:marTop w:val="0"/>
      <w:marBottom w:val="0"/>
      <w:divBdr>
        <w:top w:val="none" w:sz="0" w:space="0" w:color="auto"/>
        <w:left w:val="none" w:sz="0" w:space="0" w:color="auto"/>
        <w:bottom w:val="none" w:sz="0" w:space="0" w:color="auto"/>
        <w:right w:val="none" w:sz="0" w:space="0" w:color="auto"/>
      </w:divBdr>
    </w:div>
    <w:div w:id="865484895">
      <w:bodyDiv w:val="1"/>
      <w:marLeft w:val="0"/>
      <w:marRight w:val="0"/>
      <w:marTop w:val="0"/>
      <w:marBottom w:val="0"/>
      <w:divBdr>
        <w:top w:val="none" w:sz="0" w:space="0" w:color="auto"/>
        <w:left w:val="none" w:sz="0" w:space="0" w:color="auto"/>
        <w:bottom w:val="none" w:sz="0" w:space="0" w:color="auto"/>
        <w:right w:val="none" w:sz="0" w:space="0" w:color="auto"/>
      </w:divBdr>
    </w:div>
    <w:div w:id="870194123">
      <w:bodyDiv w:val="1"/>
      <w:marLeft w:val="0"/>
      <w:marRight w:val="0"/>
      <w:marTop w:val="0"/>
      <w:marBottom w:val="0"/>
      <w:divBdr>
        <w:top w:val="none" w:sz="0" w:space="0" w:color="auto"/>
        <w:left w:val="none" w:sz="0" w:space="0" w:color="auto"/>
        <w:bottom w:val="none" w:sz="0" w:space="0" w:color="auto"/>
        <w:right w:val="none" w:sz="0" w:space="0" w:color="auto"/>
      </w:divBdr>
    </w:div>
    <w:div w:id="889074254">
      <w:bodyDiv w:val="1"/>
      <w:marLeft w:val="0"/>
      <w:marRight w:val="0"/>
      <w:marTop w:val="0"/>
      <w:marBottom w:val="0"/>
      <w:divBdr>
        <w:top w:val="none" w:sz="0" w:space="0" w:color="auto"/>
        <w:left w:val="none" w:sz="0" w:space="0" w:color="auto"/>
        <w:bottom w:val="none" w:sz="0" w:space="0" w:color="auto"/>
        <w:right w:val="none" w:sz="0" w:space="0" w:color="auto"/>
      </w:divBdr>
    </w:div>
    <w:div w:id="889338414">
      <w:bodyDiv w:val="1"/>
      <w:marLeft w:val="0"/>
      <w:marRight w:val="0"/>
      <w:marTop w:val="0"/>
      <w:marBottom w:val="0"/>
      <w:divBdr>
        <w:top w:val="none" w:sz="0" w:space="0" w:color="auto"/>
        <w:left w:val="none" w:sz="0" w:space="0" w:color="auto"/>
        <w:bottom w:val="none" w:sz="0" w:space="0" w:color="auto"/>
        <w:right w:val="none" w:sz="0" w:space="0" w:color="auto"/>
      </w:divBdr>
    </w:div>
    <w:div w:id="897131217">
      <w:bodyDiv w:val="1"/>
      <w:marLeft w:val="0"/>
      <w:marRight w:val="0"/>
      <w:marTop w:val="0"/>
      <w:marBottom w:val="0"/>
      <w:divBdr>
        <w:top w:val="none" w:sz="0" w:space="0" w:color="auto"/>
        <w:left w:val="none" w:sz="0" w:space="0" w:color="auto"/>
        <w:bottom w:val="none" w:sz="0" w:space="0" w:color="auto"/>
        <w:right w:val="none" w:sz="0" w:space="0" w:color="auto"/>
      </w:divBdr>
    </w:div>
    <w:div w:id="929779449">
      <w:bodyDiv w:val="1"/>
      <w:marLeft w:val="0"/>
      <w:marRight w:val="0"/>
      <w:marTop w:val="0"/>
      <w:marBottom w:val="0"/>
      <w:divBdr>
        <w:top w:val="none" w:sz="0" w:space="0" w:color="auto"/>
        <w:left w:val="none" w:sz="0" w:space="0" w:color="auto"/>
        <w:bottom w:val="none" w:sz="0" w:space="0" w:color="auto"/>
        <w:right w:val="none" w:sz="0" w:space="0" w:color="auto"/>
      </w:divBdr>
    </w:div>
    <w:div w:id="942153084">
      <w:bodyDiv w:val="1"/>
      <w:marLeft w:val="0"/>
      <w:marRight w:val="0"/>
      <w:marTop w:val="0"/>
      <w:marBottom w:val="0"/>
      <w:divBdr>
        <w:top w:val="none" w:sz="0" w:space="0" w:color="auto"/>
        <w:left w:val="none" w:sz="0" w:space="0" w:color="auto"/>
        <w:bottom w:val="none" w:sz="0" w:space="0" w:color="auto"/>
        <w:right w:val="none" w:sz="0" w:space="0" w:color="auto"/>
      </w:divBdr>
    </w:div>
    <w:div w:id="1010253384">
      <w:bodyDiv w:val="1"/>
      <w:marLeft w:val="0"/>
      <w:marRight w:val="0"/>
      <w:marTop w:val="0"/>
      <w:marBottom w:val="0"/>
      <w:divBdr>
        <w:top w:val="none" w:sz="0" w:space="0" w:color="auto"/>
        <w:left w:val="none" w:sz="0" w:space="0" w:color="auto"/>
        <w:bottom w:val="none" w:sz="0" w:space="0" w:color="auto"/>
        <w:right w:val="none" w:sz="0" w:space="0" w:color="auto"/>
      </w:divBdr>
    </w:div>
    <w:div w:id="1019815451">
      <w:bodyDiv w:val="1"/>
      <w:marLeft w:val="0"/>
      <w:marRight w:val="0"/>
      <w:marTop w:val="0"/>
      <w:marBottom w:val="0"/>
      <w:divBdr>
        <w:top w:val="none" w:sz="0" w:space="0" w:color="auto"/>
        <w:left w:val="none" w:sz="0" w:space="0" w:color="auto"/>
        <w:bottom w:val="none" w:sz="0" w:space="0" w:color="auto"/>
        <w:right w:val="none" w:sz="0" w:space="0" w:color="auto"/>
      </w:divBdr>
    </w:div>
    <w:div w:id="1039355210">
      <w:bodyDiv w:val="1"/>
      <w:marLeft w:val="0"/>
      <w:marRight w:val="0"/>
      <w:marTop w:val="0"/>
      <w:marBottom w:val="0"/>
      <w:divBdr>
        <w:top w:val="none" w:sz="0" w:space="0" w:color="auto"/>
        <w:left w:val="none" w:sz="0" w:space="0" w:color="auto"/>
        <w:bottom w:val="none" w:sz="0" w:space="0" w:color="auto"/>
        <w:right w:val="none" w:sz="0" w:space="0" w:color="auto"/>
      </w:divBdr>
    </w:div>
    <w:div w:id="1103961174">
      <w:bodyDiv w:val="1"/>
      <w:marLeft w:val="0"/>
      <w:marRight w:val="0"/>
      <w:marTop w:val="0"/>
      <w:marBottom w:val="0"/>
      <w:divBdr>
        <w:top w:val="none" w:sz="0" w:space="0" w:color="auto"/>
        <w:left w:val="none" w:sz="0" w:space="0" w:color="auto"/>
        <w:bottom w:val="none" w:sz="0" w:space="0" w:color="auto"/>
        <w:right w:val="none" w:sz="0" w:space="0" w:color="auto"/>
      </w:divBdr>
    </w:div>
    <w:div w:id="1134328519">
      <w:bodyDiv w:val="1"/>
      <w:marLeft w:val="0"/>
      <w:marRight w:val="0"/>
      <w:marTop w:val="0"/>
      <w:marBottom w:val="0"/>
      <w:divBdr>
        <w:top w:val="none" w:sz="0" w:space="0" w:color="auto"/>
        <w:left w:val="none" w:sz="0" w:space="0" w:color="auto"/>
        <w:bottom w:val="none" w:sz="0" w:space="0" w:color="auto"/>
        <w:right w:val="none" w:sz="0" w:space="0" w:color="auto"/>
      </w:divBdr>
    </w:div>
    <w:div w:id="1155031540">
      <w:bodyDiv w:val="1"/>
      <w:marLeft w:val="0"/>
      <w:marRight w:val="0"/>
      <w:marTop w:val="0"/>
      <w:marBottom w:val="0"/>
      <w:divBdr>
        <w:top w:val="none" w:sz="0" w:space="0" w:color="auto"/>
        <w:left w:val="none" w:sz="0" w:space="0" w:color="auto"/>
        <w:bottom w:val="none" w:sz="0" w:space="0" w:color="auto"/>
        <w:right w:val="none" w:sz="0" w:space="0" w:color="auto"/>
      </w:divBdr>
    </w:div>
    <w:div w:id="1165586724">
      <w:bodyDiv w:val="1"/>
      <w:marLeft w:val="0"/>
      <w:marRight w:val="0"/>
      <w:marTop w:val="0"/>
      <w:marBottom w:val="0"/>
      <w:divBdr>
        <w:top w:val="none" w:sz="0" w:space="0" w:color="auto"/>
        <w:left w:val="none" w:sz="0" w:space="0" w:color="auto"/>
        <w:bottom w:val="none" w:sz="0" w:space="0" w:color="auto"/>
        <w:right w:val="none" w:sz="0" w:space="0" w:color="auto"/>
      </w:divBdr>
    </w:div>
    <w:div w:id="1195734845">
      <w:bodyDiv w:val="1"/>
      <w:marLeft w:val="0"/>
      <w:marRight w:val="0"/>
      <w:marTop w:val="0"/>
      <w:marBottom w:val="0"/>
      <w:divBdr>
        <w:top w:val="none" w:sz="0" w:space="0" w:color="auto"/>
        <w:left w:val="none" w:sz="0" w:space="0" w:color="auto"/>
        <w:bottom w:val="none" w:sz="0" w:space="0" w:color="auto"/>
        <w:right w:val="none" w:sz="0" w:space="0" w:color="auto"/>
      </w:divBdr>
    </w:div>
    <w:div w:id="1261337249">
      <w:bodyDiv w:val="1"/>
      <w:marLeft w:val="0"/>
      <w:marRight w:val="0"/>
      <w:marTop w:val="0"/>
      <w:marBottom w:val="0"/>
      <w:divBdr>
        <w:top w:val="none" w:sz="0" w:space="0" w:color="auto"/>
        <w:left w:val="none" w:sz="0" w:space="0" w:color="auto"/>
        <w:bottom w:val="none" w:sz="0" w:space="0" w:color="auto"/>
        <w:right w:val="none" w:sz="0" w:space="0" w:color="auto"/>
      </w:divBdr>
    </w:div>
    <w:div w:id="1283920729">
      <w:bodyDiv w:val="1"/>
      <w:marLeft w:val="0"/>
      <w:marRight w:val="0"/>
      <w:marTop w:val="0"/>
      <w:marBottom w:val="0"/>
      <w:divBdr>
        <w:top w:val="none" w:sz="0" w:space="0" w:color="auto"/>
        <w:left w:val="none" w:sz="0" w:space="0" w:color="auto"/>
        <w:bottom w:val="none" w:sz="0" w:space="0" w:color="auto"/>
        <w:right w:val="none" w:sz="0" w:space="0" w:color="auto"/>
      </w:divBdr>
    </w:div>
    <w:div w:id="1406493651">
      <w:bodyDiv w:val="1"/>
      <w:marLeft w:val="0"/>
      <w:marRight w:val="0"/>
      <w:marTop w:val="0"/>
      <w:marBottom w:val="0"/>
      <w:divBdr>
        <w:top w:val="none" w:sz="0" w:space="0" w:color="auto"/>
        <w:left w:val="none" w:sz="0" w:space="0" w:color="auto"/>
        <w:bottom w:val="none" w:sz="0" w:space="0" w:color="auto"/>
        <w:right w:val="none" w:sz="0" w:space="0" w:color="auto"/>
      </w:divBdr>
    </w:div>
    <w:div w:id="1425297318">
      <w:bodyDiv w:val="1"/>
      <w:marLeft w:val="0"/>
      <w:marRight w:val="0"/>
      <w:marTop w:val="0"/>
      <w:marBottom w:val="0"/>
      <w:divBdr>
        <w:top w:val="none" w:sz="0" w:space="0" w:color="auto"/>
        <w:left w:val="none" w:sz="0" w:space="0" w:color="auto"/>
        <w:bottom w:val="none" w:sz="0" w:space="0" w:color="auto"/>
        <w:right w:val="none" w:sz="0" w:space="0" w:color="auto"/>
      </w:divBdr>
    </w:div>
    <w:div w:id="1467623695">
      <w:bodyDiv w:val="1"/>
      <w:marLeft w:val="0"/>
      <w:marRight w:val="0"/>
      <w:marTop w:val="0"/>
      <w:marBottom w:val="0"/>
      <w:divBdr>
        <w:top w:val="none" w:sz="0" w:space="0" w:color="auto"/>
        <w:left w:val="none" w:sz="0" w:space="0" w:color="auto"/>
        <w:bottom w:val="none" w:sz="0" w:space="0" w:color="auto"/>
        <w:right w:val="none" w:sz="0" w:space="0" w:color="auto"/>
      </w:divBdr>
    </w:div>
    <w:div w:id="1519464143">
      <w:bodyDiv w:val="1"/>
      <w:marLeft w:val="0"/>
      <w:marRight w:val="0"/>
      <w:marTop w:val="0"/>
      <w:marBottom w:val="0"/>
      <w:divBdr>
        <w:top w:val="none" w:sz="0" w:space="0" w:color="auto"/>
        <w:left w:val="none" w:sz="0" w:space="0" w:color="auto"/>
        <w:bottom w:val="none" w:sz="0" w:space="0" w:color="auto"/>
        <w:right w:val="none" w:sz="0" w:space="0" w:color="auto"/>
      </w:divBdr>
    </w:div>
    <w:div w:id="1524129134">
      <w:bodyDiv w:val="1"/>
      <w:marLeft w:val="0"/>
      <w:marRight w:val="0"/>
      <w:marTop w:val="0"/>
      <w:marBottom w:val="0"/>
      <w:divBdr>
        <w:top w:val="none" w:sz="0" w:space="0" w:color="auto"/>
        <w:left w:val="none" w:sz="0" w:space="0" w:color="auto"/>
        <w:bottom w:val="none" w:sz="0" w:space="0" w:color="auto"/>
        <w:right w:val="none" w:sz="0" w:space="0" w:color="auto"/>
      </w:divBdr>
    </w:div>
    <w:div w:id="1530681261">
      <w:bodyDiv w:val="1"/>
      <w:marLeft w:val="0"/>
      <w:marRight w:val="0"/>
      <w:marTop w:val="0"/>
      <w:marBottom w:val="0"/>
      <w:divBdr>
        <w:top w:val="none" w:sz="0" w:space="0" w:color="auto"/>
        <w:left w:val="none" w:sz="0" w:space="0" w:color="auto"/>
        <w:bottom w:val="none" w:sz="0" w:space="0" w:color="auto"/>
        <w:right w:val="none" w:sz="0" w:space="0" w:color="auto"/>
      </w:divBdr>
    </w:div>
    <w:div w:id="1643343119">
      <w:bodyDiv w:val="1"/>
      <w:marLeft w:val="0"/>
      <w:marRight w:val="0"/>
      <w:marTop w:val="0"/>
      <w:marBottom w:val="0"/>
      <w:divBdr>
        <w:top w:val="none" w:sz="0" w:space="0" w:color="auto"/>
        <w:left w:val="none" w:sz="0" w:space="0" w:color="auto"/>
        <w:bottom w:val="none" w:sz="0" w:space="0" w:color="auto"/>
        <w:right w:val="none" w:sz="0" w:space="0" w:color="auto"/>
      </w:divBdr>
    </w:div>
    <w:div w:id="1662077293">
      <w:bodyDiv w:val="1"/>
      <w:marLeft w:val="0"/>
      <w:marRight w:val="0"/>
      <w:marTop w:val="0"/>
      <w:marBottom w:val="0"/>
      <w:divBdr>
        <w:top w:val="none" w:sz="0" w:space="0" w:color="auto"/>
        <w:left w:val="none" w:sz="0" w:space="0" w:color="auto"/>
        <w:bottom w:val="none" w:sz="0" w:space="0" w:color="auto"/>
        <w:right w:val="none" w:sz="0" w:space="0" w:color="auto"/>
      </w:divBdr>
    </w:div>
    <w:div w:id="1681155607">
      <w:bodyDiv w:val="1"/>
      <w:marLeft w:val="0"/>
      <w:marRight w:val="0"/>
      <w:marTop w:val="0"/>
      <w:marBottom w:val="0"/>
      <w:divBdr>
        <w:top w:val="none" w:sz="0" w:space="0" w:color="auto"/>
        <w:left w:val="none" w:sz="0" w:space="0" w:color="auto"/>
        <w:bottom w:val="none" w:sz="0" w:space="0" w:color="auto"/>
        <w:right w:val="none" w:sz="0" w:space="0" w:color="auto"/>
      </w:divBdr>
    </w:div>
    <w:div w:id="1686520031">
      <w:bodyDiv w:val="1"/>
      <w:marLeft w:val="0"/>
      <w:marRight w:val="0"/>
      <w:marTop w:val="0"/>
      <w:marBottom w:val="0"/>
      <w:divBdr>
        <w:top w:val="none" w:sz="0" w:space="0" w:color="auto"/>
        <w:left w:val="none" w:sz="0" w:space="0" w:color="auto"/>
        <w:bottom w:val="none" w:sz="0" w:space="0" w:color="auto"/>
        <w:right w:val="none" w:sz="0" w:space="0" w:color="auto"/>
      </w:divBdr>
    </w:div>
    <w:div w:id="1747801328">
      <w:bodyDiv w:val="1"/>
      <w:marLeft w:val="0"/>
      <w:marRight w:val="0"/>
      <w:marTop w:val="0"/>
      <w:marBottom w:val="0"/>
      <w:divBdr>
        <w:top w:val="none" w:sz="0" w:space="0" w:color="auto"/>
        <w:left w:val="none" w:sz="0" w:space="0" w:color="auto"/>
        <w:bottom w:val="none" w:sz="0" w:space="0" w:color="auto"/>
        <w:right w:val="none" w:sz="0" w:space="0" w:color="auto"/>
      </w:divBdr>
    </w:div>
    <w:div w:id="1780250070">
      <w:bodyDiv w:val="1"/>
      <w:marLeft w:val="0"/>
      <w:marRight w:val="0"/>
      <w:marTop w:val="0"/>
      <w:marBottom w:val="0"/>
      <w:divBdr>
        <w:top w:val="none" w:sz="0" w:space="0" w:color="auto"/>
        <w:left w:val="none" w:sz="0" w:space="0" w:color="auto"/>
        <w:bottom w:val="none" w:sz="0" w:space="0" w:color="auto"/>
        <w:right w:val="none" w:sz="0" w:space="0" w:color="auto"/>
      </w:divBdr>
    </w:div>
    <w:div w:id="1807971087">
      <w:bodyDiv w:val="1"/>
      <w:marLeft w:val="0"/>
      <w:marRight w:val="0"/>
      <w:marTop w:val="0"/>
      <w:marBottom w:val="0"/>
      <w:divBdr>
        <w:top w:val="none" w:sz="0" w:space="0" w:color="auto"/>
        <w:left w:val="none" w:sz="0" w:space="0" w:color="auto"/>
        <w:bottom w:val="none" w:sz="0" w:space="0" w:color="auto"/>
        <w:right w:val="none" w:sz="0" w:space="0" w:color="auto"/>
      </w:divBdr>
    </w:div>
    <w:div w:id="1810780620">
      <w:bodyDiv w:val="1"/>
      <w:marLeft w:val="0"/>
      <w:marRight w:val="0"/>
      <w:marTop w:val="0"/>
      <w:marBottom w:val="0"/>
      <w:divBdr>
        <w:top w:val="none" w:sz="0" w:space="0" w:color="auto"/>
        <w:left w:val="none" w:sz="0" w:space="0" w:color="auto"/>
        <w:bottom w:val="none" w:sz="0" w:space="0" w:color="auto"/>
        <w:right w:val="none" w:sz="0" w:space="0" w:color="auto"/>
      </w:divBdr>
    </w:div>
    <w:div w:id="1869677252">
      <w:bodyDiv w:val="1"/>
      <w:marLeft w:val="0"/>
      <w:marRight w:val="0"/>
      <w:marTop w:val="0"/>
      <w:marBottom w:val="0"/>
      <w:divBdr>
        <w:top w:val="none" w:sz="0" w:space="0" w:color="auto"/>
        <w:left w:val="none" w:sz="0" w:space="0" w:color="auto"/>
        <w:bottom w:val="none" w:sz="0" w:space="0" w:color="auto"/>
        <w:right w:val="none" w:sz="0" w:space="0" w:color="auto"/>
      </w:divBdr>
    </w:div>
    <w:div w:id="1881479152">
      <w:bodyDiv w:val="1"/>
      <w:marLeft w:val="0"/>
      <w:marRight w:val="0"/>
      <w:marTop w:val="0"/>
      <w:marBottom w:val="0"/>
      <w:divBdr>
        <w:top w:val="none" w:sz="0" w:space="0" w:color="auto"/>
        <w:left w:val="none" w:sz="0" w:space="0" w:color="auto"/>
        <w:bottom w:val="none" w:sz="0" w:space="0" w:color="auto"/>
        <w:right w:val="none" w:sz="0" w:space="0" w:color="auto"/>
      </w:divBdr>
    </w:div>
    <w:div w:id="1882014290">
      <w:bodyDiv w:val="1"/>
      <w:marLeft w:val="0"/>
      <w:marRight w:val="0"/>
      <w:marTop w:val="0"/>
      <w:marBottom w:val="0"/>
      <w:divBdr>
        <w:top w:val="none" w:sz="0" w:space="0" w:color="auto"/>
        <w:left w:val="none" w:sz="0" w:space="0" w:color="auto"/>
        <w:bottom w:val="none" w:sz="0" w:space="0" w:color="auto"/>
        <w:right w:val="none" w:sz="0" w:space="0" w:color="auto"/>
      </w:divBdr>
    </w:div>
    <w:div w:id="1909030830">
      <w:bodyDiv w:val="1"/>
      <w:marLeft w:val="0"/>
      <w:marRight w:val="0"/>
      <w:marTop w:val="0"/>
      <w:marBottom w:val="0"/>
      <w:divBdr>
        <w:top w:val="none" w:sz="0" w:space="0" w:color="auto"/>
        <w:left w:val="none" w:sz="0" w:space="0" w:color="auto"/>
        <w:bottom w:val="none" w:sz="0" w:space="0" w:color="auto"/>
        <w:right w:val="none" w:sz="0" w:space="0" w:color="auto"/>
      </w:divBdr>
    </w:div>
    <w:div w:id="1911962881">
      <w:bodyDiv w:val="1"/>
      <w:marLeft w:val="0"/>
      <w:marRight w:val="0"/>
      <w:marTop w:val="0"/>
      <w:marBottom w:val="0"/>
      <w:divBdr>
        <w:top w:val="none" w:sz="0" w:space="0" w:color="auto"/>
        <w:left w:val="none" w:sz="0" w:space="0" w:color="auto"/>
        <w:bottom w:val="none" w:sz="0" w:space="0" w:color="auto"/>
        <w:right w:val="none" w:sz="0" w:space="0" w:color="auto"/>
      </w:divBdr>
    </w:div>
    <w:div w:id="1914703744">
      <w:bodyDiv w:val="1"/>
      <w:marLeft w:val="0"/>
      <w:marRight w:val="0"/>
      <w:marTop w:val="0"/>
      <w:marBottom w:val="0"/>
      <w:divBdr>
        <w:top w:val="none" w:sz="0" w:space="0" w:color="auto"/>
        <w:left w:val="none" w:sz="0" w:space="0" w:color="auto"/>
        <w:bottom w:val="none" w:sz="0" w:space="0" w:color="auto"/>
        <w:right w:val="none" w:sz="0" w:space="0" w:color="auto"/>
      </w:divBdr>
    </w:div>
    <w:div w:id="1942831812">
      <w:bodyDiv w:val="1"/>
      <w:marLeft w:val="0"/>
      <w:marRight w:val="0"/>
      <w:marTop w:val="0"/>
      <w:marBottom w:val="0"/>
      <w:divBdr>
        <w:top w:val="none" w:sz="0" w:space="0" w:color="auto"/>
        <w:left w:val="none" w:sz="0" w:space="0" w:color="auto"/>
        <w:bottom w:val="none" w:sz="0" w:space="0" w:color="auto"/>
        <w:right w:val="none" w:sz="0" w:space="0" w:color="auto"/>
      </w:divBdr>
    </w:div>
    <w:div w:id="1948809942">
      <w:bodyDiv w:val="1"/>
      <w:marLeft w:val="0"/>
      <w:marRight w:val="0"/>
      <w:marTop w:val="0"/>
      <w:marBottom w:val="0"/>
      <w:divBdr>
        <w:top w:val="none" w:sz="0" w:space="0" w:color="auto"/>
        <w:left w:val="none" w:sz="0" w:space="0" w:color="auto"/>
        <w:bottom w:val="none" w:sz="0" w:space="0" w:color="auto"/>
        <w:right w:val="none" w:sz="0" w:space="0" w:color="auto"/>
      </w:divBdr>
    </w:div>
    <w:div w:id="1960797247">
      <w:bodyDiv w:val="1"/>
      <w:marLeft w:val="0"/>
      <w:marRight w:val="0"/>
      <w:marTop w:val="0"/>
      <w:marBottom w:val="0"/>
      <w:divBdr>
        <w:top w:val="none" w:sz="0" w:space="0" w:color="auto"/>
        <w:left w:val="none" w:sz="0" w:space="0" w:color="auto"/>
        <w:bottom w:val="none" w:sz="0" w:space="0" w:color="auto"/>
        <w:right w:val="none" w:sz="0" w:space="0" w:color="auto"/>
      </w:divBdr>
    </w:div>
    <w:div w:id="2041781179">
      <w:bodyDiv w:val="1"/>
      <w:marLeft w:val="0"/>
      <w:marRight w:val="0"/>
      <w:marTop w:val="0"/>
      <w:marBottom w:val="0"/>
      <w:divBdr>
        <w:top w:val="none" w:sz="0" w:space="0" w:color="auto"/>
        <w:left w:val="none" w:sz="0" w:space="0" w:color="auto"/>
        <w:bottom w:val="none" w:sz="0" w:space="0" w:color="auto"/>
        <w:right w:val="none" w:sz="0" w:space="0" w:color="auto"/>
      </w:divBdr>
    </w:div>
    <w:div w:id="2042171186">
      <w:bodyDiv w:val="1"/>
      <w:marLeft w:val="0"/>
      <w:marRight w:val="0"/>
      <w:marTop w:val="0"/>
      <w:marBottom w:val="0"/>
      <w:divBdr>
        <w:top w:val="none" w:sz="0" w:space="0" w:color="auto"/>
        <w:left w:val="none" w:sz="0" w:space="0" w:color="auto"/>
        <w:bottom w:val="none" w:sz="0" w:space="0" w:color="auto"/>
        <w:right w:val="none" w:sz="0" w:space="0" w:color="auto"/>
      </w:divBdr>
    </w:div>
    <w:div w:id="20579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chart" Target="charts/chart3.xml"/><Relationship Id="rId55" Type="http://schemas.openxmlformats.org/officeDocument/2006/relationships/header" Target="header21.xml"/><Relationship Id="rId63" Type="http://schemas.openxmlformats.org/officeDocument/2006/relationships/footer" Target="footer24.xml"/><Relationship Id="rId68" Type="http://schemas.openxmlformats.org/officeDocument/2006/relationships/footer" Target="footer25.xml"/><Relationship Id="rId76"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eader" Target="header9.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19.xml"/><Relationship Id="rId58" Type="http://schemas.openxmlformats.org/officeDocument/2006/relationships/header" Target="header22.xml"/><Relationship Id="rId66" Type="http://schemas.openxmlformats.org/officeDocument/2006/relationships/header" Target="header25.xml"/><Relationship Id="rId74" Type="http://schemas.openxmlformats.org/officeDocument/2006/relationships/footer" Target="footer28.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0.xml"/><Relationship Id="rId60" Type="http://schemas.openxmlformats.org/officeDocument/2006/relationships/footer" Target="footer22.xml"/><Relationship Id="rId65" Type="http://schemas.openxmlformats.org/officeDocument/2006/relationships/image" Target="media/image4.png"/><Relationship Id="rId73" Type="http://schemas.openxmlformats.org/officeDocument/2006/relationships/header" Target="header29.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1.xml"/><Relationship Id="rId64" Type="http://schemas.openxmlformats.org/officeDocument/2006/relationships/chart" Target="charts/chart5.xml"/><Relationship Id="rId69" Type="http://schemas.openxmlformats.org/officeDocument/2006/relationships/footer" Target="footer26.xml"/><Relationship Id="rId77" Type="http://schemas.openxmlformats.org/officeDocument/2006/relationships/footer" Target="footer30.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3.xml"/><Relationship Id="rId67" Type="http://schemas.openxmlformats.org/officeDocument/2006/relationships/header" Target="header26.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header" Target="header24.xml"/><Relationship Id="rId70" Type="http://schemas.openxmlformats.org/officeDocument/2006/relationships/header" Target="header27.xm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chart" Target="charts/chart2.xml"/><Relationship Id="rId57"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s://www.etui.org/" TargetMode="External"/><Relationship Id="rId2" Type="http://schemas.openxmlformats.org/officeDocument/2006/relationships/hyperlink" Target="http://ec.europa.eu/social/main.jsp?catId=1235&amp;langId=en" TargetMode="External"/><Relationship Id="rId1" Type="http://schemas.openxmlformats.org/officeDocument/2006/relationships/hyperlink" Target="http://ec.europa.eu/social/main.jsp?langId=en&amp;catId=1226&amp;eventsId=1187&amp;furtherEvents=yes" TargetMode="External"/><Relationship Id="rId5" Type="http://schemas.openxmlformats.org/officeDocument/2006/relationships/hyperlink" Target="http://www.strategie.gouv.fr/sites/strategie.gouv.fr/files/atoms/files/fs_rapport_cpa_final_2.pdf" TargetMode="External"/><Relationship Id="rId4" Type="http://schemas.openxmlformats.org/officeDocument/2006/relationships/hyperlink" Target="http://www.strategie.gouv.fr/sites/strategie.gouv.fr/files/atoms/files/note-cpa-trois-questions.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rckkr\Desktop\Social%20Pillar_box.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herckkr\Desktop\Copy%20of%20Social%20Pillar_box.xls"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4"/>
          <c:order val="3"/>
          <c:tx>
            <c:strRef>
              <c:f>'empl rates by edu - LS'!$B$10</c:f>
              <c:strCache>
                <c:ptCount val="1"/>
                <c:pt idx="0">
                  <c:v>% Low-qualified (rhs)</c:v>
                </c:pt>
              </c:strCache>
            </c:strRef>
          </c:tx>
          <c:spPr>
            <a:solidFill>
              <a:schemeClr val="accent2"/>
            </a:solidFill>
          </c:spPr>
          <c:invertIfNegative val="0"/>
          <c:cat>
            <c:numRef>
              <c:f>'empl rates by edu - LS'!$C$4:$P$4</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'empl rates by edu - LS'!$C$10:$P$10</c:f>
              <c:numCache>
                <c:formatCode>0.0</c:formatCode>
                <c:ptCount val="14"/>
                <c:pt idx="0">
                  <c:v>25.460322374875506</c:v>
                </c:pt>
                <c:pt idx="1">
                  <c:v>24.793931206095028</c:v>
                </c:pt>
                <c:pt idx="2">
                  <c:v>23.807456060444441</c:v>
                </c:pt>
                <c:pt idx="3">
                  <c:v>22.982141831646118</c:v>
                </c:pt>
                <c:pt idx="4">
                  <c:v>22.460278590119966</c:v>
                </c:pt>
                <c:pt idx="5">
                  <c:v>21.941457394392188</c:v>
                </c:pt>
                <c:pt idx="6">
                  <c:v>21.315679863975852</c:v>
                </c:pt>
                <c:pt idx="7">
                  <c:v>20.790170697094528</c:v>
                </c:pt>
                <c:pt idx="8">
                  <c:v>20.177826272296723</c:v>
                </c:pt>
                <c:pt idx="9">
                  <c:v>19.802802672444074</c:v>
                </c:pt>
                <c:pt idx="10">
                  <c:v>19.028247081917133</c:v>
                </c:pt>
                <c:pt idx="11">
                  <c:v>18.309169847652942</c:v>
                </c:pt>
                <c:pt idx="12">
                  <c:v>17.591451007279193</c:v>
                </c:pt>
                <c:pt idx="13">
                  <c:v>17.228969996396266</c:v>
                </c:pt>
              </c:numCache>
            </c:numRef>
          </c:val>
        </c:ser>
        <c:dLbls>
          <c:showLegendKey val="0"/>
          <c:showVal val="0"/>
          <c:showCatName val="0"/>
          <c:showSerName val="0"/>
          <c:showPercent val="0"/>
          <c:showBubbleSize val="0"/>
        </c:dLbls>
        <c:gapWidth val="150"/>
        <c:axId val="372342144"/>
        <c:axId val="372338688"/>
      </c:barChart>
      <c:lineChart>
        <c:grouping val="standard"/>
        <c:varyColors val="0"/>
        <c:ser>
          <c:idx val="1"/>
          <c:order val="0"/>
          <c:tx>
            <c:strRef>
              <c:f>'empl rates by edu - LS'!$B$5</c:f>
              <c:strCache>
                <c:ptCount val="1"/>
                <c:pt idx="0">
                  <c:v>ER low-qualified (lhs)</c:v>
                </c:pt>
              </c:strCache>
            </c:strRef>
          </c:tx>
          <c:spPr>
            <a:ln>
              <a:solidFill>
                <a:schemeClr val="accent5"/>
              </a:solidFill>
            </a:ln>
          </c:spPr>
          <c:marker>
            <c:symbol val="none"/>
          </c:marker>
          <c:cat>
            <c:numRef>
              <c:f>'empl rates by edu - LS'!$C$4:$P$4</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'empl rates by edu - LS'!$C$5:$P$5</c:f>
              <c:numCache>
                <c:formatCode>0.00</c:formatCode>
                <c:ptCount val="14"/>
                <c:pt idx="0">
                  <c:v>65.326354263822452</c:v>
                </c:pt>
                <c:pt idx="1">
                  <c:v>65.489482231705111</c:v>
                </c:pt>
                <c:pt idx="2">
                  <c:v>65.556344335499176</c:v>
                </c:pt>
                <c:pt idx="3">
                  <c:v>65.706126174862121</c:v>
                </c:pt>
                <c:pt idx="4">
                  <c:v>65.855908014225079</c:v>
                </c:pt>
                <c:pt idx="5">
                  <c:v>66.005689853588038</c:v>
                </c:pt>
                <c:pt idx="6">
                  <c:v>65.363535920242242</c:v>
                </c:pt>
                <c:pt idx="7">
                  <c:v>61.741464361889911</c:v>
                </c:pt>
                <c:pt idx="8">
                  <c:v>60.017507422053427</c:v>
                </c:pt>
                <c:pt idx="9">
                  <c:v>59.296771753077913</c:v>
                </c:pt>
                <c:pt idx="10">
                  <c:v>57.668804829743458</c:v>
                </c:pt>
                <c:pt idx="11">
                  <c:v>56.395131374804421</c:v>
                </c:pt>
                <c:pt idx="12">
                  <c:v>56.610207617505139</c:v>
                </c:pt>
                <c:pt idx="13">
                  <c:v>57.368748603311673</c:v>
                </c:pt>
              </c:numCache>
            </c:numRef>
          </c:val>
          <c:smooth val="0"/>
        </c:ser>
        <c:ser>
          <c:idx val="2"/>
          <c:order val="1"/>
          <c:tx>
            <c:strRef>
              <c:f>'empl rates by edu - LS'!$B$6</c:f>
              <c:strCache>
                <c:ptCount val="1"/>
                <c:pt idx="0">
                  <c:v>ER medium-qualified (lhs)</c:v>
                </c:pt>
              </c:strCache>
            </c:strRef>
          </c:tx>
          <c:marker>
            <c:symbol val="none"/>
          </c:marker>
          <c:cat>
            <c:numRef>
              <c:f>'empl rates by edu - LS'!$C$4:$P$4</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'empl rates by edu - LS'!$C$6:$P$6</c:f>
              <c:numCache>
                <c:formatCode>0.00</c:formatCode>
                <c:ptCount val="14"/>
                <c:pt idx="0">
                  <c:v>78.059769994946734</c:v>
                </c:pt>
                <c:pt idx="1">
                  <c:v>77.919021002500415</c:v>
                </c:pt>
                <c:pt idx="2">
                  <c:v>77.700864009839691</c:v>
                </c:pt>
                <c:pt idx="3">
                  <c:v>78.389294431530274</c:v>
                </c:pt>
                <c:pt idx="4">
                  <c:v>79.077724853220872</c:v>
                </c:pt>
                <c:pt idx="5">
                  <c:v>79.766155274911483</c:v>
                </c:pt>
                <c:pt idx="6">
                  <c:v>80.18446771063067</c:v>
                </c:pt>
                <c:pt idx="7">
                  <c:v>78.211437986549086</c:v>
                </c:pt>
                <c:pt idx="8">
                  <c:v>77.682618410146077</c:v>
                </c:pt>
                <c:pt idx="9">
                  <c:v>77.654104185839614</c:v>
                </c:pt>
                <c:pt idx="10">
                  <c:v>76.931065134750625</c:v>
                </c:pt>
                <c:pt idx="11">
                  <c:v>76.317411876702607</c:v>
                </c:pt>
                <c:pt idx="12">
                  <c:v>76.880139922191702</c:v>
                </c:pt>
                <c:pt idx="13">
                  <c:v>77.391956787029343</c:v>
                </c:pt>
              </c:numCache>
            </c:numRef>
          </c:val>
          <c:smooth val="0"/>
        </c:ser>
        <c:ser>
          <c:idx val="3"/>
          <c:order val="2"/>
          <c:tx>
            <c:strRef>
              <c:f>'empl rates by edu - LS'!$B$7</c:f>
              <c:strCache>
                <c:ptCount val="1"/>
                <c:pt idx="0">
                  <c:v>ER high-qualified (lhs)</c:v>
                </c:pt>
              </c:strCache>
            </c:strRef>
          </c:tx>
          <c:marker>
            <c:symbol val="none"/>
          </c:marker>
          <c:cat>
            <c:numRef>
              <c:f>'empl rates by edu - LS'!$C$4:$P$4</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'empl rates by edu - LS'!$C$7:$P$7</c:f>
              <c:numCache>
                <c:formatCode>0.00</c:formatCode>
                <c:ptCount val="14"/>
                <c:pt idx="0">
                  <c:v>86.64131880442217</c:v>
                </c:pt>
                <c:pt idx="1">
                  <c:v>86.62695859731042</c:v>
                </c:pt>
                <c:pt idx="2">
                  <c:v>86.281507425756871</c:v>
                </c:pt>
                <c:pt idx="3">
                  <c:v>86.691989141144305</c:v>
                </c:pt>
                <c:pt idx="4">
                  <c:v>87.102470856531724</c:v>
                </c:pt>
                <c:pt idx="5">
                  <c:v>87.512952571919158</c:v>
                </c:pt>
                <c:pt idx="6">
                  <c:v>87.729881112709975</c:v>
                </c:pt>
                <c:pt idx="7">
                  <c:v>86.368957233951065</c:v>
                </c:pt>
                <c:pt idx="8">
                  <c:v>85.643692596293207</c:v>
                </c:pt>
                <c:pt idx="9">
                  <c:v>85.249828410412348</c:v>
                </c:pt>
                <c:pt idx="10">
                  <c:v>84.467005639285702</c:v>
                </c:pt>
                <c:pt idx="11">
                  <c:v>84.118921151459304</c:v>
                </c:pt>
                <c:pt idx="12">
                  <c:v>84.318558041534658</c:v>
                </c:pt>
                <c:pt idx="13">
                  <c:v>84.73199434375708</c:v>
                </c:pt>
              </c:numCache>
            </c:numRef>
          </c:val>
          <c:smooth val="0"/>
        </c:ser>
        <c:dLbls>
          <c:showLegendKey val="0"/>
          <c:showVal val="0"/>
          <c:showCatName val="0"/>
          <c:showSerName val="0"/>
          <c:showPercent val="0"/>
          <c:showBubbleSize val="0"/>
        </c:dLbls>
        <c:marker val="1"/>
        <c:smooth val="0"/>
        <c:axId val="372310400"/>
        <c:axId val="372312320"/>
      </c:lineChart>
      <c:catAx>
        <c:axId val="372310400"/>
        <c:scaling>
          <c:orientation val="minMax"/>
        </c:scaling>
        <c:delete val="0"/>
        <c:axPos val="b"/>
        <c:numFmt formatCode="General" sourceLinked="1"/>
        <c:majorTickMark val="out"/>
        <c:minorTickMark val="none"/>
        <c:tickLblPos val="nextTo"/>
        <c:crossAx val="372312320"/>
        <c:crosses val="autoZero"/>
        <c:auto val="1"/>
        <c:lblAlgn val="ctr"/>
        <c:lblOffset val="100"/>
        <c:noMultiLvlLbl val="0"/>
      </c:catAx>
      <c:valAx>
        <c:axId val="372312320"/>
        <c:scaling>
          <c:orientation val="minMax"/>
        </c:scaling>
        <c:delete val="0"/>
        <c:axPos val="l"/>
        <c:majorGridlines/>
        <c:numFmt formatCode="0" sourceLinked="0"/>
        <c:majorTickMark val="out"/>
        <c:minorTickMark val="none"/>
        <c:tickLblPos val="nextTo"/>
        <c:crossAx val="372310400"/>
        <c:crosses val="autoZero"/>
        <c:crossBetween val="between"/>
      </c:valAx>
      <c:valAx>
        <c:axId val="372338688"/>
        <c:scaling>
          <c:orientation val="minMax"/>
        </c:scaling>
        <c:delete val="0"/>
        <c:axPos val="r"/>
        <c:numFmt formatCode="0" sourceLinked="0"/>
        <c:majorTickMark val="out"/>
        <c:minorTickMark val="none"/>
        <c:tickLblPos val="nextTo"/>
        <c:crossAx val="372342144"/>
        <c:crosses val="max"/>
        <c:crossBetween val="between"/>
      </c:valAx>
      <c:catAx>
        <c:axId val="372342144"/>
        <c:scaling>
          <c:orientation val="minMax"/>
        </c:scaling>
        <c:delete val="1"/>
        <c:axPos val="b"/>
        <c:numFmt formatCode="General" sourceLinked="1"/>
        <c:majorTickMark val="out"/>
        <c:minorTickMark val="none"/>
        <c:tickLblPos val="nextTo"/>
        <c:crossAx val="372338688"/>
        <c:crosses val="autoZero"/>
        <c:auto val="1"/>
        <c:lblAlgn val="ctr"/>
        <c:lblOffset val="100"/>
        <c:noMultiLvlLbl val="0"/>
      </c:catAx>
    </c:plotArea>
    <c:legend>
      <c:legendPos val="r"/>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MW over average wage </c:v>
          </c:tx>
          <c:invertIfNegative val="0"/>
          <c:cat>
            <c:strRef>
              <c:f>'Graph 3 MW over AW'!$A$18:$A$39</c:f>
              <c:strCache>
                <c:ptCount val="22"/>
                <c:pt idx="0">
                  <c:v>SI</c:v>
                </c:pt>
                <c:pt idx="1">
                  <c:v>FR</c:v>
                </c:pt>
                <c:pt idx="2">
                  <c:v>LU</c:v>
                </c:pt>
                <c:pt idx="3">
                  <c:v>LT</c:v>
                </c:pt>
                <c:pt idx="4">
                  <c:v>EL</c:v>
                </c:pt>
                <c:pt idx="5">
                  <c:v>MT</c:v>
                </c:pt>
                <c:pt idx="6">
                  <c:v>PL</c:v>
                </c:pt>
                <c:pt idx="7">
                  <c:v>HU</c:v>
                </c:pt>
                <c:pt idx="8">
                  <c:v>BE</c:v>
                </c:pt>
                <c:pt idx="9">
                  <c:v>PT</c:v>
                </c:pt>
                <c:pt idx="10">
                  <c:v>LV</c:v>
                </c:pt>
                <c:pt idx="11">
                  <c:v>NL</c:v>
                </c:pt>
                <c:pt idx="12">
                  <c:v>IE</c:v>
                </c:pt>
                <c:pt idx="13">
                  <c:v>DE</c:v>
                </c:pt>
                <c:pt idx="14">
                  <c:v>BG</c:v>
                </c:pt>
                <c:pt idx="15">
                  <c:v>UK</c:v>
                </c:pt>
                <c:pt idx="16">
                  <c:v>RO</c:v>
                </c:pt>
                <c:pt idx="17">
                  <c:v>HR</c:v>
                </c:pt>
                <c:pt idx="18">
                  <c:v>SK</c:v>
                </c:pt>
                <c:pt idx="19">
                  <c:v>EE</c:v>
                </c:pt>
                <c:pt idx="20">
                  <c:v>CZ</c:v>
                </c:pt>
                <c:pt idx="21">
                  <c:v>ES</c:v>
                </c:pt>
              </c:strCache>
            </c:strRef>
          </c:cat>
          <c:val>
            <c:numRef>
              <c:f>'Graph 3 MW over AW'!$B$18:$B$39</c:f>
              <c:numCache>
                <c:formatCode>#,##0.0</c:formatCode>
                <c:ptCount val="22"/>
                <c:pt idx="0">
                  <c:v>51.2</c:v>
                </c:pt>
                <c:pt idx="1">
                  <c:v>47.6</c:v>
                </c:pt>
                <c:pt idx="2">
                  <c:v>47</c:v>
                </c:pt>
                <c:pt idx="3">
                  <c:v>46.6</c:v>
                </c:pt>
                <c:pt idx="4" formatCode="General">
                  <c:v>46</c:v>
                </c:pt>
                <c:pt idx="5">
                  <c:v>45.7</c:v>
                </c:pt>
                <c:pt idx="6">
                  <c:v>45.4</c:v>
                </c:pt>
                <c:pt idx="7">
                  <c:v>45.3</c:v>
                </c:pt>
                <c:pt idx="8">
                  <c:v>44.9</c:v>
                </c:pt>
                <c:pt idx="9">
                  <c:v>44.5</c:v>
                </c:pt>
                <c:pt idx="10">
                  <c:v>44.4</c:v>
                </c:pt>
                <c:pt idx="11">
                  <c:v>42.7</c:v>
                </c:pt>
                <c:pt idx="12">
                  <c:v>42.3</c:v>
                </c:pt>
                <c:pt idx="13">
                  <c:v>41.7</c:v>
                </c:pt>
                <c:pt idx="14">
                  <c:v>41.2</c:v>
                </c:pt>
                <c:pt idx="15">
                  <c:v>40.799999999999997</c:v>
                </c:pt>
                <c:pt idx="16">
                  <c:v>40.4</c:v>
                </c:pt>
                <c:pt idx="17">
                  <c:v>38.6</c:v>
                </c:pt>
                <c:pt idx="18">
                  <c:v>37.9</c:v>
                </c:pt>
                <c:pt idx="19">
                  <c:v>37.4</c:v>
                </c:pt>
                <c:pt idx="20">
                  <c:v>34.6</c:v>
                </c:pt>
                <c:pt idx="21">
                  <c:v>34.1</c:v>
                </c:pt>
              </c:numCache>
            </c:numRef>
          </c:val>
        </c:ser>
        <c:dLbls>
          <c:showLegendKey val="0"/>
          <c:showVal val="0"/>
          <c:showCatName val="0"/>
          <c:showSerName val="0"/>
          <c:showPercent val="0"/>
          <c:showBubbleSize val="0"/>
        </c:dLbls>
        <c:gapWidth val="150"/>
        <c:axId val="373977856"/>
        <c:axId val="373979776"/>
      </c:barChart>
      <c:lineChart>
        <c:grouping val="standard"/>
        <c:varyColors val="0"/>
        <c:ser>
          <c:idx val="1"/>
          <c:order val="1"/>
          <c:tx>
            <c:v>MW over median wage </c:v>
          </c:tx>
          <c:spPr>
            <a:ln>
              <a:noFill/>
            </a:ln>
          </c:spPr>
          <c:marker>
            <c:symbol val="triangle"/>
            <c:size val="7"/>
            <c:spPr>
              <a:solidFill>
                <a:schemeClr val="tx1"/>
              </a:solidFill>
              <a:ln>
                <a:solidFill>
                  <a:schemeClr val="tx1"/>
                </a:solidFill>
              </a:ln>
            </c:spPr>
          </c:marker>
          <c:cat>
            <c:strRef>
              <c:f>'Graph 3 MW over AW'!$A$18:$A$39</c:f>
              <c:strCache>
                <c:ptCount val="22"/>
                <c:pt idx="0">
                  <c:v>SI</c:v>
                </c:pt>
                <c:pt idx="1">
                  <c:v>FR</c:v>
                </c:pt>
                <c:pt idx="2">
                  <c:v>LU</c:v>
                </c:pt>
                <c:pt idx="3">
                  <c:v>LT</c:v>
                </c:pt>
                <c:pt idx="4">
                  <c:v>EL</c:v>
                </c:pt>
                <c:pt idx="5">
                  <c:v>MT</c:v>
                </c:pt>
                <c:pt idx="6">
                  <c:v>PL</c:v>
                </c:pt>
                <c:pt idx="7">
                  <c:v>HU</c:v>
                </c:pt>
                <c:pt idx="8">
                  <c:v>BE</c:v>
                </c:pt>
                <c:pt idx="9">
                  <c:v>PT</c:v>
                </c:pt>
                <c:pt idx="10">
                  <c:v>LV</c:v>
                </c:pt>
                <c:pt idx="11">
                  <c:v>NL</c:v>
                </c:pt>
                <c:pt idx="12">
                  <c:v>IE</c:v>
                </c:pt>
                <c:pt idx="13">
                  <c:v>DE</c:v>
                </c:pt>
                <c:pt idx="14">
                  <c:v>BG</c:v>
                </c:pt>
                <c:pt idx="15">
                  <c:v>UK</c:v>
                </c:pt>
                <c:pt idx="16">
                  <c:v>RO</c:v>
                </c:pt>
                <c:pt idx="17">
                  <c:v>HR</c:v>
                </c:pt>
                <c:pt idx="18">
                  <c:v>SK</c:v>
                </c:pt>
                <c:pt idx="19">
                  <c:v>EE</c:v>
                </c:pt>
                <c:pt idx="20">
                  <c:v>CZ</c:v>
                </c:pt>
                <c:pt idx="21">
                  <c:v>ES</c:v>
                </c:pt>
              </c:strCache>
            </c:strRef>
          </c:cat>
          <c:val>
            <c:numRef>
              <c:f>'Graph 3 MW over AW'!$C$18:$C$39</c:f>
              <c:numCache>
                <c:formatCode>General</c:formatCode>
                <c:ptCount val="22"/>
                <c:pt idx="0">
                  <c:v>61.5</c:v>
                </c:pt>
                <c:pt idx="1">
                  <c:v>62.1</c:v>
                </c:pt>
                <c:pt idx="2">
                  <c:v>55.8</c:v>
                </c:pt>
                <c:pt idx="3">
                  <c:v>51.5</c:v>
                </c:pt>
                <c:pt idx="5">
                  <c:v>47.9</c:v>
                </c:pt>
                <c:pt idx="6">
                  <c:v>51.9</c:v>
                </c:pt>
                <c:pt idx="7">
                  <c:v>54</c:v>
                </c:pt>
                <c:pt idx="8">
                  <c:v>52.4</c:v>
                </c:pt>
                <c:pt idx="9">
                  <c:v>63.7</c:v>
                </c:pt>
                <c:pt idx="10">
                  <c:v>52.8</c:v>
                </c:pt>
                <c:pt idx="11">
                  <c:v>56.3</c:v>
                </c:pt>
                <c:pt idx="12">
                  <c:v>45.1</c:v>
                </c:pt>
                <c:pt idx="13">
                  <c:v>53.3</c:v>
                </c:pt>
                <c:pt idx="14">
                  <c:v>56.6</c:v>
                </c:pt>
                <c:pt idx="15">
                  <c:v>48.6</c:v>
                </c:pt>
                <c:pt idx="16">
                  <c:v>50</c:v>
                </c:pt>
                <c:pt idx="18">
                  <c:v>46</c:v>
                </c:pt>
                <c:pt idx="19">
                  <c:v>39.6</c:v>
                </c:pt>
                <c:pt idx="20">
                  <c:v>39.4</c:v>
                </c:pt>
                <c:pt idx="21">
                  <c:v>45.2</c:v>
                </c:pt>
              </c:numCache>
            </c:numRef>
          </c:val>
          <c:smooth val="0"/>
        </c:ser>
        <c:dLbls>
          <c:showLegendKey val="0"/>
          <c:showVal val="0"/>
          <c:showCatName val="0"/>
          <c:showSerName val="0"/>
          <c:showPercent val="0"/>
          <c:showBubbleSize val="0"/>
        </c:dLbls>
        <c:marker val="1"/>
        <c:smooth val="0"/>
        <c:axId val="373977856"/>
        <c:axId val="373979776"/>
      </c:lineChart>
      <c:catAx>
        <c:axId val="373977856"/>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373979776"/>
        <c:crosses val="autoZero"/>
        <c:auto val="1"/>
        <c:lblAlgn val="ctr"/>
        <c:lblOffset val="100"/>
        <c:noMultiLvlLbl val="0"/>
      </c:catAx>
      <c:valAx>
        <c:axId val="373979776"/>
        <c:scaling>
          <c:orientation val="minMax"/>
        </c:scaling>
        <c:delete val="0"/>
        <c:axPos val="l"/>
        <c:majorGridlines>
          <c:spPr>
            <a:ln>
              <a:prstDash val="sysDash"/>
            </a:ln>
          </c:spPr>
        </c:majorGridlines>
        <c:title>
          <c:tx>
            <c:rich>
              <a:bodyPr rot="-5400000" vert="horz"/>
              <a:lstStyle/>
              <a:p>
                <a:pPr>
                  <a:defRPr sz="800" b="0" i="0">
                    <a:latin typeface="Times New Roman"/>
                    <a:ea typeface="Times New Roman"/>
                    <a:cs typeface="Times New Roman"/>
                  </a:defRPr>
                </a:pPr>
                <a:r>
                  <a:rPr lang="en-US"/>
                  <a:t>Minimum wage over average/median wage (%)</a:t>
                </a:r>
              </a:p>
            </c:rich>
          </c:tx>
          <c:layout>
            <c:manualLayout>
              <c:xMode val="edge"/>
              <c:yMode val="edge"/>
              <c:x val="1.3801595188950895E-2"/>
              <c:y val="9.5989501312335954E-2"/>
            </c:manualLayout>
          </c:layout>
          <c:overlay val="0"/>
        </c:title>
        <c:numFmt formatCode="#,##0" sourceLinked="0"/>
        <c:majorTickMark val="in"/>
        <c:minorTickMark val="none"/>
        <c:tickLblPos val="nextTo"/>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373977856"/>
        <c:crosses val="autoZero"/>
        <c:crossBetween val="between"/>
      </c:valAx>
      <c:spPr>
        <a:noFill/>
        <a:ln w="25400">
          <a:noFill/>
        </a:ln>
      </c:spPr>
    </c:plotArea>
    <c:legend>
      <c:legendPos val="b"/>
      <c:overlay val="0"/>
    </c:legend>
    <c:plotVisOnly val="1"/>
    <c:dispBlanksAs val="gap"/>
    <c:showDLblsOverMax val="0"/>
  </c:chart>
  <c:spPr>
    <a:solidFill>
      <a:srgbClr val="FFFFFF"/>
    </a:solidFill>
    <a:ln w="9525">
      <a:solidFill>
        <a:schemeClr val="bg1"/>
      </a:solidFill>
    </a:ln>
  </c:spPr>
  <c:txPr>
    <a:bodyPr/>
    <a:lstStyle/>
    <a:p>
      <a:pPr>
        <a:defRPr sz="800">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tx>
            <c:v>Bargaining coverage (latest)</c:v>
          </c:tx>
          <c:spPr>
            <a:solidFill>
              <a:schemeClr val="accent2"/>
            </a:solidFill>
            <a:ln>
              <a:noFill/>
            </a:ln>
          </c:spPr>
          <c:invertIfNegative val="0"/>
          <c:cat>
            <c:strRef>
              <c:f>'C:\Users\herckkr\AppData\Local\Microsoft\Windows\Temporary Internet Files\Content.Outlook\I3N8VHNF\[Union density.xlsx]Union Density'!$B$4:$B$31</c:f>
              <c:strCache>
                <c:ptCount val="28"/>
                <c:pt idx="0">
                  <c:v>LT</c:v>
                </c:pt>
                <c:pt idx="1">
                  <c:v>PL</c:v>
                </c:pt>
                <c:pt idx="2">
                  <c:v>LV</c:v>
                </c:pt>
                <c:pt idx="3">
                  <c:v>EE</c:v>
                </c:pt>
                <c:pt idx="4">
                  <c:v>HU</c:v>
                </c:pt>
                <c:pt idx="5">
                  <c:v>SK</c:v>
                </c:pt>
                <c:pt idx="6">
                  <c:v>BG</c:v>
                </c:pt>
                <c:pt idx="7">
                  <c:v>UK</c:v>
                </c:pt>
                <c:pt idx="8">
                  <c:v>RO</c:v>
                </c:pt>
                <c:pt idx="9">
                  <c:v>EL</c:v>
                </c:pt>
                <c:pt idx="10">
                  <c:v>CY</c:v>
                </c:pt>
                <c:pt idx="11">
                  <c:v>CZ</c:v>
                </c:pt>
                <c:pt idx="12">
                  <c:v>DE</c:v>
                </c:pt>
                <c:pt idx="13">
                  <c:v>LU</c:v>
                </c:pt>
                <c:pt idx="14">
                  <c:v>MT</c:v>
                </c:pt>
                <c:pt idx="15">
                  <c:v>SI</c:v>
                </c:pt>
                <c:pt idx="16">
                  <c:v>PT</c:v>
                </c:pt>
                <c:pt idx="17">
                  <c:v>ES</c:v>
                </c:pt>
                <c:pt idx="18">
                  <c:v>DK</c:v>
                </c:pt>
                <c:pt idx="19">
                  <c:v>NL</c:v>
                </c:pt>
                <c:pt idx="20">
                  <c:v>SE</c:v>
                </c:pt>
                <c:pt idx="21">
                  <c:v>FI</c:v>
                </c:pt>
                <c:pt idx="22">
                  <c:v>BE</c:v>
                </c:pt>
                <c:pt idx="23">
                  <c:v>FR</c:v>
                </c:pt>
                <c:pt idx="24">
                  <c:v>AT</c:v>
                </c:pt>
                <c:pt idx="25">
                  <c:v>HR</c:v>
                </c:pt>
                <c:pt idx="26">
                  <c:v>IE</c:v>
                </c:pt>
                <c:pt idx="27">
                  <c:v>IT</c:v>
                </c:pt>
              </c:strCache>
            </c:strRef>
          </c:cat>
          <c:val>
            <c:numRef>
              <c:f>'Box 2 collective bargaining'!$E$4:$E$31</c:f>
              <c:numCache>
                <c:formatCode>0</c:formatCode>
                <c:ptCount val="28"/>
                <c:pt idx="0">
                  <c:v>9.8851481676310726</c:v>
                </c:pt>
                <c:pt idx="1">
                  <c:v>15</c:v>
                </c:pt>
                <c:pt idx="2">
                  <c:v>15</c:v>
                </c:pt>
                <c:pt idx="3">
                  <c:v>22.997205402887751</c:v>
                </c:pt>
                <c:pt idx="4">
                  <c:v>23</c:v>
                </c:pt>
                <c:pt idx="5">
                  <c:v>24.895429820548021</c:v>
                </c:pt>
                <c:pt idx="6" formatCode="General">
                  <c:v>29</c:v>
                </c:pt>
                <c:pt idx="7">
                  <c:v>29.5</c:v>
                </c:pt>
                <c:pt idx="8">
                  <c:v>35</c:v>
                </c:pt>
                <c:pt idx="9">
                  <c:v>40</c:v>
                </c:pt>
                <c:pt idx="10">
                  <c:v>42</c:v>
                </c:pt>
                <c:pt idx="11">
                  <c:v>45.187227962919891</c:v>
                </c:pt>
                <c:pt idx="12">
                  <c:v>47.294787668688869</c:v>
                </c:pt>
                <c:pt idx="13">
                  <c:v>57.6</c:v>
                </c:pt>
                <c:pt idx="14">
                  <c:v>59</c:v>
                </c:pt>
                <c:pt idx="15" formatCode="General">
                  <c:v>60</c:v>
                </c:pt>
                <c:pt idx="16">
                  <c:v>62.788487645940812</c:v>
                </c:pt>
                <c:pt idx="17">
                  <c:v>65</c:v>
                </c:pt>
                <c:pt idx="18">
                  <c:v>72.913807301674439</c:v>
                </c:pt>
                <c:pt idx="19">
                  <c:v>77.578314976398218</c:v>
                </c:pt>
                <c:pt idx="20">
                  <c:v>80</c:v>
                </c:pt>
                <c:pt idx="21">
                  <c:v>84</c:v>
                </c:pt>
                <c:pt idx="22">
                  <c:v>84.836824853926174</c:v>
                </c:pt>
                <c:pt idx="23">
                  <c:v>89</c:v>
                </c:pt>
                <c:pt idx="24">
                  <c:v>93</c:v>
                </c:pt>
                <c:pt idx="25" formatCode="General">
                  <c:v>96</c:v>
                </c:pt>
                <c:pt idx="26" formatCode="General">
                  <c:v>98</c:v>
                </c:pt>
                <c:pt idx="27">
                  <c:v>98</c:v>
                </c:pt>
              </c:numCache>
            </c:numRef>
          </c:val>
        </c:ser>
        <c:dLbls>
          <c:showLegendKey val="0"/>
          <c:showVal val="0"/>
          <c:showCatName val="0"/>
          <c:showSerName val="0"/>
          <c:showPercent val="0"/>
          <c:showBubbleSize val="0"/>
        </c:dLbls>
        <c:gapWidth val="150"/>
        <c:axId val="398942976"/>
        <c:axId val="398944896"/>
      </c:barChart>
      <c:lineChart>
        <c:grouping val="standard"/>
        <c:varyColors val="0"/>
        <c:ser>
          <c:idx val="1"/>
          <c:order val="1"/>
          <c:tx>
            <c:v>Bargaining coverage (pre-crisis)</c:v>
          </c:tx>
          <c:spPr>
            <a:ln w="28575">
              <a:noFill/>
            </a:ln>
          </c:spPr>
          <c:marker>
            <c:symbol val="dash"/>
            <c:size val="7"/>
            <c:spPr>
              <a:solidFill>
                <a:schemeClr val="accent1"/>
              </a:solidFill>
              <a:ln>
                <a:solidFill>
                  <a:schemeClr val="accent1"/>
                </a:solidFill>
              </a:ln>
            </c:spPr>
          </c:marker>
          <c:cat>
            <c:strRef>
              <c:f>'Box 2 collective bargaining'!$B$4:$B$31</c:f>
              <c:strCache>
                <c:ptCount val="28"/>
                <c:pt idx="0">
                  <c:v>LT</c:v>
                </c:pt>
                <c:pt idx="1">
                  <c:v>LV</c:v>
                </c:pt>
                <c:pt idx="2">
                  <c:v>PL</c:v>
                </c:pt>
                <c:pt idx="3">
                  <c:v>HU</c:v>
                </c:pt>
                <c:pt idx="4">
                  <c:v>EE</c:v>
                </c:pt>
                <c:pt idx="5">
                  <c:v>SK</c:v>
                </c:pt>
                <c:pt idx="6">
                  <c:v>BG</c:v>
                </c:pt>
                <c:pt idx="7">
                  <c:v>UK</c:v>
                </c:pt>
                <c:pt idx="8">
                  <c:v>RO</c:v>
                </c:pt>
                <c:pt idx="9">
                  <c:v>IE</c:v>
                </c:pt>
                <c:pt idx="10">
                  <c:v>EL</c:v>
                </c:pt>
                <c:pt idx="11">
                  <c:v>CY</c:v>
                </c:pt>
                <c:pt idx="12">
                  <c:v>CZ</c:v>
                </c:pt>
                <c:pt idx="13">
                  <c:v>DE</c:v>
                </c:pt>
                <c:pt idx="14">
                  <c:v>LU</c:v>
                </c:pt>
                <c:pt idx="15">
                  <c:v>HR</c:v>
                </c:pt>
                <c:pt idx="16">
                  <c:v>MT</c:v>
                </c:pt>
                <c:pt idx="17">
                  <c:v>SI</c:v>
                </c:pt>
                <c:pt idx="18">
                  <c:v>PT</c:v>
                </c:pt>
                <c:pt idx="19">
                  <c:v>ES</c:v>
                </c:pt>
                <c:pt idx="20">
                  <c:v>IT</c:v>
                </c:pt>
                <c:pt idx="21">
                  <c:v>DK</c:v>
                </c:pt>
                <c:pt idx="22">
                  <c:v>NL</c:v>
                </c:pt>
                <c:pt idx="23">
                  <c:v>SE</c:v>
                </c:pt>
                <c:pt idx="24">
                  <c:v>FI</c:v>
                </c:pt>
                <c:pt idx="25">
                  <c:v>BE</c:v>
                </c:pt>
                <c:pt idx="26">
                  <c:v>AT</c:v>
                </c:pt>
                <c:pt idx="27">
                  <c:v>FR</c:v>
                </c:pt>
              </c:strCache>
            </c:strRef>
          </c:cat>
          <c:val>
            <c:numRef>
              <c:f>'Box 2 collective bargaining'!$F$4:$F$31</c:f>
              <c:numCache>
                <c:formatCode>0</c:formatCode>
                <c:ptCount val="28"/>
                <c:pt idx="0">
                  <c:v>10.59589513625388</c:v>
                </c:pt>
                <c:pt idx="1">
                  <c:v>21.5</c:v>
                </c:pt>
                <c:pt idx="2">
                  <c:v>16</c:v>
                </c:pt>
                <c:pt idx="3">
                  <c:v>37.28693181818182</c:v>
                </c:pt>
                <c:pt idx="4" formatCode="General">
                  <c:v>25</c:v>
                </c:pt>
                <c:pt idx="5">
                  <c:v>40</c:v>
                </c:pt>
                <c:pt idx="6" formatCode="General">
                  <c:v>35</c:v>
                </c:pt>
                <c:pt idx="7">
                  <c:v>33.6</c:v>
                </c:pt>
                <c:pt idx="8">
                  <c:v>98</c:v>
                </c:pt>
                <c:pt idx="9">
                  <c:v>41.73</c:v>
                </c:pt>
                <c:pt idx="10">
                  <c:v>83</c:v>
                </c:pt>
                <c:pt idx="11">
                  <c:v>54.4</c:v>
                </c:pt>
                <c:pt idx="12">
                  <c:v>49.763146562036461</c:v>
                </c:pt>
                <c:pt idx="13">
                  <c:v>61.349999999999987</c:v>
                </c:pt>
                <c:pt idx="14">
                  <c:v>59</c:v>
                </c:pt>
                <c:pt idx="16">
                  <c:v>60.836501901140693</c:v>
                </c:pt>
                <c:pt idx="17">
                  <c:v>92</c:v>
                </c:pt>
                <c:pt idx="18">
                  <c:v>84.640178516085044</c:v>
                </c:pt>
                <c:pt idx="19">
                  <c:v>79.323607523749502</c:v>
                </c:pt>
                <c:pt idx="20">
                  <c:v>80</c:v>
                </c:pt>
                <c:pt idx="21" formatCode="General">
                  <c:v>81</c:v>
                </c:pt>
                <c:pt idx="22">
                  <c:v>78.585501186120382</c:v>
                </c:pt>
                <c:pt idx="23">
                  <c:v>91</c:v>
                </c:pt>
                <c:pt idx="24">
                  <c:v>89.5</c:v>
                </c:pt>
                <c:pt idx="25" formatCode="General">
                  <c:v>96</c:v>
                </c:pt>
                <c:pt idx="26" formatCode="General">
                  <c:v>98</c:v>
                </c:pt>
                <c:pt idx="27">
                  <c:v>98</c:v>
                </c:pt>
              </c:numCache>
            </c:numRef>
          </c:val>
          <c:smooth val="0"/>
        </c:ser>
        <c:ser>
          <c:idx val="0"/>
          <c:order val="2"/>
          <c:tx>
            <c:v>Union density</c:v>
          </c:tx>
          <c:spPr>
            <a:ln>
              <a:noFill/>
            </a:ln>
          </c:spPr>
          <c:marker>
            <c:symbol val="triangle"/>
            <c:size val="7"/>
            <c:spPr>
              <a:solidFill>
                <a:schemeClr val="accent6"/>
              </a:solidFill>
              <a:ln>
                <a:noFill/>
              </a:ln>
            </c:spPr>
          </c:marker>
          <c:cat>
            <c:strRef>
              <c:f>'Box 2 collective bargaining'!$B$4:$B$31</c:f>
              <c:strCache>
                <c:ptCount val="28"/>
                <c:pt idx="0">
                  <c:v>LT</c:v>
                </c:pt>
                <c:pt idx="1">
                  <c:v>LV</c:v>
                </c:pt>
                <c:pt idx="2">
                  <c:v>PL</c:v>
                </c:pt>
                <c:pt idx="3">
                  <c:v>HU</c:v>
                </c:pt>
                <c:pt idx="4">
                  <c:v>EE</c:v>
                </c:pt>
                <c:pt idx="5">
                  <c:v>SK</c:v>
                </c:pt>
                <c:pt idx="6">
                  <c:v>BG</c:v>
                </c:pt>
                <c:pt idx="7">
                  <c:v>UK</c:v>
                </c:pt>
                <c:pt idx="8">
                  <c:v>RO</c:v>
                </c:pt>
                <c:pt idx="9">
                  <c:v>IE</c:v>
                </c:pt>
                <c:pt idx="10">
                  <c:v>EL</c:v>
                </c:pt>
                <c:pt idx="11">
                  <c:v>CY</c:v>
                </c:pt>
                <c:pt idx="12">
                  <c:v>CZ</c:v>
                </c:pt>
                <c:pt idx="13">
                  <c:v>DE</c:v>
                </c:pt>
                <c:pt idx="14">
                  <c:v>LU</c:v>
                </c:pt>
                <c:pt idx="15">
                  <c:v>HR</c:v>
                </c:pt>
                <c:pt idx="16">
                  <c:v>MT</c:v>
                </c:pt>
                <c:pt idx="17">
                  <c:v>SI</c:v>
                </c:pt>
                <c:pt idx="18">
                  <c:v>PT</c:v>
                </c:pt>
                <c:pt idx="19">
                  <c:v>ES</c:v>
                </c:pt>
                <c:pt idx="20">
                  <c:v>IT</c:v>
                </c:pt>
                <c:pt idx="21">
                  <c:v>DK</c:v>
                </c:pt>
                <c:pt idx="22">
                  <c:v>NL</c:v>
                </c:pt>
                <c:pt idx="23">
                  <c:v>SE</c:v>
                </c:pt>
                <c:pt idx="24">
                  <c:v>FI</c:v>
                </c:pt>
                <c:pt idx="25">
                  <c:v>BE</c:v>
                </c:pt>
                <c:pt idx="26">
                  <c:v>AT</c:v>
                </c:pt>
                <c:pt idx="27">
                  <c:v>FR</c:v>
                </c:pt>
              </c:strCache>
            </c:strRef>
          </c:cat>
          <c:val>
            <c:numRef>
              <c:f>'Box 2 collective bargaining'!$C$4:$C$31</c:f>
              <c:numCache>
                <c:formatCode>General</c:formatCode>
                <c:ptCount val="28"/>
                <c:pt idx="0">
                  <c:v>9</c:v>
                </c:pt>
                <c:pt idx="1">
                  <c:v>13.1</c:v>
                </c:pt>
                <c:pt idx="2">
                  <c:v>12.7</c:v>
                </c:pt>
                <c:pt idx="3">
                  <c:v>10.7</c:v>
                </c:pt>
                <c:pt idx="4">
                  <c:v>6.5</c:v>
                </c:pt>
                <c:pt idx="5">
                  <c:v>13.3</c:v>
                </c:pt>
                <c:pt idx="6">
                  <c:v>17.5</c:v>
                </c:pt>
                <c:pt idx="7">
                  <c:v>25.7</c:v>
                </c:pt>
                <c:pt idx="8">
                  <c:v>19.8</c:v>
                </c:pt>
                <c:pt idx="9">
                  <c:v>33.700000000000003</c:v>
                </c:pt>
                <c:pt idx="10">
                  <c:v>21.5</c:v>
                </c:pt>
                <c:pt idx="11">
                  <c:v>45.2</c:v>
                </c:pt>
                <c:pt idx="12">
                  <c:v>12.7</c:v>
                </c:pt>
                <c:pt idx="13">
                  <c:v>17.7</c:v>
                </c:pt>
                <c:pt idx="14">
                  <c:v>32.799999999999997</c:v>
                </c:pt>
                <c:pt idx="15">
                  <c:v>30.9</c:v>
                </c:pt>
                <c:pt idx="16">
                  <c:v>52.9</c:v>
                </c:pt>
                <c:pt idx="17">
                  <c:v>21.2</c:v>
                </c:pt>
                <c:pt idx="18">
                  <c:v>18.5</c:v>
                </c:pt>
                <c:pt idx="19">
                  <c:v>16.899999999999999</c:v>
                </c:pt>
                <c:pt idx="20">
                  <c:v>37.299999999999997</c:v>
                </c:pt>
                <c:pt idx="21">
                  <c:v>66.8</c:v>
                </c:pt>
                <c:pt idx="22">
                  <c:v>18</c:v>
                </c:pt>
                <c:pt idx="23">
                  <c:v>67.400000000000006</c:v>
                </c:pt>
                <c:pt idx="24">
                  <c:v>69</c:v>
                </c:pt>
                <c:pt idx="25">
                  <c:v>55.1</c:v>
                </c:pt>
                <c:pt idx="26">
                  <c:v>27.4</c:v>
                </c:pt>
                <c:pt idx="27">
                  <c:v>7.7</c:v>
                </c:pt>
              </c:numCache>
            </c:numRef>
          </c:val>
          <c:smooth val="0"/>
        </c:ser>
        <c:dLbls>
          <c:showLegendKey val="0"/>
          <c:showVal val="0"/>
          <c:showCatName val="0"/>
          <c:showSerName val="0"/>
          <c:showPercent val="0"/>
          <c:showBubbleSize val="0"/>
        </c:dLbls>
        <c:marker val="1"/>
        <c:smooth val="0"/>
        <c:axId val="398942976"/>
        <c:axId val="398944896"/>
      </c:lineChart>
      <c:catAx>
        <c:axId val="398942976"/>
        <c:scaling>
          <c:orientation val="minMax"/>
        </c:scaling>
        <c:delete val="0"/>
        <c:axPos val="b"/>
        <c:numFmt formatCode="General" sourceLinked="1"/>
        <c:majorTickMark val="in"/>
        <c:minorTickMark val="none"/>
        <c:tickLblPos val="low"/>
        <c:spPr>
          <a:ln w="6350" cmpd="sng">
            <a:solidFill>
              <a:srgbClr val="000000"/>
            </a:solidFill>
            <a:prstDash val="solid"/>
          </a:ln>
        </c:spPr>
        <c:txPr>
          <a:bodyPr rot="-5400000" vert="horz"/>
          <a:lstStyle/>
          <a:p>
            <a:pPr>
              <a:defRPr sz="800" b="0" i="0" u="none" strike="noStrike" baseline="0">
                <a:solidFill>
                  <a:srgbClr val="000000"/>
                </a:solidFill>
                <a:latin typeface="Times New Roman"/>
                <a:ea typeface="Times New Roman"/>
                <a:cs typeface="Times New Roman"/>
              </a:defRPr>
            </a:pPr>
            <a:endParaRPr lang="en-US"/>
          </a:p>
        </c:txPr>
        <c:crossAx val="398944896"/>
        <c:crosses val="autoZero"/>
        <c:auto val="1"/>
        <c:lblAlgn val="ctr"/>
        <c:lblOffset val="100"/>
        <c:noMultiLvlLbl val="0"/>
      </c:catAx>
      <c:valAx>
        <c:axId val="398944896"/>
        <c:scaling>
          <c:orientation val="minMax"/>
          <c:max val="100"/>
        </c:scaling>
        <c:delete val="0"/>
        <c:axPos val="l"/>
        <c:numFmt formatCode="0" sourceLinked="1"/>
        <c:majorTickMark val="in"/>
        <c:minorTickMark val="none"/>
        <c:tickLblPos val="nextTo"/>
        <c:spPr>
          <a:ln w="6350" cmpd="sng">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398942976"/>
        <c:crosses val="autoZero"/>
        <c:crossBetween val="between"/>
      </c:valAx>
      <c:spPr>
        <a:noFill/>
        <a:ln w="25400">
          <a:noFill/>
        </a:ln>
      </c:spPr>
    </c:plotArea>
    <c:legend>
      <c:legendPos val="b"/>
      <c:overlay val="0"/>
      <c:txPr>
        <a:bodyPr/>
        <a:lstStyle/>
        <a:p>
          <a:pPr>
            <a:defRPr sz="73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ysClr val="window" lastClr="FFFFFF"/>
    </a:solid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43460725945836E-2"/>
          <c:y val="5.2533112863403439E-2"/>
          <c:w val="0.91192902733999803"/>
          <c:h val="0.6883812642679985"/>
        </c:manualLayout>
      </c:layout>
      <c:lineChart>
        <c:grouping val="standard"/>
        <c:varyColors val="0"/>
        <c:ser>
          <c:idx val="0"/>
          <c:order val="0"/>
          <c:tx>
            <c:strRef>
              <c:f>'Graph 5 AROP and its components'!$A$2</c:f>
              <c:strCache>
                <c:ptCount val="1"/>
                <c:pt idx="0">
                  <c:v>At risk of poverty or social exclusion </c:v>
                </c:pt>
              </c:strCache>
            </c:strRef>
          </c:tx>
          <c:marker>
            <c:symbol val="none"/>
          </c:marker>
          <c:cat>
            <c:strRef>
              <c:f>'Graph 5 AROP and its components'!$B$1:$L$1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'Graph 5 AROP and its components'!$B$2:$L$2</c:f>
              <c:numCache>
                <c:formatCode>#,##0.0</c:formatCode>
                <c:ptCount val="11"/>
                <c:pt idx="0">
                  <c:v>25.8</c:v>
                </c:pt>
                <c:pt idx="1">
                  <c:v>25.3</c:v>
                </c:pt>
                <c:pt idx="2">
                  <c:v>24.5</c:v>
                </c:pt>
                <c:pt idx="3">
                  <c:v>23.7</c:v>
                </c:pt>
                <c:pt idx="4">
                  <c:v>23.3</c:v>
                </c:pt>
                <c:pt idx="5">
                  <c:v>23.7</c:v>
                </c:pt>
                <c:pt idx="6">
                  <c:v>24.2</c:v>
                </c:pt>
                <c:pt idx="7">
                  <c:v>24.7</c:v>
                </c:pt>
                <c:pt idx="8">
                  <c:v>24.5</c:v>
                </c:pt>
                <c:pt idx="9">
                  <c:v>24.4</c:v>
                </c:pt>
                <c:pt idx="10">
                  <c:v>23.7</c:v>
                </c:pt>
              </c:numCache>
            </c:numRef>
          </c:val>
          <c:smooth val="0"/>
        </c:ser>
        <c:ser>
          <c:idx val="1"/>
          <c:order val="1"/>
          <c:tx>
            <c:strRef>
              <c:f>'Graph 5 AROP and its components'!$A$3</c:f>
              <c:strCache>
                <c:ptCount val="1"/>
                <c:pt idx="0">
                  <c:v>At risk of poverty</c:v>
                </c:pt>
              </c:strCache>
            </c:strRef>
          </c:tx>
          <c:marker>
            <c:symbol val="none"/>
          </c:marker>
          <c:cat>
            <c:strRef>
              <c:f>'Graph 5 AROP and its components'!$B$1:$L$1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'Graph 5 AROP and its components'!$B$3:$L$3</c:f>
              <c:numCache>
                <c:formatCode>#,##0.0</c:formatCode>
                <c:ptCount val="11"/>
                <c:pt idx="0">
                  <c:v>16.5</c:v>
                </c:pt>
                <c:pt idx="1">
                  <c:v>16.5</c:v>
                </c:pt>
                <c:pt idx="2">
                  <c:v>16.600000000000001</c:v>
                </c:pt>
                <c:pt idx="3">
                  <c:v>16.5</c:v>
                </c:pt>
                <c:pt idx="4">
                  <c:v>16.399999999999999</c:v>
                </c:pt>
                <c:pt idx="5">
                  <c:v>16.5</c:v>
                </c:pt>
                <c:pt idx="6">
                  <c:v>16.8</c:v>
                </c:pt>
                <c:pt idx="7">
                  <c:v>16.8</c:v>
                </c:pt>
                <c:pt idx="8">
                  <c:v>16.7</c:v>
                </c:pt>
                <c:pt idx="9">
                  <c:v>17.2</c:v>
                </c:pt>
                <c:pt idx="10">
                  <c:v>17.3</c:v>
                </c:pt>
              </c:numCache>
            </c:numRef>
          </c:val>
          <c:smooth val="0"/>
        </c:ser>
        <c:ser>
          <c:idx val="2"/>
          <c:order val="2"/>
          <c:tx>
            <c:strRef>
              <c:f>'Graph 5 AROP and its components'!$A$4</c:f>
              <c:strCache>
                <c:ptCount val="1"/>
                <c:pt idx="0">
                  <c:v>Severe material deprivation</c:v>
                </c:pt>
              </c:strCache>
            </c:strRef>
          </c:tx>
          <c:marker>
            <c:symbol val="none"/>
          </c:marker>
          <c:cat>
            <c:strRef>
              <c:f>'Graph 5 AROP and its components'!$B$1:$L$1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'Graph 5 AROP and its components'!$B$4:$L$4</c:f>
              <c:numCache>
                <c:formatCode>#,##0.0</c:formatCode>
                <c:ptCount val="11"/>
                <c:pt idx="0">
                  <c:v>10.8</c:v>
                </c:pt>
                <c:pt idx="1">
                  <c:v>9.9</c:v>
                </c:pt>
                <c:pt idx="2">
                  <c:v>9.1999999999999993</c:v>
                </c:pt>
                <c:pt idx="3">
                  <c:v>8.5</c:v>
                </c:pt>
                <c:pt idx="4">
                  <c:v>8.1999999999999993</c:v>
                </c:pt>
                <c:pt idx="5">
                  <c:v>8.3000000000000007</c:v>
                </c:pt>
                <c:pt idx="6">
                  <c:v>8.8000000000000007</c:v>
                </c:pt>
                <c:pt idx="7">
                  <c:v>9.8000000000000007</c:v>
                </c:pt>
                <c:pt idx="8">
                  <c:v>9.6</c:v>
                </c:pt>
                <c:pt idx="9">
                  <c:v>8.9</c:v>
                </c:pt>
                <c:pt idx="10">
                  <c:v>8.1</c:v>
                </c:pt>
              </c:numCache>
            </c:numRef>
          </c:val>
          <c:smooth val="0"/>
        </c:ser>
        <c:ser>
          <c:idx val="3"/>
          <c:order val="3"/>
          <c:tx>
            <c:strRef>
              <c:f>'Graph 5 AROP and its components'!$A$5</c:f>
              <c:strCache>
                <c:ptCount val="1"/>
                <c:pt idx="0">
                  <c:v>Living in households with very low work intensity</c:v>
                </c:pt>
              </c:strCache>
            </c:strRef>
          </c:tx>
          <c:marker>
            <c:symbol val="none"/>
          </c:marker>
          <c:cat>
            <c:strRef>
              <c:f>'Graph 5 AROP and its components'!$B$1:$L$1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'Graph 5 AROP and its components'!$B$5:$L$5</c:f>
              <c:numCache>
                <c:formatCode>#,##0.0</c:formatCode>
                <c:ptCount val="11"/>
                <c:pt idx="0">
                  <c:v>10.5</c:v>
                </c:pt>
                <c:pt idx="1">
                  <c:v>10.6</c:v>
                </c:pt>
                <c:pt idx="2">
                  <c:v>9.8000000000000007</c:v>
                </c:pt>
                <c:pt idx="3">
                  <c:v>9.1999999999999993</c:v>
                </c:pt>
                <c:pt idx="4">
                  <c:v>9.1999999999999993</c:v>
                </c:pt>
                <c:pt idx="5">
                  <c:v>10.199999999999999</c:v>
                </c:pt>
                <c:pt idx="6">
                  <c:v>10.4</c:v>
                </c:pt>
                <c:pt idx="7">
                  <c:v>10.5</c:v>
                </c:pt>
                <c:pt idx="8">
                  <c:v>10.9</c:v>
                </c:pt>
                <c:pt idx="9">
                  <c:v>11.2</c:v>
                </c:pt>
                <c:pt idx="10">
                  <c:v>10.6</c:v>
                </c:pt>
              </c:numCache>
            </c:numRef>
          </c:val>
          <c:smooth val="0"/>
        </c:ser>
        <c:dLbls>
          <c:showLegendKey val="0"/>
          <c:showVal val="0"/>
          <c:showCatName val="0"/>
          <c:showSerName val="0"/>
          <c:showPercent val="0"/>
          <c:showBubbleSize val="0"/>
        </c:dLbls>
        <c:marker val="1"/>
        <c:smooth val="0"/>
        <c:axId val="407078016"/>
        <c:axId val="407079936"/>
      </c:lineChart>
      <c:catAx>
        <c:axId val="407078016"/>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407079936"/>
        <c:crosses val="autoZero"/>
        <c:auto val="1"/>
        <c:lblAlgn val="ctr"/>
        <c:lblOffset val="100"/>
        <c:noMultiLvlLbl val="0"/>
      </c:catAx>
      <c:valAx>
        <c:axId val="407079936"/>
        <c:scaling>
          <c:orientation val="minMax"/>
        </c:scaling>
        <c:delete val="0"/>
        <c:axPos val="l"/>
        <c:title>
          <c:tx>
            <c:rich>
              <a:bodyPr rot="-5400000" vert="horz"/>
              <a:lstStyle/>
              <a:p>
                <a:pPr>
                  <a:defRPr/>
                </a:pPr>
                <a:r>
                  <a:rPr lang="en-US"/>
                  <a:t>Percentage of the population</a:t>
                </a:r>
              </a:p>
            </c:rich>
          </c:tx>
          <c:layout>
            <c:manualLayout>
              <c:xMode val="edge"/>
              <c:yMode val="edge"/>
              <c:x val="1.1762271707735519E-2"/>
              <c:y val="0.14813959663795911"/>
            </c:manualLayout>
          </c:layout>
          <c:overlay val="0"/>
        </c:title>
        <c:numFmt formatCode="#,##0" sourceLinked="0"/>
        <c:majorTickMark val="in"/>
        <c:minorTickMark val="none"/>
        <c:tickLblPos val="nextTo"/>
        <c:spPr>
          <a:ln w="6350" cmpd="sng">
            <a:solidFill>
              <a:srgbClr val="000000"/>
            </a:solidFill>
            <a:prstDash val="solid"/>
          </a:ln>
        </c:spPr>
        <c:txPr>
          <a:bodyPr/>
          <a:lstStyle/>
          <a:p>
            <a:pPr>
              <a:defRPr sz="800" b="0" i="0">
                <a:latin typeface="Times New Roman"/>
                <a:ea typeface="Times New Roman"/>
                <a:cs typeface="Times New Roman"/>
              </a:defRPr>
            </a:pPr>
            <a:endParaRPr lang="en-US"/>
          </a:p>
        </c:txPr>
        <c:crossAx val="407078016"/>
        <c:crosses val="autoZero"/>
        <c:crossBetween val="between"/>
      </c:valAx>
      <c:spPr>
        <a:noFill/>
        <a:ln w="25400">
          <a:noFill/>
        </a:ln>
      </c:spPr>
    </c:plotArea>
    <c:legend>
      <c:legendPos val="b"/>
      <c:layout>
        <c:manualLayout>
          <c:xMode val="edge"/>
          <c:yMode val="edge"/>
          <c:x val="4.5511465419419507E-2"/>
          <c:y val="0.84440560691693012"/>
          <c:w val="0.93615423163545664"/>
          <c:h val="0.12719767659931505"/>
        </c:manualLayout>
      </c:layout>
      <c:overlay val="0"/>
    </c:legend>
    <c:plotVisOnly val="1"/>
    <c:dispBlanksAs val="gap"/>
    <c:showDLblsOverMax val="0"/>
  </c:chart>
  <c:spPr>
    <a:solidFill>
      <a:schemeClr val="bg1"/>
    </a:solidFill>
    <a:ln w="9525">
      <a:noFill/>
    </a:ln>
  </c:spPr>
  <c:txPr>
    <a:bodyPr/>
    <a:lstStyle/>
    <a:p>
      <a:pPr>
        <a:defRPr sz="800">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'Box 3 MI'!$I$3</c:f>
              <c:strCache>
                <c:ptCount val="1"/>
                <c:pt idx="0">
                  <c:v>MI as % of poverty line </c:v>
                </c:pt>
              </c:strCache>
            </c:strRef>
          </c:tx>
          <c:invertIfNegative val="0"/>
          <c:cat>
            <c:strRef>
              <c:f>'Box 3 MI'!$H$4:$H$31</c:f>
              <c:strCache>
                <c:ptCount val="28"/>
                <c:pt idx="0">
                  <c:v>EL*</c:v>
                </c:pt>
                <c:pt idx="1">
                  <c:v>IT*</c:v>
                </c:pt>
                <c:pt idx="2">
                  <c:v>BG</c:v>
                </c:pt>
                <c:pt idx="3">
                  <c:v>RO</c:v>
                </c:pt>
                <c:pt idx="4">
                  <c:v>SK</c:v>
                </c:pt>
                <c:pt idx="5">
                  <c:v>LV</c:v>
                </c:pt>
                <c:pt idx="6">
                  <c:v>HU</c:v>
                </c:pt>
                <c:pt idx="7">
                  <c:v>LT</c:v>
                </c:pt>
                <c:pt idx="8">
                  <c:v>PT</c:v>
                </c:pt>
                <c:pt idx="9">
                  <c:v>HR</c:v>
                </c:pt>
                <c:pt idx="10">
                  <c:v>PL</c:v>
                </c:pt>
                <c:pt idx="11">
                  <c:v>EE</c:v>
                </c:pt>
                <c:pt idx="12">
                  <c:v>ES</c:v>
                </c:pt>
                <c:pt idx="13">
                  <c:v>SI</c:v>
                </c:pt>
                <c:pt idx="14">
                  <c:v>FR</c:v>
                </c:pt>
                <c:pt idx="15">
                  <c:v>BE</c:v>
                </c:pt>
                <c:pt idx="16">
                  <c:v>AT</c:v>
                </c:pt>
                <c:pt idx="17">
                  <c:v>DE</c:v>
                </c:pt>
                <c:pt idx="18">
                  <c:v>CZ</c:v>
                </c:pt>
                <c:pt idx="19">
                  <c:v>LU</c:v>
                </c:pt>
                <c:pt idx="20">
                  <c:v>MT</c:v>
                </c:pt>
                <c:pt idx="21">
                  <c:v>SE</c:v>
                </c:pt>
                <c:pt idx="22">
                  <c:v>FI</c:v>
                </c:pt>
                <c:pt idx="23">
                  <c:v>UK</c:v>
                </c:pt>
                <c:pt idx="24">
                  <c:v>DK</c:v>
                </c:pt>
                <c:pt idx="25">
                  <c:v>NL</c:v>
                </c:pt>
                <c:pt idx="26">
                  <c:v>IE</c:v>
                </c:pt>
                <c:pt idx="27">
                  <c:v>CY**</c:v>
                </c:pt>
              </c:strCache>
            </c:strRef>
          </c:cat>
          <c:val>
            <c:numRef>
              <c:f>'Box 3 MI'!$I$4:$I$31</c:f>
              <c:numCache>
                <c:formatCode>General</c:formatCode>
                <c:ptCount val="28"/>
                <c:pt idx="2" formatCode="0%">
                  <c:v>0.26173127368114252</c:v>
                </c:pt>
                <c:pt idx="3" formatCode="0%">
                  <c:v>0.29522431259044862</c:v>
                </c:pt>
                <c:pt idx="4" formatCode="0%">
                  <c:v>0.35131123206333498</c:v>
                </c:pt>
                <c:pt idx="5" formatCode="0%">
                  <c:v>0.40585923544122898</c:v>
                </c:pt>
                <c:pt idx="6" formatCode="0%">
                  <c:v>0.41068702290076337</c:v>
                </c:pt>
                <c:pt idx="7" formatCode="0%">
                  <c:v>0.43147729607561125</c:v>
                </c:pt>
                <c:pt idx="8" formatCode="0%">
                  <c:v>0.43579290664492459</c:v>
                </c:pt>
                <c:pt idx="9" formatCode="0%">
                  <c:v>0.47128643742363413</c:v>
                </c:pt>
                <c:pt idx="10" formatCode="0%">
                  <c:v>0.52198056455344743</c:v>
                </c:pt>
                <c:pt idx="11" formatCode="0%">
                  <c:v>0.55130478844692177</c:v>
                </c:pt>
                <c:pt idx="12" formatCode="0%">
                  <c:v>0.55545969928518613</c:v>
                </c:pt>
                <c:pt idx="13" formatCode="0%">
                  <c:v>0.5563211925186331</c:v>
                </c:pt>
                <c:pt idx="14" formatCode="0%">
                  <c:v>0.6815940184537066</c:v>
                </c:pt>
                <c:pt idx="15" formatCode="0%">
                  <c:v>0.74600465477114042</c:v>
                </c:pt>
                <c:pt idx="16" formatCode="0%">
                  <c:v>0.80957414678344908</c:v>
                </c:pt>
                <c:pt idx="17" formatCode="0%">
                  <c:v>0.81198399863818194</c:v>
                </c:pt>
                <c:pt idx="18" formatCode="0%">
                  <c:v>0.87344628875125974</c:v>
                </c:pt>
                <c:pt idx="19" formatCode="0%">
                  <c:v>0.87378009108653221</c:v>
                </c:pt>
                <c:pt idx="20" formatCode="0%">
                  <c:v>0.91414002205071665</c:v>
                </c:pt>
                <c:pt idx="21" formatCode="0%">
                  <c:v>0.91487310343827699</c:v>
                </c:pt>
                <c:pt idx="22" formatCode="0%">
                  <c:v>0.96877461863496384</c:v>
                </c:pt>
                <c:pt idx="23" formatCode="0%">
                  <c:v>1.0526978794877178</c:v>
                </c:pt>
                <c:pt idx="24" formatCode="0%">
                  <c:v>1.1804378589860984</c:v>
                </c:pt>
                <c:pt idx="25" formatCode="0%">
                  <c:v>1.195217530390275</c:v>
                </c:pt>
                <c:pt idx="26" formatCode="0%">
                  <c:v>1.2074482035142933</c:v>
                </c:pt>
              </c:numCache>
            </c:numRef>
          </c:val>
        </c:ser>
        <c:ser>
          <c:idx val="1"/>
          <c:order val="1"/>
          <c:tx>
            <c:strRef>
              <c:f>'Box 3 MI'!$J$3</c:f>
              <c:strCache>
                <c:ptCount val="1"/>
                <c:pt idx="0">
                  <c:v>Mi as % low wages</c:v>
                </c:pt>
              </c:strCache>
            </c:strRef>
          </c:tx>
          <c:invertIfNegative val="0"/>
          <c:cat>
            <c:strRef>
              <c:f>'Box 3 MI'!$H$4:$H$31</c:f>
              <c:strCache>
                <c:ptCount val="28"/>
                <c:pt idx="0">
                  <c:v>EL*</c:v>
                </c:pt>
                <c:pt idx="1">
                  <c:v>IT*</c:v>
                </c:pt>
                <c:pt idx="2">
                  <c:v>BG</c:v>
                </c:pt>
                <c:pt idx="3">
                  <c:v>RO</c:v>
                </c:pt>
                <c:pt idx="4">
                  <c:v>SK</c:v>
                </c:pt>
                <c:pt idx="5">
                  <c:v>LV</c:v>
                </c:pt>
                <c:pt idx="6">
                  <c:v>HU</c:v>
                </c:pt>
                <c:pt idx="7">
                  <c:v>LT</c:v>
                </c:pt>
                <c:pt idx="8">
                  <c:v>PT</c:v>
                </c:pt>
                <c:pt idx="9">
                  <c:v>HR</c:v>
                </c:pt>
                <c:pt idx="10">
                  <c:v>PL</c:v>
                </c:pt>
                <c:pt idx="11">
                  <c:v>EE</c:v>
                </c:pt>
                <c:pt idx="12">
                  <c:v>ES</c:v>
                </c:pt>
                <c:pt idx="13">
                  <c:v>SI</c:v>
                </c:pt>
                <c:pt idx="14">
                  <c:v>FR</c:v>
                </c:pt>
                <c:pt idx="15">
                  <c:v>BE</c:v>
                </c:pt>
                <c:pt idx="16">
                  <c:v>AT</c:v>
                </c:pt>
                <c:pt idx="17">
                  <c:v>DE</c:v>
                </c:pt>
                <c:pt idx="18">
                  <c:v>CZ</c:v>
                </c:pt>
                <c:pt idx="19">
                  <c:v>LU</c:v>
                </c:pt>
                <c:pt idx="20">
                  <c:v>MT</c:v>
                </c:pt>
                <c:pt idx="21">
                  <c:v>SE</c:v>
                </c:pt>
                <c:pt idx="22">
                  <c:v>FI</c:v>
                </c:pt>
                <c:pt idx="23">
                  <c:v>UK</c:v>
                </c:pt>
                <c:pt idx="24">
                  <c:v>DK</c:v>
                </c:pt>
                <c:pt idx="25">
                  <c:v>NL</c:v>
                </c:pt>
                <c:pt idx="26">
                  <c:v>IE</c:v>
                </c:pt>
                <c:pt idx="27">
                  <c:v>CY**</c:v>
                </c:pt>
              </c:strCache>
            </c:strRef>
          </c:cat>
          <c:val>
            <c:numRef>
              <c:f>'Box 3 MI'!$J$4:$J$31</c:f>
              <c:numCache>
                <c:formatCode>General</c:formatCode>
                <c:ptCount val="28"/>
                <c:pt idx="2" formatCode="0%">
                  <c:v>0.30225513295186807</c:v>
                </c:pt>
                <c:pt idx="3" formatCode="0%">
                  <c:v>0.21126213592233009</c:v>
                </c:pt>
                <c:pt idx="4" formatCode="0%">
                  <c:v>0.40490447676076419</c:v>
                </c:pt>
                <c:pt idx="5" formatCode="0%">
                  <c:v>0.59852476290832457</c:v>
                </c:pt>
                <c:pt idx="6" formatCode="0%">
                  <c:v>0.40421647369963259</c:v>
                </c:pt>
                <c:pt idx="7" formatCode="0%">
                  <c:v>0.47164514317798989</c:v>
                </c:pt>
                <c:pt idx="8" formatCode="0%">
                  <c:v>0.34044585987261144</c:v>
                </c:pt>
                <c:pt idx="9" formatCode="0%">
                  <c:v>0.36924339293651065</c:v>
                </c:pt>
                <c:pt idx="10" formatCode="0%">
                  <c:v>0.54558645707376063</c:v>
                </c:pt>
                <c:pt idx="11" formatCode="0%">
                  <c:v>0.55481896991330959</c:v>
                </c:pt>
                <c:pt idx="12" formatCode="0%">
                  <c:v>0.4664182965952603</c:v>
                </c:pt>
                <c:pt idx="13" formatCode="0%">
                  <c:v>0.6256523801992725</c:v>
                </c:pt>
                <c:pt idx="14" formatCode="0%">
                  <c:v>0.66992416542881716</c:v>
                </c:pt>
                <c:pt idx="15" formatCode="0%">
                  <c:v>0.63610504729774431</c:v>
                </c:pt>
                <c:pt idx="16" formatCode="0%">
                  <c:v>0.76607602172049161</c:v>
                </c:pt>
                <c:pt idx="17" formatCode="0%">
                  <c:v>0.72602739726027399</c:v>
                </c:pt>
                <c:pt idx="18" formatCode="0%">
                  <c:v>0.74647928798062413</c:v>
                </c:pt>
                <c:pt idx="19" formatCode="0%">
                  <c:v>0.88922277681572781</c:v>
                </c:pt>
                <c:pt idx="20" formatCode="0%">
                  <c:v>0.77083091226031375</c:v>
                </c:pt>
                <c:pt idx="21" formatCode="0%">
                  <c:v>0.96875815588682312</c:v>
                </c:pt>
                <c:pt idx="22" formatCode="0%">
                  <c:v>0.83207233806975456</c:v>
                </c:pt>
                <c:pt idx="23" formatCode="0%">
                  <c:v>0.72687735575529144</c:v>
                </c:pt>
                <c:pt idx="24" formatCode="0%">
                  <c:v>1.2417011812299152</c:v>
                </c:pt>
                <c:pt idx="25" formatCode="0%">
                  <c:v>0.81715785444802891</c:v>
                </c:pt>
                <c:pt idx="26" formatCode="0%">
                  <c:v>1.0680482523971544</c:v>
                </c:pt>
              </c:numCache>
            </c:numRef>
          </c:val>
        </c:ser>
        <c:dLbls>
          <c:showLegendKey val="0"/>
          <c:showVal val="0"/>
          <c:showCatName val="0"/>
          <c:showSerName val="0"/>
          <c:showPercent val="0"/>
          <c:showBubbleSize val="0"/>
        </c:dLbls>
        <c:gapWidth val="150"/>
        <c:axId val="146208256"/>
        <c:axId val="146209792"/>
      </c:barChart>
      <c:catAx>
        <c:axId val="146208256"/>
        <c:scaling>
          <c:orientation val="minMax"/>
        </c:scaling>
        <c:delete val="0"/>
        <c:axPos val="b"/>
        <c:numFmt formatCode="General" sourceLinked="1"/>
        <c:majorTickMark val="in"/>
        <c:minorTickMark val="none"/>
        <c:tickLblPos val="low"/>
        <c:spPr>
          <a:ln w="6350" cmpd="sng">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en-US"/>
          </a:p>
        </c:txPr>
        <c:crossAx val="146209792"/>
        <c:crosses val="autoZero"/>
        <c:auto val="1"/>
        <c:lblAlgn val="ctr"/>
        <c:lblOffset val="100"/>
        <c:noMultiLvlLbl val="0"/>
      </c:catAx>
      <c:valAx>
        <c:axId val="146209792"/>
        <c:scaling>
          <c:orientation val="minMax"/>
        </c:scaling>
        <c:delete val="0"/>
        <c:axPos val="l"/>
        <c:numFmt formatCode="General" sourceLinked="1"/>
        <c:majorTickMark val="in"/>
        <c:minorTickMark val="none"/>
        <c:tickLblPos val="nextTo"/>
        <c:spPr>
          <a:ln w="6350" cmpd="sng">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46208256"/>
        <c:crosses val="autoZero"/>
        <c:crossBetween val="between"/>
      </c:valAx>
      <c:spPr>
        <a:solidFill>
          <a:sysClr val="window" lastClr="FFFFFF"/>
        </a:solidFill>
        <a:ln w="25400">
          <a:noFill/>
        </a:ln>
      </c:spPr>
    </c:plotArea>
    <c:legend>
      <c:legendPos val="b"/>
      <c:overlay val="0"/>
      <c:txPr>
        <a:bodyPr/>
        <a:lstStyle/>
        <a:p>
          <a:pPr>
            <a:defRPr sz="73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ysClr val="window" lastClr="FFFFFF"/>
    </a:solidFill>
    <a:ln w="9525">
      <a:no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_EPKit Theme">
    <a:dk1>
      <a:sysClr val="windowText" lastClr="000000"/>
    </a:dk1>
    <a:lt1>
      <a:sysClr val="window" lastClr="FFFFFF"/>
    </a:lt1>
    <a:dk2>
      <a:srgbClr val="4C70A7"/>
    </a:dk2>
    <a:lt2>
      <a:srgbClr val="F2F2F2"/>
    </a:lt2>
    <a:accent1>
      <a:srgbClr val="353B73"/>
    </a:accent1>
    <a:accent2>
      <a:srgbClr val="FFD724"/>
    </a:accent2>
    <a:accent3>
      <a:srgbClr val="2F9AFB"/>
    </a:accent3>
    <a:accent4>
      <a:srgbClr val="B8AAA2"/>
    </a:accent4>
    <a:accent5>
      <a:srgbClr val="E75118"/>
    </a:accent5>
    <a:accent6>
      <a:srgbClr val="6DC7A9"/>
    </a:accent6>
    <a:hlink>
      <a:srgbClr val="F29522"/>
    </a:hlink>
    <a:folHlink>
      <a:srgbClr val="2F9AD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_EPKit Theme">
    <a:dk1>
      <a:sysClr val="windowText" lastClr="000000"/>
    </a:dk1>
    <a:lt1>
      <a:sysClr val="window" lastClr="FFFFFF"/>
    </a:lt1>
    <a:dk2>
      <a:srgbClr val="4C70A7"/>
    </a:dk2>
    <a:lt2>
      <a:srgbClr val="F2F2F2"/>
    </a:lt2>
    <a:accent1>
      <a:srgbClr val="353B73"/>
    </a:accent1>
    <a:accent2>
      <a:srgbClr val="FFD724"/>
    </a:accent2>
    <a:accent3>
      <a:srgbClr val="2F9AFB"/>
    </a:accent3>
    <a:accent4>
      <a:srgbClr val="B8AAA2"/>
    </a:accent4>
    <a:accent5>
      <a:srgbClr val="E75118"/>
    </a:accent5>
    <a:accent6>
      <a:srgbClr val="6DC7A9"/>
    </a:accent6>
    <a:hlink>
      <a:srgbClr val="F29522"/>
    </a:hlink>
    <a:folHlink>
      <a:srgbClr val="2F9AD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_EPKit Theme">
    <a:dk1>
      <a:sysClr val="windowText" lastClr="000000"/>
    </a:dk1>
    <a:lt1>
      <a:sysClr val="window" lastClr="FFFFFF"/>
    </a:lt1>
    <a:dk2>
      <a:srgbClr val="4C70A7"/>
    </a:dk2>
    <a:lt2>
      <a:srgbClr val="F2F2F2"/>
    </a:lt2>
    <a:accent1>
      <a:srgbClr val="353B73"/>
    </a:accent1>
    <a:accent2>
      <a:srgbClr val="FFD724"/>
    </a:accent2>
    <a:accent3>
      <a:srgbClr val="2F9AFB"/>
    </a:accent3>
    <a:accent4>
      <a:srgbClr val="B8AAA2"/>
    </a:accent4>
    <a:accent5>
      <a:srgbClr val="E75118"/>
    </a:accent5>
    <a:accent6>
      <a:srgbClr val="6DC7A9"/>
    </a:accent6>
    <a:hlink>
      <a:srgbClr val="F29522"/>
    </a:hlink>
    <a:folHlink>
      <a:srgbClr val="2F9AD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219F-D8A6-401D-97CE-2BB95D21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18030</Words>
  <Characters>101515</Characters>
  <Application>Microsoft Office Word</Application>
  <DocSecurity>0</DocSecurity>
  <Lines>1561</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2017-04-21T11:29:00Z</cp:lastPrinted>
  <dcterms:created xsi:type="dcterms:W3CDTF">2017-04-21T11:12:00Z</dcterms:created>
  <dcterms:modified xsi:type="dcterms:W3CDTF">2017-04-26T08:41:00Z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