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5F" w:rsidRDefault="002A1523" w:rsidP="002A1523">
      <w:pPr>
        <w:pStyle w:val="Pagedecouverture"/>
      </w:pPr>
      <w:bookmarkStart w:id="0" w:name="L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A2D8BACEF594FD9BAD919CCE5D7A2B0" style="width:450.6pt;height:366.2pt">
            <v:imagedata r:id="rId8" o:title=""/>
          </v:shape>
        </w:pict>
      </w:r>
      <w:bookmarkEnd w:id="1"/>
    </w:p>
    <w:bookmarkEnd w:id="0"/>
    <w:p w:rsidR="00263A5F" w:rsidRDefault="00263A5F">
      <w:pPr>
        <w:sectPr w:rsidR="00263A5F" w:rsidSect="002A15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63A5F" w:rsidRDefault="00154412">
      <w:pPr>
        <w:rPr>
          <w:rFonts w:ascii="EC Square Sans Pro" w:hAnsi="EC Square Sans Pro"/>
          <w:caps/>
          <w:color w:val="F15A22"/>
        </w:rPr>
      </w:pPr>
      <w:r>
        <w:rPr>
          <w:rFonts w:ascii="EC Square Sans Pro" w:hAnsi="EC Square Sans Pro"/>
          <w:caps/>
          <w:color w:val="F15A22"/>
        </w:rPr>
        <w:lastRenderedPageBreak/>
        <w:t xml:space="preserve">Annexe 2 | </w:t>
      </w:r>
      <w:r>
        <w:rPr>
          <w:rFonts w:ascii="EC Square Sans Pro" w:hAnsi="EC Square Sans Pro"/>
          <w:b/>
          <w:caps/>
          <w:color w:val="F15A22"/>
        </w:rPr>
        <w:t>Présentation de certaines initiatives récentes ou à venir de la Commission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70" w:type="dxa"/>
          <w:right w:w="142" w:type="dxa"/>
        </w:tblCellMar>
        <w:tblLook w:val="04A0" w:firstRow="1" w:lastRow="0" w:firstColumn="1" w:lastColumn="0" w:noHBand="0" w:noVBand="1"/>
      </w:tblPr>
      <w:tblGrid>
        <w:gridCol w:w="4661"/>
        <w:gridCol w:w="4661"/>
      </w:tblGrid>
      <w:tr w:rsidR="00263A5F">
        <w:trPr>
          <w:trHeight w:val="567"/>
        </w:trPr>
        <w:tc>
          <w:tcPr>
            <w:tcW w:w="4989" w:type="dxa"/>
            <w:shd w:val="clear" w:color="auto" w:fill="F2F2F2" w:themeFill="background1" w:themeFillShade="F2"/>
          </w:tcPr>
          <w:p w:rsidR="00263A5F" w:rsidRDefault="00154412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000000" w:themeColor="text1"/>
                <w:lang w:val="en-GB" w:eastAsia="en-GB"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599FC1C" wp14:editId="7F6978D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-105410</wp:posOffset>
                      </wp:positionV>
                      <wp:extent cx="6297930" cy="0"/>
                      <wp:effectExtent l="0" t="19050" r="7620" b="19050"/>
                      <wp:wrapNone/>
                      <wp:docPr id="321" name="Group 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7930" cy="0"/>
                                <a:chOff x="0" y="0"/>
                                <a:chExt cx="6298337" cy="0"/>
                              </a:xfrm>
                            </wpg:grpSpPr>
                            <wps:wsp>
                              <wps:cNvPr id="322" name="Straight Connector 322"/>
                              <wps:cNvCnPr/>
                              <wps:spPr>
                                <a:xfrm>
                                  <a:off x="0" y="0"/>
                                  <a:ext cx="3138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" name="Straight Connector 323"/>
                              <wps:cNvCnPr/>
                              <wps:spPr>
                                <a:xfrm>
                                  <a:off x="3160167" y="0"/>
                                  <a:ext cx="3138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o="urn:schemas-microsoft-com:office:office" xmlns:w14="http://schemas.microsoft.com/office/word/2010/wordml" xmlns:v="urn:schemas-microsoft-com:vml" w14:anchorId="20F57754" id="Group 321" o:spid="_x0000_s1026" style="position:absolute;margin-left:-4.05pt;margin-top:-8.3pt;width:495.9pt;height:0;z-index:251660288" coordsize="629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">
                      <v:line id="Straight Connector 322" o:spid="_x0000_s1027" style="position:absolute;visibility:visible;mso-wrap-style:square" from="0,0" to="31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" strokecolor="#00b0f0" strokeweight="3pt"/>
                      <v:line id="Straight Connector 323" o:spid="_x0000_s1028" style="position:absolute;visibility:visible;mso-wrap-style:square" from="31601,0" to="629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" strokecolor="#92d050" strokeweight="3pt"/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Socle européen des droits sociaux</w:t>
            </w:r>
          </w:p>
          <w:p w:rsidR="00263A5F" w:rsidRDefault="00154412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Relèvement des 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normes en matière de santé et de sécurité au travail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grâce à la directive sur les agents cancérigènes et mutagènes</w:t>
            </w:r>
          </w:p>
          <w:p w:rsidR="00263A5F" w:rsidRDefault="00154412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Intégration des chômeurs de longue durée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sur le marché du travail</w:t>
            </w:r>
          </w:p>
          <w:p w:rsidR="00263A5F" w:rsidRDefault="00154412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Soutien en faveur de l’équilibre entre vie professionnelle et vie familiale</w:t>
            </w:r>
          </w:p>
          <w:p w:rsidR="00263A5F" w:rsidRDefault="00154412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Engagement stratégique pour l’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égalité entre les femmes et les hommes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(2016-2019)</w:t>
            </w:r>
          </w:p>
          <w:p w:rsidR="00263A5F" w:rsidRDefault="00154412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Soutien en faveur de la mobilité (révision de la 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directive sur le détachement de travailleurs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) et de la coordination des systèmes de sécurité sociale aux fins de la portabilité des prestations</w:t>
            </w:r>
          </w:p>
          <w:p w:rsidR="00263A5F" w:rsidRDefault="00154412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Proposition d’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acte législatif européen sur l’accessibilité</w:t>
            </w:r>
          </w:p>
          <w:p w:rsidR="00263A5F" w:rsidRDefault="00154412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«Parcours de renforcement des compétences» pour permettre aux adultes d’acquérir un niveau minimum de compétences dans le domaine de la lecture, de l'écriture, du calcul et du numérique </w:t>
            </w:r>
          </w:p>
          <w:p w:rsidR="00263A5F" w:rsidRDefault="00263A5F">
            <w:pPr>
              <w:ind w:left="720"/>
              <w:rPr>
                <w:rFonts w:ascii="EC Square Sans Pro" w:hAnsi="EC Square Sans Pro"/>
                <w:noProof/>
                <w:color w:val="7F7F7F" w:themeColor="text1" w:themeTint="80"/>
              </w:rPr>
            </w:pPr>
          </w:p>
        </w:tc>
        <w:tc>
          <w:tcPr>
            <w:tcW w:w="4989" w:type="dxa"/>
            <w:shd w:val="clear" w:color="auto" w:fill="F2F2F2" w:themeFill="background1" w:themeFillShade="F2"/>
          </w:tcPr>
          <w:p w:rsidR="00263A5F" w:rsidRDefault="00154412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Réforme du semestre européen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:  recommandations par pays ciblées, renforcement de la 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dimension de la zone euro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et contacts approfondis au niveau national avec les pouvoirs publics, les partenaires sociaux et la société civile</w:t>
            </w:r>
          </w:p>
          <w:p w:rsidR="00263A5F" w:rsidRDefault="00154412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Objectifs au niveau de l’Union et à l’échelon national en matière d’emploi, d’éducation, de réduction de la pauvreté, de R&amp;D, d’énergie et de changement climatique dans le cadre de la 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 xml:space="preserve">stratégie Europe 2020 </w:t>
            </w:r>
          </w:p>
          <w:p w:rsidR="00263A5F" w:rsidRDefault="00154412">
            <w:pPr>
              <w:numPr>
                <w:ilvl w:val="0"/>
                <w:numId w:val="2"/>
              </w:numPr>
              <w:spacing w:after="200" w:line="276" w:lineRule="auto"/>
              <w:rPr>
                <w:rFonts w:ascii="EC Square Sans Pro" w:hAnsi="EC Square Sans Pro"/>
                <w:b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Plan d’action pour l’intégration des ressortissants de pays tiers</w:t>
            </w:r>
          </w:p>
          <w:p w:rsidR="00263A5F" w:rsidRDefault="00154412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 xml:space="preserve">Garantie pour la jeunesse </w:t>
            </w:r>
          </w:p>
          <w:p w:rsidR="00263A5F" w:rsidRDefault="00154412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Nouvelle stratégie en matière de compétences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pour l’Europe</w:t>
            </w:r>
          </w:p>
          <w:p w:rsidR="00263A5F" w:rsidRDefault="00154412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Campagne de l’Agence européenne pour la sécurité et la santé au travail (OSHA): «Être bien sur les lieux de travail quel que soit l’âge»</w:t>
            </w:r>
          </w:p>
          <w:p w:rsidR="00263A5F" w:rsidRDefault="00263A5F">
            <w:pPr>
              <w:rPr>
                <w:rFonts w:ascii="EC Square Sans Pro" w:hAnsi="EC Square Sans Pro"/>
                <w:noProof/>
                <w:color w:val="7F7F7F" w:themeColor="text1" w:themeTint="80"/>
              </w:rPr>
            </w:pPr>
          </w:p>
        </w:tc>
      </w:tr>
      <w:tr w:rsidR="00263A5F">
        <w:trPr>
          <w:trHeight w:val="567"/>
        </w:trPr>
        <w:tc>
          <w:tcPr>
            <w:tcW w:w="4989" w:type="dxa"/>
            <w:shd w:val="clear" w:color="auto" w:fill="00B0F0"/>
            <w:vAlign w:val="center"/>
          </w:tcPr>
          <w:p w:rsidR="00263A5F" w:rsidRDefault="00154412">
            <w:pPr>
              <w:jc w:val="center"/>
              <w:rPr>
                <w:rFonts w:ascii="EC Square Sans Pro" w:hAnsi="EC Square Sans Pro"/>
                <w:b/>
                <w:color w:val="FFFFFF" w:themeColor="background1"/>
              </w:rPr>
            </w:pPr>
            <w:r>
              <w:rPr>
                <w:rFonts w:ascii="EC Square Sans Pro" w:hAnsi="EC Square Sans Pro"/>
                <w:b/>
                <w:color w:val="FFFFFF" w:themeColor="background1"/>
              </w:rPr>
              <w:t>Législation</w:t>
            </w:r>
          </w:p>
        </w:tc>
        <w:tc>
          <w:tcPr>
            <w:tcW w:w="4989" w:type="dxa"/>
            <w:shd w:val="clear" w:color="auto" w:fill="A2D06D"/>
            <w:vAlign w:val="center"/>
          </w:tcPr>
          <w:p w:rsidR="00263A5F" w:rsidRDefault="00154412">
            <w:pPr>
              <w:jc w:val="center"/>
              <w:rPr>
                <w:rFonts w:ascii="EC Square Sans Pro" w:hAnsi="EC Square Sans Pro"/>
                <w:b/>
                <w:color w:val="FFFFFF" w:themeColor="background1"/>
              </w:rPr>
            </w:pPr>
            <w:r>
              <w:rPr>
                <w:rFonts w:ascii="EC Square Sans Pro" w:hAnsi="EC Square Sans Pro"/>
                <w:b/>
                <w:color w:val="FFFFFF" w:themeColor="background1"/>
              </w:rPr>
              <w:t>Orientations</w:t>
            </w:r>
          </w:p>
        </w:tc>
      </w:tr>
      <w:tr w:rsidR="00263A5F">
        <w:trPr>
          <w:trHeight w:val="567"/>
        </w:trPr>
        <w:tc>
          <w:tcPr>
            <w:tcW w:w="4989" w:type="dxa"/>
            <w:shd w:val="clear" w:color="auto" w:fill="F68120"/>
            <w:vAlign w:val="center"/>
          </w:tcPr>
          <w:p w:rsidR="00263A5F" w:rsidRDefault="00154412">
            <w:pPr>
              <w:jc w:val="center"/>
              <w:rPr>
                <w:rFonts w:ascii="EC Square Sans Pro" w:hAnsi="EC Square Sans Pro"/>
                <w:b/>
                <w:color w:val="FFFFFF" w:themeColor="background1"/>
              </w:rPr>
            </w:pPr>
            <w:r>
              <w:rPr>
                <w:rFonts w:ascii="EC Square Sans Pro" w:hAnsi="EC Square Sans Pro"/>
                <w:b/>
                <w:color w:val="FFFFFF" w:themeColor="background1"/>
              </w:rPr>
              <w:t>Financement</w:t>
            </w:r>
          </w:p>
        </w:tc>
        <w:tc>
          <w:tcPr>
            <w:tcW w:w="4989" w:type="dxa"/>
            <w:shd w:val="clear" w:color="auto" w:fill="BD4F9D"/>
            <w:vAlign w:val="center"/>
          </w:tcPr>
          <w:p w:rsidR="00263A5F" w:rsidRDefault="00154412">
            <w:pPr>
              <w:jc w:val="center"/>
              <w:rPr>
                <w:rFonts w:ascii="EC Square Sans Pro" w:hAnsi="EC Square Sans Pro"/>
                <w:b/>
                <w:color w:val="FFFFFF" w:themeColor="background1"/>
              </w:rPr>
            </w:pPr>
            <w:r>
              <w:rPr>
                <w:rFonts w:ascii="EC Square Sans Pro" w:hAnsi="EC Square Sans Pro"/>
                <w:b/>
                <w:color w:val="FFFFFF" w:themeColor="background1"/>
              </w:rPr>
              <w:t>Coopération</w:t>
            </w:r>
          </w:p>
        </w:tc>
      </w:tr>
      <w:tr w:rsidR="00263A5F">
        <w:tc>
          <w:tcPr>
            <w:tcW w:w="4989" w:type="dxa"/>
            <w:shd w:val="clear" w:color="auto" w:fill="F2F2F2" w:themeFill="background1" w:themeFillShade="F2"/>
          </w:tcPr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Fonds structurels et d’investissement européens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 xml:space="preserve">Fonds européen pour les investissements stratégiques 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 xml:space="preserve">Initiative pour l’emploi des jeunes: 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soutenir plus de 1,4 million de jeunes en leur proposant un stage, un apprentissage ou un emploi.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 xml:space="preserve">Erasmus+: 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soutien à plus de 9 millions de jeunes Européens au cours des 30 dernières années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Erasmus Pro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pour les apprentissages transfrontières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Fonds européen d’ajustement à la mondialisation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Horizon 2020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: investissements dans la recherche et l’innovation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Programme pour l’emploi et l’innovation sociale (EaSI)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visant à faciliter le microcrédit et l’entrepreneuriat 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lastRenderedPageBreak/>
              <w:t>social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000000" w:themeColor="text1"/>
                <w:lang w:val="en-GB" w:eastAsia="en-GB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4DB291" wp14:editId="1BC80BB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817880</wp:posOffset>
                      </wp:positionV>
                      <wp:extent cx="6297930" cy="0"/>
                      <wp:effectExtent l="0" t="19050" r="7620" b="1905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7930" cy="0"/>
                                <a:chOff x="0" y="0"/>
                                <a:chExt cx="6298337" cy="0"/>
                              </a:xfrm>
                            </wpg:grpSpPr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0" y="0"/>
                                  <a:ext cx="3138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6812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>
                                  <a:off x="3160167" y="0"/>
                                  <a:ext cx="3138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BD4F9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o="urn:schemas-microsoft-com:office:office" xmlns:w14="http://schemas.microsoft.com/office/word/2010/wordml" xmlns:v="urn:schemas-microsoft-com:vml" w14:anchorId="7A83BEBE" id="Group 60" o:spid="_x0000_s1026" style="position:absolute;margin-left:-4.05pt;margin-top:64.4pt;width:495.9pt;height:0;z-index:251659264" coordsize="629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">
                      <v:line id="Straight Connector 61" o:spid="_x0000_s1027" style="position:absolute;visibility:visible;mso-wrap-style:square" from="0,0" to="31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" strokecolor="#f68120" strokeweight="3pt"/>
                      <v:line id="Straight Connector 62" o:spid="_x0000_s1028" style="position:absolute;visibility:visible;mso-wrap-style:square" from="31601,0" to="629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" strokecolor="#bd4f9d" strokeweight="3pt"/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Fonds européen d’aide aux plus démunis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(FEAD)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Création d’un 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corps européen de solidarité</w:t>
            </w:r>
          </w:p>
          <w:p w:rsidR="00263A5F" w:rsidRDefault="00263A5F">
            <w:pPr>
              <w:ind w:left="720"/>
              <w:rPr>
                <w:rFonts w:ascii="EC Square Sans Pro" w:hAnsi="EC Square Sans Pro"/>
                <w:noProof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989" w:type="dxa"/>
            <w:shd w:val="clear" w:color="auto" w:fill="F2F2F2" w:themeFill="background1" w:themeFillShade="F2"/>
          </w:tcPr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lastRenderedPageBreak/>
              <w:t xml:space="preserve">Réforme du 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sommet social tripartite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et recentrage du 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dialogue macroéconomique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Déclaration conjointe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du Conseil, de la Commission et des partenaires sociaux sur un «nouveau départ pour le dialogue social»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Participation active des partenaires sociaux européens aux priorités politiques de l’Union (investissements, marché unique numérique, énergie)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Convention annuelle pour la croissance inclusive avec la </w:t>
            </w: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société civile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Coalition en faveur des compétences et des emplois numériques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Année européenne du patrimoine culturel (2018)</w:t>
            </w:r>
          </w:p>
          <w:p w:rsidR="00263A5F" w:rsidRDefault="00154412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Réseaux de référence pour lutter contre les maladies rares et complexes</w:t>
            </w:r>
          </w:p>
          <w:p w:rsidR="00263A5F" w:rsidRDefault="00263A5F">
            <w:pPr>
              <w:rPr>
                <w:rFonts w:ascii="EC Square Sans Pro" w:hAnsi="EC Square Sans Pro"/>
                <w:b/>
                <w:color w:val="7F7F7F" w:themeColor="text1" w:themeTint="80"/>
              </w:rPr>
            </w:pPr>
          </w:p>
        </w:tc>
      </w:tr>
    </w:tbl>
    <w:p w:rsidR="00263A5F" w:rsidRDefault="00263A5F"/>
    <w:sectPr w:rsidR="00263A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5F" w:rsidRDefault="00154412">
      <w:pPr>
        <w:spacing w:after="0" w:line="240" w:lineRule="auto"/>
      </w:pPr>
      <w:r>
        <w:separator/>
      </w:r>
    </w:p>
  </w:endnote>
  <w:endnote w:type="continuationSeparator" w:id="0">
    <w:p w:rsidR="00263A5F" w:rsidRDefault="0015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23" w:rsidRDefault="002A1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23" w:rsidRPr="002A1523" w:rsidRDefault="002A1523" w:rsidP="002A1523">
    <w:pPr>
      <w:pStyle w:val="FooterCoverPage"/>
      <w:rPr>
        <w:rFonts w:ascii="Arial" w:hAnsi="Arial" w:cs="Arial"/>
        <w:b/>
        <w:color w:val="auto"/>
        <w:sz w:val="48"/>
      </w:rPr>
    </w:pPr>
    <w:r w:rsidRPr="002A1523">
      <w:rPr>
        <w:rFonts w:ascii="Arial" w:hAnsi="Arial" w:cs="Arial"/>
        <w:b/>
        <w:color w:val="auto"/>
        <w:sz w:val="48"/>
      </w:rPr>
      <w:t>FR</w:t>
    </w:r>
    <w:r w:rsidRPr="002A1523">
      <w:rPr>
        <w:rFonts w:ascii="Arial" w:hAnsi="Arial" w:cs="Arial"/>
        <w:b/>
        <w:color w:val="auto"/>
        <w:sz w:val="48"/>
      </w:rPr>
      <w:tab/>
    </w:r>
    <w:r w:rsidRPr="002A1523">
      <w:rPr>
        <w:rFonts w:ascii="Arial" w:hAnsi="Arial" w:cs="Arial"/>
        <w:b/>
        <w:color w:val="auto"/>
        <w:sz w:val="48"/>
      </w:rPr>
      <w:tab/>
    </w:r>
    <w:r w:rsidRPr="002A1523">
      <w:rPr>
        <w:color w:val="auto"/>
      </w:rPr>
      <w:fldChar w:fldCharType="begin"/>
    </w:r>
    <w:r w:rsidRPr="002A1523">
      <w:rPr>
        <w:color w:val="auto"/>
      </w:rPr>
      <w:instrText xml:space="preserve"> DOCVARIABLE "LW_Confidence" \* MERGEFORMAT </w:instrText>
    </w:r>
    <w:r w:rsidRPr="002A1523">
      <w:rPr>
        <w:color w:val="auto"/>
      </w:rPr>
      <w:fldChar w:fldCharType="separate"/>
    </w:r>
    <w:r w:rsidRPr="002A1523">
      <w:rPr>
        <w:color w:val="auto"/>
      </w:rPr>
      <w:t xml:space="preserve"> </w:t>
    </w:r>
    <w:r w:rsidRPr="002A1523">
      <w:rPr>
        <w:color w:val="auto"/>
      </w:rPr>
      <w:fldChar w:fldCharType="end"/>
    </w:r>
    <w:r w:rsidRPr="002A1523">
      <w:rPr>
        <w:color w:val="auto"/>
      </w:rPr>
      <w:tab/>
    </w:r>
    <w:r w:rsidRPr="002A1523">
      <w:rPr>
        <w:rFonts w:ascii="Arial" w:hAnsi="Arial" w:cs="Arial"/>
        <w:b/>
        <w:color w:val="auto"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23" w:rsidRDefault="002A152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5F" w:rsidRDefault="00263A5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5F" w:rsidRDefault="00263A5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5F" w:rsidRDefault="00263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5F" w:rsidRDefault="00154412">
      <w:pPr>
        <w:spacing w:after="0" w:line="240" w:lineRule="auto"/>
      </w:pPr>
      <w:r>
        <w:separator/>
      </w:r>
    </w:p>
  </w:footnote>
  <w:footnote w:type="continuationSeparator" w:id="0">
    <w:p w:rsidR="00263A5F" w:rsidRDefault="0015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23" w:rsidRDefault="002A15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23" w:rsidRDefault="002A15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23" w:rsidRDefault="002A152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5F" w:rsidRDefault="00263A5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5F" w:rsidRDefault="00263A5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5F" w:rsidRDefault="00263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516"/>
    <w:multiLevelType w:val="hybridMultilevel"/>
    <w:tmpl w:val="B082F2E8"/>
    <w:lvl w:ilvl="0" w:tplc="56D0E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47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0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4E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65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0F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EC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C0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9071AC"/>
    <w:multiLevelType w:val="hybridMultilevel"/>
    <w:tmpl w:val="5D1EE414"/>
    <w:lvl w:ilvl="0" w:tplc="731A1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0F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9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8E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E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8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4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CE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E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A639A1"/>
    <w:multiLevelType w:val="hybridMultilevel"/>
    <w:tmpl w:val="25E8A450"/>
    <w:lvl w:ilvl="0" w:tplc="3F1A2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42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68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6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C4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E1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29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7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2E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by Gropas">
    <w15:presenceInfo w15:providerId="Windows Live" w15:userId="022ce868c85d21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Red"/>
    <w:docVar w:name="LW_ACCOMPAGNANT.CP" w:val="au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FA2D8BACEF594FD9BAD919CCE5D7A2B0"/>
    <w:docVar w:name="LW_CROSSREFERENCE" w:val="&lt;UNUSED&gt;"/>
    <w:docVar w:name="LW_DocType" w:val="NORMAL"/>
    <w:docVar w:name="LW_EMISSION" w:val="26.4.2017"/>
    <w:docVar w:name="LW_EMISSION_ISODATE" w:val="2017-04-2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EMPTY&gt;"/>
    <w:docVar w:name="LW_NOM.INST" w:val="COMMISSION EUROPÉENNE"/>
    <w:docVar w:name="LW_NOM.INST_JOINTDOC" w:val="&lt;EMPTY&gt;"/>
    <w:docVar w:name="LW_OBJETACTEPRINCIPAL.CP" w:val="SUR LA DIMENSION SOCIALE DE L'EUROPE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7) 206 final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DOCUMENT DE RÉFLEXION"/>
  </w:docVars>
  <w:rsids>
    <w:rsidRoot w:val="00263A5F"/>
    <w:rsid w:val="00154412"/>
    <w:rsid w:val="00263A5F"/>
    <w:rsid w:val="002A1523"/>
    <w:rsid w:val="00941E6C"/>
    <w:rsid w:val="00C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caps/>
      <w:color w:val="F15A22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caps/>
      <w:color w:val="F15A22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caps/>
      <w:color w:val="F15A22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caps/>
      <w:color w:val="F15A2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caps/>
      <w:color w:val="F15A22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caps/>
      <w:color w:val="F15A22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caps/>
      <w:color w:val="F15A22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caps/>
      <w:color w:val="F15A2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2565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GETOVA Sevdalina (SG)</dc:creator>
  <cp:lastModifiedBy>Stefanie Heilemann</cp:lastModifiedBy>
  <cp:revision>2</cp:revision>
  <dcterms:created xsi:type="dcterms:W3CDTF">2017-04-26T08:20:00Z</dcterms:created>
  <dcterms:modified xsi:type="dcterms:W3CDTF">2017-04-26T08:20:00Z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Red</vt:lpwstr>
  </property>
</Properties>
</file>