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0005062B1A7417B81CA8A7AFCE8B380" style="width:450.25pt;height:487.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NormalWeb"/>
        <w:jc w:val="both"/>
        <w:rPr>
          <w:noProof/>
        </w:rPr>
      </w:pPr>
      <w:bookmarkStart w:id="1" w:name="_GoBack"/>
      <w:bookmarkEnd w:id="1"/>
      <w:r>
        <w:rPr>
          <w:i/>
          <w:iCs/>
          <w:noProof/>
        </w:rPr>
        <w:lastRenderedPageBreak/>
        <w:t>This Implementation Plan is provided for information purposes only. It does not legally bind the Commission on whether the identified actions will be pursued or on the form in which they will be pursued.</w:t>
      </w:r>
      <w:r>
        <w:rPr>
          <w:noProof/>
        </w:rPr>
        <w:t xml:space="preserve"> </w:t>
      </w:r>
    </w:p>
    <w:p>
      <w:pPr>
        <w:pStyle w:val="Title"/>
        <w:jc w:val="both"/>
        <w:rPr>
          <w:rStyle w:val="BookTitle"/>
          <w:rFonts w:ascii="Times New Roman" w:hAnsi="Times New Roman" w:cs="Times New Roman"/>
          <w:b w:val="0"/>
          <w:noProof/>
          <w:color w:val="auto"/>
          <w:sz w:val="24"/>
          <w:szCs w:val="24"/>
        </w:rPr>
      </w:pPr>
      <w:r>
        <w:rPr>
          <w:rStyle w:val="BookTitle"/>
          <w:rFonts w:ascii="Times New Roman" w:hAnsi="Times New Roman" w:cs="Times New Roman"/>
          <w:b w:val="0"/>
          <w:noProof/>
          <w:color w:val="auto"/>
          <w:sz w:val="24"/>
          <w:szCs w:val="24"/>
        </w:rPr>
        <w:t>Implementation Plan for the Proposal for a Regulation of the European Parliament and of the Council on establishing a single digital gateway to provide information, procedures, assistance and problem solving services and amending Regulation (EU) No 1024/2012</w:t>
      </w:r>
    </w:p>
    <w:p>
      <w:pPr>
        <w:pStyle w:val="Heading1"/>
        <w:spacing w:before="240" w:after="120" w:line="240" w:lineRule="auto"/>
        <w:rPr>
          <w:rStyle w:val="IntenseReference"/>
          <w:rFonts w:ascii="Times New Roman" w:hAnsi="Times New Roman" w:cs="Times New Roman"/>
          <w:b/>
          <w:noProof/>
          <w:color w:val="auto"/>
          <w:sz w:val="24"/>
          <w:szCs w:val="24"/>
          <w:u w:val="none"/>
        </w:rPr>
      </w:pPr>
      <w:r>
        <w:rPr>
          <w:rStyle w:val="IntenseReference"/>
          <w:rFonts w:ascii="Times New Roman" w:hAnsi="Times New Roman" w:cs="Times New Roman"/>
          <w:b/>
          <w:noProof/>
          <w:color w:val="auto"/>
          <w:sz w:val="24"/>
          <w:szCs w:val="24"/>
          <w:u w:val="none"/>
        </w:rPr>
        <w:t xml:space="preserve">1. </w:t>
      </w:r>
      <w:r>
        <w:rPr>
          <w:rStyle w:val="IntenseReference"/>
          <w:rFonts w:ascii="Times New Roman" w:hAnsi="Times New Roman" w:cs="Times New Roman"/>
          <w:b/>
          <w:noProof/>
          <w:color w:val="auto"/>
          <w:sz w:val="24"/>
          <w:szCs w:val="24"/>
          <w:u w:val="none"/>
        </w:rPr>
        <w:tab/>
        <w:t xml:space="preserve">Contact point: </w:t>
      </w:r>
    </w:p>
    <w:p>
      <w:pPr>
        <w:pStyle w:val="NormalWeb"/>
        <w:spacing w:before="0" w:beforeAutospacing="0" w:after="0" w:afterAutospacing="0"/>
        <w:jc w:val="both"/>
        <w:rPr>
          <w:noProof/>
        </w:rPr>
      </w:pPr>
      <w:r>
        <w:rPr>
          <w:noProof/>
        </w:rPr>
        <w:t>European Commission, Directorate General Internal Market, Industry, Entrepreneurship and SME</w:t>
      </w:r>
    </w:p>
    <w:p>
      <w:pPr>
        <w:pStyle w:val="NormalWeb"/>
        <w:spacing w:before="0" w:beforeAutospacing="0" w:after="0" w:afterAutospacing="0"/>
        <w:jc w:val="both"/>
        <w:rPr>
          <w:noProof/>
        </w:rPr>
      </w:pPr>
      <w:r>
        <w:rPr>
          <w:noProof/>
        </w:rPr>
        <w:t>Directorate E, Modernisation of the Single Market</w:t>
      </w:r>
    </w:p>
    <w:p>
      <w:pPr>
        <w:pStyle w:val="NormalWeb"/>
        <w:spacing w:before="0" w:beforeAutospacing="0" w:after="0" w:afterAutospacing="0"/>
        <w:jc w:val="both"/>
        <w:rPr>
          <w:noProof/>
        </w:rPr>
      </w:pPr>
      <w:r>
        <w:rPr>
          <w:noProof/>
        </w:rPr>
        <w:t>Unit E3, Digitalisation of the Single Market</w:t>
      </w:r>
    </w:p>
    <w:p>
      <w:pPr>
        <w:pStyle w:val="NormalWeb"/>
        <w:spacing w:before="0" w:beforeAutospacing="0" w:after="0" w:afterAutospacing="0"/>
        <w:jc w:val="both"/>
        <w:rPr>
          <w:noProof/>
          <w:lang w:val="fr-BE"/>
        </w:rPr>
      </w:pPr>
      <w:r>
        <w:rPr>
          <w:noProof/>
          <w:lang w:val="fr-BE"/>
        </w:rPr>
        <w:t xml:space="preserve">Email: </w:t>
      </w:r>
      <w:hyperlink r:id="rId16" w:history="1">
        <w:r>
          <w:rPr>
            <w:rStyle w:val="Hyperlink"/>
            <w:noProof/>
            <w:color w:val="auto"/>
            <w:lang w:val="fr-BE"/>
          </w:rPr>
          <w:t>GROW-SINGLE-DIGITAL-GATEWAY@ec.europa.eu</w:t>
        </w:r>
      </w:hyperlink>
    </w:p>
    <w:p>
      <w:pPr>
        <w:pStyle w:val="NormalWeb"/>
        <w:spacing w:before="0" w:beforeAutospacing="0" w:after="0" w:afterAutospacing="0"/>
        <w:jc w:val="both"/>
        <w:rPr>
          <w:noProof/>
        </w:rPr>
      </w:pPr>
      <w:r>
        <w:rPr>
          <w:noProof/>
        </w:rPr>
        <w:t xml:space="preserve">Marian Grubben, Head of Unit: </w:t>
      </w:r>
      <w:hyperlink r:id="rId17" w:history="1">
        <w:r>
          <w:rPr>
            <w:rStyle w:val="Hyperlink"/>
            <w:noProof/>
            <w:color w:val="auto"/>
          </w:rPr>
          <w:t>Marian.Grubben@ec.europa.eu</w:t>
        </w:r>
      </w:hyperlink>
    </w:p>
    <w:p>
      <w:pPr>
        <w:pStyle w:val="NormalWeb"/>
        <w:spacing w:before="0" w:beforeAutospacing="0" w:after="0" w:afterAutospacing="0"/>
        <w:jc w:val="both"/>
        <w:rPr>
          <w:noProof/>
          <w:lang w:val="nl-NL"/>
        </w:rPr>
      </w:pPr>
      <w:r>
        <w:rPr>
          <w:noProof/>
          <w:lang w:val="nl-NL"/>
        </w:rPr>
        <w:t xml:space="preserve">Ute Wein: </w:t>
      </w:r>
      <w:hyperlink r:id="rId18" w:history="1">
        <w:r>
          <w:rPr>
            <w:rStyle w:val="Hyperlink"/>
            <w:noProof/>
            <w:color w:val="auto"/>
            <w:lang w:val="nl-NL"/>
          </w:rPr>
          <w:t>Ute.Wein@ec.europa.eu</w:t>
        </w:r>
      </w:hyperlink>
    </w:p>
    <w:p>
      <w:pPr>
        <w:pStyle w:val="Heading1"/>
        <w:spacing w:before="240" w:after="120" w:line="240" w:lineRule="auto"/>
        <w:rPr>
          <w:rStyle w:val="IntenseReference"/>
          <w:rFonts w:ascii="Times New Roman" w:hAnsi="Times New Roman" w:cs="Times New Roman"/>
          <w:b/>
          <w:noProof/>
          <w:color w:val="auto"/>
          <w:sz w:val="24"/>
          <w:szCs w:val="24"/>
          <w:u w:val="none"/>
          <w:lang w:val="nl-NL"/>
        </w:rPr>
      </w:pPr>
      <w:r>
        <w:rPr>
          <w:rStyle w:val="IntenseReference"/>
          <w:rFonts w:ascii="Times New Roman" w:hAnsi="Times New Roman" w:cs="Times New Roman"/>
          <w:b/>
          <w:noProof/>
          <w:color w:val="auto"/>
          <w:sz w:val="24"/>
          <w:szCs w:val="24"/>
          <w:u w:val="none"/>
          <w:lang w:val="nl-NL"/>
        </w:rPr>
        <w:t xml:space="preserve">2. </w:t>
      </w:r>
      <w:r>
        <w:rPr>
          <w:rStyle w:val="IntenseReference"/>
          <w:rFonts w:ascii="Times New Roman" w:hAnsi="Times New Roman" w:cs="Times New Roman"/>
          <w:b/>
          <w:noProof/>
          <w:color w:val="auto"/>
          <w:sz w:val="24"/>
          <w:szCs w:val="24"/>
          <w:u w:val="none"/>
          <w:lang w:val="nl-NL"/>
        </w:rPr>
        <w:tab/>
        <w:t>Context</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single digital gateway aims to address the current fragmentation and information gaps by completing, improving and linking up relevant EU and national-level online information, assistance services and procedures in a user-friendly way. The vision is to provide businesses and citizens with high quality, comprehensive information, effective assistance and problem solving services and efficient compliance procedures regarding EU and national rules applicable to citizens and businesses when they want to do business and/or to travel to, buy from, work, study or reside in another Member State.</w:t>
      </w:r>
    </w:p>
    <w:p>
      <w:pPr>
        <w:pStyle w:val="Heading1"/>
        <w:spacing w:before="360" w:after="240" w:line="240" w:lineRule="auto"/>
        <w:rPr>
          <w:rStyle w:val="IntenseReference"/>
          <w:rFonts w:ascii="Times New Roman" w:hAnsi="Times New Roman" w:cs="Times New Roman"/>
          <w:b/>
          <w:noProof/>
          <w:color w:val="auto"/>
          <w:sz w:val="24"/>
          <w:szCs w:val="24"/>
          <w:u w:val="none"/>
        </w:rPr>
      </w:pPr>
      <w:r>
        <w:rPr>
          <w:rStyle w:val="IntenseReference"/>
          <w:rFonts w:ascii="Times New Roman" w:hAnsi="Times New Roman" w:cs="Times New Roman"/>
          <w:b/>
          <w:noProof/>
          <w:color w:val="auto"/>
          <w:sz w:val="24"/>
          <w:szCs w:val="24"/>
          <w:u w:val="none"/>
        </w:rPr>
        <w:t xml:space="preserve">3. </w:t>
      </w:r>
      <w:r>
        <w:rPr>
          <w:rStyle w:val="IntenseReference"/>
          <w:rFonts w:ascii="Times New Roman" w:hAnsi="Times New Roman" w:cs="Times New Roman"/>
          <w:b/>
          <w:noProof/>
          <w:color w:val="auto"/>
          <w:sz w:val="24"/>
          <w:szCs w:val="24"/>
          <w:u w:val="none"/>
        </w:rPr>
        <w:tab/>
        <w:t xml:space="preserve">Main deliverables </w:t>
      </w:r>
    </w:p>
    <w:p>
      <w:pPr>
        <w:pStyle w:val="Heading2"/>
        <w:spacing w:before="120" w:after="120" w:line="240" w:lineRule="auto"/>
        <w:rPr>
          <w:rFonts w:ascii="Times New Roman" w:hAnsi="Times New Roman" w:cs="Times New Roman"/>
          <w:noProof/>
          <w:color w:val="auto"/>
          <w:sz w:val="24"/>
          <w:szCs w:val="24"/>
        </w:rPr>
      </w:pPr>
      <w:r>
        <w:rPr>
          <w:rFonts w:ascii="Times New Roman" w:hAnsi="Times New Roman" w:cs="Times New Roman"/>
          <w:noProof/>
          <w:color w:val="auto"/>
          <w:sz w:val="24"/>
          <w:szCs w:val="24"/>
        </w:rPr>
        <w:t>3.1</w:t>
      </w:r>
      <w:r>
        <w:rPr>
          <w:rFonts w:ascii="Times New Roman" w:hAnsi="Times New Roman" w:cs="Times New Roman"/>
          <w:noProof/>
          <w:color w:val="auto"/>
          <w:sz w:val="24"/>
          <w:szCs w:val="24"/>
        </w:rPr>
        <w:tab/>
        <w:t>Broad information coverage</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achieve our aim of providing businesses and citizens with "all they need to know" to benefit from their Single Market rights. We are focusing on 17 areas (9 for citizens and 8 for businesses).  Member States and the Commission are responsible for providing information on their respective websites on national and EU rules and requirements, applicable to citizens and businesses, in these areas.</w:t>
      </w:r>
    </w:p>
    <w:p>
      <w:pPr>
        <w:pStyle w:val="Heading2"/>
        <w:spacing w:before="240" w:after="120" w:line="240" w:lineRule="auto"/>
        <w:rPr>
          <w:rFonts w:ascii="Times New Roman" w:hAnsi="Times New Roman" w:cs="Times New Roman"/>
          <w:noProof/>
          <w:color w:val="auto"/>
          <w:sz w:val="24"/>
          <w:szCs w:val="24"/>
        </w:rPr>
      </w:pPr>
      <w:r>
        <w:rPr>
          <w:rFonts w:ascii="Times New Roman" w:hAnsi="Times New Roman" w:cs="Times New Roman"/>
          <w:noProof/>
          <w:color w:val="auto"/>
          <w:sz w:val="24"/>
          <w:szCs w:val="24"/>
        </w:rPr>
        <w:t>3.2</w:t>
      </w:r>
      <w:r>
        <w:rPr>
          <w:rFonts w:ascii="Times New Roman" w:hAnsi="Times New Roman" w:cs="Times New Roman"/>
          <w:noProof/>
          <w:color w:val="auto"/>
          <w:sz w:val="24"/>
          <w:szCs w:val="24"/>
        </w:rPr>
        <w:tab/>
        <w:t>Key procedures fully online</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would have to make sure that for a defined list of key procedures, the entire procedure can be completed online, also by non-residents and companies established in other Member States. Further roll-out of online procedures would be based on an annual work programme.</w:t>
      </w:r>
    </w:p>
    <w:p>
      <w:pPr>
        <w:pStyle w:val="Heading2"/>
        <w:spacing w:before="240" w:after="120" w:line="240" w:lineRule="auto"/>
        <w:rPr>
          <w:rFonts w:ascii="Times New Roman" w:hAnsi="Times New Roman" w:cs="Times New Roman"/>
          <w:noProof/>
          <w:color w:val="auto"/>
          <w:sz w:val="24"/>
          <w:szCs w:val="24"/>
        </w:rPr>
      </w:pPr>
      <w:r>
        <w:rPr>
          <w:rFonts w:ascii="Times New Roman" w:hAnsi="Times New Roman" w:cs="Times New Roman"/>
          <w:noProof/>
          <w:color w:val="auto"/>
          <w:sz w:val="24"/>
          <w:szCs w:val="24"/>
        </w:rPr>
        <w:t>3.3</w:t>
      </w:r>
      <w:r>
        <w:rPr>
          <w:rFonts w:ascii="Times New Roman" w:hAnsi="Times New Roman" w:cs="Times New Roman"/>
          <w:noProof/>
          <w:color w:val="auto"/>
          <w:sz w:val="24"/>
          <w:szCs w:val="24"/>
        </w:rPr>
        <w:tab/>
        <w:t>Quality requirements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Clear, operational quality criteria for information, assistance services and online procedures will be defined. Monitoring mechanisms would be set up to ensure that each website in the single digital gateway network provides sufficient, user-friendly and clear information/procedures/assistance services. As part of this process, a quality label based on </w:t>
      </w:r>
      <w:r>
        <w:rPr>
          <w:rFonts w:ascii="Times New Roman" w:hAnsi="Times New Roman" w:cs="Times New Roman"/>
          <w:noProof/>
          <w:sz w:val="24"/>
          <w:szCs w:val="24"/>
        </w:rPr>
        <w:lastRenderedPageBreak/>
        <w:t>precise quality criteria would be developed, and users' feedback would be requested systemically.</w:t>
      </w:r>
    </w:p>
    <w:p>
      <w:pPr>
        <w:pStyle w:val="Heading2"/>
        <w:spacing w:before="240" w:after="120" w:line="240" w:lineRule="auto"/>
        <w:rPr>
          <w:rFonts w:ascii="Times New Roman" w:hAnsi="Times New Roman" w:cs="Times New Roman"/>
          <w:noProof/>
          <w:color w:val="auto"/>
          <w:sz w:val="24"/>
          <w:szCs w:val="24"/>
        </w:rPr>
      </w:pPr>
      <w:r>
        <w:rPr>
          <w:rFonts w:ascii="Times New Roman" w:hAnsi="Times New Roman" w:cs="Times New Roman"/>
          <w:noProof/>
          <w:color w:val="auto"/>
          <w:sz w:val="24"/>
          <w:szCs w:val="24"/>
        </w:rPr>
        <w:t>3.4</w:t>
      </w:r>
      <w:r>
        <w:rPr>
          <w:rFonts w:ascii="Times New Roman" w:hAnsi="Times New Roman" w:cs="Times New Roman"/>
          <w:noProof/>
          <w:color w:val="auto"/>
          <w:sz w:val="24"/>
          <w:szCs w:val="24"/>
        </w:rPr>
        <w:tab/>
        <w:t>Findability</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single digital gateway is about making existing information and assistance services not only much better, but also much easier for citizens and businesses to find. A user interface should allow the search for the best service package in response to any query a user may have. </w:t>
      </w:r>
    </w:p>
    <w:p>
      <w:pPr>
        <w:pStyle w:val="Heading2"/>
        <w:spacing w:before="240" w:after="120" w:line="240" w:lineRule="auto"/>
        <w:rPr>
          <w:rFonts w:ascii="Times New Roman" w:hAnsi="Times New Roman" w:cs="Times New Roman"/>
          <w:noProof/>
          <w:color w:val="auto"/>
          <w:sz w:val="24"/>
          <w:szCs w:val="24"/>
        </w:rPr>
      </w:pPr>
      <w:r>
        <w:rPr>
          <w:rFonts w:ascii="Times New Roman" w:hAnsi="Times New Roman" w:cs="Times New Roman"/>
          <w:noProof/>
          <w:color w:val="auto"/>
          <w:sz w:val="24"/>
          <w:szCs w:val="24"/>
        </w:rPr>
        <w:t>3.5</w:t>
      </w:r>
      <w:r>
        <w:rPr>
          <w:rFonts w:ascii="Times New Roman" w:hAnsi="Times New Roman" w:cs="Times New Roman"/>
          <w:noProof/>
          <w:color w:val="auto"/>
          <w:sz w:val="24"/>
          <w:szCs w:val="24"/>
        </w:rPr>
        <w:tab/>
        <w:t>Governance</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effective implementation of the single digital gateway requires a solid governance structure with an annual work programme as a backbone for the implementation actions and future development of the single digital gateway. The Coordination Group will be a forum for co-operation between Member States and the Commission replacing several structures created for the specific service or tool.</w:t>
      </w:r>
    </w:p>
    <w:p>
      <w:pPr>
        <w:pStyle w:val="Heading2"/>
        <w:spacing w:before="240" w:after="120" w:line="240" w:lineRule="auto"/>
        <w:rPr>
          <w:rFonts w:ascii="Times New Roman" w:hAnsi="Times New Roman" w:cs="Times New Roman"/>
          <w:noProof/>
          <w:color w:val="auto"/>
          <w:sz w:val="24"/>
          <w:szCs w:val="24"/>
        </w:rPr>
      </w:pPr>
      <w:r>
        <w:rPr>
          <w:rFonts w:ascii="Times New Roman" w:hAnsi="Times New Roman" w:cs="Times New Roman"/>
          <w:noProof/>
          <w:color w:val="auto"/>
          <w:sz w:val="24"/>
          <w:szCs w:val="24"/>
        </w:rPr>
        <w:t>3.6</w:t>
      </w:r>
      <w:r>
        <w:rPr>
          <w:rFonts w:ascii="Times New Roman" w:hAnsi="Times New Roman" w:cs="Times New Roman"/>
          <w:noProof/>
          <w:color w:val="auto"/>
          <w:sz w:val="24"/>
          <w:szCs w:val="24"/>
        </w:rPr>
        <w:tab/>
        <w:t>Language</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shared objective of the Commission and Member States is the need to make the gateway and its functionalities as accessible as possible for the widest range of users. For this purpose the proposed Regulation foresees that information would be provided on national websites in at least one other official EU language in addition to the national language(s). </w:t>
      </w:r>
    </w:p>
    <w:p>
      <w:pPr>
        <w:pStyle w:val="Heading2"/>
        <w:spacing w:before="240" w:after="120" w:line="240" w:lineRule="auto"/>
        <w:rPr>
          <w:rFonts w:ascii="Times New Roman" w:hAnsi="Times New Roman" w:cs="Times New Roman"/>
          <w:noProof/>
          <w:color w:val="auto"/>
          <w:sz w:val="24"/>
          <w:szCs w:val="24"/>
        </w:rPr>
      </w:pPr>
      <w:r>
        <w:rPr>
          <w:rFonts w:ascii="Times New Roman" w:hAnsi="Times New Roman" w:cs="Times New Roman"/>
          <w:noProof/>
          <w:color w:val="auto"/>
          <w:sz w:val="24"/>
          <w:szCs w:val="24"/>
        </w:rPr>
        <w:t>3.7</w:t>
      </w:r>
      <w:r>
        <w:rPr>
          <w:rFonts w:ascii="Times New Roman" w:hAnsi="Times New Roman" w:cs="Times New Roman"/>
          <w:noProof/>
          <w:color w:val="auto"/>
          <w:sz w:val="24"/>
          <w:szCs w:val="24"/>
        </w:rPr>
        <w:tab/>
        <w:t>Single Market user feedback</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proposed Regulation foresees the collection of feedback from users of the gateway on the problems encountered by them in the Single Market. This feedback, combined with input from the different assistance services will feed into a regular report about the state of the Single Market. This report will provide a substantial input for the priority settings regarding infringement procedures and policy decisions on further development of Single Market rules.</w:t>
      </w:r>
    </w:p>
    <w:p>
      <w:pPr>
        <w:pStyle w:val="Heading1"/>
        <w:spacing w:before="360" w:after="240" w:line="240" w:lineRule="auto"/>
        <w:rPr>
          <w:rStyle w:val="IntenseReference"/>
          <w:rFonts w:ascii="Times New Roman" w:hAnsi="Times New Roman" w:cs="Times New Roman"/>
          <w:b/>
          <w:noProof/>
          <w:color w:val="auto"/>
          <w:sz w:val="24"/>
          <w:szCs w:val="24"/>
          <w:u w:val="none"/>
        </w:rPr>
      </w:pPr>
      <w:r>
        <w:rPr>
          <w:rStyle w:val="IntenseReference"/>
          <w:rFonts w:ascii="Times New Roman" w:hAnsi="Times New Roman" w:cs="Times New Roman"/>
          <w:b/>
          <w:noProof/>
          <w:color w:val="auto"/>
          <w:sz w:val="24"/>
          <w:szCs w:val="24"/>
          <w:u w:val="none"/>
        </w:rPr>
        <w:t xml:space="preserve">4. </w:t>
      </w:r>
      <w:r>
        <w:rPr>
          <w:rStyle w:val="IntenseReference"/>
          <w:rFonts w:ascii="Times New Roman" w:hAnsi="Times New Roman" w:cs="Times New Roman"/>
          <w:b/>
          <w:noProof/>
          <w:color w:val="auto"/>
          <w:sz w:val="24"/>
          <w:szCs w:val="24"/>
          <w:u w:val="none"/>
        </w:rPr>
        <w:tab/>
        <w:t xml:space="preserve">Implementation challenges </w:t>
      </w:r>
    </w:p>
    <w:p>
      <w:pPr>
        <w:pStyle w:val="Heading2"/>
        <w:spacing w:before="240" w:after="120" w:line="240" w:lineRule="auto"/>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4.1 </w:t>
      </w:r>
      <w:r>
        <w:rPr>
          <w:rFonts w:ascii="Times New Roman" w:hAnsi="Times New Roman" w:cs="Times New Roman"/>
          <w:noProof/>
          <w:color w:val="auto"/>
          <w:sz w:val="24"/>
          <w:szCs w:val="24"/>
        </w:rPr>
        <w:tab/>
        <w:t>Technical challenges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gateway will be based on a user interface that would search the best service package for any query a user may have. To make this work, substantial effort is required from the Commission and Member States relating to the IT applications and technical functionalities: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Commission’s tasks:</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Investigate the technical solutions for the user interface and how to link with national portals;</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Create or adjust existing tools which could serve as a repository for links that Member States will need to provide;</w:t>
      </w:r>
    </w:p>
    <w:p>
      <w:pPr>
        <w:pStyle w:val="ListParagraph"/>
        <w:numPr>
          <w:ilvl w:val="0"/>
          <w:numId w:val="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Devise technical functionality which could be used by the users of the gateway to provide evidence in electronic format to authorities requesting such evidence in an administrative procedure;</w:t>
      </w:r>
    </w:p>
    <w:p>
      <w:pPr>
        <w:pStyle w:val="ListParagraph"/>
        <w:numPr>
          <w:ilvl w:val="0"/>
          <w:numId w:val="0"/>
        </w:numPr>
        <w:spacing w:before="120" w:after="12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Develop a specific IT tool which would allow citizens and businesses to signal any difficulty or obstacle they meet in navigating the Single Market.</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tasks:</w:t>
      </w:r>
    </w:p>
    <w:p>
      <w:pPr>
        <w:pStyle w:val="ListParagraph"/>
        <w:numPr>
          <w:ilvl w:val="0"/>
          <w:numId w:val="11"/>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Depending on the functionalities of the interface, Member States will need to structure or tag the information published on their websites so that the search facility can easily find and present the information or service the user is looking for;</w:t>
      </w:r>
    </w:p>
    <w:p>
      <w:pPr>
        <w:pStyle w:val="ListParagraph"/>
        <w:numPr>
          <w:ilvl w:val="0"/>
          <w:numId w:val="11"/>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Adjust their online procedures to make sure that users can effectively use the technical functionality for the re-use of evidence;</w:t>
      </w:r>
    </w:p>
    <w:p>
      <w:pPr>
        <w:pStyle w:val="ListParagraph"/>
        <w:numPr>
          <w:ilvl w:val="0"/>
          <w:numId w:val="11"/>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Make 20 procedures available for users fully online and make necessary adjustments in other procedures so that they can be fully accessible for users from other Member States.</w:t>
      </w:r>
    </w:p>
    <w:p>
      <w:pPr>
        <w:pStyle w:val="Heading2"/>
        <w:spacing w:before="240" w:after="120" w:line="240" w:lineRule="auto"/>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4.2 </w:t>
      </w:r>
      <w:r>
        <w:rPr>
          <w:rFonts w:ascii="Times New Roman" w:hAnsi="Times New Roman" w:cs="Times New Roman"/>
          <w:noProof/>
          <w:color w:val="auto"/>
          <w:sz w:val="24"/>
          <w:szCs w:val="24"/>
        </w:rPr>
        <w:tab/>
        <w:t>Compliance and timing challenges</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compliance and timing challenges are very much linked to the technical challenges described above. Their significance will depend on the Commission’s ability to come up with the technical solutions in time, the ability and readiness of Member States to make necessary adjustments and on the level of Member States’ advancement in the uptake of online solutions. These challenges will be overcome:</w:t>
      </w:r>
    </w:p>
    <w:p>
      <w:pPr>
        <w:pStyle w:val="ListParagraph"/>
        <w:numPr>
          <w:ilvl w:val="0"/>
          <w:numId w:val="13"/>
        </w:num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Comprehensive and well-planned support from the Commission, including financial support;</w:t>
      </w:r>
    </w:p>
    <w:p>
      <w:pPr>
        <w:pStyle w:val="ListParagraph"/>
        <w:numPr>
          <w:ilvl w:val="0"/>
          <w:numId w:val="13"/>
        </w:num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Annual work programme with detailed actions per Member State ensuring the gradual rolling out of all requirements;</w:t>
      </w:r>
    </w:p>
    <w:p>
      <w:pPr>
        <w:pStyle w:val="ListParagraph"/>
        <w:numPr>
          <w:ilvl w:val="0"/>
          <w:numId w:val="13"/>
        </w:num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Strong co-operation between Member States and between them and the Commission through a clear governance structure.</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may need to devote appropriate human and financial resources in the initial phase of the establishment of the gateway. These efforts will be compensated by savings in the long term. The Commission will need additional resources in order to be able to appropriately manage and monitor the compliance with the quality requirements.</w:t>
      </w:r>
    </w:p>
    <w:p>
      <w:pPr>
        <w:pStyle w:val="Heading1"/>
        <w:spacing w:before="360" w:after="240" w:line="240" w:lineRule="auto"/>
        <w:rPr>
          <w:rStyle w:val="IntenseReference"/>
          <w:rFonts w:ascii="Times New Roman" w:hAnsi="Times New Roman" w:cs="Times New Roman"/>
          <w:b/>
          <w:noProof/>
          <w:color w:val="auto"/>
          <w:sz w:val="24"/>
          <w:szCs w:val="24"/>
          <w:u w:val="none"/>
        </w:rPr>
      </w:pPr>
      <w:r>
        <w:rPr>
          <w:rStyle w:val="IntenseReference"/>
          <w:rFonts w:ascii="Times New Roman" w:hAnsi="Times New Roman" w:cs="Times New Roman"/>
          <w:b/>
          <w:noProof/>
          <w:color w:val="auto"/>
          <w:sz w:val="24"/>
          <w:szCs w:val="24"/>
          <w:u w:val="none"/>
        </w:rPr>
        <w:t xml:space="preserve">5. </w:t>
      </w:r>
      <w:r>
        <w:rPr>
          <w:rStyle w:val="IntenseReference"/>
          <w:rFonts w:ascii="Times New Roman" w:hAnsi="Times New Roman" w:cs="Times New Roman"/>
          <w:b/>
          <w:noProof/>
          <w:color w:val="auto"/>
          <w:sz w:val="24"/>
          <w:szCs w:val="24"/>
          <w:u w:val="none"/>
        </w:rPr>
        <w:tab/>
        <w:t xml:space="preserve">Support Actions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support actions aim at ensuring that the Regulation can apply from the date established in the legal act and that any delays are avoided. The timetable below shows the different steps in the development of the single digital gateway.</w:t>
      </w:r>
    </w:p>
    <w:p>
      <w:pPr>
        <w:spacing w:after="0" w:line="240" w:lineRule="auto"/>
        <w:rPr>
          <w:rFonts w:ascii="Times New Roman" w:eastAsia="Times New Roman" w:hAnsi="Times New Roman" w:cs="Times New Roman"/>
          <w:noProof/>
          <w:sz w:val="24"/>
          <w:szCs w:val="24"/>
          <w:u w:val="single"/>
          <w:lang w:eastAsia="en-GB"/>
        </w:rPr>
      </w:pPr>
    </w:p>
    <w:p>
      <w:pPr>
        <w:spacing w:after="0" w:line="240" w:lineRule="auto"/>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Foreseen timeline:</w:t>
      </w:r>
    </w:p>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Adoption of the Commission Proposal: </w:t>
      </w:r>
      <w:r>
        <w:rPr>
          <w:rFonts w:ascii="Times New Roman" w:eastAsia="Times New Roman" w:hAnsi="Times New Roman" w:cs="Times New Roman"/>
          <w:noProof/>
          <w:sz w:val="24"/>
          <w:szCs w:val="24"/>
          <w:lang w:eastAsia="en-GB"/>
        </w:rPr>
        <w:tab/>
        <w:t>April 2017</w:t>
      </w:r>
    </w:p>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Adoption of Regulation: </w:t>
      </w:r>
      <w:r>
        <w:rPr>
          <w:rFonts w:ascii="Times New Roman" w:eastAsia="Times New Roman" w:hAnsi="Times New Roman" w:cs="Times New Roman"/>
          <w:noProof/>
          <w:sz w:val="24"/>
          <w:szCs w:val="24"/>
          <w:lang w:eastAsia="en-GB"/>
        </w:rPr>
        <w:tab/>
      </w:r>
      <w:r>
        <w:rPr>
          <w:rFonts w:ascii="Times New Roman" w:eastAsia="Times New Roman" w:hAnsi="Times New Roman" w:cs="Times New Roman"/>
          <w:noProof/>
          <w:sz w:val="24"/>
          <w:szCs w:val="24"/>
          <w:lang w:eastAsia="en-GB"/>
        </w:rPr>
        <w:tab/>
      </w:r>
      <w:r>
        <w:rPr>
          <w:rFonts w:ascii="Times New Roman" w:eastAsia="Times New Roman" w:hAnsi="Times New Roman" w:cs="Times New Roman"/>
          <w:noProof/>
          <w:sz w:val="24"/>
          <w:szCs w:val="24"/>
          <w:lang w:eastAsia="en-GB"/>
        </w:rPr>
        <w:tab/>
        <w:t>Q3 2018</w:t>
      </w:r>
    </w:p>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Regulation applies from: </w:t>
      </w:r>
      <w:r>
        <w:rPr>
          <w:rFonts w:ascii="Times New Roman" w:eastAsia="Times New Roman" w:hAnsi="Times New Roman" w:cs="Times New Roman"/>
          <w:noProof/>
          <w:sz w:val="24"/>
          <w:szCs w:val="24"/>
          <w:lang w:eastAsia="en-GB"/>
        </w:rPr>
        <w:tab/>
      </w:r>
      <w:r>
        <w:rPr>
          <w:rFonts w:ascii="Times New Roman" w:eastAsia="Times New Roman" w:hAnsi="Times New Roman" w:cs="Times New Roman"/>
          <w:noProof/>
          <w:sz w:val="24"/>
          <w:szCs w:val="24"/>
          <w:lang w:eastAsia="en-GB"/>
        </w:rPr>
        <w:tab/>
      </w:r>
      <w:r>
        <w:rPr>
          <w:rFonts w:ascii="Times New Roman" w:eastAsia="Times New Roman" w:hAnsi="Times New Roman" w:cs="Times New Roman"/>
          <w:noProof/>
          <w:sz w:val="24"/>
          <w:szCs w:val="24"/>
          <w:lang w:eastAsia="en-GB"/>
        </w:rPr>
        <w:tab/>
        <w:t>Q3 2020</w:t>
      </w:r>
    </w:p>
    <w:p>
      <w:pPr>
        <w:spacing w:after="0"/>
        <w:rPr>
          <w:rFonts w:ascii="Times New Roman" w:eastAsia="Times New Roman" w:hAnsi="Times New Roman" w:cs="Times New Roman"/>
          <w:noProof/>
          <w:sz w:val="24"/>
          <w:szCs w:val="24"/>
          <w:lang w:eastAsia="en-GB"/>
        </w:rPr>
      </w:pP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br w:type="page"/>
      </w:r>
    </w:p>
    <w:tbl>
      <w:tblPr>
        <w:tblStyle w:val="TableGrid"/>
        <w:tblW w:w="0" w:type="auto"/>
        <w:tblLook w:val="04A0" w:firstRow="1" w:lastRow="0" w:firstColumn="1" w:lastColumn="0" w:noHBand="0" w:noVBand="1"/>
      </w:tblPr>
      <w:tblGrid>
        <w:gridCol w:w="1242"/>
        <w:gridCol w:w="4111"/>
        <w:gridCol w:w="3935"/>
      </w:tblGrid>
      <w:tr>
        <w:trPr>
          <w:tblHeader/>
        </w:trPr>
        <w:tc>
          <w:tcPr>
            <w:tcW w:w="1242" w:type="dxa"/>
          </w:tcPr>
          <w:p>
            <w:pPr>
              <w:pStyle w:val="Heading2"/>
              <w:spacing w:before="120" w:after="120"/>
              <w:outlineLvl w:val="1"/>
              <w:rPr>
                <w:rFonts w:ascii="Times New Roman" w:hAnsi="Times New Roman" w:cs="Times New Roman"/>
                <w:noProof/>
                <w:color w:val="auto"/>
                <w:sz w:val="24"/>
                <w:szCs w:val="24"/>
              </w:rPr>
            </w:pPr>
            <w:r>
              <w:rPr>
                <w:rFonts w:ascii="Times New Roman" w:hAnsi="Times New Roman" w:cs="Times New Roman"/>
                <w:noProof/>
                <w:color w:val="auto"/>
                <w:sz w:val="24"/>
                <w:szCs w:val="24"/>
              </w:rPr>
              <w:t>Timing</w:t>
            </w:r>
          </w:p>
        </w:tc>
        <w:tc>
          <w:tcPr>
            <w:tcW w:w="4111" w:type="dxa"/>
            <w:vAlign w:val="center"/>
          </w:tcPr>
          <w:p>
            <w:pPr>
              <w:pStyle w:val="Heading2"/>
              <w:spacing w:before="120" w:after="120"/>
              <w:jc w:val="center"/>
              <w:outlineLvl w:val="1"/>
              <w:rPr>
                <w:rFonts w:ascii="Times New Roman" w:hAnsi="Times New Roman" w:cs="Times New Roman"/>
                <w:noProof/>
                <w:color w:val="auto"/>
                <w:sz w:val="24"/>
                <w:szCs w:val="24"/>
              </w:rPr>
            </w:pPr>
            <w:r>
              <w:rPr>
                <w:rFonts w:ascii="Times New Roman" w:hAnsi="Times New Roman" w:cs="Times New Roman"/>
                <w:noProof/>
                <w:color w:val="auto"/>
                <w:sz w:val="24"/>
                <w:szCs w:val="24"/>
              </w:rPr>
              <w:t>Commission actions</w:t>
            </w:r>
          </w:p>
        </w:tc>
        <w:tc>
          <w:tcPr>
            <w:tcW w:w="3935" w:type="dxa"/>
            <w:vAlign w:val="center"/>
          </w:tcPr>
          <w:p>
            <w:pPr>
              <w:keepNext/>
              <w:keepLines/>
              <w:spacing w:before="120" w:after="120"/>
              <w:jc w:val="center"/>
              <w:outlineLvl w:val="1"/>
              <w:rPr>
                <w:rFonts w:ascii="Times New Roman" w:hAnsi="Times New Roman" w:cs="Times New Roman"/>
                <w:noProof/>
                <w:sz w:val="24"/>
                <w:szCs w:val="24"/>
              </w:rPr>
            </w:pPr>
            <w:r>
              <w:rPr>
                <w:rFonts w:ascii="Times New Roman" w:eastAsiaTheme="majorEastAsia" w:hAnsi="Times New Roman" w:cs="Times New Roman"/>
                <w:b/>
                <w:bCs/>
                <w:noProof/>
                <w:sz w:val="24"/>
                <w:szCs w:val="24"/>
              </w:rPr>
              <w:t>Member States’ actions</w:t>
            </w:r>
          </w:p>
        </w:tc>
      </w:tr>
      <w:tr>
        <w:tc>
          <w:tcPr>
            <w:tcW w:w="9288" w:type="dxa"/>
            <w:gridSpan w:val="3"/>
          </w:tcPr>
          <w:p>
            <w:pPr>
              <w:spacing w:before="120" w:after="120"/>
              <w:jc w:val="center"/>
              <w:rPr>
                <w:rFonts w:ascii="Times New Roman" w:eastAsiaTheme="majorEastAsia" w:hAnsi="Times New Roman" w:cs="Times New Roman"/>
                <w:b/>
                <w:bCs/>
                <w:noProof/>
                <w:sz w:val="24"/>
                <w:szCs w:val="24"/>
              </w:rPr>
            </w:pPr>
            <w:r>
              <w:rPr>
                <w:rFonts w:ascii="Times New Roman" w:eastAsia="Times New Roman" w:hAnsi="Times New Roman" w:cs="Times New Roman"/>
                <w:b/>
                <w:i/>
                <w:noProof/>
                <w:sz w:val="24"/>
                <w:szCs w:val="24"/>
                <w:lang w:eastAsia="en-GB"/>
              </w:rPr>
              <w:t>Pre-adoption stage</w:t>
            </w: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Q1/2018</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Work with Member States on further convergence of information and assistance services towards the objectives of the single digital gateway</w:t>
            </w:r>
          </w:p>
        </w:tc>
        <w:tc>
          <w:tcPr>
            <w:tcW w:w="3935"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Work with the Commission on further convergence of information and assistance services towards the objectives of the single digital gateway</w:t>
            </w: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Q1/2018 </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Analyses different options related to the IT tools and applications listed in the Commission proposal. Incorporate IT security risk assessment and IT security plans.</w:t>
            </w:r>
          </w:p>
        </w:tc>
        <w:tc>
          <w:tcPr>
            <w:tcW w:w="3935" w:type="dxa"/>
          </w:tcPr>
          <w:p>
            <w:pPr>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Analyse the needs and efforts which have to be done to ensure full compliance with the Regulation </w:t>
            </w: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Q2/2018</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Establish a network of stakeholders (chambers of commerce, etc.) to discuss with them ideas related to the practical implementation of the single digital gateway</w:t>
            </w:r>
          </w:p>
        </w:tc>
        <w:tc>
          <w:tcPr>
            <w:tcW w:w="3935" w:type="dxa"/>
          </w:tcPr>
          <w:p>
            <w:pPr>
              <w:rPr>
                <w:rFonts w:ascii="Times New Roman" w:eastAsia="Times New Roman" w:hAnsi="Times New Roman" w:cs="Times New Roman"/>
                <w:noProof/>
                <w:sz w:val="24"/>
                <w:szCs w:val="24"/>
                <w:lang w:eastAsia="en-GB"/>
              </w:rPr>
            </w:pP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Q2/2018</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Prepares the draft annual work programme (e.g. to clarify detailed implementation steps per Member State) </w:t>
            </w:r>
          </w:p>
        </w:tc>
        <w:tc>
          <w:tcPr>
            <w:tcW w:w="3935" w:type="dxa"/>
          </w:tcPr>
          <w:p>
            <w:pPr>
              <w:rPr>
                <w:rFonts w:ascii="Times New Roman" w:eastAsia="Times New Roman" w:hAnsi="Times New Roman" w:cs="Times New Roman"/>
                <w:noProof/>
                <w:sz w:val="24"/>
                <w:szCs w:val="24"/>
                <w:lang w:eastAsia="en-GB"/>
              </w:rPr>
            </w:pPr>
          </w:p>
        </w:tc>
      </w:tr>
      <w:tr>
        <w:tc>
          <w:tcPr>
            <w:tcW w:w="1242" w:type="dxa"/>
          </w:tcPr>
          <w:p>
            <w:pPr>
              <w:spacing w:before="120" w:after="120"/>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Q3/2018</w:t>
            </w:r>
          </w:p>
        </w:tc>
        <w:tc>
          <w:tcPr>
            <w:tcW w:w="8046" w:type="dxa"/>
            <w:gridSpan w:val="2"/>
            <w:vAlign w:val="center"/>
          </w:tcPr>
          <w:p>
            <w:pPr>
              <w:spacing w:before="120" w:after="120"/>
              <w:jc w:val="center"/>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Adoption of the Regulation</w:t>
            </w: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Q3/2018</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Convenes the first meeting of the single digital gateway coordination group to discuss the first annual work programme</w:t>
            </w:r>
          </w:p>
        </w:tc>
        <w:tc>
          <w:tcPr>
            <w:tcW w:w="3935"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Appoint national co-ordinators and notify their names to the Commission</w:t>
            </w: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Q3/2018</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Sets up internal governance structure to manage and coordinate all EU level services and portals that are part of the single digital gateway</w:t>
            </w:r>
          </w:p>
        </w:tc>
        <w:tc>
          <w:tcPr>
            <w:tcW w:w="3935" w:type="dxa"/>
            <w:vAlign w:val="center"/>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Ensure that sufficient resources are made available at national level.</w:t>
            </w: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Put in place the internal structure of co-ordination and monitoring </w:t>
            </w: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Q1/2019</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Submits the first annual work programme</w:t>
            </w:r>
            <w:r>
              <w:rPr>
                <w:rFonts w:ascii="Times New Roman" w:hAnsi="Times New Roman" w:cs="Times New Roman"/>
                <w:noProof/>
              </w:rPr>
              <w:t xml:space="preserve"> to the </w:t>
            </w:r>
            <w:r>
              <w:rPr>
                <w:rFonts w:ascii="Times New Roman" w:eastAsia="Times New Roman" w:hAnsi="Times New Roman" w:cs="Times New Roman"/>
                <w:noProof/>
                <w:sz w:val="24"/>
                <w:szCs w:val="24"/>
                <w:lang w:eastAsia="en-GB"/>
              </w:rPr>
              <w:t xml:space="preserve">gateway coordination group </w:t>
            </w:r>
          </w:p>
        </w:tc>
        <w:tc>
          <w:tcPr>
            <w:tcW w:w="3935"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Discuss the first annual work programme</w:t>
            </w: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Q1/2019</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Adopts implementing acts</w:t>
            </w:r>
          </w:p>
        </w:tc>
        <w:tc>
          <w:tcPr>
            <w:tcW w:w="3935"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Discuss the draft implementing acts  in the single digital gateway committee</w:t>
            </w: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Q1/2019</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Start developing the IT tools required for supporting the single digital gateway </w:t>
            </w:r>
          </w:p>
        </w:tc>
        <w:tc>
          <w:tcPr>
            <w:tcW w:w="3935"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Start working on:</w:t>
            </w:r>
          </w:p>
          <w:p>
            <w:pPr>
              <w:ind w:left="176" w:hanging="142"/>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filling the online information coverage gaps</w:t>
            </w:r>
          </w:p>
          <w:p>
            <w:pPr>
              <w:ind w:left="176" w:hanging="142"/>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getting the missing procedures online</w:t>
            </w:r>
          </w:p>
          <w:p>
            <w:pPr>
              <w:ind w:left="176" w:hanging="142"/>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ensuring that existing online procedures are accessible for foreign users</w:t>
            </w:r>
          </w:p>
        </w:tc>
      </w:tr>
      <w:tr>
        <w:trPr>
          <w:cantSplit/>
        </w:trP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Q2/2019</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Organises training, workshops, visits in Member States to discuss/advise Member States as regard the use of the ESF, ERDF and other sources of financing, managed by the Commission</w:t>
            </w:r>
          </w:p>
        </w:tc>
        <w:tc>
          <w:tcPr>
            <w:tcW w:w="3935"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Re-structuring, tagging of information on their websites</w:t>
            </w: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Q2/2019</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Issues interpretative/guidance documents or recommendations, if needed</w:t>
            </w:r>
          </w:p>
        </w:tc>
        <w:tc>
          <w:tcPr>
            <w:tcW w:w="3935" w:type="dxa"/>
          </w:tcPr>
          <w:p>
            <w:pPr>
              <w:rPr>
                <w:rFonts w:ascii="Times New Roman" w:eastAsia="Times New Roman" w:hAnsi="Times New Roman" w:cs="Times New Roman"/>
                <w:noProof/>
                <w:sz w:val="24"/>
                <w:szCs w:val="24"/>
                <w:lang w:eastAsia="en-GB"/>
              </w:rPr>
            </w:pP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Q3/2019</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Prepares promotion campaigns and discussion within the gateway coordination group</w:t>
            </w:r>
          </w:p>
        </w:tc>
        <w:tc>
          <w:tcPr>
            <w:tcW w:w="3935" w:type="dxa"/>
            <w:vAlign w:val="center"/>
          </w:tcPr>
          <w:p>
            <w:pPr>
              <w:rPr>
                <w:rFonts w:ascii="Times New Roman" w:eastAsia="Times New Roman" w:hAnsi="Times New Roman" w:cs="Times New Roman"/>
                <w:noProof/>
                <w:sz w:val="24"/>
                <w:szCs w:val="24"/>
                <w:lang w:eastAsia="en-GB"/>
              </w:rPr>
            </w:pP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Q3/2019</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Finalises work on the IT tools, including a review of IT security plan and measures to cover risks.</w:t>
            </w:r>
          </w:p>
        </w:tc>
        <w:tc>
          <w:tcPr>
            <w:tcW w:w="3935"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Notification of links to the national services to the repository of links</w:t>
            </w: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Q4/2019</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Beta-version of the single digital gateway to be put online and tested</w:t>
            </w:r>
          </w:p>
        </w:tc>
        <w:tc>
          <w:tcPr>
            <w:tcW w:w="3935"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Testing together with the Commission the tools and applications to ensure that they are ready to use as from Q3 2020</w:t>
            </w: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Q3/2020</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All agreed information is offered online</w:t>
            </w: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User feedback tools deployed on all single digital gateway related webpages</w:t>
            </w:r>
          </w:p>
        </w:tc>
        <w:tc>
          <w:tcPr>
            <w:tcW w:w="3935" w:type="dxa"/>
            <w:vAlign w:val="center"/>
          </w:tcPr>
          <w:p>
            <w:pPr>
              <w:pStyle w:val="ListParagraph"/>
              <w:ind w:left="176" w:hanging="176"/>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All agreed information is offered online</w:t>
            </w:r>
          </w:p>
          <w:p>
            <w:pPr>
              <w:pStyle w:val="ListParagraph"/>
              <w:ind w:left="176" w:hanging="176"/>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Member States provide agreed procedures online</w:t>
            </w:r>
          </w:p>
          <w:p>
            <w:pPr>
              <w:pStyle w:val="ListParagraph"/>
              <w:ind w:left="176" w:hanging="176"/>
              <w:rPr>
                <w:rFonts w:ascii="Times New Roman" w:hAnsi="Times New Roman" w:cs="Times New Roman"/>
                <w:noProof/>
                <w:lang w:eastAsia="en-GB"/>
              </w:rPr>
            </w:pPr>
            <w:r>
              <w:rPr>
                <w:rFonts w:ascii="Times New Roman" w:hAnsi="Times New Roman" w:cs="Times New Roman"/>
                <w:noProof/>
                <w:sz w:val="24"/>
                <w:szCs w:val="24"/>
                <w:lang w:eastAsia="en-GB"/>
              </w:rPr>
              <w:t>User feedback tools deployed on all single digital gateway related webpages</w:t>
            </w: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Q3/2020</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IT solutions for exchange of evidence (once-only) are ready for use</w:t>
            </w:r>
          </w:p>
        </w:tc>
        <w:tc>
          <w:tcPr>
            <w:tcW w:w="3935" w:type="dxa"/>
            <w:vAlign w:val="center"/>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Competent authorities integrate IT solutions for exchange of evidence  (once-only) into relevant national procedures</w:t>
            </w:r>
          </w:p>
        </w:tc>
      </w:tr>
      <w:tr>
        <w:tc>
          <w:tcPr>
            <w:tcW w:w="1242" w:type="dxa"/>
          </w:tcPr>
          <w:p>
            <w:pPr>
              <w:spacing w:before="120" w:after="120"/>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lang w:eastAsia="en-GB"/>
              </w:rPr>
              <w:t>Q3 2020</w:t>
            </w:r>
          </w:p>
        </w:tc>
        <w:tc>
          <w:tcPr>
            <w:tcW w:w="8046" w:type="dxa"/>
            <w:gridSpan w:val="2"/>
          </w:tcPr>
          <w:p>
            <w:pPr>
              <w:spacing w:before="120" w:after="120"/>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lang w:eastAsia="en-GB"/>
              </w:rPr>
              <w:t>Launch of the Single Digital Gateway</w:t>
            </w: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Q4/2022</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First report on obstacles in the Single Market based on data gathered through all services within the single digital gateway and the user feedback tool</w:t>
            </w:r>
          </w:p>
        </w:tc>
        <w:tc>
          <w:tcPr>
            <w:tcW w:w="3935" w:type="dxa"/>
          </w:tcPr>
          <w:p>
            <w:pPr>
              <w:rPr>
                <w:rFonts w:ascii="Times New Roman" w:eastAsia="Times New Roman" w:hAnsi="Times New Roman" w:cs="Times New Roman"/>
                <w:noProof/>
                <w:sz w:val="24"/>
                <w:szCs w:val="24"/>
                <w:lang w:eastAsia="en-GB"/>
              </w:rPr>
            </w:pP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Q4/2022</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First report on the functioning of the single digital gateway </w:t>
            </w:r>
          </w:p>
        </w:tc>
        <w:tc>
          <w:tcPr>
            <w:tcW w:w="3935" w:type="dxa"/>
          </w:tcPr>
          <w:p>
            <w:pPr>
              <w:rPr>
                <w:rFonts w:ascii="Times New Roman" w:eastAsia="Times New Roman" w:hAnsi="Times New Roman" w:cs="Times New Roman"/>
                <w:noProof/>
                <w:sz w:val="24"/>
                <w:szCs w:val="24"/>
                <w:lang w:eastAsia="en-GB"/>
              </w:rPr>
            </w:pP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Q1/2024</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Second report on obstacles in the Single Market</w:t>
            </w:r>
          </w:p>
        </w:tc>
        <w:tc>
          <w:tcPr>
            <w:tcW w:w="3935" w:type="dxa"/>
          </w:tcPr>
          <w:p>
            <w:pPr>
              <w:rPr>
                <w:rFonts w:ascii="Times New Roman" w:eastAsia="Times New Roman" w:hAnsi="Times New Roman" w:cs="Times New Roman"/>
                <w:noProof/>
                <w:sz w:val="24"/>
                <w:szCs w:val="24"/>
                <w:lang w:eastAsia="en-GB"/>
              </w:rPr>
            </w:pPr>
          </w:p>
        </w:tc>
      </w:tr>
      <w:tr>
        <w:tc>
          <w:tcPr>
            <w:tcW w:w="1242"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Q3/2024</w:t>
            </w:r>
          </w:p>
        </w:tc>
        <w:tc>
          <w:tcPr>
            <w:tcW w:w="4111" w:type="dxa"/>
          </w:tcPr>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Second report on the functioning of the single digital gateway and, if needed, recommendations for improvement</w:t>
            </w:r>
          </w:p>
        </w:tc>
        <w:tc>
          <w:tcPr>
            <w:tcW w:w="3935" w:type="dxa"/>
          </w:tcPr>
          <w:p>
            <w:pPr>
              <w:rPr>
                <w:rFonts w:ascii="Times New Roman" w:eastAsia="Times New Roman" w:hAnsi="Times New Roman" w:cs="Times New Roman"/>
                <w:noProof/>
                <w:sz w:val="24"/>
                <w:szCs w:val="24"/>
                <w:lang w:eastAsia="en-GB"/>
              </w:rPr>
            </w:pPr>
          </w:p>
        </w:tc>
      </w:tr>
    </w:tbl>
    <w:p>
      <w:pPr>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3324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2E14"/>
    <w:multiLevelType w:val="hybridMultilevel"/>
    <w:tmpl w:val="F020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F17847"/>
    <w:multiLevelType w:val="hybridMultilevel"/>
    <w:tmpl w:val="FB72F974"/>
    <w:lvl w:ilvl="0" w:tplc="2758CFB4">
      <w:start w:val="1"/>
      <w:numFmt w:val="bullet"/>
      <w:pStyle w:val="ListParagraph"/>
      <w:lvlText w:val="-"/>
      <w:lvlJc w:val="left"/>
      <w:pPr>
        <w:ind w:left="754" w:hanging="360"/>
      </w:pPr>
      <w:rPr>
        <w:rFonts w:ascii="Times New Roman" w:hAnsi="Times New Roman" w:cs="Times New Roman"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nsid w:val="0A2C7282"/>
    <w:multiLevelType w:val="multilevel"/>
    <w:tmpl w:val="605A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C7065"/>
    <w:multiLevelType w:val="hybridMultilevel"/>
    <w:tmpl w:val="22F2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EA3DEC"/>
    <w:multiLevelType w:val="multilevel"/>
    <w:tmpl w:val="6A328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3E18DD"/>
    <w:multiLevelType w:val="hybridMultilevel"/>
    <w:tmpl w:val="52B20E2C"/>
    <w:lvl w:ilvl="0" w:tplc="4D6CC1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2F3156"/>
    <w:multiLevelType w:val="multilevel"/>
    <w:tmpl w:val="E750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1A25480"/>
    <w:multiLevelType w:val="multilevel"/>
    <w:tmpl w:val="1396C3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A5498B"/>
    <w:multiLevelType w:val="hybridMultilevel"/>
    <w:tmpl w:val="3B3A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7D4F75"/>
    <w:multiLevelType w:val="multilevel"/>
    <w:tmpl w:val="EE52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2357B5"/>
    <w:multiLevelType w:val="hybridMultilevel"/>
    <w:tmpl w:val="0358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0C1A1E"/>
    <w:multiLevelType w:val="hybridMultilevel"/>
    <w:tmpl w:val="6C3CA9C4"/>
    <w:lvl w:ilvl="0" w:tplc="2758CFB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D56715"/>
    <w:multiLevelType w:val="hybridMultilevel"/>
    <w:tmpl w:val="C638DFE0"/>
    <w:lvl w:ilvl="0" w:tplc="D03C246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2"/>
  </w:num>
  <w:num w:numId="5">
    <w:abstractNumId w:val="10"/>
  </w:num>
  <w:num w:numId="6">
    <w:abstractNumId w:val="7"/>
  </w:num>
  <w:num w:numId="7">
    <w:abstractNumId w:val="7"/>
  </w:num>
  <w:num w:numId="8">
    <w:abstractNumId w:val="7"/>
  </w:num>
  <w:num w:numId="9">
    <w:abstractNumId w:val="0"/>
  </w:num>
  <w:num w:numId="10">
    <w:abstractNumId w:val="13"/>
  </w:num>
  <w:num w:numId="11">
    <w:abstractNumId w:val="11"/>
  </w:num>
  <w:num w:numId="12">
    <w:abstractNumId w:val="5"/>
  </w:num>
  <w:num w:numId="13">
    <w:abstractNumId w:val="3"/>
  </w:num>
  <w:num w:numId="14">
    <w:abstractNumId w:val="9"/>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D0005062B1A7417B81CA8A7AFCE8B380"/>
    <w:docVar w:name="LW_CROSSREFERENCE" w:val="{COM(2017) 256 final}_x000b_{SWD(2017) 212 final}_x000b_{SWD(2017) 213 final}_x000b_{SWD(2017) 214 final}"/>
    <w:docVar w:name="LW_DocType" w:val="NORMAL"/>
    <w:docVar w:name="LW_EMISSION" w:val="2.5.2017"/>
    <w:docVar w:name="LW_EMISSION_ISODATE" w:val="2017-05-0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establishing a single digital gateway to provide information, procedures, assistance and problem solving services and amending Regulation (EU) No 1024/2012"/>
    <w:docVar w:name="LW_PART_NBR" w:val="1"/>
    <w:docVar w:name="LW_PART_NBR_TOTAL" w:val="1"/>
    <w:docVar w:name="LW_REF.INST.NEW" w:val="SWD"/>
    <w:docVar w:name="LW_REF.INST.NEW_ADOPTED" w:val="final"/>
    <w:docVar w:name="LW_REF.INST.NEW_TEXT" w:val="(2017) 211"/>
    <w:docVar w:name="LW_REF.INTERNE" w:val="&lt;UNUSED&gt;"/>
    <w:docVar w:name="LW_SUPERTITRE" w:val="Compliance Package"/>
    <w:docVar w:name="LW_TITRE.OBJ.CP" w:val="Implementation plan"/>
    <w:docVar w:name="LW_TYPE.DOC.CP" w:val="COMMISSION STAFF WORKING DOCUMENT"/>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Pr>
      <w:b/>
      <w:bCs/>
      <w:smallCaps/>
      <w:spacing w:val="5"/>
    </w:rPr>
  </w:style>
  <w:style w:type="character" w:styleId="IntenseReference">
    <w:name w:val="Intense Reference"/>
    <w:basedOn w:val="DefaultParagraphFont"/>
    <w:uiPriority w:val="32"/>
    <w:qFormat/>
    <w:rPr>
      <w:b/>
      <w:bCs/>
      <w:smallCaps/>
      <w:color w:val="C0504D" w:themeColor="accent2"/>
      <w:spacing w:val="5"/>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LegalNumPar">
    <w:name w:val="LegalNumPar"/>
    <w:basedOn w:val="Normal"/>
    <w:pPr>
      <w:numPr>
        <w:numId w:val="8"/>
      </w:numPr>
      <w:spacing w:line="360" w:lineRule="auto"/>
    </w:pPr>
    <w:rPr>
      <w:sz w:val="24"/>
    </w:rPr>
  </w:style>
  <w:style w:type="paragraph" w:customStyle="1" w:styleId="LegalNumPar2">
    <w:name w:val="LegalNumPar2"/>
    <w:basedOn w:val="Normal"/>
    <w:pPr>
      <w:numPr>
        <w:ilvl w:val="1"/>
        <w:numId w:val="8"/>
      </w:numPr>
      <w:spacing w:line="360" w:lineRule="auto"/>
    </w:pPr>
    <w:rPr>
      <w:sz w:val="24"/>
    </w:rPr>
  </w:style>
  <w:style w:type="paragraph" w:customStyle="1" w:styleId="LegalNumPar3">
    <w:name w:val="LegalNumPar3"/>
    <w:basedOn w:val="Normal"/>
    <w:pPr>
      <w:numPr>
        <w:ilvl w:val="2"/>
        <w:numId w:val="8"/>
      </w:numPr>
      <w:spacing w:line="360" w:lineRule="auto"/>
    </w:pPr>
    <w:rPr>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numPr>
        <w:numId w:val="16"/>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iCs/>
      <w:sz w:val="24"/>
      <w:szCs w:val="24"/>
      <w:lang w:eastAsia="en-GB"/>
    </w:rPr>
  </w:style>
  <w:style w:type="character" w:customStyle="1" w:styleId="NormalWebChar">
    <w:name w:val="Normal (Web) Char"/>
    <w:basedOn w:val="DefaultParagraphFont"/>
    <w:link w:val="NormalWeb"/>
    <w:uiPriority w:val="99"/>
    <w:semiHidden/>
    <w:rPr>
      <w:rFonts w:ascii="Times New Roman" w:eastAsia="Times New Roman" w:hAnsi="Times New Roman" w:cs="Times New Roman"/>
      <w:sz w:val="24"/>
      <w:szCs w:val="24"/>
      <w:lang w:eastAsia="en-GB"/>
    </w:rPr>
  </w:style>
  <w:style w:type="character" w:customStyle="1" w:styleId="FooterCoverPageChar">
    <w:name w:val="Footer Cover Page Char"/>
    <w:basedOn w:val="NormalWebChar"/>
    <w:link w:val="FooterCoverPage"/>
    <w:rPr>
      <w:rFonts w:ascii="Times New Roman" w:eastAsia="Times New Roman" w:hAnsi="Times New Roman" w:cs="Times New Roman"/>
      <w:iCs/>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iCs/>
      <w:sz w:val="24"/>
      <w:szCs w:val="24"/>
      <w:lang w:eastAsia="en-GB"/>
    </w:rPr>
  </w:style>
  <w:style w:type="character" w:customStyle="1" w:styleId="HeaderCoverPageChar">
    <w:name w:val="Header Cover Page Char"/>
    <w:basedOn w:val="NormalWebChar"/>
    <w:link w:val="HeaderCoverPage"/>
    <w:rPr>
      <w:rFonts w:ascii="Times New Roman" w:eastAsia="Times New Roman" w:hAnsi="Times New Roman" w:cs="Times New Roman"/>
      <w:iCs/>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Pr>
      <w:b/>
      <w:bCs/>
      <w:smallCaps/>
      <w:spacing w:val="5"/>
    </w:rPr>
  </w:style>
  <w:style w:type="character" w:styleId="IntenseReference">
    <w:name w:val="Intense Reference"/>
    <w:basedOn w:val="DefaultParagraphFont"/>
    <w:uiPriority w:val="32"/>
    <w:qFormat/>
    <w:rPr>
      <w:b/>
      <w:bCs/>
      <w:smallCaps/>
      <w:color w:val="C0504D" w:themeColor="accent2"/>
      <w:spacing w:val="5"/>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LegalNumPar">
    <w:name w:val="LegalNumPar"/>
    <w:basedOn w:val="Normal"/>
    <w:pPr>
      <w:numPr>
        <w:numId w:val="8"/>
      </w:numPr>
      <w:spacing w:line="360" w:lineRule="auto"/>
    </w:pPr>
    <w:rPr>
      <w:sz w:val="24"/>
    </w:rPr>
  </w:style>
  <w:style w:type="paragraph" w:customStyle="1" w:styleId="LegalNumPar2">
    <w:name w:val="LegalNumPar2"/>
    <w:basedOn w:val="Normal"/>
    <w:pPr>
      <w:numPr>
        <w:ilvl w:val="1"/>
        <w:numId w:val="8"/>
      </w:numPr>
      <w:spacing w:line="360" w:lineRule="auto"/>
    </w:pPr>
    <w:rPr>
      <w:sz w:val="24"/>
    </w:rPr>
  </w:style>
  <w:style w:type="paragraph" w:customStyle="1" w:styleId="LegalNumPar3">
    <w:name w:val="LegalNumPar3"/>
    <w:basedOn w:val="Normal"/>
    <w:pPr>
      <w:numPr>
        <w:ilvl w:val="2"/>
        <w:numId w:val="8"/>
      </w:numPr>
      <w:spacing w:line="360" w:lineRule="auto"/>
    </w:pPr>
    <w:rPr>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numPr>
        <w:numId w:val="16"/>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iCs/>
      <w:sz w:val="24"/>
      <w:szCs w:val="24"/>
      <w:lang w:eastAsia="en-GB"/>
    </w:rPr>
  </w:style>
  <w:style w:type="character" w:customStyle="1" w:styleId="NormalWebChar">
    <w:name w:val="Normal (Web) Char"/>
    <w:basedOn w:val="DefaultParagraphFont"/>
    <w:link w:val="NormalWeb"/>
    <w:uiPriority w:val="99"/>
    <w:semiHidden/>
    <w:rPr>
      <w:rFonts w:ascii="Times New Roman" w:eastAsia="Times New Roman" w:hAnsi="Times New Roman" w:cs="Times New Roman"/>
      <w:sz w:val="24"/>
      <w:szCs w:val="24"/>
      <w:lang w:eastAsia="en-GB"/>
    </w:rPr>
  </w:style>
  <w:style w:type="character" w:customStyle="1" w:styleId="FooterCoverPageChar">
    <w:name w:val="Footer Cover Page Char"/>
    <w:basedOn w:val="NormalWebChar"/>
    <w:link w:val="FooterCoverPage"/>
    <w:rPr>
      <w:rFonts w:ascii="Times New Roman" w:eastAsia="Times New Roman" w:hAnsi="Times New Roman" w:cs="Times New Roman"/>
      <w:iCs/>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iCs/>
      <w:sz w:val="24"/>
      <w:szCs w:val="24"/>
      <w:lang w:eastAsia="en-GB"/>
    </w:rPr>
  </w:style>
  <w:style w:type="character" w:customStyle="1" w:styleId="HeaderCoverPageChar">
    <w:name w:val="Header Cover Page Char"/>
    <w:basedOn w:val="NormalWebChar"/>
    <w:link w:val="HeaderCoverPage"/>
    <w:rPr>
      <w:rFonts w:ascii="Times New Roman" w:eastAsia="Times New Roman" w:hAnsi="Times New Roman" w:cs="Times New Roman"/>
      <w:iCs/>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Ute.Wein@ec.europa.e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arian.Grubben@ec.europa.e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ROW-SINGLE-DIGITAL-GATEWAY@ec.europa.e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537B6-27FB-4B7F-BC85-350C3DCF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1662</Words>
  <Characters>9427</Characters>
  <Application>Microsoft Office Word</Application>
  <DocSecurity>0</DocSecurity>
  <Lines>269</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2017-04-18T12:34:00Z</cp:lastPrinted>
  <dcterms:created xsi:type="dcterms:W3CDTF">2017-04-18T12:34:00Z</dcterms:created>
  <dcterms:modified xsi:type="dcterms:W3CDTF">2017-04-26T14:25:00Z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