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DED10DF535944EDB81EC505EDE63E9F" style="width:450.6pt;height:495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ANNEXES</w:t>
      </w:r>
    </w:p>
    <w:p>
      <w:pPr>
        <w:pStyle w:val="Accompagnant"/>
        <w:rPr>
          <w:noProof/>
        </w:rPr>
      </w:pPr>
      <w:r>
        <w:rPr>
          <w:noProof/>
        </w:rPr>
        <w:t>to the</w:t>
      </w:r>
    </w:p>
    <w:p>
      <w:pPr>
        <w:pStyle w:val="Typeacteprincipal"/>
        <w:rPr>
          <w:noProof/>
        </w:rPr>
      </w:pPr>
      <w:r>
        <w:rPr>
          <w:noProof/>
        </w:rPr>
        <w:t>PROPOSAL FOR A REGULATION OF THE EUROPEAN PARLIAMENT AND OF THE COUNCIL</w:t>
      </w:r>
    </w:p>
    <w:p>
      <w:pPr>
        <w:pStyle w:val="Objetacteprincipal"/>
        <w:rPr>
          <w:noProof/>
        </w:rPr>
      </w:pPr>
      <w:r>
        <w:rPr>
          <w:noProof/>
        </w:rPr>
        <w:t>on establishing a single digital gateway to provide information, procedures, assistance and problem solving services and amending Regulation (EU) No 1024/2012</w:t>
      </w:r>
    </w:p>
    <w:p>
      <w:pPr>
        <w:pStyle w:val="Annexetitre"/>
        <w:rPr>
          <w:noProof/>
        </w:rPr>
      </w:pPr>
      <w:r>
        <w:rPr>
          <w:noProof/>
        </w:rPr>
        <w:t>ANNEX I</w:t>
      </w:r>
      <w:r>
        <w:rPr>
          <w:noProof/>
        </w:rPr>
        <w:br/>
        <w:t>List of areas of information relevant for citizens and business exercising their Single Market rights referred to in Article 2(2)(a)</w:t>
      </w:r>
    </w:p>
    <w:p>
      <w:pPr>
        <w:rPr>
          <w:noProof/>
        </w:rPr>
      </w:pPr>
    </w:p>
    <w:p>
      <w:pPr>
        <w:spacing w:before="0" w:after="200" w:line="276" w:lineRule="auto"/>
        <w:jc w:val="left"/>
        <w:rPr>
          <w:b/>
          <w:noProof/>
        </w:rPr>
      </w:pPr>
      <w:r>
        <w:rPr>
          <w:b/>
          <w:noProof/>
        </w:rPr>
        <w:t>Areas of information areas related to citizens: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>
        <w:tc>
          <w:tcPr>
            <w:tcW w:w="2235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Area</w:t>
            </w:r>
          </w:p>
        </w:tc>
        <w:tc>
          <w:tcPr>
            <w:tcW w:w="6804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INFORMATION  REGARDING RIGHTS, OBLIGATIONS AND RULES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Travel within the Union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Documents required of Union citizens, their family members who are not Union citizens, minors travelling alone, non-Union citizens when travelling across borders within the Union (ID card, visa, passport 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rights and obligations of travellers by plane, train, ship, bus in and from the Union, and of those who buy travel packages or linked travel arrangements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assistance in case of reduced mobility when travelling in and from the Union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transport of animals, plants, alcohol, tobacco, cigarettes and other goods when travelling in the Union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voice calling and sending and receiving electronic messages and electronic data within the Union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Work and retirement within the Union 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seeking employment in another Member State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taking up employment  in another Member State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recognition of qualifications with a view to employment in another Member State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taxation in another Member State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terms of employment  (including working hours, paid leave, holiday entitlements, rights and obligations regarding overtime work, health checks, termination of contracts, dismissal and redundancies)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equal treatment (rules against discrimination in the </w:t>
            </w:r>
            <w:r>
              <w:rPr>
                <w:noProof/>
              </w:rPr>
              <w:lastRenderedPageBreak/>
              <w:t>workplace, equal pay for men and women, equal pay for employees on fixed-term / permanent employment contracts)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health and safety obligations in relation to different types of activity 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social security rights and obligations in the Union including those related to getting pensions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Vehicles in the Union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taking a motor vehicle temporarily or permanently to another Member State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acquiring and renewing a driving license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taking out mandatory motor insurance 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buying and selling a motor vehicle in another Member State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renting a motor vehicle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national traffic rules and requirements for drivers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Residence in another Member State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8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moving temporarily or permanently to another Member State 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participating in municipal elections and elections to the European Parliament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requirements for residence cards for Union citizens and their -family members, including family members who are not Union citizens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Education or traineeship in another Member State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attending school in another Member State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attending university in another Member State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volunteering in another Member State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traineeships in another Member State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conducting research in another Member State as part of an education programme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Healthcare 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getting medical treatment in another Member State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buying prescribed pharmaceutical products in  Member State other than the one where the prescription was issued, on-line or in person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Cross-border family rights, obligations and rules</w:t>
            </w:r>
          </w:p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 xml:space="preserve"> birth, custody for minor children, parental responsibilities, maintenance obligations in relation to children in a cross-border family situation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living in a couple with different nationalities (marriage, separation, divorce, marital property rights, the rights of cohabitants)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rights in relation to succession in another Member State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Consumers in cross-border situations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buying goods and services from another Member State (including financial ), on-line or in person 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holding a bank  account in another Member State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connection to utilities, such as gas, electricity, water, telecom and internet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payments, including credit transfers, delays in cross-border payments </w:t>
            </w:r>
          </w:p>
          <w:p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consumer rights and guarantees related to buying goods and services 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b/>
          <w:noProof/>
        </w:rPr>
        <w:t>Areas of information related to businesses</w:t>
      </w:r>
      <w:r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>
        <w:tc>
          <w:tcPr>
            <w:tcW w:w="2235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Area</w:t>
            </w:r>
          </w:p>
        </w:tc>
        <w:tc>
          <w:tcPr>
            <w:tcW w:w="6804" w:type="dxa"/>
            <w:shd w:val="clear" w:color="auto" w:fill="EEECE1" w:themeFill="background2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INFORMATION REGARDING RIGHTS, OBLIGATIONS AND RULES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Starting, running and closing a business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registering a business (registration procedures and legal forms for carrying out business)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intellectual property rights (applying for a patent, registering a trademark, a drawing or a design, getting a license for reproduction)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fairness and transparency in commercial practices, including consumer rights and guarantees related to selling goods and services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offering  online facilities for cross-border payments when selling goods and services online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rights and obligations arising under contract law, including late payment interests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insolvency proceedings and liquidation of companies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credit insurance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mergers of companies or selling a business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Staff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terms of employment (including working hours, paid leave, holiday entitlements, rights and obligations regarding overtime work, health checks, termination of contracts, dismissals and redundancies)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social security rights and obligations in the Union (registering as employer, registering employees, notifying the end of contract of an employee, paying social contributions, rights and obligations related to pensions)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employment of workers on other Member States (posting of workers, rules on freedom to provide services, residency requirements for workers)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equal treatment (rules against discrimination in the workplace, equal pay for men and women, equal pay for employees on fixed-term / permanent employment contracts)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rules on staff representation 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Taxes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VAT: information on the general rules, rates and exemptions, registering for and  paying VAT, getting a  refund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excise duties: information on the general rules, rates and exemptions 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other taxes: payment, rates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Goods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obtaining CE marking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 identifying applicable standards, technical specifications and getting products certified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mutual recognition of products not subject to Union- specifications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requirements regarding classification, labelling and packaging for hazardous chemicals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distance/off-premises selling: information to be given to customers in advance,, confirmation of the contract in writing, withdrawal from a contract, delivering of the goods, other specific obligations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defective products: consumer rights and guarantees, after-sale responsibilities , means of redress for an injured party 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certification, labels (EMAS, energy labels, Eco-design, EU eco-label)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recycling and waste management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Services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acquiring licenses, authorisations or permits with a view to starting a business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notifying the authorities of cross-border activities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recognition of professional qualifications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Funding a business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getting access to finance at the Union level, including Union funding programmes and business grants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getting access to finance at  national level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initiatives addressed to entrepreneurs (exchanges organised for new entrepreneurs, mentoring programmes etc.)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Public contracts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Participating in public tenders: rules and procedures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submitting a bid  online in response to  a public call for tender</w:t>
            </w:r>
          </w:p>
          <w:p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reporting irregularities in relation to the tender process</w:t>
            </w:r>
          </w:p>
        </w:tc>
      </w:tr>
      <w:tr>
        <w:tc>
          <w:tcPr>
            <w:tcW w:w="2235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>Health and safety at work</w:t>
            </w:r>
          </w:p>
        </w:tc>
        <w:tc>
          <w:tcPr>
            <w:tcW w:w="6804" w:type="dxa"/>
          </w:tcPr>
          <w:p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Health and safety obligations in relation to different types of activity, including prevention of risks, information and training 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 II</w:t>
      </w:r>
      <w:r>
        <w:rPr>
          <w:noProof/>
        </w:rPr>
        <w:br/>
        <w:t>Procedures referred to in Article 5(2)</w:t>
      </w:r>
    </w:p>
    <w:p>
      <w:pPr>
        <w:rPr>
          <w:b/>
          <w:noProof/>
        </w:rPr>
      </w:pPr>
    </w:p>
    <w:tbl>
      <w:tblPr>
        <w:tblStyle w:val="TableGrid1"/>
        <w:tblW w:w="9997" w:type="dxa"/>
        <w:tblLook w:val="04A0" w:firstRow="1" w:lastRow="0" w:firstColumn="1" w:lastColumn="0" w:noHBand="0" w:noVBand="1"/>
      </w:tblPr>
      <w:tblGrid>
        <w:gridCol w:w="2118"/>
        <w:gridCol w:w="3707"/>
        <w:gridCol w:w="4172"/>
      </w:tblGrid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Life events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Procedures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Expected output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Birth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Requesting a birth certificate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Birth certificate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Studying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Applying for a study grant from a public institution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Decision regarding the application for a grant</w:t>
            </w:r>
          </w:p>
        </w:tc>
      </w:tr>
      <w:tr>
        <w:trPr>
          <w:trHeight w:val="1350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Working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Registering for social security benefits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Acknowledgement of receipt</w:t>
            </w:r>
          </w:p>
        </w:tc>
      </w:tr>
      <w:t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Requesting recognition of diploma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Decision on the request for recognition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Moving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Registering a change of address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Confirmation of the registration of the new address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Requesting/renewing ID card or passport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Issue or renewal of an ID card or a passport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Registering a motor vehicle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Registration certificate</w:t>
            </w:r>
          </w:p>
        </w:tc>
      </w:tr>
      <w:t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Retiring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Claiming pension and pre-retirement benefits from public or semi-public schemes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Decision regarding the claim for a pension or pre-retirement benefits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Starting a business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General registration of business activity, excluding procedures concerning the constitution of companies or firms within the meaning of the second paragraph of Article 54 TFEU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Confirmation of the completion of all steps necessary to start operating as a business 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Registration of an employer (a natural person) with public or semi-public pension and insurance schemes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Social security registration number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Registration of employees with public or semi-public pension and insurance schemes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Social security registration number</w:t>
            </w:r>
          </w:p>
        </w:tc>
      </w:tr>
      <w:t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Doing business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Notification to the social security schemes of the end of contract with an employee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Confirmation of the receipt of the notification</w:t>
            </w:r>
          </w:p>
        </w:tc>
      </w:tr>
      <w:t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lang w:val="en-US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Payment of social contributions for employees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Receipt or other form of confirmation of payment of social contributions for employees</w:t>
            </w:r>
          </w:p>
        </w:tc>
      </w:tr>
    </w:tbl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 III</w:t>
      </w:r>
      <w:r>
        <w:rPr>
          <w:noProof/>
        </w:rPr>
        <w:br/>
        <w:t>List of the assistance and problem solving services referred to in Article 2(2)(c)</w:t>
      </w:r>
    </w:p>
    <w:p>
      <w:pPr>
        <w:jc w:val="center"/>
        <w:rPr>
          <w:b/>
          <w:noProof/>
        </w:rPr>
      </w:pPr>
    </w:p>
    <w:p>
      <w:pPr>
        <w:pStyle w:val="Point0number"/>
        <w:numPr>
          <w:ilvl w:val="0"/>
          <w:numId w:val="18"/>
        </w:numPr>
        <w:rPr>
          <w:noProof/>
        </w:rPr>
      </w:pPr>
      <w:r>
        <w:rPr>
          <w:noProof/>
        </w:rPr>
        <w:t>Points of Single Contact</w:t>
      </w:r>
    </w:p>
    <w:p>
      <w:pPr>
        <w:pStyle w:val="Point0number"/>
        <w:rPr>
          <w:noProof/>
          <w:lang w:val="fr-BE"/>
        </w:rPr>
      </w:pPr>
      <w:r>
        <w:rPr>
          <w:noProof/>
          <w:lang w:val="fr-BE"/>
        </w:rPr>
        <w:t>Product Contact Points</w:t>
      </w:r>
    </w:p>
    <w:p>
      <w:pPr>
        <w:pStyle w:val="Point0number"/>
        <w:rPr>
          <w:noProof/>
          <w:lang w:val="fr-BE"/>
        </w:rPr>
      </w:pPr>
      <w:r>
        <w:rPr>
          <w:noProof/>
          <w:lang w:val="fr-BE"/>
        </w:rPr>
        <w:t>Construction Product Contact Points</w:t>
      </w:r>
    </w:p>
    <w:p>
      <w:pPr>
        <w:pStyle w:val="Point0number"/>
        <w:rPr>
          <w:noProof/>
          <w:lang w:val="fr-BE"/>
        </w:rPr>
      </w:pPr>
      <w:r>
        <w:rPr>
          <w:noProof/>
          <w:lang w:val="fr-BE"/>
        </w:rPr>
        <w:t>National Assistance Centres for Professional Qualifications</w:t>
      </w:r>
    </w:p>
    <w:p>
      <w:pPr>
        <w:pStyle w:val="Point0number"/>
        <w:rPr>
          <w:noProof/>
        </w:rPr>
      </w:pPr>
      <w:r>
        <w:rPr>
          <w:noProof/>
        </w:rPr>
        <w:t>Health Contact Points</w:t>
      </w:r>
    </w:p>
    <w:p>
      <w:pPr>
        <w:pStyle w:val="Point0number"/>
        <w:rPr>
          <w:noProof/>
        </w:rPr>
      </w:pPr>
      <w:r>
        <w:rPr>
          <w:noProof/>
        </w:rPr>
        <w:t>EURES</w:t>
      </w:r>
    </w:p>
    <w:p>
      <w:pPr>
        <w:pStyle w:val="Point0number"/>
        <w:rPr>
          <w:noProof/>
        </w:rPr>
      </w:pPr>
      <w:r>
        <w:rPr>
          <w:noProof/>
        </w:rPr>
        <w:t>Online Dispute Resolution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BB26E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52C7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2282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12C43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464A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D6D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2B6A4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4D0B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E66989"/>
    <w:multiLevelType w:val="hybridMultilevel"/>
    <w:tmpl w:val="FB5E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3081E"/>
    <w:multiLevelType w:val="hybridMultilevel"/>
    <w:tmpl w:val="464E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7E2AFA"/>
    <w:multiLevelType w:val="hybridMultilevel"/>
    <w:tmpl w:val="050C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>
    <w:nsid w:val="3CE96A32"/>
    <w:multiLevelType w:val="hybridMultilevel"/>
    <w:tmpl w:val="B58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>
    <w:nsid w:val="44071059"/>
    <w:multiLevelType w:val="hybridMultilevel"/>
    <w:tmpl w:val="B3F6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EB76A23"/>
    <w:multiLevelType w:val="hybridMultilevel"/>
    <w:tmpl w:val="3D9A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C423D"/>
    <w:multiLevelType w:val="hybridMultilevel"/>
    <w:tmpl w:val="9FC2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>
    <w:nsid w:val="6F280FEE"/>
    <w:multiLevelType w:val="hybridMultilevel"/>
    <w:tmpl w:val="8E9E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233BD"/>
    <w:multiLevelType w:val="hybridMultilevel"/>
    <w:tmpl w:val="4EC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24"/>
  </w:num>
  <w:num w:numId="8">
    <w:abstractNumId w:val="28"/>
  </w:num>
  <w:num w:numId="9">
    <w:abstractNumId w:val="29"/>
  </w:num>
  <w:num w:numId="10">
    <w:abstractNumId w:val="8"/>
  </w:num>
  <w:num w:numId="11">
    <w:abstractNumId w:val="15"/>
  </w:num>
  <w:num w:numId="12">
    <w:abstractNumId w:val="18"/>
  </w:num>
  <w:num w:numId="13">
    <w:abstractNumId w:val="25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6"/>
  </w:num>
  <w:num w:numId="21">
    <w:abstractNumId w:val="27"/>
  </w:num>
  <w:num w:numId="22">
    <w:abstractNumId w:val="14"/>
  </w:num>
  <w:num w:numId="23">
    <w:abstractNumId w:val="17"/>
  </w:num>
  <w:num w:numId="24">
    <w:abstractNumId w:val="11"/>
  </w:num>
  <w:num w:numId="25">
    <w:abstractNumId w:val="26"/>
  </w:num>
  <w:num w:numId="26">
    <w:abstractNumId w:val="10"/>
  </w:num>
  <w:num w:numId="27">
    <w:abstractNumId w:val="19"/>
  </w:num>
  <w:num w:numId="28">
    <w:abstractNumId w:val="21"/>
  </w:num>
  <w:num w:numId="29">
    <w:abstractNumId w:val="22"/>
  </w:num>
  <w:num w:numId="30">
    <w:abstractNumId w:val="13"/>
  </w:num>
  <w:num w:numId="31">
    <w:abstractNumId w:val="20"/>
  </w:num>
  <w:num w:numId="32">
    <w:abstractNumId w:val="30"/>
  </w:num>
  <w:num w:numId="33">
    <w:abstractNumId w:val="23"/>
  </w:num>
  <w:num w:numId="34">
    <w:abstractNumId w:val="16"/>
  </w:num>
  <w:num w:numId="35">
    <w:abstractNumId w:val="27"/>
  </w:num>
  <w:num w:numId="36">
    <w:abstractNumId w:val="14"/>
  </w:num>
  <w:num w:numId="37">
    <w:abstractNumId w:val="17"/>
  </w:num>
  <w:num w:numId="38">
    <w:abstractNumId w:val="11"/>
  </w:num>
  <w:num w:numId="39">
    <w:abstractNumId w:val="26"/>
  </w:num>
  <w:num w:numId="40">
    <w:abstractNumId w:val="10"/>
  </w:num>
  <w:num w:numId="41">
    <w:abstractNumId w:val="19"/>
  </w:num>
  <w:num w:numId="42">
    <w:abstractNumId w:val="21"/>
  </w:num>
  <w:num w:numId="43">
    <w:abstractNumId w:val="22"/>
  </w:num>
  <w:num w:numId="44">
    <w:abstractNumId w:val="13"/>
  </w:num>
  <w:num w:numId="45">
    <w:abstractNumId w:val="20"/>
  </w:num>
  <w:num w:numId="4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18 12:16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8DED10DF535944EDB81EC505EDE63E9F"/>
    <w:docVar w:name="LW_CROSSREFERENCE" w:val="{SWD(2017) 211 final}_x000b_{SWD(2017) 212 final}_x000b_{SWD(2017) 213 final}_x000b_{SWD(2017) 214 final}"/>
    <w:docVar w:name="LW_DocType" w:val="ANNEX"/>
    <w:docVar w:name="LW_EMISSION" w:val="2.5.2017"/>
    <w:docVar w:name="LW_EMISSION_ISODATE" w:val="2017-05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establishing a single digital gateway to provide information, procedures, assistance and problem solving services and amending Regulation (EU) No 1024/2012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56"/>
    <w:docVar w:name="LW_REF.INTERNE" w:val="&lt;UNUSED&gt;"/>
    <w:docVar w:name="LW_SUPERTITRE" w:val="Compliance Package"/>
    <w:docVar w:name="LW_TITRE.OBJ.CP" w:val="&lt;UNUSED&gt;"/>
    <w:docVar w:name="LW_TYPE.DOC.CP" w:val="ANNEXES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3"/>
      </w:numPr>
    </w:pPr>
  </w:style>
  <w:style w:type="paragraph" w:customStyle="1" w:styleId="Tiret1">
    <w:name w:val="Tiret 1"/>
    <w:basedOn w:val="Point1"/>
    <w:pPr>
      <w:numPr>
        <w:numId w:val="34"/>
      </w:numPr>
    </w:pPr>
  </w:style>
  <w:style w:type="paragraph" w:customStyle="1" w:styleId="Tiret2">
    <w:name w:val="Tiret 2"/>
    <w:basedOn w:val="Point2"/>
    <w:pPr>
      <w:numPr>
        <w:numId w:val="35"/>
      </w:numPr>
    </w:pPr>
  </w:style>
  <w:style w:type="paragraph" w:customStyle="1" w:styleId="Tiret3">
    <w:name w:val="Tiret 3"/>
    <w:basedOn w:val="Point3"/>
    <w:pPr>
      <w:numPr>
        <w:numId w:val="36"/>
      </w:numPr>
    </w:pPr>
  </w:style>
  <w:style w:type="paragraph" w:customStyle="1" w:styleId="Tiret4">
    <w:name w:val="Tiret 4"/>
    <w:basedOn w:val="Point4"/>
    <w:pPr>
      <w:numPr>
        <w:numId w:val="3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0"/>
      </w:numPr>
    </w:pPr>
  </w:style>
  <w:style w:type="paragraph" w:customStyle="1" w:styleId="Point1number">
    <w:name w:val="Point 1 (number)"/>
    <w:basedOn w:val="Normal"/>
    <w:pPr>
      <w:numPr>
        <w:ilvl w:val="2"/>
        <w:numId w:val="40"/>
      </w:numPr>
    </w:pPr>
  </w:style>
  <w:style w:type="paragraph" w:customStyle="1" w:styleId="Point2number">
    <w:name w:val="Point 2 (number)"/>
    <w:basedOn w:val="Normal"/>
    <w:pPr>
      <w:numPr>
        <w:ilvl w:val="4"/>
        <w:numId w:val="40"/>
      </w:numPr>
    </w:pPr>
  </w:style>
  <w:style w:type="paragraph" w:customStyle="1" w:styleId="Point3number">
    <w:name w:val="Point 3 (number)"/>
    <w:basedOn w:val="Normal"/>
    <w:pPr>
      <w:numPr>
        <w:ilvl w:val="6"/>
        <w:numId w:val="40"/>
      </w:numPr>
    </w:pPr>
  </w:style>
  <w:style w:type="paragraph" w:customStyle="1" w:styleId="Point0letter">
    <w:name w:val="Point 0 (letter)"/>
    <w:basedOn w:val="Normal"/>
    <w:pPr>
      <w:numPr>
        <w:ilvl w:val="1"/>
        <w:numId w:val="40"/>
      </w:numPr>
    </w:pPr>
  </w:style>
  <w:style w:type="paragraph" w:customStyle="1" w:styleId="Point1letter">
    <w:name w:val="Point 1 (letter)"/>
    <w:basedOn w:val="Normal"/>
    <w:pPr>
      <w:numPr>
        <w:ilvl w:val="3"/>
        <w:numId w:val="40"/>
      </w:numPr>
    </w:pPr>
  </w:style>
  <w:style w:type="paragraph" w:customStyle="1" w:styleId="Point2letter">
    <w:name w:val="Point 2 (letter)"/>
    <w:basedOn w:val="Normal"/>
    <w:pPr>
      <w:numPr>
        <w:ilvl w:val="5"/>
        <w:numId w:val="40"/>
      </w:numPr>
    </w:pPr>
  </w:style>
  <w:style w:type="paragraph" w:customStyle="1" w:styleId="Point3letter">
    <w:name w:val="Point 3 (letter)"/>
    <w:basedOn w:val="Normal"/>
    <w:pPr>
      <w:numPr>
        <w:ilvl w:val="7"/>
        <w:numId w:val="40"/>
      </w:numPr>
    </w:pPr>
  </w:style>
  <w:style w:type="paragraph" w:customStyle="1" w:styleId="Point4letter">
    <w:name w:val="Point 4 (letter)"/>
    <w:basedOn w:val="Normal"/>
    <w:pPr>
      <w:numPr>
        <w:ilvl w:val="8"/>
        <w:numId w:val="40"/>
      </w:numPr>
    </w:pPr>
  </w:style>
  <w:style w:type="paragraph" w:customStyle="1" w:styleId="Bullet0">
    <w:name w:val="Bullet 0"/>
    <w:basedOn w:val="Normal"/>
    <w:pPr>
      <w:numPr>
        <w:numId w:val="41"/>
      </w:numPr>
    </w:pPr>
  </w:style>
  <w:style w:type="paragraph" w:customStyle="1" w:styleId="Bullet1">
    <w:name w:val="Bullet 1"/>
    <w:basedOn w:val="Normal"/>
    <w:pPr>
      <w:numPr>
        <w:numId w:val="42"/>
      </w:numPr>
    </w:pPr>
  </w:style>
  <w:style w:type="paragraph" w:customStyle="1" w:styleId="Bullet2">
    <w:name w:val="Bullet 2"/>
    <w:basedOn w:val="Normal"/>
    <w:pPr>
      <w:numPr>
        <w:numId w:val="43"/>
      </w:numPr>
    </w:pPr>
  </w:style>
  <w:style w:type="paragraph" w:customStyle="1" w:styleId="Bullet3">
    <w:name w:val="Bullet 3"/>
    <w:basedOn w:val="Normal"/>
    <w:pPr>
      <w:numPr>
        <w:numId w:val="44"/>
      </w:numPr>
    </w:pPr>
  </w:style>
  <w:style w:type="paragraph" w:customStyle="1" w:styleId="Bullet4">
    <w:name w:val="Bullet 4"/>
    <w:basedOn w:val="Normal"/>
    <w:pPr>
      <w:numPr>
        <w:numId w:val="4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3"/>
      </w:numPr>
    </w:pPr>
  </w:style>
  <w:style w:type="paragraph" w:customStyle="1" w:styleId="Tiret1">
    <w:name w:val="Tiret 1"/>
    <w:basedOn w:val="Point1"/>
    <w:pPr>
      <w:numPr>
        <w:numId w:val="34"/>
      </w:numPr>
    </w:pPr>
  </w:style>
  <w:style w:type="paragraph" w:customStyle="1" w:styleId="Tiret2">
    <w:name w:val="Tiret 2"/>
    <w:basedOn w:val="Point2"/>
    <w:pPr>
      <w:numPr>
        <w:numId w:val="35"/>
      </w:numPr>
    </w:pPr>
  </w:style>
  <w:style w:type="paragraph" w:customStyle="1" w:styleId="Tiret3">
    <w:name w:val="Tiret 3"/>
    <w:basedOn w:val="Point3"/>
    <w:pPr>
      <w:numPr>
        <w:numId w:val="36"/>
      </w:numPr>
    </w:pPr>
  </w:style>
  <w:style w:type="paragraph" w:customStyle="1" w:styleId="Tiret4">
    <w:name w:val="Tiret 4"/>
    <w:basedOn w:val="Point4"/>
    <w:pPr>
      <w:numPr>
        <w:numId w:val="3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0"/>
      </w:numPr>
    </w:pPr>
  </w:style>
  <w:style w:type="paragraph" w:customStyle="1" w:styleId="Point1number">
    <w:name w:val="Point 1 (number)"/>
    <w:basedOn w:val="Normal"/>
    <w:pPr>
      <w:numPr>
        <w:ilvl w:val="2"/>
        <w:numId w:val="40"/>
      </w:numPr>
    </w:pPr>
  </w:style>
  <w:style w:type="paragraph" w:customStyle="1" w:styleId="Point2number">
    <w:name w:val="Point 2 (number)"/>
    <w:basedOn w:val="Normal"/>
    <w:pPr>
      <w:numPr>
        <w:ilvl w:val="4"/>
        <w:numId w:val="40"/>
      </w:numPr>
    </w:pPr>
  </w:style>
  <w:style w:type="paragraph" w:customStyle="1" w:styleId="Point3number">
    <w:name w:val="Point 3 (number)"/>
    <w:basedOn w:val="Normal"/>
    <w:pPr>
      <w:numPr>
        <w:ilvl w:val="6"/>
        <w:numId w:val="40"/>
      </w:numPr>
    </w:pPr>
  </w:style>
  <w:style w:type="paragraph" w:customStyle="1" w:styleId="Point0letter">
    <w:name w:val="Point 0 (letter)"/>
    <w:basedOn w:val="Normal"/>
    <w:pPr>
      <w:numPr>
        <w:ilvl w:val="1"/>
        <w:numId w:val="40"/>
      </w:numPr>
    </w:pPr>
  </w:style>
  <w:style w:type="paragraph" w:customStyle="1" w:styleId="Point1letter">
    <w:name w:val="Point 1 (letter)"/>
    <w:basedOn w:val="Normal"/>
    <w:pPr>
      <w:numPr>
        <w:ilvl w:val="3"/>
        <w:numId w:val="40"/>
      </w:numPr>
    </w:pPr>
  </w:style>
  <w:style w:type="paragraph" w:customStyle="1" w:styleId="Point2letter">
    <w:name w:val="Point 2 (letter)"/>
    <w:basedOn w:val="Normal"/>
    <w:pPr>
      <w:numPr>
        <w:ilvl w:val="5"/>
        <w:numId w:val="40"/>
      </w:numPr>
    </w:pPr>
  </w:style>
  <w:style w:type="paragraph" w:customStyle="1" w:styleId="Point3letter">
    <w:name w:val="Point 3 (letter)"/>
    <w:basedOn w:val="Normal"/>
    <w:pPr>
      <w:numPr>
        <w:ilvl w:val="7"/>
        <w:numId w:val="40"/>
      </w:numPr>
    </w:pPr>
  </w:style>
  <w:style w:type="paragraph" w:customStyle="1" w:styleId="Point4letter">
    <w:name w:val="Point 4 (letter)"/>
    <w:basedOn w:val="Normal"/>
    <w:pPr>
      <w:numPr>
        <w:ilvl w:val="8"/>
        <w:numId w:val="40"/>
      </w:numPr>
    </w:pPr>
  </w:style>
  <w:style w:type="paragraph" w:customStyle="1" w:styleId="Bullet0">
    <w:name w:val="Bullet 0"/>
    <w:basedOn w:val="Normal"/>
    <w:pPr>
      <w:numPr>
        <w:numId w:val="41"/>
      </w:numPr>
    </w:pPr>
  </w:style>
  <w:style w:type="paragraph" w:customStyle="1" w:styleId="Bullet1">
    <w:name w:val="Bullet 1"/>
    <w:basedOn w:val="Normal"/>
    <w:pPr>
      <w:numPr>
        <w:numId w:val="42"/>
      </w:numPr>
    </w:pPr>
  </w:style>
  <w:style w:type="paragraph" w:customStyle="1" w:styleId="Bullet2">
    <w:name w:val="Bullet 2"/>
    <w:basedOn w:val="Normal"/>
    <w:pPr>
      <w:numPr>
        <w:numId w:val="43"/>
      </w:numPr>
    </w:pPr>
  </w:style>
  <w:style w:type="paragraph" w:customStyle="1" w:styleId="Bullet3">
    <w:name w:val="Bullet 3"/>
    <w:basedOn w:val="Normal"/>
    <w:pPr>
      <w:numPr>
        <w:numId w:val="44"/>
      </w:numPr>
    </w:pPr>
  </w:style>
  <w:style w:type="paragraph" w:customStyle="1" w:styleId="Bullet4">
    <w:name w:val="Bullet 4"/>
    <w:basedOn w:val="Normal"/>
    <w:pPr>
      <w:numPr>
        <w:numId w:val="4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A752-BB7C-4A3F-93D6-139F3213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1260</Words>
  <Characters>7789</Characters>
  <Application>Microsoft Office Word</Application>
  <DocSecurity>0</DocSecurity>
  <Lines>278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JACZEWSKA Sylwia (MARKT)</dc:creator>
  <cp:lastModifiedBy>DIGIT/A3</cp:lastModifiedBy>
  <cp:revision>7</cp:revision>
  <cp:lastPrinted>2017-04-21T16:06:00Z</cp:lastPrinted>
  <dcterms:created xsi:type="dcterms:W3CDTF">2017-04-25T12:04:00Z</dcterms:created>
  <dcterms:modified xsi:type="dcterms:W3CDTF">2017-04-26T14:25:00Z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