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442A130A3D4EEDBA0856EFBC0D853F" style="width:451.1pt;height:38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През 2015 г. редица държави — членки на ЕС отново въведоха временен граничен контрол на границите си след безпрецедентния приток на мигранти в Европейския съюз и значителните вторични движения. Тази ситуация представляваше сериозна заплаха за обществения ред или вътрешната сигурност в няколко държави от Шенгенското пространство</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rPr>
      </w:pPr>
      <w:r>
        <w:rPr>
          <w:noProof/>
        </w:rPr>
        <w:t>Заплахите се дължаха на сериозни недостатъци по отношение на осигуряването на ефикасен граничен контрол на участъци от външната граница на Съюза, които недостатъци застрашаваха цялостното функциониране на Шенгенското пространство. В съответствие с член 29 от Кодекса на шенгенските граници беше приет координиран подход на равнище ЕС посредством препоръка на Съвета</w:t>
      </w:r>
      <w:r>
        <w:rPr>
          <w:rStyle w:val="FootnoteReference"/>
          <w:noProof/>
        </w:rPr>
        <w:footnoteReference w:id="3"/>
      </w:r>
      <w:r>
        <w:rPr>
          <w:noProof/>
        </w:rPr>
        <w:t>, основаваща се на предложение от Комисията</w:t>
      </w:r>
      <w:r>
        <w:rPr>
          <w:rStyle w:val="FootnoteReference"/>
          <w:noProof/>
        </w:rPr>
        <w:footnoteReference w:id="4"/>
      </w:r>
      <w:r>
        <w:rPr>
          <w:noProof/>
        </w:rPr>
        <w:t xml:space="preserve">, до най-засегнатите пет държави от Шенгенското пространство (Австрия, Германия, Дания, Швеция и Норвегия) да запазят пропорционалния временен граничен контрол на ограничен брой свои участъци от вътрешните граници. </w:t>
      </w:r>
    </w:p>
    <w:p>
      <w:pPr>
        <w:pBdr>
          <w:top w:val="nil"/>
          <w:left w:val="nil"/>
          <w:bottom w:val="nil"/>
          <w:right w:val="nil"/>
          <w:between w:val="nil"/>
          <w:bar w:val="nil"/>
        </w:pBdr>
        <w:spacing w:before="0" w:after="240"/>
        <w:rPr>
          <w:noProof/>
        </w:rPr>
      </w:pPr>
      <w:r>
        <w:rPr>
          <w:noProof/>
        </w:rPr>
        <w:t>Задействането на член 29 от Кодекса на шенгенските граници и приемането на координиран подход на равнището на ЕС към временния граничен контрол бяха сред инициативите, предвидени в Пътната карта „Завръщане към Шенгенската система“</w:t>
      </w:r>
      <w:r>
        <w:rPr>
          <w:rStyle w:val="FootnoteReference"/>
          <w:noProof/>
        </w:rPr>
        <w:footnoteReference w:id="5"/>
      </w:r>
      <w:r>
        <w:rPr>
          <w:noProof/>
        </w:rPr>
        <w:t>, които имаха за цел да се създадат условия за цялостно премахване на контрола по вътрешните граници и за възстановяването на нормалното функциониране на Шенгенското пространство във възможно най-кратък срок.</w:t>
      </w:r>
    </w:p>
    <w:p>
      <w:pPr>
        <w:pBdr>
          <w:top w:val="nil"/>
          <w:left w:val="nil"/>
          <w:bottom w:val="nil"/>
          <w:right w:val="nil"/>
          <w:between w:val="nil"/>
          <w:bar w:val="nil"/>
        </w:pBdr>
        <w:spacing w:before="0" w:after="240"/>
        <w:rPr>
          <w:noProof/>
        </w:rPr>
      </w:pPr>
      <w:r>
        <w:rPr>
          <w:noProof/>
        </w:rPr>
        <w:t>Съветът първоначално препоръча запазването на пропорционалния временен граничен контрол на вътрешните граници за период от шест месеца. Съветът на два пъти удължи за по три месеца, в съответствие с член 29, срока на действие на препоръката си</w:t>
      </w:r>
      <w:r>
        <w:rPr>
          <w:rStyle w:val="FootnoteReference"/>
          <w:noProof/>
        </w:rPr>
        <w:footnoteReference w:id="6"/>
      </w:r>
      <w:r>
        <w:rPr>
          <w:noProof/>
        </w:rPr>
        <w:t xml:space="preserve"> за същите държави от Шенгенското пространство. В същото време Съветът посочи подобряването на цялостната ситуация, благодарение на предприетите различни мерки. Поради това бяха въведени по-строги условия за повторно въведения граничен контрол </w:t>
      </w:r>
      <w:r>
        <w:rPr>
          <w:noProof/>
        </w:rPr>
        <w:lastRenderedPageBreak/>
        <w:t xml:space="preserve">и задължение за съответните държави от Шенгенското пространство за подробно ежемесечно докладване. </w:t>
      </w:r>
    </w:p>
    <w:p>
      <w:pPr>
        <w:pBdr>
          <w:top w:val="nil"/>
          <w:left w:val="nil"/>
          <w:bottom w:val="nil"/>
          <w:right w:val="nil"/>
          <w:between w:val="nil"/>
          <w:bar w:val="nil"/>
        </w:pBdr>
        <w:spacing w:before="0" w:after="240"/>
        <w:rPr>
          <w:noProof/>
        </w:rPr>
      </w:pPr>
      <w:r>
        <w:rPr>
          <w:noProof/>
        </w:rPr>
        <w:t>Съгласно членове 25 и 29 от Кодекса на шенгенските граници срокът може да бъде удължен в съответствие с условията и процедурата, посочени в член 29, ако извънредните обстоятелства продължават да са налице.</w:t>
      </w:r>
    </w:p>
    <w:p>
      <w:pPr>
        <w:pBdr>
          <w:top w:val="nil"/>
          <w:left w:val="nil"/>
          <w:bottom w:val="nil"/>
          <w:right w:val="nil"/>
          <w:between w:val="nil"/>
          <w:bar w:val="nil"/>
        </w:pBdr>
        <w:spacing w:before="0" w:after="240"/>
        <w:rPr>
          <w:noProof/>
        </w:rPr>
      </w:pPr>
      <w:r>
        <w:rPr>
          <w:noProof/>
        </w:rPr>
        <w:t>Препоръките, приети от Съвета, не засягат допълнителните инструменти на разположение на всички държави членки, включително на петте посочени държави от Шенгенското пространство, съгласно общите правила за временното повторно въвеждане на граничен контрол на вътрешните граници в случай на друга сериозна заплаха за обществения ред или вътрешната сигурност, която не е свързана с недостатъците в управлението на външните граници. През този период например Франция, за която тези препоръки не се отнасяха, въведе повторно и запази граничния контрол на всички свои вътрешни граници по причини, свързани с постоянните терористични заплахи. Швеция нотифицира повторното въвеждане на временен граничен контрол на вътрешните си граници за периода от 7 до 15 април 2017 г. след терористичното нападение в Стокхолм.</w:t>
      </w:r>
    </w:p>
    <w:p>
      <w:pPr>
        <w:pBdr>
          <w:top w:val="nil"/>
          <w:left w:val="nil"/>
          <w:bottom w:val="nil"/>
          <w:right w:val="nil"/>
          <w:between w:val="nil"/>
          <w:bar w:val="nil"/>
        </w:pBdr>
        <w:spacing w:before="0" w:after="240"/>
        <w:rPr>
          <w:noProof/>
        </w:rPr>
      </w:pPr>
      <w:r>
        <w:rPr>
          <w:noProof/>
        </w:rPr>
        <w:t>Комисията е напълно наясно, че миграционните потоци в който и да е участък от границите на ЕС може да представляват сериозна заплаха за обществения ред или вътрешната сигурност в една или няколко държави членки. Поради тази причина в различни участъци от морските и сухопътните граници се вземат мерки за предприемане на координирани действия, включително чрез допълнителни усилия във връзка с маршрута през Централното Средиземноморие</w:t>
      </w:r>
      <w:r>
        <w:rPr>
          <w:rStyle w:val="FootnoteReference"/>
          <w:noProof/>
        </w:rPr>
        <w:footnoteReference w:id="7"/>
      </w:r>
      <w:r>
        <w:rPr>
          <w:noProof/>
        </w:rPr>
        <w:t>, чрез рамката за партньорство и чрез предприемане на допълнителни действия по отношение на съответните участъци от външните граници. Комисията също така признава възникването през последните години на нови предизвикателства по отношение на сигурността, както стана ясно след съвсем скорошните терористични нападения в Берлин, Стокхолм или Париж. В тази връзка, въпреки че настоящата правна рамка бе достатъчна за справяне с предизвикателствата досега, Комисията разглежда въпроса дали тази рамка е достатъчно адаптирана, за да отговори на променящите се предизвикателства в областта на сигурността.</w:t>
      </w:r>
    </w:p>
    <w:p>
      <w:pPr>
        <w:pBdr>
          <w:top w:val="nil"/>
          <w:left w:val="nil"/>
          <w:bottom w:val="nil"/>
          <w:right w:val="nil"/>
          <w:between w:val="nil"/>
          <w:bar w:val="nil"/>
        </w:pBdr>
        <w:spacing w:before="0" w:after="240"/>
        <w:rPr>
          <w:noProof/>
        </w:rPr>
      </w:pPr>
      <w:r>
        <w:rPr>
          <w:noProof/>
        </w:rPr>
        <w:t xml:space="preserve">Комисията е решена да продължи да работи, за да гарантира, че вече въведените инструменти се използват изцяло, както и да продължи работата си по необходимите нови инициативи с цел по-нататъшно стабилизиране на положението, като има предвид факта, че недостатъците на удължения граничен контрол на вътрешните граници, а именно икономическите разходи и пречките пред свободното движение на гражданите, трябва да бъдат съпоставени с резултатите, получени от граничния контрол на вътрешните граници до този момент. </w:t>
      </w:r>
    </w:p>
    <w:p>
      <w:pPr>
        <w:pBdr>
          <w:top w:val="nil"/>
          <w:left w:val="nil"/>
          <w:bottom w:val="nil"/>
          <w:right w:val="nil"/>
          <w:between w:val="nil"/>
          <w:bar w:val="nil"/>
        </w:pBdr>
        <w:spacing w:before="0" w:after="240"/>
        <w:rPr>
          <w:noProof/>
          <w:u w:val="single"/>
        </w:rPr>
      </w:pPr>
      <w:r>
        <w:rPr>
          <w:noProof/>
          <w:u w:val="single"/>
        </w:rPr>
        <w:t>Актуално положение</w:t>
      </w:r>
    </w:p>
    <w:p>
      <w:pPr>
        <w:pBdr>
          <w:top w:val="nil"/>
          <w:left w:val="nil"/>
          <w:bottom w:val="nil"/>
          <w:right w:val="nil"/>
          <w:between w:val="nil"/>
          <w:bar w:val="nil"/>
        </w:pBdr>
        <w:spacing w:before="0" w:after="240"/>
        <w:rPr>
          <w:noProof/>
        </w:rPr>
      </w:pPr>
      <w:r>
        <w:rPr>
          <w:noProof/>
        </w:rPr>
        <w:t>Въз основа на месечните доклади, представени от съответните пет държави от Шенгенското пространство, както и на цялата информация, с която разполага, Комисията може да заключи, че контролът продължава да се извършва при условията, заложени в препоръката. Както и в предишните периоди, проверките се извършват само при необходимост продължават да са пропорционални, с целеви характер, ограничени по своята интензивност и възпрепятстват възможно най-малко обикновените граждани при преминаването на съответните вътрешни граници. Комисията отчита факта, че петте държави от Шенгенското пространство посочват в докладите си необходимостта от продължаване на граничния контрол на външните граници. Същевременно обаче Комисията отчита и опасенията, изразени от Словения, относно необходимостта от граничен контрол на австрийско-словенската граница, тъй като Словения счита, че обстоятелствата са се променили значително след въвеждането на временния контрол на вътрешните граници.</w:t>
      </w:r>
    </w:p>
    <w:p>
      <w:pPr>
        <w:pBdr>
          <w:top w:val="nil"/>
          <w:left w:val="nil"/>
          <w:bottom w:val="nil"/>
          <w:right w:val="nil"/>
          <w:between w:val="nil"/>
          <w:bar w:val="nil"/>
        </w:pBdr>
        <w:spacing w:before="0" w:after="240"/>
        <w:rPr>
          <w:noProof/>
        </w:rPr>
      </w:pPr>
      <w:r>
        <w:rPr>
          <w:noProof/>
        </w:rPr>
        <w:t xml:space="preserve">Докладите, представени от държавите от Шенгенското пространство съгласно препоръката от 7 февруари 2017 г., потвърждават тенденцията, която показаха докладите съгласно препоръките от 12 май 2016 г. и от 11 ноември 2016 г. (що се отнася до броя на получените молби за убежище или на броя на лицата, на които е отказано влизане след извършване на контрол), и следователно постоянното постепенно стабилизиране на положението. </w:t>
      </w:r>
    </w:p>
    <w:p>
      <w:pPr>
        <w:pBdr>
          <w:top w:val="nil"/>
          <w:left w:val="nil"/>
          <w:bottom w:val="nil"/>
          <w:right w:val="nil"/>
          <w:between w:val="nil"/>
          <w:bar w:val="nil"/>
        </w:pBdr>
        <w:spacing w:before="0" w:after="240"/>
        <w:rPr>
          <w:noProof/>
        </w:rPr>
      </w:pPr>
      <w:r>
        <w:rPr>
          <w:noProof/>
        </w:rPr>
        <w:t>Броят на лицата, пристигащи незаконно в Европейския съюз през гръцката външна граница, продължава да бъде нисък през периода, обхванат от препоръката от 7 февруари 2017 г., въпреки лекото увеличение през последните няколко седмици, което вероятно се дължи по-меките и по-благоприятни метеорологични условия. Осъществяваното в момента привеждане в действие и стабилното разгръщане на Европейската агенция за гранична и брегова охрана</w:t>
      </w:r>
      <w:r>
        <w:rPr>
          <w:rStyle w:val="FootnoteReference"/>
          <w:noProof/>
        </w:rPr>
        <w:footnoteReference w:id="8"/>
      </w:r>
      <w:r>
        <w:rPr>
          <w:noProof/>
        </w:rPr>
        <w:t xml:space="preserve"> заедно с продължаващото изпълнение на изявлението на ЕС и Турция от 18 март 2016 г. продължават да бъдат ключови стъпки в управлението на ситуацията.</w:t>
      </w:r>
    </w:p>
    <w:p>
      <w:pPr>
        <w:pBdr>
          <w:top w:val="nil"/>
          <w:left w:val="nil"/>
          <w:bottom w:val="nil"/>
          <w:right w:val="nil"/>
          <w:between w:val="nil"/>
          <w:bar w:val="nil"/>
        </w:pBdr>
        <w:spacing w:before="0" w:after="240"/>
        <w:rPr>
          <w:noProof/>
          <w:spacing w:val="-2"/>
        </w:rPr>
      </w:pPr>
      <w:r>
        <w:rPr>
          <w:noProof/>
          <w:spacing w:val="-2"/>
        </w:rPr>
        <w:t>При все това са необходими допълнителни усилия, за да се гарантира, че капацитетът за защита на външните граници на Съюза на Европейската агенция за гранична и брегова охрана е напълно изграден чрез допълването на инструментите, с които разполага Агенцията за провеждане на операции, по-специално ресурсите на задължителните резерви за бързо реагиране. Провежданият в момента процес на изготвяне на оценки на уязвимостта също трябва да приключи с отправянето на първи препоръки към съответните държави членки, които се очакват в края на май и в които приоритетно се посочват най-неотложните слабости, и с резултатите от първо симулационно учение, очаквани в края на октомври 2017 г. След одобрението на Съвета на мандата за преговори за сключването на споразумение за статуса с две съседни на ЕС държави, през април 2017 г. започнаха преговорите със Сърбия. ЕС очаква преговорите с бившата югославска република Македония да започнат възможно най-скоро.</w:t>
      </w:r>
    </w:p>
    <w:p>
      <w:pPr>
        <w:spacing w:after="240"/>
        <w:rPr>
          <w:noProof/>
          <w:szCs w:val="24"/>
        </w:rPr>
      </w:pPr>
      <w:r>
        <w:rPr>
          <w:noProof/>
        </w:rPr>
        <w:t>От 15 март 2017 г. насам постепенно се възстановява прилагането в Гърция на действащите правила от Дъблин. През идните месеци е необходимо да се положат допълнителни усилия на практика за изпълнението на препоръката на Комисията</w:t>
      </w:r>
      <w:r>
        <w:rPr>
          <w:rStyle w:val="FootnoteReference"/>
          <w:noProof/>
        </w:rPr>
        <w:footnoteReference w:id="9"/>
      </w:r>
      <w:r>
        <w:rPr>
          <w:noProof/>
        </w:rPr>
        <w:t xml:space="preserve">, за да се гарантира пълноценното участие на Гърция в системата от Дъблин, независимо от продължаващата работа за подобряване на тези правила. </w:t>
      </w:r>
    </w:p>
    <w:p>
      <w:pPr>
        <w:pBdr>
          <w:top w:val="nil"/>
          <w:left w:val="nil"/>
          <w:bottom w:val="nil"/>
          <w:right w:val="nil"/>
          <w:between w:val="nil"/>
          <w:bar w:val="nil"/>
        </w:pBdr>
        <w:spacing w:before="0" w:after="240"/>
        <w:rPr>
          <w:noProof/>
        </w:rPr>
      </w:pPr>
      <w:r>
        <w:rPr>
          <w:noProof/>
        </w:rPr>
        <w:t xml:space="preserve">Освен това в Гърция продължава да има значителен брой незаконни мигранти и лица, търсещи убежище (приблизително 60 000 души). „Горещите точки“ и лагерите в Гърция са все още пренаселени поради бавното обработване. напредъкът във връзка с преместването и връщането е все така недостатъчен за значителното намаляване на тези цифри и за облекчаването на натиска върху гръцките национални органи. През последните няколко седмици ситуацията по маршрута през Западните Балкани се стабилизира в някаква степен по отношение на движението; това обаче може също бързо да се промени при настъпването на по-меки метеорологични условия. Държавите членки по маршрута продължават да вземат мерки, целящи справянето с възможни извънредни миграционни потоци и изграждането на гранични огради. </w:t>
      </w:r>
    </w:p>
    <w:p>
      <w:pPr>
        <w:pBdr>
          <w:top w:val="nil"/>
          <w:left w:val="nil"/>
          <w:bottom w:val="nil"/>
          <w:right w:val="nil"/>
          <w:between w:val="nil"/>
          <w:bar w:val="nil"/>
        </w:pBdr>
        <w:spacing w:before="0" w:after="240"/>
        <w:rPr>
          <w:noProof/>
        </w:rPr>
      </w:pPr>
      <w:r>
        <w:rPr>
          <w:noProof/>
        </w:rPr>
        <w:t>Поради това ситуацията като цяло продължава да е нестабилна, а съответните държави членки продължават да бъдат изложени на риска, свързан с незаконните движения; необходими са допълнителни усилия за допълнитеното стабилизиране на ситуацията.</w:t>
      </w:r>
    </w:p>
    <w:p>
      <w:pPr>
        <w:pBdr>
          <w:top w:val="nil"/>
          <w:left w:val="nil"/>
          <w:bottom w:val="nil"/>
          <w:right w:val="nil"/>
          <w:between w:val="nil"/>
          <w:bar w:val="nil"/>
        </w:pBdr>
        <w:spacing w:before="0" w:after="240"/>
        <w:rPr>
          <w:noProof/>
          <w:u w:val="single"/>
        </w:rPr>
      </w:pPr>
      <w:r>
        <w:rPr>
          <w:noProof/>
          <w:u w:val="single"/>
        </w:rPr>
        <w:t>Следващи стъпки</w:t>
      </w:r>
    </w:p>
    <w:p>
      <w:pPr>
        <w:pBdr>
          <w:top w:val="nil"/>
          <w:left w:val="nil"/>
          <w:bottom w:val="nil"/>
          <w:right w:val="nil"/>
          <w:between w:val="nil"/>
          <w:bar w:val="nil"/>
        </w:pBdr>
        <w:spacing w:before="0" w:after="240"/>
        <w:rPr>
          <w:noProof/>
        </w:rPr>
      </w:pPr>
      <w:r>
        <w:rPr>
          <w:noProof/>
        </w:rPr>
        <w:t>Въпреки постиганият непрекъснат напредък, условията, заложени в Пътната карта „Завръщане към Шенгенската система“ с цел да се даде възможност за премахване на сегашните проверки по вътрешните граници, до момента не са изцяло изпълнени.</w:t>
      </w:r>
    </w:p>
    <w:p>
      <w:pPr>
        <w:pBdr>
          <w:top w:val="nil"/>
          <w:left w:val="nil"/>
          <w:bottom w:val="nil"/>
          <w:right w:val="nil"/>
          <w:between w:val="nil"/>
          <w:bar w:val="nil"/>
        </w:pBdr>
        <w:spacing w:before="0" w:after="240"/>
        <w:rPr>
          <w:noProof/>
          <w:spacing w:val="-2"/>
        </w:rPr>
      </w:pPr>
      <w:r>
        <w:rPr>
          <w:noProof/>
          <w:spacing w:val="-2"/>
        </w:rPr>
        <w:t>Както и през предишния период, броят на мигрантите, намиращи се в Гърция, все още може да е повод за загриженост и може да оправдае запазването на подходящи мерки. Положението по маршрута през Западните Балкани остава нестабилно, а държавите членки, които са най-силно засегнати от вторичните движения на незаконните мигранти, идващи от Гърция, продължават да бъдат изложени на риск от незаконни движения.</w:t>
      </w:r>
    </w:p>
    <w:p>
      <w:pPr>
        <w:pBdr>
          <w:top w:val="nil"/>
          <w:left w:val="nil"/>
          <w:bottom w:val="nil"/>
          <w:right w:val="nil"/>
          <w:between w:val="nil"/>
          <w:bar w:val="nil"/>
        </w:pBdr>
        <w:spacing w:before="0" w:after="240"/>
        <w:rPr>
          <w:noProof/>
        </w:rPr>
      </w:pPr>
      <w:r>
        <w:rPr>
          <w:noProof/>
        </w:rPr>
        <w:t xml:space="preserve">Освен това, както е посочено по-горе, разгръщането на Европейската агенция за гранична и брегова охрана изискваоще няколко месеца, за да може Агенцията да е в състояние да изгради изцяло капацитета си и да изпълнява ролята си по защита на външните граници на ЕС. </w:t>
      </w:r>
    </w:p>
    <w:p>
      <w:pPr>
        <w:pBdr>
          <w:top w:val="nil"/>
          <w:left w:val="nil"/>
          <w:bottom w:val="nil"/>
          <w:right w:val="nil"/>
          <w:between w:val="nil"/>
          <w:bar w:val="nil"/>
        </w:pBdr>
        <w:spacing w:before="0" w:after="240"/>
        <w:rPr>
          <w:noProof/>
        </w:rPr>
      </w:pPr>
      <w:r>
        <w:rPr>
          <w:noProof/>
        </w:rPr>
        <w:t>Наред с това, за да се спомогне за справянето с натрупаните молби за убежище в Гърция, преместването и връщането от Гърция и други държави членки трябва доста да се ускорят. Поради това Комисията настоятелно призовава държавите членки да изпълнят заложините цели във връзка с преместването до септември 2017 г., за да гарантират, че всички отговарящи на условията кандидати са преместени.</w:t>
      </w:r>
    </w:p>
    <w:p>
      <w:pPr>
        <w:pBdr>
          <w:top w:val="nil"/>
          <w:left w:val="nil"/>
          <w:bottom w:val="nil"/>
          <w:right w:val="nil"/>
          <w:between w:val="nil"/>
          <w:bar w:val="nil"/>
        </w:pBdr>
        <w:spacing w:before="0" w:after="240"/>
        <w:rPr>
          <w:noProof/>
        </w:rPr>
      </w:pPr>
      <w:r>
        <w:rPr>
          <w:noProof/>
        </w:rPr>
        <w:t xml:space="preserve">Тъй като всички горепосочени елементи сочат, че извънредните обстоятелства продължават да са налице, Комисията счита, че е оправдано да се даде възможност на Австрия, Германия, Дания, Швеция и Норвегия да удължат текущия граничен контрол на вътрешните граници като извънредна мярка за допълнителен пропорционален срок. </w:t>
      </w:r>
    </w:p>
    <w:p>
      <w:pPr>
        <w:pBdr>
          <w:top w:val="nil"/>
          <w:left w:val="nil"/>
          <w:bottom w:val="nil"/>
          <w:right w:val="nil"/>
          <w:between w:val="nil"/>
          <w:bar w:val="nil"/>
        </w:pBdr>
        <w:spacing w:before="0" w:after="240"/>
        <w:rPr>
          <w:noProof/>
        </w:rPr>
      </w:pPr>
      <w:r>
        <w:rPr>
          <w:noProof/>
        </w:rPr>
        <w:t>Тези държави членки от Шенгенското пространство следва да решат дали да удължат срока на граничния контрол по вътрешните граници, като имат предвид, че този контрол следва да се използва единствено като крайна мярка. С цел да предприеме ефективни последващи действия по ангажимента си да работи с тези държави от Шенгенското пространство за постепенното прекратяване на временния граничен контрол на вътрешните граници, като подобри други мерки, различни от граничния контрол, които могат да бъдат ефективно използвани за справяне с установените заплахи, успоредно с настоящата препоръка Комисията приема препоръка относно пропорционалните полицейски проверки и полицейското сътрудничество в Шенгенското пространство. В настоящия текст Комисията отправя препоръки как всички държави от Шенгенското пространство могат да упражняват в по-голяма степен и по-добре полицейските си правомощия на своя територия, в това число в граничната зона, и по основните европейски транспортни маршрути. С препоръката държавите от Шенгенското пространство се приканват също така към увеличаване на усилията за трансгранично полицейско сътрудничество и пропорционални полицейски проверки на национална територия, включително в граничната зона. В този контекст, като се има предвид, че е възможно държавите от Шенгенското пространство да трябва да предприемат оперативни мерки във връзка с ресурсите, преразпределението на задачите, придобиването на модерно в технологично отношение оборудване или просто да променят сегашната парадигма и практики, за да се адаптират към новите обстоятелства, за изпълнението ѝ е необходим разумен срок и Комисията препоръчва тя да бъде изпълнена възможно най-скоро и най-късно в срок от шест месеца.</w:t>
      </w:r>
    </w:p>
    <w:p>
      <w:pPr>
        <w:pBdr>
          <w:top w:val="nil"/>
          <w:left w:val="nil"/>
          <w:bottom w:val="nil"/>
          <w:right w:val="nil"/>
          <w:between w:val="nil"/>
          <w:bar w:val="nil"/>
        </w:pBdr>
        <w:spacing w:before="0" w:after="240"/>
        <w:rPr>
          <w:noProof/>
        </w:rPr>
      </w:pPr>
      <w:r>
        <w:rPr>
          <w:noProof/>
        </w:rPr>
        <w:t xml:space="preserve">До началото на изпълнението настоящата препоръка от съответните пет държави от Шенгенското пространство се очаква да преценяват преди всяко повторно въвеждане или запазване на временния контрол на вътрешните граници дали засилени полицейски проверки не биха отговорили на установените заплахи. </w:t>
      </w:r>
    </w:p>
    <w:p>
      <w:pPr>
        <w:pBdr>
          <w:top w:val="nil"/>
          <w:left w:val="nil"/>
          <w:bottom w:val="nil"/>
          <w:right w:val="nil"/>
          <w:between w:val="nil"/>
          <w:bar w:val="nil"/>
        </w:pBdr>
        <w:spacing w:before="0" w:after="240"/>
        <w:rPr>
          <w:noProof/>
        </w:rPr>
      </w:pPr>
      <w:r>
        <w:rPr>
          <w:noProof/>
        </w:rPr>
        <w:t>Въз основа на наличните на този етап фактически показатели, включително преценката за времето, необходимо за пълното разгръщане на Европейската агенция за гранична и брегова охрана, и за периода, необходим за изпълнението на препоръката относно пропорционалните полицейски проверки и полицейското сътрудничество в Шенгенското пространство, както и за предстоящите по-добри метеорологични условия, които могат да увеличат броя на незаконно пристигащите в ЕС лица и на последващите вторични движения, настоящото и последно</w:t>
      </w:r>
      <w:r>
        <w:rPr>
          <w:rStyle w:val="FootnoteReference"/>
          <w:noProof/>
        </w:rPr>
        <w:footnoteReference w:id="10"/>
      </w:r>
      <w:r>
        <w:rPr>
          <w:noProof/>
        </w:rPr>
        <w:t xml:space="preserve"> удължаване на срока на временния контрол на вътрешните граници, основаващо се на факта, че извънредните обстоятелства продължават да са налице, не следва да надвишава шест месеца. </w:t>
      </w:r>
    </w:p>
    <w:p>
      <w:pPr>
        <w:pBdr>
          <w:top w:val="nil"/>
          <w:left w:val="nil"/>
          <w:bottom w:val="nil"/>
          <w:right w:val="nil"/>
          <w:between w:val="nil"/>
          <w:bar w:val="nil"/>
        </w:pBdr>
        <w:spacing w:before="0" w:after="240"/>
        <w:rPr>
          <w:noProof/>
          <w:u w:val="single"/>
        </w:rPr>
      </w:pPr>
      <w:r>
        <w:rPr>
          <w:noProof/>
          <w:u w:val="single"/>
        </w:rPr>
        <w:t>Обхват на предложението</w:t>
      </w:r>
    </w:p>
    <w:p>
      <w:pPr>
        <w:pBdr>
          <w:top w:val="nil"/>
          <w:left w:val="nil"/>
          <w:bottom w:val="nil"/>
          <w:right w:val="nil"/>
          <w:between w:val="nil"/>
          <w:bar w:val="nil"/>
        </w:pBdr>
        <w:spacing w:before="0" w:after="240"/>
        <w:rPr>
          <w:rFonts w:eastAsia="Arial Unicode MS"/>
          <w:noProof/>
        </w:rPr>
      </w:pPr>
      <w:r>
        <w:rPr>
          <w:noProof/>
        </w:rPr>
        <w:t xml:space="preserve">На петте държави от Шенгенското пространство, които понастоящем извършват временен граничен контрол на вътрешните граници съгласно препоръката на Съвета от 7 февруари 2017 г., следва да се разреши да продължат да осъществяват този контрол в продължение на шест месеца при строги условия.  </w:t>
      </w:r>
    </w:p>
    <w:p>
      <w:pPr>
        <w:pBdr>
          <w:top w:val="nil"/>
          <w:left w:val="nil"/>
          <w:bottom w:val="nil"/>
          <w:right w:val="nil"/>
          <w:between w:val="nil"/>
          <w:bar w:val="nil"/>
        </w:pBdr>
        <w:spacing w:before="0" w:after="240"/>
        <w:rPr>
          <w:rFonts w:eastAsia="Arial Unicode MS"/>
          <w:noProof/>
        </w:rPr>
      </w:pPr>
      <w:r>
        <w:rPr>
          <w:noProof/>
        </w:rPr>
        <w:t>Като се има предвид постоянното стабилизиране на положението, както и целта да се продължи с постепенното прекратяване на временния граничен контрол на вътрешните граници, съответните държави от Шенгенското пространство първо следва да преценят дали на установените заплахи за обществения ред или вътрешната сигурност може адекватно да се отговори чрез засилване на полицейските проверки на тяхна територия, включително в граничните зони, както се посочва в препоръката на Комисията от 3 май 2017 г. относно пропорционалните полицейски проверки и полицейското сътрудничество в Шенгенското пространство, и да въведат повторно/да удължат срока на граничния контрол на вътрешните граници само като крайна мярка. Следва редовно да се разглежда възможността за използването на други мерки и използването на такива мерки следва да се предпочита като мярка, която засяга в по-малка степен свободното движение в Шенгенското пространство. Съответните държави от Шенгенското пространство следва да преценят кои са най-подходящите инструменти, включително полицейски проверки, и в своите нотификации до другите държави членки, Европейския парламент и Комисията да предоставят информация относно мотивите за решението да извършват граничен контрол като крайна мярка.</w:t>
      </w:r>
    </w:p>
    <w:p>
      <w:pPr>
        <w:pBdr>
          <w:top w:val="nil"/>
          <w:left w:val="nil"/>
          <w:bottom w:val="nil"/>
          <w:right w:val="nil"/>
          <w:between w:val="nil"/>
          <w:bar w:val="nil"/>
        </w:pBdr>
        <w:spacing w:before="0" w:after="240"/>
        <w:rPr>
          <w:rFonts w:eastAsia="Arial Unicode MS"/>
          <w:noProof/>
        </w:rPr>
      </w:pPr>
      <w:r>
        <w:rPr>
          <w:noProof/>
        </w:rPr>
        <w:t>Изискванията съгласно препоръката от 7 февруари 2017 г. относно ежеседмичния преглед от страна на съответните държави членки на необходимостта, честотата, мястото и времето на извършване на контрола, съобразяването на контрола с нивото на съответната заплаха и неговото преустановяване, при подходящи условия, остават в сила и в настоящата препоръка. Съответните държави от Шенгенското пространство следва също така да продължат да се консултират редовно с имащата(ите) отношение държава(и) членка(и), за да се гарантира, че граничният контрол на вътрешните граници се извършва само в тези участъци от вътрешните граници, където се счита за необходимо и пропорционално, в съответствие с Кодекса на шенгенските граници.</w:t>
      </w:r>
    </w:p>
    <w:p>
      <w:pPr>
        <w:pBdr>
          <w:top w:val="nil"/>
          <w:left w:val="nil"/>
          <w:bottom w:val="nil"/>
          <w:right w:val="nil"/>
          <w:between w:val="nil"/>
          <w:bar w:val="nil"/>
        </w:pBdr>
        <w:spacing w:before="0" w:after="240"/>
        <w:rPr>
          <w:rFonts w:eastAsia="Arial Unicode MS"/>
          <w:noProof/>
        </w:rPr>
      </w:pPr>
      <w:r>
        <w:rPr>
          <w:noProof/>
        </w:rPr>
        <w:t>Задължението за подробно докладване, въведено с препоръката от 7 февруари 2017 г., ще продължи да се прилага. След всеки месец от прилагането на настоящата препоръка съответните държави членки следва своевременно да докладват на Комисията и на Съвета за резултатите от осъществявания контрол и за оценката относно продължаващата необходимост от този контрол, когато е приложимо. Този доклад трябва да съдържа като минимум общия брой на проверените лица, общия брой на отказите за влизане, издадени в резултат на извършени проверки, общия брой на решенията за връщане, издадени въз основа на извършени проверки, и общия брой на молбите за убежище, получени на вътрешните граници, където се осъществяват проверките.</w:t>
      </w:r>
    </w:p>
    <w:p>
      <w:pPr>
        <w:pBdr>
          <w:top w:val="nil"/>
          <w:left w:val="nil"/>
          <w:bottom w:val="nil"/>
          <w:right w:val="nil"/>
          <w:between w:val="nil"/>
          <w:bar w:val="nil"/>
        </w:pBdr>
        <w:spacing w:before="0" w:after="240"/>
        <w:rPr>
          <w:noProof/>
        </w:rPr>
      </w:pPr>
      <w:r>
        <w:rPr>
          <w:noProof/>
        </w:rPr>
        <w:t>Комисията ще следи отблизо изпълнението на препоръката, както и ситуацията на място.</w:t>
      </w:r>
    </w:p>
    <w:p>
      <w:pPr>
        <w:pStyle w:val="Default"/>
        <w:spacing w:after="240"/>
        <w:jc w:val="both"/>
        <w:rPr>
          <w:noProof/>
        </w:rPr>
      </w:pPr>
      <w:r>
        <w:rPr>
          <w:noProof/>
        </w:rPr>
        <w:t xml:space="preserve">С оглед на постепенното прекратяване на временния граничен контрол на вътрешните граници Комисията ще наблюдава и ще отчита също и напредъка, постигнат от съответните държаави от Шенгенското пространство в изпълнението на препоръката относно пропорционалните полицейски проверки и полицейското сътрудничество в Шенгенското пространство.  </w:t>
      </w:r>
    </w:p>
    <w:p>
      <w:pPr>
        <w:pStyle w:val="ManualHeading2"/>
        <w:rPr>
          <w:rFonts w:eastAsia="Arial Unicode MS"/>
          <w:noProof/>
          <w:color w:val="000000"/>
          <w:spacing w:val="-6"/>
          <w:u w:color="000000"/>
          <w:bdr w:val="nil"/>
        </w:rPr>
      </w:pPr>
      <w:r>
        <w:rPr>
          <w:noProof/>
          <w:color w:val="000000"/>
          <w:spacing w:val="-6"/>
          <w:u w:color="000000"/>
          <w:bdr w:val="nil"/>
        </w:rPr>
        <w:t>•</w:t>
      </w:r>
      <w:r>
        <w:rPr>
          <w:noProof/>
          <w:spacing w:val="-6"/>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Настоящата препоръка има за цел прилагането на действащите разпоредби в тази област на политиката.</w:t>
      </w:r>
    </w:p>
    <w:p>
      <w:pPr>
        <w:pStyle w:val="ManualHeading2"/>
        <w:rPr>
          <w:rFonts w:eastAsia="Arial Unicode MS"/>
          <w:noProof/>
        </w:rPr>
      </w:pPr>
      <w:r>
        <w:rPr>
          <w:noProof/>
          <w:color w:val="000000"/>
          <w:u w:color="000000"/>
          <w:bdr w:val="nil"/>
        </w:rPr>
        <w:t>•</w:t>
      </w:r>
      <w:r>
        <w:rPr>
          <w:noProof/>
        </w:rPr>
        <w:tab/>
        <w:t>Съответствие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Настоящата препоръка е свързана с политиката на Съюза в областта на вътрешния пазар и в областта на миграцията и убежището.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40"/>
        <w:rPr>
          <w:noProof/>
        </w:rPr>
      </w:pPr>
      <w:r>
        <w:rPr>
          <w:noProof/>
        </w:rPr>
        <w:t>Член 29 от 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Член 29 от Регламент (ЕС) 2016/399 предвижда приемането от Съвета на препоръка за временен граничен контрол на вътрешните граници въз основа на предложение на Комисията.</w:t>
      </w:r>
    </w:p>
    <w:p>
      <w:pPr>
        <w:spacing w:before="0" w:after="240"/>
        <w:rPr>
          <w:rFonts w:eastAsia="Arial Unicode MS"/>
          <w:noProof/>
        </w:rPr>
      </w:pPr>
      <w:r>
        <w:rPr>
          <w:noProof/>
        </w:rPr>
        <w:t>Действията на равнището на Съюза са необходими, когато е застрашено цялостното функциониране на пространството без граничен контрол на вътрешните граници.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spacing w:val="-2"/>
        </w:rPr>
      </w:pPr>
      <w:r>
        <w:rPr>
          <w:noProof/>
          <w:spacing w:val="-2"/>
        </w:rPr>
        <w:t>Настоящото предложение не надхвърля необходимото за постигане на поставените цели.</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spacing w:val="-6"/>
          <w:u w:color="000000"/>
          <w:bdr w:val="nil"/>
        </w:rPr>
      </w:pPr>
      <w:r>
        <w:rPr>
          <w:noProof/>
          <w:spacing w:val="-6"/>
        </w:rPr>
        <w:t>•</w:t>
      </w:r>
      <w:r>
        <w:rPr>
          <w:noProof/>
          <w:spacing w:val="-6"/>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noProof/>
        </w:rPr>
      </w:pPr>
      <w:r>
        <w:rPr>
          <w:noProof/>
        </w:rPr>
        <w:t>Предвид неотложния характер на предложението не бе възможно да се проведе консултация със заинтересованите страни.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spacing w:before="0" w:after="240"/>
        <w:rPr>
          <w:noProof/>
        </w:rPr>
      </w:pPr>
      <w:r>
        <w:rPr>
          <w:noProof/>
        </w:rPr>
        <w:t>С оглед на предвидения ограничен срок и предвид данните, представени от съответните държави от Шенгенското пространство, и наличните данни относно положението в Гърция, не бе изготвена цялостна оценка въздействието.</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spacing w:val="-4"/>
        </w:rPr>
      </w:pPr>
      <w:r>
        <w:rPr>
          <w:noProof/>
          <w:spacing w:val="-4"/>
        </w:rPr>
        <w:t>При изготвянето на предложението беше взета под внимание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sz w:val="23"/>
        </w:rPr>
        <w:t>Предложената мярка няма отражение върху бюджета на ЕС.</w:t>
      </w:r>
    </w:p>
    <w:p>
      <w:pPr>
        <w:pStyle w:val="ManualHeading1"/>
        <w:rPr>
          <w:noProof/>
        </w:rPr>
      </w:pPr>
      <w:r>
        <w:rPr>
          <w:noProof/>
        </w:rPr>
        <w:t>5.</w:t>
      </w:r>
      <w:r>
        <w:rPr>
          <w:noProof/>
        </w:rPr>
        <w:tab/>
        <w:t>ДРУГИ ЕЛЕМЕНТИ</w:t>
      </w:r>
    </w:p>
    <w:p>
      <w:pPr>
        <w:pStyle w:val="ManualHeading2"/>
        <w:rPr>
          <w:noProof/>
        </w:rPr>
      </w:pPr>
      <w:r>
        <w:rPr>
          <w:b w:val="0"/>
          <w:noProof/>
          <w:u w:color="000000"/>
          <w:bdr w:val="nil"/>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относно препоръка за удължаване на срока на временния граничен контрол на вътрешните граници при извънредни обстоятелства, застрашаващи цялостното функциониране на Шенгенското пространство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w:t>
      </w:r>
      <w:r>
        <w:rPr>
          <w:rStyle w:val="FootnoteReference"/>
          <w:noProof/>
        </w:rPr>
        <w:footnoteReference w:id="11"/>
      </w:r>
      <w:r>
        <w:rPr>
          <w:noProof/>
        </w:rPr>
        <w:t>, и по-специално член 29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 xml:space="preserve">В съответствие с член 29 от Кодекса на шенгенските граници, по предложение на Комисията, Съветът прие на 12 май 2016 г. Решение за изпълнение относно препоръка за временен граничен контрол на вътрешните граници при извънредни обстоятелства, застрашаващи цялостното функциониране на Шенгенското пространство. </w:t>
      </w:r>
    </w:p>
    <w:p>
      <w:pPr>
        <w:pStyle w:val="ManualConsidrant"/>
        <w:rPr>
          <w:noProof/>
        </w:rPr>
      </w:pPr>
      <w:r>
        <w:rPr>
          <w:noProof/>
        </w:rPr>
        <w:t>(2)</w:t>
      </w:r>
      <w:r>
        <w:rPr>
          <w:noProof/>
        </w:rPr>
        <w:tab/>
        <w:t xml:space="preserve">Съветът препоръча на пет държави от Шенгенското пространство (Австрия, Германия, Дания, Швеция и Норвегия) да запазят пропорционалния временен граничен контрол на ограничен брой свои участъци от вътрешните граници за първоначален период от шест месеца в отговор на сериозната заплаха за обществения ред и вътрешната сигурност, породена в тези държави вследствие на недостатъци в контрола по външните граници в Гърция и последващите вторични движения на незаконни мигранти, които влизат през Гърция и се придвижват към други държави от Шенгенското пространство. Този период беше удължен на два пъти от Съвета по предложение на Комисията, съответно на 11 ноември 2016 г. и на 7 февруари 2017 г. за допълнителни периоди от по три месеца. </w:t>
      </w:r>
    </w:p>
    <w:p>
      <w:pPr>
        <w:pStyle w:val="ManualConsidrant"/>
        <w:rPr>
          <w:noProof/>
        </w:rPr>
      </w:pPr>
      <w:r>
        <w:rPr>
          <w:noProof/>
        </w:rPr>
        <w:t>(3)</w:t>
      </w:r>
      <w:r>
        <w:rPr>
          <w:noProof/>
        </w:rPr>
        <w:tab/>
        <w:t xml:space="preserve">Съгласно членове 25 и 29 от Кодекса на шенгенските граници първоначалният период, препоръчан от Съвета, може да бъде удължен допълнително, ако извънредните обстоятелства продължават да са налице. </w:t>
      </w:r>
    </w:p>
    <w:p>
      <w:pPr>
        <w:pStyle w:val="ManualConsidrant"/>
        <w:rPr>
          <w:noProof/>
        </w:rPr>
      </w:pPr>
      <w:r>
        <w:rPr>
          <w:noProof/>
        </w:rPr>
        <w:t>(4)</w:t>
      </w:r>
      <w:r>
        <w:rPr>
          <w:noProof/>
        </w:rPr>
        <w:tab/>
        <w:t>Съгласно препоръките от 11 ноември 2016 г. и 7 февруари 2017 г. съответните държави от Шенгенското пространство трябва да докладват ежемесечно на Комисията за резултатите от осъществявания контрол и за оценката относно продължаващата необходимост от този контрол, когато е приложимо. Комисията получи такива доклади от всички съответни държави от Шенгенското пространство. Информацията, която се съдържа в тези доклади, показва, че контролът продължава да се осъществява при условията, определени от препоръката. Тя потвърждава стабилизиране на положението в тези държави, що се отнася до броя на лицата, на които е отказано влизане, и броя на молбите за убежище, получени при осъществяването на контрол.</w:t>
      </w:r>
    </w:p>
    <w:p>
      <w:pPr>
        <w:pStyle w:val="ManualConsidrant"/>
        <w:rPr>
          <w:noProof/>
        </w:rPr>
      </w:pPr>
      <w:r>
        <w:rPr>
          <w:noProof/>
        </w:rPr>
        <w:t>(5)</w:t>
      </w:r>
      <w:r>
        <w:rPr>
          <w:noProof/>
        </w:rPr>
        <w:tab/>
        <w:t>При все това, въпреки този напредък, условията, заложени в Пътната карта „Завръщане към Шенгенската система“ с цел премахване на всякакъв граничен контрол на вътрешните граници и възстановяване на нормалното функциониране на Шенгенското пространство, все още не са изцяло изпълнени. В Гърция и по маршрута през Западните Балкани все още има значителен брой незаконни мигранти, част от които не са регистрирани. Продължава да е налице рискът от вторично движение на тези мигранти в рамките на Шенгенското пространство.</w:t>
      </w:r>
    </w:p>
    <w:p>
      <w:pPr>
        <w:pStyle w:val="ManualConsidrant"/>
        <w:rPr>
          <w:noProof/>
        </w:rPr>
      </w:pPr>
      <w:r>
        <w:rPr>
          <w:noProof/>
        </w:rPr>
        <w:t>(6)</w:t>
      </w:r>
      <w:r>
        <w:rPr>
          <w:noProof/>
        </w:rPr>
        <w:tab/>
        <w:t>В съобщението „Завръщане към Шенгенската система — пътна карта“ Комисията набеляза различните политики, които трябва да се въведат с цел възстановяване на напълно функциониращо Шенгенско пространство. Процесът на разгръщане на европейската гранична и брегова охрана е в ход При все това е необходим допълнителен принос от страна на държавите членки за допълването на нейните ресурси, за да може тя да изпълнява пълноценно ролята по защита на външните граници на Съюза. Все още няма изготвени препоръки след първите оценки на уязвимостта. Понастоящем са в ход преговорите по споразумението за статуса със Сърбия.</w:t>
      </w:r>
    </w:p>
    <w:p>
      <w:pPr>
        <w:pStyle w:val="ManualConsidrant"/>
        <w:rPr>
          <w:noProof/>
        </w:rPr>
      </w:pPr>
      <w:r>
        <w:rPr>
          <w:noProof/>
        </w:rPr>
        <w:t>(7)</w:t>
      </w:r>
      <w:r>
        <w:rPr>
          <w:noProof/>
        </w:rPr>
        <w:tab/>
        <w:t>След повече от една година продължават да са налице осезаеми резултати от прилагането на изявлението на ЕС и Турция от 18 март 2016 г., както беше потвърдено от петия доклад за напредъка</w:t>
      </w:r>
      <w:r>
        <w:rPr>
          <w:rStyle w:val="FootnoteReference"/>
          <w:noProof/>
        </w:rPr>
        <w:footnoteReference w:id="12"/>
      </w:r>
      <w:r>
        <w:rPr>
          <w:noProof/>
        </w:rPr>
        <w:t xml:space="preserve">. При все това броят на пристиганията продължава да надвишава броя на връщанията от Гърция в Турция, което води до допълнителен натиск върху гръцките острови. Трябва да продължи напредъкът по други елементи от изявлението. Ето защо изпълнението трябва да се следи непрекъснато. Същото се отнася и за ситуацията по маршрута през Западните Балкани, и за изпълнението на изявлението от срещата на лидерите на държавите по маршрута през Западните Балкани. </w:t>
      </w:r>
    </w:p>
    <w:p>
      <w:pPr>
        <w:pStyle w:val="ManualConsidrant"/>
        <w:rPr>
          <w:noProof/>
        </w:rPr>
      </w:pPr>
      <w:r>
        <w:rPr>
          <w:noProof/>
        </w:rPr>
        <w:t>(8)</w:t>
      </w:r>
      <w:r>
        <w:rPr>
          <w:noProof/>
        </w:rPr>
        <w:tab/>
        <w:t>Последиците от извънредните обстоятелства, представляващи сериозна заплаха за обществения ред и вътрешната сигурност и застрашаващи цялостното функциониране на Шенгенското пространство, продължават да са налице.</w:t>
      </w:r>
    </w:p>
    <w:p>
      <w:pPr>
        <w:pStyle w:val="ManualConsidrant"/>
        <w:rPr>
          <w:noProof/>
        </w:rPr>
      </w:pPr>
      <w:r>
        <w:rPr>
          <w:noProof/>
        </w:rPr>
        <w:t>(9)</w:t>
      </w:r>
      <w:r>
        <w:rPr>
          <w:noProof/>
        </w:rPr>
        <w:tab/>
        <w:t xml:space="preserve">С оглед на горепосочените факти изглежда оправдано като крайна мярка да се разреши допълнително и последно удължаване на срока на временния граничен контрол на съответните вътрешни граници за държавите от Шенгенското пространство, които понастоящем извършват такъв контрол, а именно Австрия, Германия, Дания, Швеция, както и асоциираната държава Норвегия, в съответствие с член 29 от Кодекса на шенгенските граници. </w:t>
      </w:r>
    </w:p>
    <w:p>
      <w:pPr>
        <w:pStyle w:val="ManualConsidrant"/>
        <w:rPr>
          <w:noProof/>
          <w:spacing w:val="4"/>
        </w:rPr>
      </w:pPr>
      <w:r>
        <w:rPr>
          <w:noProof/>
          <w:spacing w:val="4"/>
        </w:rPr>
        <w:t>(10)</w:t>
      </w:r>
      <w:r>
        <w:rPr>
          <w:noProof/>
          <w:spacing w:val="4"/>
        </w:rPr>
        <w:tab/>
        <w:t xml:space="preserve">Съветът отчита препоръката на Комисията относно пропорционалните полицейски проверки и полицейското сътрудничество в Шенгенското пространство като стъпка, която би допринесла също за постепенното прекратяване на временния граничен контрол на вътрешните граници и която има за цел премахването на всякакъв граничен контрол на вътрешните граници и възстановяването на нормалното функциониране на Шенгенското пространство във възможно най-кратък срок, като за адекватното справяне със сериозните заплахи за обществения ред или вътрешната сигурност се отдава предпочитание на извършването на полицейски проверки. Съветът отчита факта, че Комисията препоръчва всички държави от Шенгенското продстранство да изпълнят препоръчаните мерки възможно най-скоро и най-късно в срок от шест месеца. </w:t>
      </w:r>
    </w:p>
    <w:p>
      <w:pPr>
        <w:pStyle w:val="ManualConsidrant"/>
        <w:rPr>
          <w:noProof/>
        </w:rPr>
      </w:pPr>
      <w:r>
        <w:rPr>
          <w:noProof/>
        </w:rPr>
        <w:t>(11)</w:t>
      </w:r>
      <w:r>
        <w:rPr>
          <w:noProof/>
        </w:rPr>
        <w:tab/>
        <w:t>Въз основа на преценката за допълнителното време, което е необходимо за прилагането на предстоящите мерки, целящи осигуряване на адекватна защита на външните граници на ЕС и адекватна сигурност в рамките на Шенгенското пространство, това удължаване следва да не надвишава шест месеца от датата на приемане на настоящото решение за изпълнение.</w:t>
      </w:r>
    </w:p>
    <w:p>
      <w:pPr>
        <w:pStyle w:val="ManualConsidrant"/>
        <w:rPr>
          <w:noProof/>
        </w:rPr>
      </w:pPr>
      <w:r>
        <w:rPr>
          <w:noProof/>
        </w:rPr>
        <w:t>(12)</w:t>
      </w:r>
      <w:r>
        <w:rPr>
          <w:noProof/>
        </w:rPr>
        <w:tab/>
        <w:t>Държавите членки, които вземат решение да продължат да извършват контрол на вътрешните граници съгласно настоящото решение за изпълнение, следва да нотифицират останалите държави членки, Европейския парламент и Комисията за това.</w:t>
      </w:r>
    </w:p>
    <w:p>
      <w:pPr>
        <w:pStyle w:val="ManualConsidrant"/>
        <w:rPr>
          <w:noProof/>
        </w:rPr>
      </w:pPr>
      <w:r>
        <w:rPr>
          <w:noProof/>
        </w:rPr>
        <w:t>(13)</w:t>
      </w:r>
      <w:r>
        <w:rPr>
          <w:noProof/>
        </w:rPr>
        <w:tab/>
        <w:t>Преди да вземат решение да извършват такъв граничен контрол, съответните държави членки следва да преценят дали за ефективното премахване на установената заплаха не биха могли да се използват други мерки, които са различни от граничните проверки и които възпрепятстват в по-малка степен свободното движение на хора и стоки. В Препоръката на Комисията относно пропорционалните полицейски проверки и полицейското сътрудничество в Шенгенското пространство Комисията приканва държавите от Шенгенското пространство да упражняват своите полицейски правомощия на територията си по по-ефективен начин и да отдават предпочитание на полицейските проверки, включително в граничната зона и по основните транспортни маршрути. При все това, до началото на изпълнението на препоръката на Комисията, съответните държави от Шенгенското пространство следва в своите нотификации да предоставят информация относно резултата от преценката на най-подходящите инструменти и относно мотивите за решението да извършват граничен контрол като крайна мярка.</w:t>
      </w:r>
    </w:p>
    <w:p>
      <w:pPr>
        <w:pStyle w:val="ManualConsidrant"/>
        <w:rPr>
          <w:noProof/>
          <w:spacing w:val="6"/>
        </w:rPr>
      </w:pPr>
      <w:r>
        <w:rPr>
          <w:noProof/>
          <w:spacing w:val="6"/>
        </w:rPr>
        <w:t>(14)</w:t>
      </w:r>
      <w:r>
        <w:rPr>
          <w:noProof/>
          <w:spacing w:val="6"/>
        </w:rPr>
        <w:tab/>
        <w:t>Граничният контрол съгласно настоящото решение за изпълнение следва да продължи да се извършва само в необходимата степен, да бъде ограничен по интензивност до необходимия абсолютен минимум и да е съобразен с обстоятелствата. Следователно може да се предвиди, че всяко по-нататъшно намаляване на потока следва да доведе до преустановяване на контрола в съответните гранични участъци. Следва да се извършва само целеви контрол, основан на постоянно актуализиран анализ на риска и на разузнавателни данни, с цел оптимизиране на ползите от контрола и ограничаване на отрицателното му въздействие върху свободното движение. На държавите от Шенгенското пространство, засегнати от този контрол на съответните гранични участъци, следва да бъде предоставена възможност редовно да изразяват своите мнения относно необходимостта от него; държава от Шенгенското пространство, решила да въведе повторно такъв контрол, следва да вземе под внимание тези мнения, когато преценява и прави преглед на необходимостта от такива проверки, с цел постепенното им намаляване.</w:t>
      </w:r>
    </w:p>
    <w:p>
      <w:pPr>
        <w:pStyle w:val="ManualConsidrant"/>
        <w:rPr>
          <w:noProof/>
          <w:spacing w:val="4"/>
        </w:rPr>
      </w:pPr>
      <w:r>
        <w:rPr>
          <w:noProof/>
          <w:spacing w:val="4"/>
        </w:rPr>
        <w:t>(15)</w:t>
      </w:r>
      <w:r>
        <w:rPr>
          <w:noProof/>
          <w:spacing w:val="4"/>
        </w:rPr>
        <w:tab/>
        <w:t>В края на всеки месец от прилагането на настоящото решение за изпълнение на Комисията следва своевременно да се изпраща пълен доклад за резултатите от извършените проверки, заедно с оценка за продължаващата необходимост от тях, когато е приложимо. Този доклад следва да съдържа общия брой на проверените лица, общия брой на отказите за влизане, издадени в резултат на извършени проверки, общия брой на решенията за връщане, издадени въз основа на извършените проверки, и общия брой на молбите за убежище, получени на вътрешните граници, където се осъществяват проверките.</w:t>
      </w:r>
    </w:p>
    <w:p>
      <w:pPr>
        <w:pStyle w:val="ManualConsidrant"/>
        <w:rPr>
          <w:noProof/>
        </w:rPr>
      </w:pPr>
      <w:r>
        <w:rPr>
          <w:noProof/>
        </w:rPr>
        <w:t>(16)</w:t>
      </w:r>
      <w:r>
        <w:rPr>
          <w:noProof/>
        </w:rPr>
        <w:tab/>
        <w:t>Съветът отчита обявеното намерение на Комисията да следи отблизо прилагането на настоящото решение за изпълнение,</w:t>
      </w:r>
    </w:p>
    <w:p>
      <w:pPr>
        <w:pStyle w:val="ManualConsidrant"/>
        <w:rPr>
          <w:noProof/>
        </w:rPr>
      </w:pPr>
    </w:p>
    <w:p>
      <w:pPr>
        <w:pStyle w:val="Formuledadoption"/>
        <w:rPr>
          <w:noProof/>
        </w:rPr>
      </w:pPr>
      <w:r>
        <w:rPr>
          <w:noProof/>
        </w:rPr>
        <w:t xml:space="preserve">ПРЕПОРЪЧВА: </w:t>
      </w:r>
    </w:p>
    <w:p>
      <w:pPr>
        <w:pStyle w:val="ManualNumPar1"/>
        <w:rPr>
          <w:noProof/>
        </w:rPr>
      </w:pPr>
      <w:r>
        <w:rPr>
          <w:noProof/>
        </w:rPr>
        <w:t>1.</w:t>
      </w:r>
      <w:r>
        <w:rPr>
          <w:noProof/>
        </w:rPr>
        <w:tab/>
        <w:t>Австрия, Германия, Дания, Швеция и Норвегия да удължат срока на извършване на пропорционален временен граничен контрол с най-много шест месеца, считано от деня на приемането на настоящото решение за изпълнение, на следните вътрешни граници:</w:t>
      </w:r>
    </w:p>
    <w:p>
      <w:pPr>
        <w:pStyle w:val="Tiret1"/>
        <w:numPr>
          <w:ilvl w:val="0"/>
          <w:numId w:val="6"/>
        </w:numPr>
        <w:rPr>
          <w:noProof/>
        </w:rPr>
      </w:pPr>
      <w:r>
        <w:rPr>
          <w:noProof/>
        </w:rPr>
        <w:t>Австрия: на австрийско-унгарската сухопътна граница и австрийско-словенската сухопътна граница;</w:t>
      </w:r>
    </w:p>
    <w:p>
      <w:pPr>
        <w:pStyle w:val="Tiret1"/>
        <w:rPr>
          <w:noProof/>
        </w:rPr>
      </w:pPr>
      <w:r>
        <w:rPr>
          <w:noProof/>
        </w:rPr>
        <w:t>Германия: на германско-австрийската сухопътна граница;</w:t>
      </w:r>
    </w:p>
    <w:p>
      <w:pPr>
        <w:pStyle w:val="Tiret1"/>
        <w:rPr>
          <w:noProof/>
        </w:rPr>
      </w:pPr>
      <w:r>
        <w:rPr>
          <w:noProof/>
        </w:rPr>
        <w:t>Дания: в датските пристанища с фериботни връзки с Германия и на датско-германската сухопътна граница;</w:t>
      </w:r>
    </w:p>
    <w:p>
      <w:pPr>
        <w:pStyle w:val="Tiret1"/>
        <w:rPr>
          <w:noProof/>
          <w:spacing w:val="-6"/>
        </w:rPr>
      </w:pPr>
      <w:r>
        <w:rPr>
          <w:noProof/>
          <w:spacing w:val="-6"/>
        </w:rPr>
        <w:t>Швеция: в шведските пристанища на територията на полицейска дирекция „Юг“ и полицейска дирекция „Запад“, както и на Йоресундския мост;</w:t>
      </w:r>
    </w:p>
    <w:p>
      <w:pPr>
        <w:pStyle w:val="Tiret1"/>
        <w:rPr>
          <w:noProof/>
        </w:rPr>
      </w:pPr>
      <w:r>
        <w:rPr>
          <w:noProof/>
        </w:rPr>
        <w:t>Норвегия: в норвежките пристанища с фериботни връзки с Дания, Германия и Швеция.</w:t>
      </w:r>
    </w:p>
    <w:p>
      <w:pPr>
        <w:pStyle w:val="ManualNumPar1"/>
        <w:rPr>
          <w:noProof/>
          <w:spacing w:val="4"/>
        </w:rPr>
      </w:pPr>
      <w:r>
        <w:rPr>
          <w:noProof/>
          <w:spacing w:val="4"/>
        </w:rPr>
        <w:t>2.</w:t>
      </w:r>
      <w:r>
        <w:rPr>
          <w:noProof/>
          <w:spacing w:val="4"/>
        </w:rPr>
        <w:tab/>
        <w:t>Преди да вземат решение за допълнително удължаване на срока на този контрол въз основа на настоящата препоръка, посочените държави членки следва да обменят мнения с имащата(ите) отношение държава(и) членка(и), за да се гарантира, че контролът на вътрешните граници се извършва само когато това се счита за необходимо и пропорционално. Освен това посочените държави членки следва да гарантират, че контролът на вътрешните граници се извършва единствено като крайна мярка, когато същите резултати не могат да се постигнат с други алтернативни мерки, и само в онези участъци от вътрешните граници, където това се счита за необходимо и пропорционално, в съответствие с Кодекса на шенгенските граници. Когато води до същите резултати за сигурността, упражняването на полицейски правомощия следва да се предпочита като мярка, която засяга в по-малка степен свободното движение на лицата и стоките. Посочените държави членки следва да нотифицират останалите държави членки, Европейския парламент и Комисията за това.</w:t>
      </w:r>
    </w:p>
    <w:p>
      <w:pPr>
        <w:pStyle w:val="ManualNumPar1"/>
        <w:rPr>
          <w:noProof/>
        </w:rPr>
      </w:pPr>
      <w:r>
        <w:rPr>
          <w:noProof/>
        </w:rPr>
        <w:t>3.</w:t>
      </w:r>
      <w:r>
        <w:rPr>
          <w:noProof/>
        </w:rPr>
        <w:tab/>
        <w:t>Граничният контрол следва да продължи да бъде с целеви характер, да се основава на постоянно актуализиран анализ на риска и разузнавателни данни и да е с обхват, честота, място и време на извършване, ограничени до строго необходимото, за да се отговори на сериозната заплаха и да бъдат опазени общественият ред и националната сигурност. Държавата членка, която извършва контрол на вътрешните граници в съответствие с настоящото решение за изпълнение, следва ежеседмично да прави преглед на необходимостта, честотата, мястото и времето на извършване на контрола, да съобразява интензивността на контрола с нивото на съответната заплаха, като поетапно го преустановява при целесъобразност, и да докладва своевременно на Комисията и на Съвета всеки месец.</w:t>
      </w:r>
    </w:p>
    <w:p>
      <w:pPr>
        <w:pStyle w:val="Text1"/>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В хронологичен ред, Германия, Австрия, Словения, Унгария, Швеция, Норвегия, Дания.</w:t>
      </w:r>
    </w:p>
  </w:footnote>
  <w:footnote w:id="3">
    <w:p>
      <w:pPr>
        <w:pStyle w:val="FootnoteText"/>
        <w:rPr>
          <w:spacing w:val="-2"/>
        </w:rPr>
      </w:pPr>
      <w:r>
        <w:rPr>
          <w:rStyle w:val="FootnoteReference"/>
        </w:rPr>
        <w:footnoteRef/>
      </w:r>
      <w:r>
        <w:rPr>
          <w:spacing w:val="-2"/>
        </w:rPr>
        <w:tab/>
        <w:t>Решение за изпълнение (ЕС) 2016/894 на Съвета от 12 май 2016 г. относно препоръка за временен граничен контрол на вътрешните граници при извънредни обстоятелства, застрашаващи цялостното функциониране на Шенгенското пространство (ОВ L 151, 8.6.2016 г., стр.8—11).</w:t>
      </w:r>
    </w:p>
  </w:footnote>
  <w:footnote w:id="4">
    <w:p>
      <w:pPr>
        <w:pStyle w:val="FootnoteText"/>
      </w:pPr>
      <w:r>
        <w:rPr>
          <w:rStyle w:val="FootnoteReference"/>
        </w:rPr>
        <w:footnoteRef/>
      </w:r>
      <w:r>
        <w:tab/>
        <w:t>Предложение на Комисията за Решение за изпълнение на Съвета с препоръка за временен граничен контрол на вътрешните граници при извънредни обстоятелства, застрашаващи цялостното функциониране на Шенгенското пространство (COM(2016) 275 final) от 4.5.2016 г.</w:t>
      </w:r>
    </w:p>
  </w:footnote>
  <w:footnote w:id="5">
    <w:p>
      <w:pPr>
        <w:pStyle w:val="FootnoteText"/>
      </w:pPr>
      <w:r>
        <w:rPr>
          <w:rStyle w:val="FootnoteReference"/>
        </w:rPr>
        <w:footnoteRef/>
      </w:r>
      <w:r>
        <w:tab/>
        <w:t>Съобщение на Комисията до Европейския парламент, Европейския съвет и Съвета „Завръщане към Шенгенската система — пътна карта“ (COM(2016) 120 final) от 4.3.2016 г.</w:t>
      </w:r>
    </w:p>
  </w:footnote>
  <w:footnote w:id="6">
    <w:p>
      <w:pPr>
        <w:pStyle w:val="FootnoteText"/>
      </w:pPr>
      <w:r>
        <w:rPr>
          <w:rStyle w:val="FootnoteReference"/>
        </w:rPr>
        <w:footnoteRef/>
      </w:r>
      <w:r>
        <w:tab/>
        <w:t>Решение за изпълнение (ЕС) 2016/1989 на Съвета от 11 ноември 2016 г. относно препоръка за удължаване на срока на временния граничен контрол на вътрешните граници при извънредни обстоятелства, застрашаващи цялостното функциониране на Шенгенското пространство (ОВ L 306, 15.11.2016 г., стр. 13—15) и Решение за изпълнение (ЕС) 2017/246 на Съвета от 7 февруари 2017 г. относно препоръка за удължаване на срока на временния граничен контрол на вътрешните граници при извънредни обстоятелства, застрашаващи цялостното функциониране на Шенгенското пространство (OJ L36, 11.2.2017 г., стр.59—61).</w:t>
      </w:r>
    </w:p>
  </w:footnote>
  <w:footnote w:id="7">
    <w:p>
      <w:pPr>
        <w:pStyle w:val="FootnoteText"/>
      </w:pPr>
      <w:r>
        <w:rPr>
          <w:rStyle w:val="FootnoteReference"/>
        </w:rPr>
        <w:footnoteRef/>
      </w:r>
      <w:r>
        <w:tab/>
        <w:t>Съобщение на Комисията до Европейския парламент, Европейския съвет и Съвета, „Миграцията по маршрута през Централното Средиземноморие. Управление на потоците, спасяване на човешки живот“, JOIN(2017) 4 final от 25 януари 2017 г.</w:t>
      </w:r>
    </w:p>
  </w:footnote>
  <w:footnote w:id="8">
    <w:p>
      <w:pPr>
        <w:pStyle w:val="FootnoteText"/>
        <w:rPr>
          <w:spacing w:val="-6"/>
        </w:rPr>
      </w:pPr>
      <w:r>
        <w:rPr>
          <w:rStyle w:val="FootnoteReference"/>
        </w:rPr>
        <w:footnoteRef/>
      </w:r>
      <w:r>
        <w:rPr>
          <w:spacing w:val="-6"/>
        </w:rPr>
        <w:tab/>
        <w:t xml:space="preserve">Вж. Трети доклад на Комисията до Европейския парламент и до Съвета относно привеждането в действие на Европейската агенция за гранична и брегова охрана (COM(2017) 219 final от 3 май 2017 г.). </w:t>
      </w:r>
    </w:p>
  </w:footnote>
  <w:footnote w:id="9">
    <w:p>
      <w:pPr>
        <w:pStyle w:val="FootnoteText"/>
      </w:pPr>
      <w:r>
        <w:rPr>
          <w:rStyle w:val="FootnoteReference"/>
        </w:rPr>
        <w:footnoteRef/>
      </w:r>
      <w:r>
        <w:tab/>
        <w:t>Препоръка на Комисията от 8.12.2016 г. до държавите членки относно възобновяването на прехвърлянията към Гърция по силата на Регламент (ЕС) № 604/2013, (COM (2016) 8525 final).</w:t>
      </w:r>
    </w:p>
  </w:footnote>
  <w:footnote w:id="10">
    <w:p>
      <w:pPr>
        <w:pStyle w:val="FootnoteText"/>
        <w:rPr>
          <w:lang w:val="sk-SK"/>
        </w:rPr>
      </w:pPr>
      <w:r>
        <w:rPr>
          <w:rStyle w:val="FootnoteReference"/>
        </w:rPr>
        <w:footnoteRef/>
      </w:r>
      <w:r>
        <w:tab/>
        <w:t>Вж. член 29, параграф 1 от Кодекса на шенгенските граници, в който се предвижда, че първоначалният период, за който е въведен контролът на външните граници, може да бъде удължаван не повече от три пъти.</w:t>
      </w:r>
    </w:p>
    <w:p>
      <w:pPr>
        <w:pStyle w:val="FootnoteText"/>
        <w:rPr>
          <w:lang w:val="sk-SK"/>
        </w:rPr>
      </w:pPr>
    </w:p>
  </w:footnote>
  <w:footnote w:id="11">
    <w:p>
      <w:pPr>
        <w:pStyle w:val="FootnoteText"/>
      </w:pPr>
      <w:r>
        <w:rPr>
          <w:rStyle w:val="FootnoteReference"/>
        </w:rPr>
        <w:footnoteRef/>
      </w:r>
      <w:r>
        <w:tab/>
        <w:t>ОВ L 77, 23.3.2016 г., стр. 1.</w:t>
      </w:r>
    </w:p>
  </w:footnote>
  <w:footnote w:id="12">
    <w:p>
      <w:pPr>
        <w:pStyle w:val="FootnoteText"/>
        <w:rPr>
          <w:spacing w:val="-6"/>
        </w:rPr>
      </w:pPr>
      <w:r>
        <w:rPr>
          <w:rStyle w:val="FootnoteReference"/>
        </w:rPr>
        <w:footnoteRef/>
      </w:r>
      <w:r>
        <w:rPr>
          <w:spacing w:val="-6"/>
        </w:rPr>
        <w:tab/>
        <w:t>Съобщение на Комисията до Европейския парламент, Европейския съвет и Съвета относно напредъка, постигнат в изпълнението на Изявлението на ЕС и Турция (COM(2017) 204 final) от 2 март 2017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9039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43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42C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27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3EC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A7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7E280E"/>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E1C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2"/>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Ceuster">
    <w15:presenceInfo w15:providerId="Windows Live" w15:userId="4152f0b723d41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3 09:57: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0442A130A3D4EEDBA0856EFBC0D853F"/>
    <w:docVar w:name="LW_CROSSREFERENCE" w:val="&lt;UNUSED&gt;"/>
    <w:docVar w:name="LW_DocType" w:val="COM"/>
    <w:docVar w:name="LW_EMISSION" w:val="2.5.2017"/>
    <w:docVar w:name="LW_EMISSION_ISODATE" w:val="2017-05-02"/>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MARKING" w:val="Limité cabinets           Embargo jusqu'à l'adoption"/>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5"/>
    <w:docVar w:name="LW_REF.II.NEW.CP_YEAR" w:val="2017"/>
    <w:docVar w:name="LW_REF.INST.NEW" w:val="COM"/>
    <w:docVar w:name="LW_REF.INST.NEW_ADOPTED" w:val="final"/>
    <w:docVar w:name="LW_REF.INST.NEW_TEXT" w:val="(2017) 22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8?\u1077?\u1087?\u1086?\u1088?\u1098?\u1082?\u1072? \u1079?\u1072? \u1091?\u1076?\u1098?\u1083?\u1078?\u1072?\u1074?\u1072?\u1085?\u1077? \u1085?\u1072? \u1089?\u1088?\u1086?\u1082?\u1072? \u1085?\u1072? \u1074?\u1088?\u1077?\u1084?\u1077?\u1085?\u1085?\u1080?\u1103? \u1075?\u1088?\u1072?\u1085?\u1080?\u1095?\u1077?\u1085? \u1082?\u1086?\u1085?\u1090?\u1088?\u1086?\u1083? \u1085?\u1072? \u1074?\u1098?\u1090?\u1088?\u1077?\u1096?\u1085?\u1080?\u1090?\u1077? \u1075?\u1088?\u1072?\u1085?\u1080?\u1094?\u1080? \u1087?\u1088?\u1080? \u1080?\u1079?\u1074?\u1098?\u1085?\u1088?\u1077?\u1076?\u1085?\u1080? \u1086?\u1073?\u1089?\u1090?\u1086?\u1103?\u1090?\u1077?\u1083?\u1089?\u1090?\u1074?\u1072?, \u1079?\u1072?\u1089?\u1090?\u1088?\u1072?\u1096?\u1072?\u1074?\u1072?\u1097?\u1080? \u1094?\u1103?\u1083?\u1086?\u1089?\u1090?\u1085?\u1086?\u1090?\u1086? \u1092?\u1091?\u1085?\u1082?\u1094?\u1080?\u1086?\u1085?\u1080?\u1088?\u1072?\u1085?\u1077? \u1085?\u1072? \u1064?\u1077?\u1085?\u1075?\u1077?\u1085?\u1089?\u1082?\u1086?\u1090?\u1086? \u1087?\u1088?\u1086?\u1089?\u1090?\u1088?\u1072?\u1085?\u1089?\u1090?\u1074?\u1086?"/>
    <w:docVar w:name="LW_TYPE.DOC.CP" w:val="\u1056?\u1045?\u1064?\u1045?\u1053?\u1048?\u1045? \u1047?\u1040? \u1048?\u1047?\u1055?\u1066?\u1051?\u1053?\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106">
      <w:bodyDiv w:val="1"/>
      <w:marLeft w:val="0"/>
      <w:marRight w:val="0"/>
      <w:marTop w:val="0"/>
      <w:marBottom w:val="0"/>
      <w:divBdr>
        <w:top w:val="none" w:sz="0" w:space="0" w:color="auto"/>
        <w:left w:val="none" w:sz="0" w:space="0" w:color="auto"/>
        <w:bottom w:val="none" w:sz="0" w:space="0" w:color="auto"/>
        <w:right w:val="none" w:sz="0" w:space="0" w:color="auto"/>
      </w:divBdr>
      <w:divsChild>
        <w:div w:id="1623153674">
          <w:marLeft w:val="0"/>
          <w:marRight w:val="0"/>
          <w:marTop w:val="0"/>
          <w:marBottom w:val="0"/>
          <w:divBdr>
            <w:top w:val="none" w:sz="0" w:space="0" w:color="auto"/>
            <w:left w:val="none" w:sz="0" w:space="0" w:color="auto"/>
            <w:bottom w:val="none" w:sz="0" w:space="0" w:color="auto"/>
            <w:right w:val="none" w:sz="0" w:space="0" w:color="auto"/>
          </w:divBdr>
        </w:div>
      </w:divsChild>
    </w:div>
    <w:div w:id="517431134">
      <w:bodyDiv w:val="1"/>
      <w:marLeft w:val="0"/>
      <w:marRight w:val="0"/>
      <w:marTop w:val="0"/>
      <w:marBottom w:val="0"/>
      <w:divBdr>
        <w:top w:val="none" w:sz="0" w:space="0" w:color="auto"/>
        <w:left w:val="none" w:sz="0" w:space="0" w:color="auto"/>
        <w:bottom w:val="none" w:sz="0" w:space="0" w:color="auto"/>
        <w:right w:val="none" w:sz="0" w:space="0" w:color="auto"/>
      </w:divBdr>
    </w:div>
    <w:div w:id="10521920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08">
          <w:marLeft w:val="0"/>
          <w:marRight w:val="0"/>
          <w:marTop w:val="0"/>
          <w:marBottom w:val="0"/>
          <w:divBdr>
            <w:top w:val="none" w:sz="0" w:space="0" w:color="auto"/>
            <w:left w:val="none" w:sz="0" w:space="0" w:color="auto"/>
            <w:bottom w:val="none" w:sz="0" w:space="0" w:color="auto"/>
            <w:right w:val="none" w:sz="0" w:space="0" w:color="auto"/>
          </w:divBdr>
        </w:div>
      </w:divsChild>
    </w:div>
    <w:div w:id="1186016958">
      <w:bodyDiv w:val="1"/>
      <w:marLeft w:val="0"/>
      <w:marRight w:val="0"/>
      <w:marTop w:val="0"/>
      <w:marBottom w:val="0"/>
      <w:divBdr>
        <w:top w:val="none" w:sz="0" w:space="0" w:color="auto"/>
        <w:left w:val="none" w:sz="0" w:space="0" w:color="auto"/>
        <w:bottom w:val="none" w:sz="0" w:space="0" w:color="auto"/>
        <w:right w:val="none" w:sz="0" w:space="0" w:color="auto"/>
      </w:divBdr>
      <w:divsChild>
        <w:div w:id="136265217">
          <w:marLeft w:val="0"/>
          <w:marRight w:val="0"/>
          <w:marTop w:val="0"/>
          <w:marBottom w:val="0"/>
          <w:divBdr>
            <w:top w:val="none" w:sz="0" w:space="0" w:color="auto"/>
            <w:left w:val="none" w:sz="0" w:space="0" w:color="auto"/>
            <w:bottom w:val="none" w:sz="0" w:space="0" w:color="auto"/>
            <w:right w:val="none" w:sz="0" w:space="0" w:color="auto"/>
          </w:divBdr>
        </w:div>
      </w:divsChild>
    </w:div>
    <w:div w:id="17507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1917-A8AF-4E49-899A-0FD21A87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4304</Words>
  <Characters>26215</Characters>
  <Application>Microsoft Office Word</Application>
  <DocSecurity>0</DocSecurity>
  <Lines>459</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2017-04-27T12:46:00Z</cp:lastPrinted>
  <dcterms:created xsi:type="dcterms:W3CDTF">2017-05-02T15:51:00Z</dcterms:created>
  <dcterms:modified xsi:type="dcterms:W3CDTF">2017-05-03T07:57:00Z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