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CF" w:rsidRDefault="00E40B18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83F8D5D99F84D6BB895EA3CE2C7DE03" style="width:450pt;height:452.25pt">
            <v:imagedata r:id="rId8" o:title=""/>
          </v:shape>
        </w:pict>
      </w:r>
    </w:p>
    <w:p w:rsidR="003B09CF" w:rsidRDefault="003B09CF">
      <w:pPr>
        <w:rPr>
          <w:noProof/>
        </w:rPr>
        <w:sectPr w:rsidR="003B09CF"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3B09CF" w:rsidRDefault="00E40B18">
      <w:pPr>
        <w:pStyle w:val="Typedudocument"/>
        <w:rPr>
          <w:noProof/>
        </w:rPr>
      </w:pPr>
      <w:r>
        <w:rPr>
          <w:noProof/>
        </w:rPr>
        <w:lastRenderedPageBreak/>
        <w:t>ANNEX</w:t>
      </w:r>
    </w:p>
    <w:p w:rsidR="003B09CF" w:rsidRDefault="00E40B18">
      <w:pPr>
        <w:rPr>
          <w:noProof/>
        </w:rPr>
      </w:pPr>
      <w:bookmarkStart w:id="0" w:name="_GoBack"/>
      <w:bookmarkEnd w:id="0"/>
      <w:r>
        <w:rPr>
          <w:noProof/>
        </w:rPr>
        <w:t>Annex I is amended as follows:</w:t>
      </w:r>
    </w:p>
    <w:p w:rsidR="003B09CF" w:rsidRDefault="003B09CF">
      <w:pPr>
        <w:rPr>
          <w:noProof/>
        </w:rPr>
      </w:pPr>
    </w:p>
    <w:p w:rsidR="003B09CF" w:rsidRDefault="00E40B18">
      <w:pPr>
        <w:pStyle w:val="Point0number"/>
        <w:numPr>
          <w:ilvl w:val="0"/>
          <w:numId w:val="23"/>
        </w:numPr>
        <w:rPr>
          <w:noProof/>
        </w:rPr>
      </w:pPr>
      <w:r>
        <w:rPr>
          <w:noProof/>
        </w:rPr>
        <w:t>In Section I, the following points (i), (j) and (k) are added:</w:t>
      </w:r>
    </w:p>
    <w:p w:rsidR="003B09CF" w:rsidRDefault="00E40B18">
      <w:pPr>
        <w:rPr>
          <w:noProof/>
        </w:rPr>
      </w:pPr>
      <w:r>
        <w:rPr>
          <w:noProof/>
        </w:rPr>
        <w:t>“(i)</w:t>
      </w:r>
      <w:r>
        <w:rPr>
          <w:noProof/>
        </w:rPr>
        <w:tab/>
        <w:t>a trade repository infringes Article 78(9)(a) by not establishing adequate pro</w:t>
      </w:r>
      <w:r>
        <w:rPr>
          <w:noProof/>
        </w:rPr>
        <w:t>cedures for the reconciliation of data between trade repositories;</w:t>
      </w:r>
    </w:p>
    <w:p w:rsidR="003B09CF" w:rsidRDefault="00E40B18">
      <w:pPr>
        <w:rPr>
          <w:noProof/>
        </w:rPr>
      </w:pPr>
      <w:r>
        <w:rPr>
          <w:noProof/>
        </w:rPr>
        <w:t>(j)</w:t>
      </w:r>
      <w:r>
        <w:rPr>
          <w:noProof/>
        </w:rPr>
        <w:tab/>
        <w:t>a trade repository infringes Article 78(9)(b) by not establishing adequate procedures to ensure the completeness and accuracy of the reported data;</w:t>
      </w:r>
    </w:p>
    <w:p w:rsidR="003B09CF" w:rsidRDefault="00E40B18">
      <w:pPr>
        <w:rPr>
          <w:noProof/>
        </w:rPr>
      </w:pPr>
      <w:r>
        <w:rPr>
          <w:noProof/>
        </w:rPr>
        <w:t>(k)</w:t>
      </w:r>
      <w:r>
        <w:rPr>
          <w:noProof/>
        </w:rPr>
        <w:tab/>
        <w:t>a trade repository infringes Arti</w:t>
      </w:r>
      <w:r>
        <w:rPr>
          <w:noProof/>
        </w:rPr>
        <w:t>cle 78(9)(c) by not establishing adequate policies for the orderly transfer of data to other trade repositories where requested by the counterparties and CCPs referred to in Article 9 or where otherwise necessary.”;</w:t>
      </w:r>
    </w:p>
    <w:p w:rsidR="003B09CF" w:rsidRDefault="00E40B18">
      <w:pPr>
        <w:pStyle w:val="Point0number"/>
        <w:rPr>
          <w:noProof/>
        </w:rPr>
      </w:pPr>
      <w:r>
        <w:rPr>
          <w:noProof/>
        </w:rPr>
        <w:t xml:space="preserve">In Section IV, the following point (d) </w:t>
      </w:r>
      <w:r>
        <w:rPr>
          <w:noProof/>
        </w:rPr>
        <w:t>is inserted:</w:t>
      </w:r>
    </w:p>
    <w:p w:rsidR="003B09CF" w:rsidRDefault="00E40B18">
      <w:pPr>
        <w:rPr>
          <w:noProof/>
        </w:rPr>
      </w:pPr>
      <w:r>
        <w:rPr>
          <w:noProof/>
        </w:rPr>
        <w:t>“(d)</w:t>
      </w:r>
      <w:r>
        <w:rPr>
          <w:noProof/>
        </w:rPr>
        <w:tab/>
        <w:t>a trade repository infringes Article 55(4) by not notifying ESMA in due time of material changes to the conditions for its registration.”.</w:t>
      </w:r>
    </w:p>
    <w:p w:rsidR="003B09CF" w:rsidRDefault="003B09CF">
      <w:pPr>
        <w:rPr>
          <w:noProof/>
        </w:rPr>
      </w:pPr>
    </w:p>
    <w:sectPr w:rsidR="003B09CF">
      <w:footerReference w:type="default" r:id="rId10"/>
      <w:footerReference w:type="first" r:id="rId11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B18" w:rsidRDefault="00E40B18">
      <w:pPr>
        <w:spacing w:before="0" w:after="0"/>
      </w:pPr>
      <w:r>
        <w:separator/>
      </w:r>
    </w:p>
  </w:endnote>
  <w:endnote w:type="continuationSeparator" w:id="0">
    <w:p w:rsidR="00E40B18" w:rsidRDefault="00E40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CF" w:rsidRDefault="00E40B18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proofErr w:type="spellStart"/>
    <w:r>
      <w:rPr>
        <w:rFonts w:ascii="Arial" w:hAnsi="Arial" w:cs="Arial"/>
        <w:b/>
        <w:sz w:val="48"/>
      </w:rPr>
      <w:t>EN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CF" w:rsidRDefault="00E40B18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3D1EAF">
      <w:rPr>
        <w:noProof/>
      </w:rPr>
      <w:t>2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CF" w:rsidRDefault="003B09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B18" w:rsidRDefault="00E40B18">
      <w:pPr>
        <w:spacing w:before="0" w:after="0"/>
      </w:pPr>
      <w:r>
        <w:separator/>
      </w:r>
    </w:p>
  </w:footnote>
  <w:footnote w:type="continuationSeparator" w:id="0">
    <w:p w:rsidR="00E40B18" w:rsidRDefault="00E40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C88B4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01A68B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132EC5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C12E6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C821B3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95898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6205F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6143E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4-24 10:55:1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.CP" w:val="to the Proposal for a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583F8D5D99F84D6BB895EA3CE2C7DE03"/>
    <w:docVar w:name="LW_CROSSREFERENCE" w:val="{SWD(2017) 148 final}_x000b_{SWD(2017) 149 final}"/>
    <w:docVar w:name="LW_DocType" w:val="ANNEX"/>
    <w:docVar w:name="LW_EMISSION" w:val="4.5.2017"/>
    <w:docVar w:name="LW_EMISSION_ISODATE" w:val="2017-05-04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amending Regulation (EU) No 648/2012 as regards the clearing obligation, the suspension of the clearing obligation, the reporting requirements, the risk mitigation techniques for OTC derivatives contracts not cleared by a central counterparty, the registration and supervision of trade repositories and the requirements for trade repositories"/>
    <w:docVar w:name="LW_PART_NBR" w:val="1"/>
    <w:docVar w:name="LW_PART_NBR_TOTAL" w:val="1"/>
    <w:docVar w:name="LW_REF.INST.NEW" w:val="COM"/>
    <w:docVar w:name="LW_REF.INST.NEW_ADOPTED" w:val="final"/>
    <w:docVar w:name="LW_REF.INST.NEW_TEXT" w:val="(2017) 208"/>
    <w:docVar w:name="LW_REF.INTERNE" w:val="&lt;UNUSED&gt;"/>
    <w:docVar w:name="LW_SUPERTITRE" w:val="&lt;UNUSED&gt;"/>
    <w:docVar w:name="LW_TITRE.OBJ.CP" w:val="&lt;UNUSED&gt;"/>
    <w:docVar w:name="LW_TYPE.DOC.CP" w:val="ANNEX"/>
    <w:docVar w:name="LW_TYPEACTEPRINCIPAL.CP" w:val="REGULATION OF THE EUROPEAN PARLIAMENT AND OF THE COUNCIL"/>
  </w:docVars>
  <w:rsids>
    <w:rsidRoot w:val="003B09CF"/>
    <w:rsid w:val="003B09CF"/>
    <w:rsid w:val="003D1EAF"/>
    <w:rsid w:val="00E4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130</Words>
  <Characters>726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DUBUSSE Christine (MARKT)</dc:creator>
  <cp:lastModifiedBy>LAGES CARVALHO Patrick (SG)</cp:lastModifiedBy>
  <cp:revision>9</cp:revision>
  <cp:lastPrinted>2017-04-28T16:23:00Z</cp:lastPrinted>
  <dcterms:created xsi:type="dcterms:W3CDTF">2017-04-28T16:23:00Z</dcterms:created>
  <dcterms:modified xsi:type="dcterms:W3CDTF">2017-05-03T07:21:00Z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