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E499DFE22724C61A280412BE670D088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bookmarkStart w:id="0" w:name="_GoBack"/>
      <w:bookmarkEnd w:id="0"/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Държавите членки, действащи съвместно в интерес на Съюза, подкрепят на 7-ма стъпка единствено следните проекторезолюции, които подлежат на евентуално бъдещо преразглеждане предвид ново развитие, относно енологичните практики, спецификациите за чистота и идентичност на веществата, използвани при енологичните практики, и методите на анализ за определяне на състава на продуктите от лозаро-винарския сектор.</w:t>
      </w:r>
    </w:p>
    <w:p>
      <w:pPr>
        <w:rPr>
          <w:noProof/>
        </w:rPr>
      </w:pPr>
      <w:r>
        <w:rPr>
          <w:noProof/>
        </w:rPr>
        <w:t>OENO-TECHNO 13-532 — Третиране на мъст чрез използване на инактивирани дрожди с гарантирано ниво на глутатион</w:t>
      </w:r>
    </w:p>
    <w:p>
      <w:pPr>
        <w:rPr>
          <w:noProof/>
        </w:rPr>
      </w:pPr>
      <w:r>
        <w:rPr>
          <w:noProof/>
        </w:rPr>
        <w:t>OENO-TECHNO 13-533 — Третиране на вина чрез използване на инактивирани дрожди с гарантирано ниво на глутатион</w:t>
      </w:r>
    </w:p>
    <w:p>
      <w:pPr>
        <w:rPr>
          <w:i/>
          <w:noProof/>
        </w:rPr>
      </w:pPr>
      <w:r>
        <w:rPr>
          <w:noProof/>
        </w:rPr>
        <w:t xml:space="preserve">OENO-TECHNO 14-567B — Разграничение между добавки и технологични спомагателни вещества – част 2, при следното изменение: гроздовата захар да се заличи от резолюцията. </w:t>
      </w:r>
    </w:p>
    <w:p>
      <w:pPr>
        <w:rPr>
          <w:noProof/>
        </w:rPr>
      </w:pPr>
      <w:r>
        <w:rPr>
          <w:noProof/>
        </w:rPr>
        <w:t>OENO-TECHNO 15-580 — Третиране на мъст с калиев карбонат</w:t>
      </w:r>
    </w:p>
    <w:p>
      <w:pPr>
        <w:rPr>
          <w:noProof/>
        </w:rPr>
      </w:pPr>
      <w:r>
        <w:rPr>
          <w:noProof/>
        </w:rPr>
        <w:t>OENO-TECHNO 15-582 — Използване на селективни растителни влакна във вината</w:t>
      </w:r>
    </w:p>
    <w:p>
      <w:pPr>
        <w:rPr>
          <w:noProof/>
        </w:rPr>
      </w:pPr>
      <w:r>
        <w:rPr>
          <w:noProof/>
        </w:rPr>
        <w:t>OENO-TECHNO 15-583 — Третиране на мъст с калциев сулфат при ликьорните вина</w:t>
      </w:r>
    </w:p>
    <w:p>
      <w:pPr>
        <w:rPr>
          <w:noProof/>
        </w:rPr>
      </w:pPr>
      <w:r>
        <w:rPr>
          <w:noProof/>
        </w:rPr>
        <w:t xml:space="preserve">OENO-MICRO 14-576A — Монография за дрождите от рода </w:t>
      </w:r>
      <w:r>
        <w:rPr>
          <w:i/>
          <w:noProof/>
        </w:rPr>
        <w:t>Saccharomyces</w:t>
      </w:r>
    </w:p>
    <w:p>
      <w:pPr>
        <w:rPr>
          <w:noProof/>
        </w:rPr>
      </w:pPr>
      <w:r>
        <w:rPr>
          <w:noProof/>
        </w:rPr>
        <w:t xml:space="preserve">OENO-MICRO 14-576B — Монография за дрождите, неспадащи към рода </w:t>
      </w:r>
      <w:r>
        <w:rPr>
          <w:i/>
          <w:noProof/>
        </w:rPr>
        <w:t>Saccharomyces</w:t>
      </w:r>
    </w:p>
    <w:p>
      <w:pPr>
        <w:rPr>
          <w:i/>
          <w:noProof/>
        </w:rPr>
      </w:pPr>
      <w:r>
        <w:rPr>
          <w:noProof/>
        </w:rPr>
        <w:t xml:space="preserve">OENO-SPECIF 15-571 — Монография за глутатиона </w:t>
      </w:r>
    </w:p>
    <w:p>
      <w:pPr>
        <w:rPr>
          <w:noProof/>
        </w:rPr>
      </w:pPr>
      <w:r>
        <w:rPr>
          <w:noProof/>
        </w:rPr>
        <w:t>OENO-SPECIF 15-572 — Монография за калиевия полиаспартат</w:t>
      </w:r>
    </w:p>
    <w:p>
      <w:pPr>
        <w:rPr>
          <w:noProof/>
        </w:rPr>
      </w:pPr>
      <w:r>
        <w:rPr>
          <w:noProof/>
        </w:rPr>
        <w:t>OENO-SPECIF 15-574 — Монография за танините – актуализиране на метода за определяне на полифеноли</w:t>
      </w:r>
    </w:p>
    <w:p>
      <w:pPr>
        <w:rPr>
          <w:noProof/>
        </w:rPr>
      </w:pPr>
      <w:r>
        <w:rPr>
          <w:noProof/>
        </w:rPr>
        <w:t>OENO-SPECIF 15-578 — Монография за селективните растителни влакна</w:t>
      </w:r>
    </w:p>
    <w:p>
      <w:pPr>
        <w:rPr>
          <w:noProof/>
        </w:rPr>
      </w:pPr>
      <w:r>
        <w:rPr>
          <w:noProof/>
        </w:rPr>
        <w:t>OENO-SPECIF 16-605 — Гранична стойност за съдържанието на желязо в изготвените от OIV монографии за PVI/PVP</w:t>
      </w:r>
    </w:p>
    <w:p>
      <w:pPr>
        <w:rPr>
          <w:i/>
          <w:noProof/>
        </w:rPr>
      </w:pPr>
      <w:r>
        <w:rPr>
          <w:noProof/>
        </w:rPr>
        <w:t xml:space="preserve">OENO-SCMA 11-479 — Определяне на изотопните съотношения </w:t>
      </w:r>
      <w:r>
        <w:rPr>
          <w:noProof/>
          <w:vertAlign w:val="superscript"/>
        </w:rPr>
        <w:t>13</w:t>
      </w:r>
      <w:r>
        <w:rPr>
          <w:noProof/>
        </w:rPr>
        <w:t>C/</w:t>
      </w:r>
      <w:r>
        <w:rPr>
          <w:noProof/>
          <w:vertAlign w:val="superscript"/>
        </w:rPr>
        <w:t>12</w:t>
      </w:r>
      <w:r>
        <w:rPr>
          <w:noProof/>
        </w:rPr>
        <w:t>C на глюкоза, фруктоза, глицерол и етанол във вината чрез високоефективна течна хроматография в съчетание с масспектрометрия на изотопните съотношения</w:t>
      </w:r>
      <w:r>
        <w:rPr>
          <w:i/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OENO-SCMA 13-529 — Определяне на хитиназо- и тауматиноподобни протеини в белите вина и вината тип „розе“</w:t>
      </w:r>
    </w:p>
    <w:p>
      <w:pPr>
        <w:rPr>
          <w:noProof/>
        </w:rPr>
      </w:pPr>
      <w:r>
        <w:rPr>
          <w:noProof/>
        </w:rPr>
        <w:t>OENO-SCMA 15-587 — Въвеждане на определението за измерено алкохолно съдържание: преработка на метода OIV-MA-BS-01</w:t>
      </w:r>
    </w:p>
    <w:p>
      <w:pPr>
        <w:rPr>
          <w:noProof/>
        </w:rPr>
      </w:pPr>
      <w:r>
        <w:rPr>
          <w:noProof/>
        </w:rPr>
        <w:t>OENO-SCMA 15-588 — Въвеждане на принципа на скритото алкохолно съдържание: преработка на метода OIV-MA-BS-01</w:t>
      </w:r>
    </w:p>
    <w:p>
      <w:pPr>
        <w:rPr>
          <w:noProof/>
        </w:rPr>
      </w:pPr>
      <w:r>
        <w:rPr>
          <w:noProof/>
        </w:rPr>
        <w:t>OENO-SCMA 15-589 — Метод за определяне на 1,2-пропандиол и 2,3-бутандиол</w:t>
      </w:r>
    </w:p>
    <w:p>
      <w:pPr>
        <w:rPr>
          <w:noProof/>
        </w:rPr>
      </w:pPr>
      <w:r>
        <w:rPr>
          <w:noProof/>
        </w:rPr>
        <w:lastRenderedPageBreak/>
        <w:t>OENO-SCMA 15-590 — Определяне на етилкарбамат: преработка на метода OIV-MA-BS-25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E0EE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5205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26A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BC09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56481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8C5E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5091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3D6D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21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21"/>
  </w:num>
  <w:num w:numId="27">
    <w:abstractNumId w:val="11"/>
  </w:num>
  <w:num w:numId="28">
    <w:abstractNumId w:val="14"/>
  </w:num>
  <w:num w:numId="29">
    <w:abstractNumId w:val="9"/>
  </w:num>
  <w:num w:numId="30">
    <w:abstractNumId w:val="20"/>
  </w:num>
  <w:num w:numId="31">
    <w:abstractNumId w:val="8"/>
  </w:num>
  <w:num w:numId="32">
    <w:abstractNumId w:val="15"/>
  </w:num>
  <w:num w:numId="33">
    <w:abstractNumId w:val="17"/>
  </w:num>
  <w:num w:numId="34">
    <w:abstractNumId w:val="18"/>
  </w:num>
  <w:num w:numId="35">
    <w:abstractNumId w:val="10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05 08:59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E499DFE22724C61A280412BE670D088"/>
    <w:docVar w:name="LW_CROSSREFERENCE" w:val="&lt;UNUSED&gt;"/>
    <w:docVar w:name="LW_DocType" w:val="ANNEX"/>
    <w:docVar w:name="LW_EMISSION" w:val="8.5.2017"/>
    <w:docVar w:name="LW_EMISSION_ISODATE" w:val="2017-05-0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7?\u1086?\u1079?\u1080?\u1094?\u1080?\u1103?\u1090?\u1072?, \u1082?\u1086?\u1103?\u1090?\u1086? \u1090?\u1088?\u1103?\u1073?\u1074?\u1072? \u1076?\u1072? \u1073?\u1098?\u1076?\u1077? \u1087?\u1088?\u1080?\u1077?\u1090?\u1072? \u1086?\u1090? \u1080?\u1084?\u1077?\u1090?\u1086? \u1085?\u1072? \u1045?\u1074?\u1088?\u1086?\u1087?\u1077?\u1081?\u1089?\u1082?\u1080?\u1103? \u1089?\u1098?\u1102?\u1079? \u1074?\u1098?\u1074? \u1074?\u1088?\u1098?\u1079?\u1082?\u1072? \u1089? \u1085?\u1103?\u1082?\u1086?\u1080? \u1088?\u1077?\u1079?\u1086?\u1083?\u1102?\u1094?\u1080?\u1080?, \u1082?\u1086?\u1080?\u1090?\u1086? \u1097?\u1077? \u1073?\u1098?\u1076?\u1072?\u1090? \u1075?\u1083?\u1072?\u1089?\u1091?\u1074?\u1072?\u1085?\u1080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\u1090?\u1086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LegalNumPar">
    <w:name w:val="LegalNumPar"/>
    <w:basedOn w:val="Normal"/>
    <w:pPr>
      <w:numPr>
        <w:numId w:val="9"/>
      </w:numPr>
      <w:spacing w:before="0" w:after="200"/>
      <w:jc w:val="left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LegalNumPar">
    <w:name w:val="LegalNumPar"/>
    <w:basedOn w:val="Normal"/>
    <w:pPr>
      <w:numPr>
        <w:numId w:val="9"/>
      </w:numPr>
      <w:spacing w:before="0" w:after="200"/>
      <w:jc w:val="left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281</Words>
  <Characters>1954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 Patricia (AGRI)</dc:creator>
  <cp:lastModifiedBy>DIGIT/A3</cp:lastModifiedBy>
  <cp:revision>7</cp:revision>
  <cp:lastPrinted>2017-04-07T10:51:00Z</cp:lastPrinted>
  <dcterms:created xsi:type="dcterms:W3CDTF">2017-05-04T10:03:00Z</dcterms:created>
  <dcterms:modified xsi:type="dcterms:W3CDTF">2017-05-05T06:59:00Z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