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53014386EAD41969099EEDDBF39AADD" style="width:450.75pt;height:420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before="240" w:after="240" w:line="240" w:lineRule="auto"/>
        <w:jc w:val="both"/>
        <w:rPr>
          <w:rFonts w:ascii="Times New Roman" w:hAnsi="Times New Roman" w:cs="Times New Roman"/>
          <w:noProof/>
          <w:sz w:val="24"/>
          <w:szCs w:val="24"/>
          <w:lang w:val="bg-BG"/>
        </w:rPr>
      </w:pPr>
      <w:bookmarkStart w:id="1" w:name="_GoBack"/>
      <w:bookmarkEnd w:id="1"/>
      <w:r>
        <w:rPr>
          <w:rFonts w:ascii="Times New Roman" w:hAnsi="Times New Roman"/>
          <w:noProof/>
          <w:sz w:val="24"/>
          <w:lang w:val="bg-BG"/>
        </w:rPr>
        <w:lastRenderedPageBreak/>
        <w:t>EВРОПЕЙСКИЯТ СЪЮЗ, наричан по-долу „Съюзът“,</w:t>
      </w:r>
    </w:p>
    <w:p>
      <w:pPr>
        <w:spacing w:before="240"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и</w:t>
      </w:r>
    </w:p>
    <w:p>
      <w:pPr>
        <w:spacing w:before="240"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ИСЛАНДИЯ,</w:t>
      </w:r>
    </w:p>
    <w:p>
      <w:pPr>
        <w:spacing w:before="240"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заедно наричани по-долу „страните“,</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КАТО ВЗЕХА ПРЕДВИД Споразумението, сключено от Съвета на Европейския съюз, от една страна, и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Fonts w:ascii="Times New Roman" w:hAnsi="Times New Roman"/>
          <w:noProof/>
          <w:sz w:val="24"/>
          <w:vertAlign w:val="superscript"/>
          <w:lang w:val="bg-BG"/>
        </w:rPr>
        <w:footnoteReference w:id="1"/>
      </w:r>
      <w:r>
        <w:rPr>
          <w:rFonts w:ascii="Times New Roman" w:hAnsi="Times New Roman"/>
          <w:noProof/>
          <w:sz w:val="24"/>
          <w:lang w:val="bg-BG"/>
        </w:rPr>
        <w:t xml:space="preserve"> („Споразумение за асоцииране с Исландия и Норвегия“),</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КАТО ИМАТ ПРЕДВИД, ЧЕ: </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Съюзът създаде инструмента за финансово подпомагане за външните граници и визите като част от фонд „Вътрешна сигурност“ чрез Регламент (ЕС) № 515/2014 на Европейския парламент и на Съвета</w:t>
      </w:r>
      <w:r>
        <w:rPr>
          <w:rFonts w:ascii="Times New Roman" w:hAnsi="Times New Roman"/>
          <w:noProof/>
          <w:sz w:val="24"/>
          <w:vertAlign w:val="superscript"/>
          <w:lang w:val="bg-BG"/>
        </w:rPr>
        <w:footnoteReference w:id="2"/>
      </w:r>
      <w:r>
        <w:rPr>
          <w:rFonts w:ascii="Times New Roman" w:hAnsi="Times New Roman"/>
          <w:noProof/>
          <w:sz w:val="24"/>
          <w:lang w:val="bg-BG"/>
        </w:rPr>
        <w:t xml:space="preserve">. </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Регламент (ЕС) № 515/2014 представлява развитие на достиженията на правото от Шенген по смисъла на Споразумението за асоцииране с Исландия и Норвегия.</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Тъй като Регламент (ЕС) № 514/2014 на Европейския парламент и на Съвета</w:t>
      </w:r>
      <w:r>
        <w:rPr>
          <w:rFonts w:ascii="Times New Roman" w:hAnsi="Times New Roman"/>
          <w:noProof/>
          <w:sz w:val="24"/>
          <w:vertAlign w:val="superscript"/>
          <w:lang w:val="bg-BG"/>
        </w:rPr>
        <w:footnoteReference w:id="3"/>
      </w:r>
      <w:r>
        <w:rPr>
          <w:rFonts w:ascii="Times New Roman" w:hAnsi="Times New Roman"/>
          <w:noProof/>
          <w:sz w:val="24"/>
          <w:lang w:val="bg-BG"/>
        </w:rPr>
        <w:t xml:space="preserve"> има пряко въздействие върху прилагането на разпоредбите на Регламент (ЕС) № 515/2014, като по този начин се отразява на правната му рамка, и тъй като процедурите, определени в Споразумението за асоцииране с Исландия и Норвегия, бяха приложени за приемането на Регламент (ЕС) № 514/2014, което бе нотифицирано на Исландия, страните признават, че Регламент (ЕС) № 514/2014 представлява развитие на достиженията на правото от Шенген по смисъла на Споразумението за асоцииране с Исландия и Норвегия, доколкото е необходим за целите на прилагането на Регламент (ЕС) № 515/2014.</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 xml:space="preserve">В член 5, параграф 7 от Регламент (ЕС) № 515/2014 се предвижда, че държавите, асоциирани в прилагането, изпълнението и развитието на достиженията на правото от Шенген, сред които Исландия, участват в инструмента в съответствие с разпоредбите на този регламент и че следва да се сключат договорености за определяне на финансовия принос на тези държави и допълнителните правила, необходими за такова участие, включително разпоредби, гарантиращи защитата на финансовите интереси на Съюза и правомощието за извършване на одит от страна на Сметната палата. </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Инструментът за финансово подпомагане за външните граници и визите като част от фонд „Вътрешна сигурност“ представлява специфичен инструмент в контекста на достиженията на правото от Шенген, предназначен за разпределяне на тежестта и за финансово подпомагане в областта на външните граници и визовата политика в държавите членки и асоциираните държави.</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В член 60 от Регламент (ЕС, Евратом) № 966/2012 на Европейския парламент и на Съвета</w:t>
      </w:r>
      <w:r>
        <w:rPr>
          <w:rFonts w:ascii="Times New Roman" w:hAnsi="Times New Roman"/>
          <w:noProof/>
          <w:sz w:val="24"/>
          <w:vertAlign w:val="superscript"/>
          <w:lang w:val="bg-BG"/>
        </w:rPr>
        <w:footnoteReference w:id="4"/>
      </w:r>
      <w:r>
        <w:rPr>
          <w:rFonts w:ascii="Times New Roman" w:hAnsi="Times New Roman"/>
          <w:noProof/>
          <w:sz w:val="24"/>
          <w:lang w:val="bg-BG"/>
        </w:rPr>
        <w:t xml:space="preserve"> са предвидени правилата за непряко управление, които са приложими, когато на трети държави, включително на асоциирани държави, са възложени задачи по изпълнението на бюджета. </w:t>
      </w:r>
    </w:p>
    <w:p>
      <w:pPr>
        <w:spacing w:before="120" w:after="120" w:line="240" w:lineRule="auto"/>
        <w:ind w:left="860" w:hanging="860"/>
        <w:jc w:val="both"/>
        <w:rPr>
          <w:rFonts w:ascii="Times New Roman" w:hAnsi="Times New Roman" w:cs="Times New Roman"/>
          <w:noProof/>
          <w:sz w:val="24"/>
          <w:szCs w:val="24"/>
          <w:lang w:val="bg-BG"/>
        </w:rPr>
      </w:pPr>
      <w:r>
        <w:rPr>
          <w:rFonts w:ascii="Times New Roman" w:hAnsi="Times New Roman"/>
          <w:noProof/>
          <w:sz w:val="24"/>
          <w:lang w:val="bg-BG"/>
        </w:rPr>
        <w:t>(7)</w:t>
      </w:r>
      <w:r>
        <w:rPr>
          <w:noProof/>
          <w:lang w:val="bg-BG"/>
        </w:rPr>
        <w:tab/>
      </w:r>
      <w:r>
        <w:rPr>
          <w:rFonts w:ascii="Times New Roman" w:hAnsi="Times New Roman"/>
          <w:noProof/>
          <w:sz w:val="24"/>
          <w:lang w:val="bg-BG"/>
        </w:rPr>
        <w:t>В член 17, параграф 4 от Регламент (ЕС) № 514/2014 се предвижда допустимостта на разходите, направени през 2014 г. от отговорен орган преди формалното му определяне, като по този начин се гарантира плавен преход между Фонда за външните граници и фонд „Вътрешна сигурност“. По същия начин този въпрос следва да бъде отразен в настоящото споразумение. Като се има предвид, че настоящото споразумение не беше влязло в сила преди края на 2014 г., е необходимо да се гарантира допустимостта на разходите, направени преди и до формалното определяне на отговорния орган, при условие че използваните преди това системи за управление и контрол са по същество същите като тези, действащи след формалното определяне на отговорния орган.</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(8)</w:t>
      </w:r>
      <w:r>
        <w:rPr>
          <w:noProof/>
          <w:lang w:val="bg-BG"/>
        </w:rPr>
        <w:tab/>
      </w:r>
      <w:r>
        <w:rPr>
          <w:rFonts w:ascii="Times New Roman" w:hAnsi="Times New Roman"/>
          <w:noProof/>
          <w:sz w:val="24"/>
          <w:lang w:val="bg-BG"/>
        </w:rPr>
        <w:t>За улесняване на изчисляването и използването на годишните финансови вноски, които дължи Исландия към инструмента за финансово подпомагане за външните граници и визите, приносът за периода 2014—2020 г. ще се изплаща на пет годишни вноски от 2016 г. до 2020 г. От 2016 г. до 2018 г. размерът на годишния принос се определя като фиксирана сума, докато приносът за 2019 и 2020 г. ще бъде определен през 2019 г. въз основа на брутния вътрешен продукт на всички държави, участващи в инструмента за финансово подпомагане за външните граници и визите, като се отчетат реално извършените плащания,</w:t>
      </w:r>
    </w:p>
    <w:p>
      <w:pPr>
        <w:spacing w:before="120" w:after="120" w:line="240" w:lineRule="auto"/>
        <w:jc w:val="both"/>
        <w:rPr>
          <w:rFonts w:ascii="Times New Roman" w:hAnsi="Times New Roman" w:cs="Times New Roman"/>
          <w:noProof/>
          <w:sz w:val="24"/>
          <w:szCs w:val="24"/>
          <w:lang w:val="bg-BG"/>
        </w:rPr>
      </w:pP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СЕ СПОРАЗУМЯХА ЗА СЛЕДНОТО:</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Обхват</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настоящото споразумение се определят допълнителните правила, необходими за участието на Исландия в инструмента за финансово подпомагане за външните граници и визите в съответствие с Регламент (ЕС) № 515/2014.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2</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Финансово управление и контрол</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Исландия предприема необходимите мерки за осигуряване на съответствие с разпоредбите по отношение на финансовото управление и контрол, установени в Договора за функционирането на Европейския съюз (ДФЕС) и във вторичното законодателство. </w:t>
      </w:r>
    </w:p>
    <w:p>
      <w:pPr>
        <w:spacing w:after="120" w:line="240" w:lineRule="auto"/>
        <w:ind w:left="860"/>
        <w:jc w:val="both"/>
        <w:rPr>
          <w:rFonts w:ascii="Times New Roman" w:hAnsi="Times New Roman" w:cs="Times New Roman"/>
          <w:noProof/>
          <w:sz w:val="24"/>
          <w:lang w:val="bg-BG"/>
        </w:rPr>
      </w:pPr>
      <w:r>
        <w:rPr>
          <w:rFonts w:ascii="Times New Roman" w:hAnsi="Times New Roman"/>
          <w:noProof/>
          <w:sz w:val="24"/>
          <w:lang w:val="bg-BG"/>
        </w:rPr>
        <w:t xml:space="preserve">Разпоредбите на ДФЕС и на вторичното законодателство, посочени в първата алинея, са следните: </w:t>
      </w:r>
    </w:p>
    <w:p>
      <w:pPr>
        <w:pStyle w:val="Point2letter"/>
        <w:numPr>
          <w:ilvl w:val="5"/>
          <w:numId w:val="19"/>
        </w:numPr>
        <w:rPr>
          <w:noProof/>
          <w:lang w:val="bg-BG"/>
        </w:rPr>
      </w:pPr>
      <w:r>
        <w:rPr>
          <w:noProof/>
          <w:lang w:val="bg-BG"/>
        </w:rPr>
        <w:t>член 287, параграфи 1, 2 и 3 от ДФЕС;</w:t>
      </w:r>
    </w:p>
    <w:p>
      <w:pPr>
        <w:pStyle w:val="Point2letter"/>
        <w:numPr>
          <w:ilvl w:val="5"/>
          <w:numId w:val="19"/>
        </w:numPr>
        <w:rPr>
          <w:noProof/>
          <w:lang w:val="bg-BG"/>
        </w:rPr>
      </w:pPr>
      <w:r>
        <w:rPr>
          <w:noProof/>
          <w:lang w:val="bg-BG"/>
        </w:rPr>
        <w:t>членове 30, 32 и 57, член 58, параграф 1, буква в), подточка i), член 60, член 79, параграф 2 и член 108, параграф 2 от Регламент (ЕС, Евратом) № 966/2012;</w:t>
      </w:r>
    </w:p>
    <w:p>
      <w:pPr>
        <w:pStyle w:val="Point2letter"/>
        <w:numPr>
          <w:ilvl w:val="5"/>
          <w:numId w:val="19"/>
        </w:numPr>
        <w:rPr>
          <w:noProof/>
          <w:lang w:val="bg-BG"/>
        </w:rPr>
      </w:pPr>
      <w:r>
        <w:rPr>
          <w:noProof/>
          <w:lang w:val="bg-BG"/>
        </w:rPr>
        <w:t>членове 32, 38, 42, 84, 88, 142 и 144 от Делегиран Регламент (ЕС) № 1268/2012 на Комисията</w:t>
      </w:r>
      <w:r>
        <w:rPr>
          <w:noProof/>
          <w:vertAlign w:val="superscript"/>
          <w:lang w:val="bg-BG"/>
        </w:rPr>
        <w:footnoteReference w:id="5"/>
      </w:r>
      <w:r>
        <w:rPr>
          <w:noProof/>
          <w:lang w:val="bg-BG"/>
        </w:rPr>
        <w:t>;</w:t>
      </w:r>
    </w:p>
    <w:p>
      <w:pPr>
        <w:pStyle w:val="Point2letter"/>
        <w:numPr>
          <w:ilvl w:val="5"/>
          <w:numId w:val="19"/>
        </w:numPr>
        <w:rPr>
          <w:noProof/>
          <w:lang w:val="bg-BG"/>
        </w:rPr>
      </w:pPr>
      <w:r>
        <w:rPr>
          <w:noProof/>
          <w:lang w:val="bg-BG"/>
        </w:rPr>
        <w:t>Регламент (Евратом, ЕО) № 2185/96 на Съвета</w:t>
      </w:r>
      <w:r>
        <w:rPr>
          <w:noProof/>
          <w:vertAlign w:val="superscript"/>
          <w:lang w:val="bg-BG"/>
        </w:rPr>
        <w:footnoteReference w:id="6"/>
      </w:r>
      <w:r>
        <w:rPr>
          <w:noProof/>
          <w:lang w:val="bg-BG"/>
        </w:rPr>
        <w:t>;</w:t>
      </w:r>
    </w:p>
    <w:p>
      <w:pPr>
        <w:pStyle w:val="Point2letter"/>
        <w:numPr>
          <w:ilvl w:val="5"/>
          <w:numId w:val="19"/>
        </w:numPr>
        <w:rPr>
          <w:noProof/>
          <w:lang w:val="bg-BG"/>
        </w:rPr>
      </w:pPr>
      <w:r>
        <w:rPr>
          <w:noProof/>
          <w:lang w:val="bg-BG"/>
        </w:rPr>
        <w:t>Регламент (ЕС, Евратом) № 883/2013 на Европейския парламент и на Съвета</w:t>
      </w:r>
      <w:r>
        <w:rPr>
          <w:noProof/>
          <w:vertAlign w:val="superscript"/>
          <w:lang w:val="bg-BG"/>
        </w:rPr>
        <w:footnoteReference w:id="7"/>
      </w:r>
      <w:r>
        <w:rPr>
          <w:noProof/>
          <w:lang w:val="bg-BG"/>
        </w:rPr>
        <w:t>.</w:t>
      </w:r>
    </w:p>
    <w:p>
      <w:pPr>
        <w:spacing w:after="120" w:line="240" w:lineRule="auto"/>
        <w:ind w:left="1211" w:hanging="360"/>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Страните могат да решат да изменят списъка по взаимно съгласие. </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Исландия прилага разпоредбите, посочени в параграф 1, на своя територия в съответствие с настоящото споразумение.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3</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Зачитане на принципа на добро финансово управление</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Средствата, отпускани за Исландия в рамките на инструмента за финансово подпомагане за външните граници и визите, се използват в съответствие с принципа на добро финансово управление.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4</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Зачитане на принципа на недопускане на конфликт на интереси</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Действащите на територията на Исландия финансови участници и всички други лица, участващи в изпълнението и управлението на бюджета, включително в подготвителни действия във връзка с това, в одита или контрола, не предприемат никакви действия, които може да доведат до конфликт между собствените им интереси и тези на Съюза. </w:t>
      </w:r>
    </w:p>
    <w:p>
      <w:pPr>
        <w:keepNext/>
        <w:spacing w:before="480" w:after="120" w:line="240" w:lineRule="auto"/>
        <w:jc w:val="center"/>
        <w:rPr>
          <w:rFonts w:ascii="Times New Roman" w:hAnsi="Times New Roman" w:cs="Times New Roman"/>
          <w:b/>
          <w:i/>
          <w:noProof/>
          <w:sz w:val="24"/>
          <w:lang w:val="bg-BG"/>
        </w:rPr>
      </w:pPr>
      <w:r>
        <w:rPr>
          <w:rFonts w:ascii="Times New Roman" w:hAnsi="Times New Roman"/>
          <w:i/>
          <w:noProof/>
          <w:sz w:val="24"/>
          <w:lang w:val="bg-BG"/>
        </w:rPr>
        <w:t xml:space="preserve">Член 5 </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Изпълнение</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Решенията, взети от Комисията, с които се налагат парични задължения на лица, които не са държави, подлежат на изпълнение на територията на Исландия.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Изпълнението се урежда от разпоредбите на гражданскопроцесуалното право, които са в сила в Исландия. Изпълнителното основание се прилага към решението без други формалности освен проверка на автентичността на решението от националния орган, който правителството на Исландия определя за тази цел и съобщава на Комисията.</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Когато тези формалности бъдат изпълнени по искане на Комисията, тя може да пристъпи към изпълнение в съответствие с националното законодателство, като отнесе въпроса пряко до компетентния орган.</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Изпълнението може да бъде спряно само с решение на Съда на Европейския съюз. Въпреки това съдилищата на Исландия са компетентни да се произнасят по жалби относно незаконосъобразни действия по изпълнението.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6</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Защита на финансовите интереси на Съюза срещу измами</w:t>
      </w:r>
    </w:p>
    <w:p>
      <w:pPr>
        <w:numPr>
          <w:ilvl w:val="0"/>
          <w:numId w:val="1"/>
        </w:numPr>
        <w:spacing w:before="120"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Исландия:</w:t>
      </w:r>
    </w:p>
    <w:p>
      <w:pPr>
        <w:pStyle w:val="ListParagraph"/>
        <w:numPr>
          <w:ilvl w:val="0"/>
          <w:numId w:val="14"/>
        </w:numPr>
        <w:tabs>
          <w:tab w:val="num" w:pos="1417"/>
        </w:tabs>
        <w:spacing w:after="120" w:line="240" w:lineRule="auto"/>
        <w:ind w:left="1418" w:hanging="567"/>
        <w:jc w:val="both"/>
        <w:rPr>
          <w:rFonts w:ascii="Times New Roman" w:eastAsia="Times New Roman" w:hAnsi="Times New Roman" w:cs="Times New Roman"/>
          <w:noProof/>
          <w:sz w:val="24"/>
          <w:szCs w:val="24"/>
          <w:lang w:val="bg-BG"/>
        </w:rPr>
      </w:pPr>
      <w:r>
        <w:rPr>
          <w:rFonts w:ascii="Times New Roman" w:hAnsi="Times New Roman"/>
          <w:noProof/>
          <w:sz w:val="24"/>
          <w:lang w:val="bg-BG"/>
        </w:rPr>
        <w:t>се бори с измамите и другите незаконни дейности, засягащи финансовите интереси на Съюза, чрез мерки, които имат възпиращо действие и които предоставят ефикасна защита в Исландия;</w:t>
      </w:r>
    </w:p>
    <w:p>
      <w:pPr>
        <w:pStyle w:val="ListParagraph"/>
        <w:numPr>
          <w:ilvl w:val="0"/>
          <w:numId w:val="14"/>
        </w:numPr>
        <w:tabs>
          <w:tab w:val="num" w:pos="1417"/>
        </w:tabs>
        <w:spacing w:after="120" w:line="240" w:lineRule="auto"/>
        <w:ind w:left="1418" w:hanging="567"/>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предприема същите мерки за борба с измамите, засягащи финансовите интереси на Съюза, каквито предприема за борба с измамите, засягащи собствените ѝ финансови интереси; и</w:t>
      </w:r>
    </w:p>
    <w:p>
      <w:pPr>
        <w:pStyle w:val="ListParagraph"/>
        <w:numPr>
          <w:ilvl w:val="0"/>
          <w:numId w:val="14"/>
        </w:numPr>
        <w:tabs>
          <w:tab w:val="num" w:pos="1417"/>
        </w:tabs>
        <w:spacing w:after="120" w:line="240" w:lineRule="auto"/>
        <w:ind w:left="1418" w:hanging="567"/>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координира действията си, насочени към защита на финансовите интереси на Съюза, с държавите членки и Комисията. </w:t>
      </w:r>
    </w:p>
    <w:p>
      <w:pPr>
        <w:numPr>
          <w:ilvl w:val="0"/>
          <w:numId w:val="1"/>
        </w:numPr>
        <w:spacing w:before="120"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Исландия приема мерки, еквиваленти на тези, приети от Съюза в съответствие с член 325, параграф 4 от ДФЕС, които са в сила в деня на подписване на настоящото споразумение.</w:t>
      </w:r>
    </w:p>
    <w:p>
      <w:pPr>
        <w:spacing w:after="120" w:line="240" w:lineRule="auto"/>
        <w:ind w:left="860"/>
        <w:jc w:val="both"/>
        <w:rPr>
          <w:rFonts w:ascii="Times New Roman" w:hAnsi="Times New Roman" w:cs="Times New Roman"/>
          <w:noProof/>
          <w:sz w:val="24"/>
          <w:lang w:val="bg-BG"/>
        </w:rPr>
      </w:pPr>
      <w:r>
        <w:rPr>
          <w:rFonts w:ascii="Times New Roman" w:hAnsi="Times New Roman"/>
          <w:noProof/>
          <w:sz w:val="24"/>
          <w:lang w:val="bg-BG"/>
        </w:rPr>
        <w:t xml:space="preserve">Страните могат да решат по взаимно съгласие да приемат мерки, равностойни на последващите мерки, приети от Съюза в съответствие с настоящия член.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7</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Контрол и проверки на място, извършвани от Комисията (OLAF)</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Без да се засягат нейните права съгласно член 5, параграф 8 от Регламент (ЕС) № 514/2014, Комисията (Европейската служба за борба с измамите — OLAF) е оправомощена да извършва контрол и проверки на място на територията на Исландия по отношение на инструмента за финансово подпомагане за външните граници и визите в съответствие с реда и условията, предвидени в Регламент (Евратом, ЕО) № 2185/96.</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Органите на Исландия улесняват провеждането на контрола и проверките на място, които могат, ако тези органи желаят това, да бъдат извършвани съвместно.</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8</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Сметна палата</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съответствие с член 287, параграф 3 от ДФЕС и първа част, дял X, глава 1 от Регламент (EС, Eвратом) № 966/2012 Сметната палата има възможността да извършва одити на място в помещенията на всеки орган, който управлява приходи или разходи от името на Съюза на територията на Исландия по отношение на инструмента за финансово подпомагане за външните граници и визите, включително в помещенията на всяко физическо или юридическо лице, получило плащания от бюджета.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Исландия одитът от страна на Сметната палата се осъществява във взаимодействие с националните одитни органи или, ако те нямат необходимите правомощия, с компетентните национални служби. Сметната палата и националните одитни органи на Исландия си сътрудничат в дух на доверие, като запазват своята независимост. Тези органи или служби информират Сметната палата относно намерението си да участват в одита.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Сметната палата има най-малко същите права като правата на Комисията, предвидени в член 5, параграф 7 от Регламент (EС) № 514/2014 и в член 7 от настоящото споразумение.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9</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Обществени поръчки</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Исландия прилага разпоредбите на собственото си право по отношение на обществените поръчки в съответствие с приложение ХVІ към Споразумението за Европейското икономическо пространство</w:t>
      </w:r>
      <w:r>
        <w:rPr>
          <w:rFonts w:ascii="Times New Roman" w:hAnsi="Times New Roman"/>
          <w:noProof/>
          <w:sz w:val="24"/>
          <w:vertAlign w:val="superscript"/>
          <w:lang w:val="bg-BG"/>
        </w:rPr>
        <w:footnoteReference w:id="8"/>
      </w:r>
      <w:r>
        <w:rPr>
          <w:rFonts w:ascii="Times New Roman" w:hAnsi="Times New Roman"/>
          <w:noProof/>
          <w:sz w:val="24"/>
          <w:lang w:val="bg-BG"/>
        </w:rPr>
        <w:t xml:space="preserve">.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10</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 xml:space="preserve">Финансов принос </w:t>
      </w:r>
    </w:p>
    <w:p>
      <w:pPr>
        <w:pStyle w:val="NumPar1"/>
        <w:numPr>
          <w:ilvl w:val="0"/>
          <w:numId w:val="15"/>
        </w:numPr>
        <w:rPr>
          <w:noProof/>
          <w:lang w:val="bg-BG"/>
        </w:rPr>
      </w:pPr>
      <w:r>
        <w:rPr>
          <w:noProof/>
          <w:lang w:val="bg-BG"/>
        </w:rPr>
        <w:t xml:space="preserve">За годините 2016 — 2018 Исландия извършва годишни плащания към бюджета на инструмента за финансово подпомагане за външните граници и визите в съответствие със следната таблица: </w:t>
      </w:r>
    </w:p>
    <w:p>
      <w:pPr>
        <w:spacing w:before="120" w:after="120" w:line="240" w:lineRule="auto"/>
        <w:jc w:val="right"/>
        <w:rPr>
          <w:rFonts w:ascii="Times New Roman" w:hAnsi="Times New Roman" w:cs="Times New Roman"/>
          <w:i/>
          <w:noProof/>
          <w:sz w:val="24"/>
          <w:lang w:val="bg-BG"/>
        </w:rPr>
      </w:pPr>
      <w:r>
        <w:rPr>
          <w:rFonts w:ascii="Times New Roman" w:hAnsi="Times New Roman"/>
          <w:i/>
          <w:noProof/>
          <w:sz w:val="24"/>
          <w:lang w:val="bg-BG"/>
        </w:rPr>
        <w:t>(всички суми са посочени в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lang w:val="bg-BG"/>
              </w:rPr>
            </w:pPr>
          </w:p>
        </w:tc>
        <w:tc>
          <w:tcPr>
            <w:tcW w:w="216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2016 г.</w:t>
            </w:r>
          </w:p>
        </w:tc>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2017 г.</w:t>
            </w:r>
          </w:p>
        </w:tc>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2018 г.</w:t>
            </w:r>
          </w:p>
        </w:tc>
      </w:tr>
      <w:tr>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Исландия</w:t>
            </w:r>
          </w:p>
        </w:tc>
        <w:tc>
          <w:tcPr>
            <w:tcW w:w="216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 xml:space="preserve">563 999 </w:t>
            </w:r>
          </w:p>
        </w:tc>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563 999</w:t>
            </w:r>
          </w:p>
        </w:tc>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563 999</w:t>
            </w:r>
          </w:p>
        </w:tc>
      </w:tr>
    </w:tbl>
    <w:p>
      <w:pPr>
        <w:spacing w:before="120" w:after="120" w:line="240" w:lineRule="auto"/>
        <w:jc w:val="both"/>
        <w:rPr>
          <w:rFonts w:ascii="Times New Roman" w:hAnsi="Times New Roman" w:cs="Times New Roman"/>
          <w:noProof/>
          <w:sz w:val="24"/>
          <w:lang w:val="bg-BG"/>
        </w:rPr>
      </w:pPr>
    </w:p>
    <w:p>
      <w:pPr>
        <w:numPr>
          <w:ilvl w:val="0"/>
          <w:numId w:val="1"/>
        </w:num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Приносът на Исландия за годините 2019 и 2020 се изчислява в съответствие с респективния брутен вътрешен продукт (БВП) като процент от БВП на всички държави, участващи в инструмента за финансово подпомагане за външните граници и визите, в съответствие с формулата, описана в приложението.</w:t>
      </w:r>
    </w:p>
    <w:p>
      <w:pPr>
        <w:numPr>
          <w:ilvl w:val="0"/>
          <w:numId w:val="1"/>
        </w:num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 xml:space="preserve">Финансовият принос, посочен в настоящия член, е дължим от Исландия независимо от датата на приемане на националната ѝ програма, посочена в член 14 от Регламент (ЕС) № 514/2014.  </w:t>
      </w:r>
    </w:p>
    <w:p>
      <w:pPr>
        <w:spacing w:before="480" w:after="120" w:line="240" w:lineRule="auto"/>
        <w:ind w:left="850"/>
        <w:jc w:val="center"/>
        <w:rPr>
          <w:rFonts w:ascii="Times New Roman" w:hAnsi="Times New Roman" w:cs="Times New Roman"/>
          <w:i/>
          <w:noProof/>
          <w:sz w:val="24"/>
          <w:lang w:val="bg-BG"/>
        </w:rPr>
      </w:pPr>
      <w:r>
        <w:rPr>
          <w:rFonts w:ascii="Times New Roman" w:hAnsi="Times New Roman"/>
          <w:i/>
          <w:noProof/>
          <w:sz w:val="24"/>
          <w:lang w:val="bg-BG"/>
        </w:rPr>
        <w:t>Член 11</w:t>
      </w:r>
    </w:p>
    <w:p>
      <w:pPr>
        <w:spacing w:after="120" w:line="240" w:lineRule="auto"/>
        <w:ind w:left="850"/>
        <w:jc w:val="center"/>
        <w:rPr>
          <w:rFonts w:ascii="Times New Roman" w:hAnsi="Times New Roman" w:cs="Times New Roman"/>
          <w:i/>
          <w:noProof/>
          <w:sz w:val="24"/>
          <w:lang w:val="bg-BG"/>
        </w:rPr>
      </w:pPr>
      <w:r>
        <w:rPr>
          <w:rFonts w:ascii="Times New Roman" w:hAnsi="Times New Roman"/>
          <w:i/>
          <w:noProof/>
          <w:sz w:val="24"/>
          <w:lang w:val="bg-BG"/>
        </w:rPr>
        <w:t>Използване на финансовия принос</w:t>
      </w:r>
    </w:p>
    <w:p>
      <w:pPr>
        <w:pStyle w:val="NumPar1"/>
        <w:numPr>
          <w:ilvl w:val="0"/>
          <w:numId w:val="16"/>
        </w:numPr>
        <w:rPr>
          <w:noProof/>
          <w:lang w:val="bg-BG"/>
        </w:rPr>
      </w:pPr>
      <w:r>
        <w:rPr>
          <w:noProof/>
          <w:lang w:val="bg-BG"/>
        </w:rPr>
        <w:t xml:space="preserve">Общата сума на годишните плащания за 2016 г. и 2017 г. се разпределя, както следва: </w:t>
      </w:r>
    </w:p>
    <w:p>
      <w:pPr>
        <w:pStyle w:val="Point1letter"/>
        <w:numPr>
          <w:ilvl w:val="3"/>
          <w:numId w:val="12"/>
        </w:numPr>
        <w:rPr>
          <w:noProof/>
          <w:lang w:val="bg-BG"/>
        </w:rPr>
      </w:pPr>
      <w:r>
        <w:rPr>
          <w:noProof/>
          <w:lang w:val="bg-BG"/>
        </w:rPr>
        <w:t xml:space="preserve">75 % за средносрочния преглед, посочен в член 8 от Регламент (ЕС) № 515/2014; </w:t>
      </w:r>
    </w:p>
    <w:p>
      <w:pPr>
        <w:pStyle w:val="Point1letter"/>
        <w:numPr>
          <w:ilvl w:val="3"/>
          <w:numId w:val="12"/>
        </w:numPr>
        <w:rPr>
          <w:noProof/>
          <w:lang w:val="bg-BG"/>
        </w:rPr>
      </w:pPr>
      <w:r>
        <w:rPr>
          <w:noProof/>
          <w:lang w:val="bg-BG"/>
        </w:rPr>
        <w:t xml:space="preserve">15 % за разработването на информационните системи, посочени в член 15 от Регламент (ЕС) № 515/2014, при условие че съответните законодателни актове на Съюза бъдат приети до 30 юни 2017 г.; </w:t>
      </w:r>
    </w:p>
    <w:p>
      <w:pPr>
        <w:pStyle w:val="Point1letter"/>
        <w:numPr>
          <w:ilvl w:val="3"/>
          <w:numId w:val="12"/>
        </w:numPr>
        <w:rPr>
          <w:noProof/>
          <w:lang w:val="bg-BG"/>
        </w:rPr>
      </w:pPr>
      <w:r>
        <w:rPr>
          <w:noProof/>
          <w:lang w:val="bg-BG"/>
        </w:rPr>
        <w:t xml:space="preserve">10 % за действията на Съюза, посочени в член 13 от Регламент (ЕС) № 515/2014, и спешната помощ, посочена в член 14 от Регламент (ЕС) № 515/2014. </w:t>
      </w:r>
    </w:p>
    <w:p>
      <w:pPr>
        <w:spacing w:before="120" w:after="120" w:line="240" w:lineRule="auto"/>
        <w:ind w:left="860"/>
        <w:jc w:val="both"/>
        <w:rPr>
          <w:rFonts w:ascii="Times New Roman" w:hAnsi="Times New Roman" w:cs="Times New Roman"/>
          <w:noProof/>
          <w:sz w:val="24"/>
          <w:szCs w:val="24"/>
          <w:lang w:val="bg-BG"/>
        </w:rPr>
      </w:pPr>
      <w:r>
        <w:rPr>
          <w:rFonts w:ascii="Times New Roman" w:hAnsi="Times New Roman"/>
          <w:noProof/>
          <w:sz w:val="24"/>
          <w:lang w:val="bg-BG"/>
        </w:rPr>
        <w:t>Когато сумата, посочена в буква б), не бъде отпусната или не бъде изразходвана, Комисията, в съответствие с процедурата, посочена в член 5, параграф 5, буква б), втора алинея от Регламент (ЕС) № 515/2014, я преразпределя за специфичните действия, посочени в член 7 от Регламент (ЕС) № 515/2014.</w:t>
      </w:r>
    </w:p>
    <w:p>
      <w:pPr>
        <w:spacing w:before="120" w:after="120" w:line="240" w:lineRule="auto"/>
        <w:ind w:left="860"/>
        <w:jc w:val="both"/>
        <w:rPr>
          <w:rFonts w:ascii="Times New Roman" w:hAnsi="Times New Roman" w:cs="Times New Roman"/>
          <w:noProof/>
          <w:sz w:val="24"/>
          <w:szCs w:val="24"/>
          <w:lang w:val="bg-BG"/>
        </w:rPr>
      </w:pPr>
      <w:r>
        <w:rPr>
          <w:rFonts w:ascii="Times New Roman" w:hAnsi="Times New Roman"/>
          <w:noProof/>
          <w:sz w:val="24"/>
          <w:lang w:val="bg-BG"/>
        </w:rPr>
        <w:t>Ако настоящото споразумение не влезе в сила или не бъде приложено временно до 1 юни 2017 г., целият принос на Исландия се използва в съответствие с параграф 2 от настоящия член.</w:t>
      </w:r>
    </w:p>
    <w:p>
      <w:pPr>
        <w:spacing w:before="120" w:after="120" w:line="240" w:lineRule="auto"/>
        <w:ind w:left="720" w:hanging="720"/>
        <w:jc w:val="both"/>
        <w:rPr>
          <w:rFonts w:ascii="Times New Roman" w:hAnsi="Times New Roman" w:cs="Times New Roman"/>
          <w:noProof/>
          <w:sz w:val="24"/>
          <w:lang w:val="bg-BG"/>
        </w:rPr>
      </w:pPr>
      <w:r>
        <w:rPr>
          <w:rFonts w:ascii="Times New Roman" w:hAnsi="Times New Roman"/>
          <w:noProof/>
          <w:sz w:val="24"/>
          <w:lang w:val="bg-BG"/>
        </w:rPr>
        <w:t>2.</w:t>
      </w:r>
      <w:r>
        <w:rPr>
          <w:rFonts w:ascii="Times New Roman" w:hAnsi="Times New Roman"/>
          <w:noProof/>
          <w:sz w:val="24"/>
          <w:lang w:val="bg-BG"/>
        </w:rPr>
        <w:tab/>
        <w:t>Общата сума на годишните плащания за 2018 г., 2019 г. и 2020 г. се разпределя, както следва:</w:t>
      </w:r>
    </w:p>
    <w:p>
      <w:pPr>
        <w:pStyle w:val="Point1letter"/>
        <w:numPr>
          <w:ilvl w:val="3"/>
          <w:numId w:val="13"/>
        </w:numPr>
        <w:rPr>
          <w:noProof/>
          <w:lang w:val="bg-BG"/>
        </w:rPr>
      </w:pPr>
      <w:r>
        <w:rPr>
          <w:noProof/>
          <w:lang w:val="bg-BG"/>
        </w:rPr>
        <w:t xml:space="preserve">40 % за специфичните действия, посочени в член 7 от Регламент (ЕС) № 515/2014; </w:t>
      </w:r>
    </w:p>
    <w:p>
      <w:pPr>
        <w:pStyle w:val="Point1letter"/>
        <w:numPr>
          <w:ilvl w:val="3"/>
          <w:numId w:val="13"/>
        </w:numPr>
        <w:rPr>
          <w:noProof/>
          <w:lang w:val="bg-BG"/>
        </w:rPr>
      </w:pPr>
      <w:r>
        <w:rPr>
          <w:noProof/>
          <w:lang w:val="bg-BG"/>
        </w:rPr>
        <w:t xml:space="preserve">50 % за разработването на информационните системи, посочени в член 15 от Регламент (ЕС) № 515/2014, при условие че съответните законодателни актове на Съюза бъдат приети до 31 декември 2018 г.; </w:t>
      </w:r>
    </w:p>
    <w:p>
      <w:pPr>
        <w:pStyle w:val="Point1letter"/>
        <w:numPr>
          <w:ilvl w:val="3"/>
          <w:numId w:val="13"/>
        </w:numPr>
        <w:rPr>
          <w:noProof/>
          <w:lang w:val="bg-BG"/>
        </w:rPr>
      </w:pPr>
      <w:r>
        <w:rPr>
          <w:noProof/>
          <w:lang w:val="bg-BG"/>
        </w:rPr>
        <w:t>10 % за действията на Съюза, посочени в член 13 от Регламент (ЕС) № 515/2014, и спешната помощ, посочена в член 14 от Регламент (ЕС) № 515/2014.</w:t>
      </w:r>
    </w:p>
    <w:p>
      <w:pPr>
        <w:spacing w:before="120" w:after="120" w:line="240" w:lineRule="auto"/>
        <w:ind w:left="860"/>
        <w:jc w:val="both"/>
        <w:rPr>
          <w:rFonts w:ascii="Times New Roman" w:hAnsi="Times New Roman" w:cs="Times New Roman"/>
          <w:noProof/>
          <w:sz w:val="24"/>
          <w:lang w:val="bg-BG"/>
        </w:rPr>
      </w:pPr>
      <w:r>
        <w:rPr>
          <w:rFonts w:ascii="Times New Roman" w:hAnsi="Times New Roman"/>
          <w:noProof/>
          <w:sz w:val="24"/>
          <w:lang w:val="bg-BG"/>
        </w:rPr>
        <w:t xml:space="preserve">Когато сумата, посочена в буква б), не бъде отпусната или не бъде изразходвана, Комисията, в съответствие с процедурата, посочена в член 5, параграф 5, буква б), втора алинея от Регламент (ЕС) № 515/2014, я преразпределя за специфичните действия, посочени в член 7 от Регламент (ЕС) № 515/2014. </w:t>
      </w:r>
    </w:p>
    <w:p>
      <w:pPr>
        <w:tabs>
          <w:tab w:val="num" w:pos="850"/>
        </w:tabs>
        <w:spacing w:before="120" w:after="120" w:line="240" w:lineRule="auto"/>
        <w:ind w:left="850" w:hanging="850"/>
        <w:jc w:val="both"/>
        <w:rPr>
          <w:rFonts w:ascii="Times New Roman" w:hAnsi="Times New Roman" w:cs="Times New Roman"/>
          <w:noProof/>
          <w:sz w:val="24"/>
          <w:lang w:val="bg-BG"/>
        </w:rPr>
      </w:pPr>
      <w:r>
        <w:rPr>
          <w:rFonts w:ascii="Times New Roman" w:hAnsi="Times New Roman"/>
          <w:noProof/>
          <w:sz w:val="24"/>
          <w:lang w:val="bg-BG"/>
        </w:rPr>
        <w:t>3.</w:t>
      </w:r>
      <w:r>
        <w:rPr>
          <w:rFonts w:ascii="Times New Roman" w:hAnsi="Times New Roman"/>
          <w:noProof/>
          <w:sz w:val="24"/>
          <w:lang w:val="bg-BG"/>
        </w:rPr>
        <w:tab/>
        <w:t>Допълнителните суми, определени за средносрочния преглед, действията на Съюза, специфичните действия или програмата за разработване на информационни системи, се използват в съответствие с процедурата, предвидена за тази цел в една от следните разпоредби:</w:t>
      </w:r>
    </w:p>
    <w:p>
      <w:pPr>
        <w:pStyle w:val="Point1letter"/>
        <w:numPr>
          <w:ilvl w:val="3"/>
          <w:numId w:val="20"/>
        </w:numPr>
        <w:rPr>
          <w:noProof/>
          <w:lang w:val="bg-BG"/>
        </w:rPr>
      </w:pPr>
      <w:r>
        <w:rPr>
          <w:noProof/>
          <w:lang w:val="bg-BG"/>
        </w:rPr>
        <w:t>член 6, параграф 2 от Регламент (ЕС) № 514/2014;</w:t>
      </w:r>
    </w:p>
    <w:p>
      <w:pPr>
        <w:pStyle w:val="Point1letter"/>
        <w:numPr>
          <w:ilvl w:val="3"/>
          <w:numId w:val="20"/>
        </w:numPr>
        <w:rPr>
          <w:noProof/>
          <w:lang w:val="bg-BG"/>
        </w:rPr>
      </w:pPr>
      <w:r>
        <w:rPr>
          <w:noProof/>
          <w:lang w:val="bg-BG"/>
        </w:rPr>
        <w:t xml:space="preserve">член 8, параграф 7 от Регламент (ЕС) № 515/2014; </w:t>
      </w:r>
    </w:p>
    <w:p>
      <w:pPr>
        <w:pStyle w:val="Point1letter"/>
        <w:numPr>
          <w:ilvl w:val="3"/>
          <w:numId w:val="20"/>
        </w:numPr>
        <w:rPr>
          <w:noProof/>
          <w:lang w:val="bg-BG"/>
        </w:rPr>
      </w:pPr>
      <w:r>
        <w:rPr>
          <w:noProof/>
          <w:lang w:val="bg-BG"/>
        </w:rPr>
        <w:t>член 7, параграф 3 от Регламент (ЕС) № 515/2014;</w:t>
      </w:r>
    </w:p>
    <w:p>
      <w:pPr>
        <w:pStyle w:val="Point1letter"/>
        <w:numPr>
          <w:ilvl w:val="3"/>
          <w:numId w:val="20"/>
        </w:numPr>
        <w:rPr>
          <w:noProof/>
          <w:lang w:val="bg-BG"/>
        </w:rPr>
      </w:pPr>
      <w:r>
        <w:rPr>
          <w:noProof/>
          <w:lang w:val="bg-BG"/>
        </w:rPr>
        <w:t xml:space="preserve">член 15, втора алинея от Регламент (ЕС) № 515/2014. </w:t>
      </w:r>
    </w:p>
    <w:p>
      <w:pPr>
        <w:spacing w:before="120" w:after="120" w:line="240" w:lineRule="auto"/>
        <w:ind w:left="709" w:hanging="709"/>
        <w:jc w:val="both"/>
        <w:rPr>
          <w:rFonts w:ascii="Times New Roman" w:hAnsi="Times New Roman" w:cs="Times New Roman"/>
          <w:noProof/>
          <w:sz w:val="24"/>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Всяка година Комисията може да използва до 4076 EUR от плащанията, направени от Исландия, за финансиране на административните разходи, свързани с вътрешния или външния персонал, необходим за осигуряване на подкрепа за изпълнението от страна на Исландия на Регламент (ЕС) № 515/2014 и на настоящото споразумение.</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12</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Поверителност</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Информацията, съобщена или получена под каквато и да е форма по настоящото споразумение, представлява професионална тайна и е защитена по същия начин, по който сходна информация е защитена от разпоредбите, които се прилагат по отношение на институциите на Съюза, и от законите на Исландия. Тази информация не се съобщава на други лица, освен тези в институциите на Съюза, в държавите членки или в Исландия, чиито служебни задължения изискват те да са запознати с нея, нито може да бъде използвана за цели, различни от това да се осигури ефективна защита на финансовите интереси на страните.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13</w:t>
      </w:r>
    </w:p>
    <w:p>
      <w:pPr>
        <w:spacing w:before="120" w:after="120" w:line="240" w:lineRule="auto"/>
        <w:jc w:val="center"/>
        <w:rPr>
          <w:rFonts w:ascii="Times New Roman" w:hAnsi="Times New Roman" w:cs="Times New Roman"/>
          <w:i/>
          <w:noProof/>
          <w:sz w:val="24"/>
          <w:szCs w:val="24"/>
          <w:lang w:val="bg-BG"/>
        </w:rPr>
      </w:pPr>
      <w:r>
        <w:rPr>
          <w:rFonts w:ascii="Times New Roman" w:hAnsi="Times New Roman"/>
          <w:i/>
          <w:noProof/>
          <w:sz w:val="24"/>
          <w:lang w:val="bg-BG"/>
        </w:rPr>
        <w:t xml:space="preserve">Определяне на отговорния орган </w:t>
      </w:r>
    </w:p>
    <w:p>
      <w:pPr>
        <w:tabs>
          <w:tab w:val="left" w:pos="850"/>
        </w:tabs>
        <w:spacing w:before="120" w:after="120" w:line="240" w:lineRule="auto"/>
        <w:ind w:left="860" w:hanging="860"/>
        <w:jc w:val="both"/>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Възможно най-скоро след одобрението на националната програма Исландия нотифицира Комисията за формалното определяне на министерско равнище на отговорния орган, който отговаря за управлението и контрола на разходите по инструмента за финансово подпомагане за външните граници и визите. </w:t>
      </w:r>
    </w:p>
    <w:p>
      <w:pPr>
        <w:tabs>
          <w:tab w:val="left" w:pos="850"/>
        </w:tabs>
        <w:spacing w:before="120" w:after="120" w:line="240" w:lineRule="auto"/>
        <w:ind w:left="860" w:hanging="860"/>
        <w:jc w:val="both"/>
        <w:rPr>
          <w:rFonts w:ascii="Times New Roman" w:eastAsia="Times New Roman" w:hAnsi="Times New Roman" w:cs="Times New Roman"/>
          <w:bCs/>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Посоченото в параграф 1 определяне се извършва, при условие че органът отговаря на критериите за определяне, установени в Регламент (ЕС) № 514/2014 или въз основа на него, по отношение на вътрешната среда, контролните дейности, информацията, комуникацията и наблюдението.</w:t>
      </w:r>
    </w:p>
    <w:p>
      <w:pPr>
        <w:tabs>
          <w:tab w:val="left" w:pos="850"/>
        </w:tabs>
        <w:spacing w:before="120" w:after="120" w:line="240" w:lineRule="auto"/>
        <w:ind w:left="860" w:hanging="860"/>
        <w:jc w:val="both"/>
        <w:rPr>
          <w:rFonts w:ascii="Times New Roman" w:eastAsia="Times New Roman" w:hAnsi="Times New Roman" w:cs="Times New Roman"/>
          <w:b/>
          <w:noProof/>
          <w:sz w:val="24"/>
          <w:szCs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Определянето на отговорен орган се основава на становище на одитен орган, който може да бъде одитният орган, оценяващ доколко отговорният орган отговаря на критериите за определянето му като такъв. Този орган може да бъде независима публична институция, отговаряща за наблюдението, оценяването и одита на администрацията. Одитният орган функционира независимо от отговорния орган и извършва работата си съгласно международно възприетите одиторски стандарти.</w:t>
      </w:r>
      <w:r>
        <w:rPr>
          <w:rFonts w:ascii="Times New Roman" w:hAnsi="Times New Roman"/>
          <w:b/>
          <w:noProof/>
          <w:sz w:val="24"/>
          <w:lang w:val="bg-BG"/>
        </w:rPr>
        <w:t xml:space="preserve"> </w:t>
      </w:r>
      <w:r>
        <w:rPr>
          <w:rFonts w:ascii="Times New Roman" w:hAnsi="Times New Roman"/>
          <w:noProof/>
          <w:sz w:val="24"/>
          <w:lang w:val="bg-BG"/>
        </w:rPr>
        <w:t>Исландия може да вземе решението си за определяне на отговорния орган въз основа на това дали системите за управление и контрол са по същество същите като тези от предходния период и дали са функционирали ефективно.</w:t>
      </w:r>
      <w:r>
        <w:rPr>
          <w:rFonts w:ascii="Times New Roman" w:hAnsi="Times New Roman"/>
          <w:b/>
          <w:noProof/>
          <w:sz w:val="24"/>
          <w:lang w:val="bg-BG"/>
        </w:rPr>
        <w:t xml:space="preserve"> </w:t>
      </w:r>
      <w:r>
        <w:rPr>
          <w:rFonts w:ascii="Times New Roman" w:hAnsi="Times New Roman"/>
          <w:noProof/>
          <w:sz w:val="24"/>
          <w:lang w:val="bg-BG"/>
        </w:rPr>
        <w:t>Ако резултатите от одитите и контрола показват, че определеният орган вече не отговаря на критериите за определяне, Исландия взема необходимите мерки за отстраняване на слабостите при изпълнението на задачите на този орган, включително чрез прекратяване на статута му на определен орган.</w:t>
      </w:r>
      <w:r>
        <w:rPr>
          <w:rFonts w:ascii="Times New Roman" w:hAnsi="Times New Roman"/>
          <w:b/>
          <w:noProof/>
          <w:sz w:val="24"/>
          <w:lang w:val="bg-BG"/>
        </w:rPr>
        <w:t xml:space="preserve">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14</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 xml:space="preserve">Определение за финансова година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За целите на настоящото споразумение, съгласно член 60, параграф 5</w:t>
      </w:r>
      <w:r>
        <w:rPr>
          <w:rFonts w:ascii="Times New Roman" w:hAnsi="Times New Roman"/>
          <w:noProof/>
          <w:color w:val="FF0000"/>
          <w:sz w:val="24"/>
          <w:lang w:val="bg-BG"/>
        </w:rPr>
        <w:t xml:space="preserve"> </w:t>
      </w:r>
      <w:r>
        <w:rPr>
          <w:rFonts w:ascii="Times New Roman" w:hAnsi="Times New Roman"/>
          <w:noProof/>
          <w:sz w:val="24"/>
          <w:lang w:val="bg-BG"/>
        </w:rPr>
        <w:t>от Регламент (ЕС, Евратом) № 966/2012, финансовата година обхваща платените разходи и получените и вписани в сметките на отговорния орган приходи през периода, който започва на 16 октомври през година N-1 и приключва на 15 октомври през година N.</w:t>
      </w:r>
    </w:p>
    <w:p>
      <w:pPr>
        <w:spacing w:before="480" w:after="120" w:line="240" w:lineRule="auto"/>
        <w:jc w:val="center"/>
        <w:rPr>
          <w:rFonts w:ascii="Times New Roman" w:hAnsi="Times New Roman" w:cs="Times New Roman"/>
          <w:i/>
          <w:noProof/>
          <w:sz w:val="24"/>
          <w:szCs w:val="24"/>
          <w:lang w:val="bg-BG"/>
        </w:rPr>
      </w:pPr>
      <w:r>
        <w:rPr>
          <w:rFonts w:ascii="Times New Roman" w:hAnsi="Times New Roman"/>
          <w:i/>
          <w:noProof/>
          <w:sz w:val="24"/>
          <w:lang w:val="bg-BG"/>
        </w:rPr>
        <w:t>Член 15</w:t>
      </w:r>
    </w:p>
    <w:p>
      <w:pPr>
        <w:spacing w:before="120" w:after="120" w:line="240" w:lineRule="auto"/>
        <w:jc w:val="center"/>
        <w:rPr>
          <w:rFonts w:ascii="Times New Roman" w:hAnsi="Times New Roman" w:cs="Times New Roman"/>
          <w:i/>
          <w:noProof/>
          <w:sz w:val="24"/>
          <w:szCs w:val="24"/>
          <w:lang w:val="bg-BG"/>
        </w:rPr>
      </w:pPr>
      <w:r>
        <w:rPr>
          <w:rFonts w:ascii="Times New Roman" w:hAnsi="Times New Roman"/>
          <w:i/>
          <w:noProof/>
          <w:sz w:val="24"/>
          <w:lang w:val="bg-BG"/>
        </w:rPr>
        <w:t>Допустимост на разходите</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Чрез дерогация от член 17, параграф 3, буква б) и член 17, параграф 4 от Регламент (ЕС) № 514/2014 разходите са допустими, когато са платени от отговорния орган преди формалното му определяне в съответствие с член 13 от настоящото споразумение, при условие че системите за управление и контрол, прилагани преди формалното определяне на отговорния орган, не се различават по същество от тези, действащи след формалното му определяне.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16</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 xml:space="preserve">Искане за плащане на годишното салдо </w:t>
      </w:r>
    </w:p>
    <w:p>
      <w:pPr>
        <w:spacing w:before="120" w:after="120" w:line="240" w:lineRule="auto"/>
        <w:ind w:left="860" w:hanging="860"/>
        <w:jc w:val="both"/>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До 15 февруари на годината, следваща финансовата година, Исландия представя на Комисията документите и информацията, изисквани по член 60, параграф 5, първа алинея, букви б) и в) от Регламент (ЕС, Евратом) № 966/2012.</w:t>
      </w:r>
    </w:p>
    <w:p>
      <w:pPr>
        <w:spacing w:before="120" w:after="120" w:line="240" w:lineRule="auto"/>
        <w:ind w:left="860"/>
        <w:jc w:val="both"/>
        <w:rPr>
          <w:rFonts w:ascii="Times New Roman" w:eastAsia="Times New Roman" w:hAnsi="Times New Roman" w:cs="Times New Roman"/>
          <w:noProof/>
          <w:sz w:val="24"/>
          <w:szCs w:val="24"/>
          <w:lang w:val="bg-BG"/>
        </w:rPr>
      </w:pPr>
      <w:r>
        <w:rPr>
          <w:rFonts w:ascii="Times New Roman" w:hAnsi="Times New Roman"/>
          <w:noProof/>
          <w:sz w:val="24"/>
          <w:lang w:val="bg-BG"/>
        </w:rPr>
        <w:t>Чрез дерогация от член 44, параграф 1 от Регламент (ЕС) № 514/2014 и в съответствие с член 60, параграф 5, трета алинея от Регламент (ЕС, Евратом) № 966/2012 Исландия представя на Комисията становището, посочено в член 60, параграф 5, втора алинея от Регламент (ЕС, Евратом) № 966/2012, до 15 март на годината, следваща съответната финансова година.</w:t>
      </w:r>
    </w:p>
    <w:p>
      <w:pPr>
        <w:spacing w:before="120" w:after="120" w:line="240" w:lineRule="auto"/>
        <w:ind w:left="860"/>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Представените документи, посочени в настоящия параграф, служат като искане за плащане на годишното салдо. </w:t>
      </w:r>
    </w:p>
    <w:p>
      <w:pPr>
        <w:spacing w:before="120" w:after="120" w:line="240" w:lineRule="auto"/>
        <w:ind w:left="860" w:hanging="860"/>
        <w:jc w:val="both"/>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Посочените в параграф 1 документи се изготвят в съответствие с образците, приети от Комисията въз основа на член 44, параграф 3 от Регламент (ЕС) № 514/2014. </w:t>
      </w:r>
    </w:p>
    <w:p>
      <w:pPr>
        <w:spacing w:before="480" w:after="120" w:line="240" w:lineRule="auto"/>
        <w:jc w:val="center"/>
        <w:rPr>
          <w:rFonts w:ascii="Times New Roman" w:eastAsia="Times New Roman" w:hAnsi="Times New Roman" w:cs="Times New Roman"/>
          <w:i/>
          <w:noProof/>
          <w:sz w:val="24"/>
          <w:szCs w:val="24"/>
          <w:lang w:val="bg-BG"/>
        </w:rPr>
      </w:pPr>
      <w:r>
        <w:rPr>
          <w:rFonts w:ascii="Times New Roman" w:hAnsi="Times New Roman"/>
          <w:i/>
          <w:noProof/>
          <w:sz w:val="24"/>
          <w:lang w:val="bg-BG"/>
        </w:rPr>
        <w:t>Член 17</w:t>
      </w:r>
    </w:p>
    <w:p>
      <w:pPr>
        <w:spacing w:before="120" w:after="120" w:line="240" w:lineRule="auto"/>
        <w:jc w:val="center"/>
        <w:rPr>
          <w:rFonts w:ascii="Times New Roman" w:hAnsi="Times New Roman" w:cs="Times New Roman"/>
          <w:i/>
          <w:noProof/>
          <w:sz w:val="24"/>
          <w:szCs w:val="24"/>
          <w:lang w:val="bg-BG"/>
        </w:rPr>
      </w:pPr>
      <w:r>
        <w:rPr>
          <w:rFonts w:ascii="Times New Roman" w:hAnsi="Times New Roman"/>
          <w:i/>
          <w:noProof/>
          <w:sz w:val="24"/>
          <w:lang w:val="bg-BG"/>
        </w:rPr>
        <w:t xml:space="preserve">Доклад за изпълнението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Чрез дерогация от член 54, параграф 1 от Регламент (ЕС) № 514/2014 и в съответствие с член 60, параграф 5, трета алинея от Регламент (ЕС, Евратом) № 966/2012 до 15 февруари на всяка година до 2022 г. включително Исландия представя на Комисията годишен доклад относно изпълнението на националната програма през предишната финансова година и може да публикува тази информация на подходящото ниво.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Първият годишен доклад за изпълнението на националната програма се представя на 15 февруари след влизането в сила на настоящото споразумение или след началото на временното му прилагане.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Първият доклад обхваща финансовите години от 2014 г. до финансовата година, предшестваща годината на първия годишен доклад в съответствие с втората алинея. Исландия представя окончателен доклад за изпълнението на националната програма до 31 декември 2023 г.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18</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Електронна система за обмен на данни</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В съответствие с член 24, параграф 5 от Регламент (ЕС) № 514/2014 всеки официален обмен на информация между Исландия и Комисията се извършва посредством електронна система за обмен на данни, предоставена от Комисията за тази цел.</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19</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Влизане в сила</w:t>
      </w:r>
    </w:p>
    <w:p>
      <w:pPr>
        <w:pStyle w:val="NumPar1"/>
        <w:numPr>
          <w:ilvl w:val="0"/>
          <w:numId w:val="17"/>
        </w:numPr>
        <w:rPr>
          <w:noProof/>
          <w:lang w:val="bg-BG"/>
        </w:rPr>
      </w:pPr>
      <w:r>
        <w:rPr>
          <w:noProof/>
          <w:lang w:val="bg-BG"/>
        </w:rPr>
        <w:t>Генералният секретар на Съвета на Европейския съюз е депозитар на настоящото споразумение.</w:t>
      </w:r>
    </w:p>
    <w:p>
      <w:pPr>
        <w:numPr>
          <w:ilvl w:val="0"/>
          <w:numId w:val="1"/>
        </w:numPr>
        <w:spacing w:before="120"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Страните одобряват настоящото споразумение в съответствие със собствените си процедури. Страните се нотифицират взаимно за приключването на тези процедури.</w:t>
      </w:r>
    </w:p>
    <w:p>
      <w:pPr>
        <w:numPr>
          <w:ilvl w:val="0"/>
          <w:numId w:val="1"/>
        </w:numPr>
        <w:spacing w:before="120"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Настоящото споразумение влиза в сила на първия ден от първия месец, следващ деня на последната нотификация, посочена в параграф 2.</w:t>
      </w:r>
    </w:p>
    <w:p>
      <w:pPr>
        <w:numPr>
          <w:ilvl w:val="0"/>
          <w:numId w:val="1"/>
        </w:numPr>
        <w:spacing w:before="120"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 xml:space="preserve">Страните прилагат временно настоящото споразумение, с изключение на член 5, от деня след деня на подписването му, без да се засягат конституционните им изисквания.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20</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Валидност и прекратяване</w:t>
      </w:r>
    </w:p>
    <w:p>
      <w:pPr>
        <w:pStyle w:val="NumPar1"/>
        <w:numPr>
          <w:ilvl w:val="0"/>
          <w:numId w:val="18"/>
        </w:numPr>
        <w:rPr>
          <w:noProof/>
          <w:lang w:val="bg-BG"/>
        </w:rPr>
      </w:pPr>
      <w:r>
        <w:rPr>
          <w:noProof/>
          <w:lang w:val="bg-BG"/>
        </w:rPr>
        <w:t>Както Съюзът, така и Исландия могат да прекратят настоящото споразумение, като нотифицират другата страна за решението си. Споразумението престава да се прилага три месеца след датата на тази нотификация. Изпълнението на текущите проекти и дейности към момента на прекратяването продължава при условията, предвидени в настоящото споразумение. Страните уреждат по взаимно съгласие всички други последици от прекратяването.</w:t>
      </w:r>
    </w:p>
    <w:p>
      <w:pPr>
        <w:numPr>
          <w:ilvl w:val="0"/>
          <w:numId w:val="1"/>
        </w:num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 xml:space="preserve">Настоящото споразумение се прекратява при прекратяване на Споразумението за асоцииране с Исландия и Норвегия в съответствие с член 8, параграф 4, член 11, параграф 3 или член 16 от Споразумението за асоцииране с Исландия и Норвегия.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21</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Езици</w:t>
      </w:r>
    </w:p>
    <w:p>
      <w:pPr>
        <w:spacing w:before="120" w:after="120" w:line="240" w:lineRule="auto"/>
        <w:jc w:val="both"/>
        <w:outlineLvl w:val="0"/>
        <w:rPr>
          <w:rFonts w:ascii="Times New Roman" w:hAnsi="Times New Roman" w:cs="Times New Roman"/>
          <w:noProof/>
          <w:sz w:val="24"/>
          <w:szCs w:val="24"/>
          <w:lang w:val="bg-BG"/>
        </w:rPr>
      </w:pPr>
      <w:r>
        <w:rPr>
          <w:rFonts w:ascii="Times New Roman" w:hAnsi="Times New Roman"/>
          <w:noProof/>
          <w:sz w:val="24"/>
          <w:lang w:val="bg-BG"/>
        </w:rPr>
        <w:t xml:space="preserve">Настоящото споразумение се съставя в един оригинал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исландски език, като всички текстове са еднакво автентични. </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Съставено в Брюксел на … (ден) … (месец) … (година).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3686"/>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Европейския съюз</w:t>
      </w:r>
      <w:r>
        <w:rPr>
          <w:noProof/>
          <w:lang w:val="bg-BG"/>
        </w:rPr>
        <w:tab/>
      </w:r>
      <w:r>
        <w:rPr>
          <w:rFonts w:ascii="Times New Roman" w:hAnsi="Times New Roman"/>
          <w:noProof/>
          <w:sz w:val="24"/>
          <w:lang w:val="bg-BG"/>
        </w:rPr>
        <w:t>За Исландия</w:t>
      </w:r>
    </w:p>
    <w:p>
      <w:pPr>
        <w:spacing w:before="120" w:after="120" w:line="240" w:lineRule="auto"/>
        <w:jc w:val="center"/>
        <w:outlineLvl w:val="0"/>
        <w:rPr>
          <w:rFonts w:ascii="Times New Roman" w:hAnsi="Times New Roman" w:cs="Times New Roman"/>
          <w:noProof/>
          <w:sz w:val="24"/>
          <w:szCs w:val="24"/>
          <w:lang w:val="bg-BG"/>
        </w:rPr>
      </w:pPr>
      <w:r>
        <w:rPr>
          <w:noProof/>
          <w:lang w:val="bg-BG"/>
        </w:rPr>
        <w:br w:type="page"/>
      </w:r>
      <w:r>
        <w:rPr>
          <w:rFonts w:ascii="Times New Roman" w:hAnsi="Times New Roman"/>
          <w:noProof/>
          <w:sz w:val="24"/>
          <w:lang w:val="bg-BG"/>
        </w:rPr>
        <w:t xml:space="preserve">ПРИЛОЖЕНИЕ </w:t>
      </w:r>
    </w:p>
    <w:p>
      <w:pPr>
        <w:spacing w:before="120" w:after="480" w:line="240" w:lineRule="auto"/>
        <w:jc w:val="center"/>
        <w:rPr>
          <w:rFonts w:ascii="Times New Roman" w:hAnsi="Times New Roman" w:cs="Times New Roman"/>
          <w:caps/>
          <w:noProof/>
          <w:sz w:val="24"/>
          <w:szCs w:val="24"/>
          <w:lang w:val="bg-BG"/>
        </w:rPr>
      </w:pPr>
      <w:r>
        <w:rPr>
          <w:rFonts w:ascii="Times New Roman" w:hAnsi="Times New Roman"/>
          <w:caps/>
          <w:noProof/>
          <w:sz w:val="24"/>
          <w:lang w:val="bg-BG"/>
        </w:rPr>
        <w:t>Формула за изчисляване на финансовия принос за годините 2019 и 2020 и данни за плащането</w:t>
      </w:r>
    </w:p>
    <w:p>
      <w:pPr>
        <w:spacing w:before="120" w:after="120" w:line="240" w:lineRule="auto"/>
        <w:jc w:val="both"/>
        <w:rPr>
          <w:rFonts w:ascii="Times New Roman" w:hAnsi="Times New Roman" w:cs="Times New Roman"/>
          <w:noProof/>
          <w:sz w:val="16"/>
          <w:lang w:val="bg-BG"/>
        </w:rPr>
      </w:pPr>
      <w:r>
        <w:rPr>
          <w:rFonts w:ascii="Times New Roman" w:hAnsi="Times New Roman"/>
          <w:noProof/>
          <w:sz w:val="24"/>
          <w:lang w:val="bg-BG"/>
        </w:rPr>
        <w:t xml:space="preserve">Финансовият принос на Исландия за инструмента за финансово подпомагане за външните граници и визите, посочен в член 5, параграф 7, втора и трета алинея от Регламент № 515/2014, се изчислява за годините 2019 и 2020, както следва: </w:t>
      </w:r>
    </w:p>
    <w:p>
      <w:pPr>
        <w:spacing w:before="120" w:after="120" w:line="240" w:lineRule="auto"/>
        <w:ind w:left="426"/>
        <w:jc w:val="both"/>
        <w:rPr>
          <w:rFonts w:ascii="Times New Roman" w:hAnsi="Times New Roman" w:cs="Times New Roman"/>
          <w:noProof/>
          <w:sz w:val="24"/>
          <w:szCs w:val="24"/>
          <w:lang w:val="bg-BG"/>
        </w:rPr>
      </w:pPr>
      <w:r>
        <w:rPr>
          <w:rFonts w:ascii="Times New Roman" w:hAnsi="Times New Roman"/>
          <w:noProof/>
          <w:sz w:val="24"/>
          <w:lang w:val="bg-BG"/>
        </w:rPr>
        <w:t>За всяка отделна година в периода между 2013 г. и 2017 г. окончателната стойност на брутния вътрешен продукт (БВП) на Исландия, налична към 31 март 2019 г., се разделя на сбора на наличната за съответната година стойност на БВП на всички държави, участващи в инструмента за финансово подпомагане за външните граници и визите. Средната стойност на получените пет процентни стойности за годините от 2013 до 2017 г. се прилага към сумата на действителните годишни бюджетни кредити за инструмента за финансово подпомагане за външните граници и визите за годините от 2014 до 2019 г. и годишните бюджетни кредити за поети задължения за инструмента за финансово подпомагане за външните граници и визите за 2020 г., включени в проекта на общ бюджет на Европейския съюз за 2020 г., приет от Комисията, за да се получи общата сума за плащане от Исландия през целия период на изпълнение на инструмента за финансово подпомагане за външните граници и визите. За да се получи общата сума на дължимите вноски за годините 2019 и 2020, от посочената по-горе сума трябва да се извадят действително извършените от Исландия годишни плащания в съответствие с член 10, параграф 1 от настоящото споразумение. Половината от тази обща сума се изплаща през 2019 г., а другата половина — през 2020 г.</w:t>
      </w:r>
    </w:p>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Финансовият принос се плаща в евро.</w:t>
      </w:r>
    </w:p>
    <w:p>
      <w:p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 xml:space="preserve">Исландия плаща съответния финансов принос не по-късно от 45 дни след получаване на дебитното известие. Всяко забавяне на плащането на приноса поражда наказателна лихва, дължима върху неизплатената сума от датата на падежа. Лихвеният процент е процентът, прилаган от Европейската централна банка по отношение на нейните основни операции по рефинансиране, който е публикуван в серия С на </w:t>
      </w:r>
      <w:r>
        <w:rPr>
          <w:rFonts w:ascii="Times New Roman" w:hAnsi="Times New Roman"/>
          <w:i/>
          <w:noProof/>
          <w:sz w:val="24"/>
          <w:lang w:val="bg-BG"/>
        </w:rPr>
        <w:t>Официален вестник на Европейския съюз</w:t>
      </w:r>
      <w:r>
        <w:rPr>
          <w:rFonts w:ascii="Times New Roman" w:hAnsi="Times New Roman"/>
          <w:noProof/>
          <w:sz w:val="24"/>
          <w:lang w:val="bg-BG"/>
        </w:rPr>
        <w:t xml:space="preserve"> и е в сила на първия календарен ден от месеците, през които се пада крайният срок, увеличен с 3,5 процентни пункта.</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cs="Arial"/>
        <w:b/>
      </w:rPr>
    </w:pPr>
    <w: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lang w:val="bg-BG"/>
        </w:rPr>
      </w:pPr>
      <w:r>
        <w:rPr>
          <w:rStyle w:val="FootnoteReference"/>
          <w:lang w:val="bg-BG"/>
        </w:rPr>
        <w:footnoteRef/>
      </w:r>
      <w:r>
        <w:rPr>
          <w:lang w:val="bg-BG"/>
        </w:rPr>
        <w:tab/>
      </w:r>
      <w:r>
        <w:rPr>
          <w:rFonts w:ascii="Times New Roman" w:hAnsi="Times New Roman"/>
          <w:lang w:val="bg-BG"/>
        </w:rPr>
        <w:t xml:space="preserve">ОВ L 176, 10.7.1999 г., стр. 36. </w:t>
      </w:r>
    </w:p>
  </w:footnote>
  <w:footnote w:id="2">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 ОВ L 150, 20.5.2014 г., стр. 143).</w:t>
      </w:r>
    </w:p>
  </w:footnote>
  <w:footnote w:id="3">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 ОВ L 150, 20.5.2014 г., стр. 112).</w:t>
      </w:r>
    </w:p>
  </w:footnote>
  <w:footnote w:id="4">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 последно изменен с Регламент (ЕС, Евратом) № 547/2014 от 15 май 2014 г. (ОВ L 163, 29.5.2014, стр. 18).</w:t>
      </w:r>
    </w:p>
  </w:footnote>
  <w:footnote w:id="5">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Делегиран регламент (ЕС) № 1268/2012 на Комисията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6">
    <w:p>
      <w:pPr>
        <w:pStyle w:val="FootnoteText"/>
        <w:ind w:left="720" w:hanging="720"/>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(Евратом, ЕО) № 2185/96 на Съвета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7">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8">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ОВ L 1, 3.1.1994 г., стр.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74AC"/>
    <w:multiLevelType w:val="hybridMultilevel"/>
    <w:tmpl w:val="95381B4E"/>
    <w:lvl w:ilvl="0" w:tplc="BC7A2B42">
      <w:start w:val="1"/>
      <mc:AlternateContent>
        <mc:Choice Requires="w14">
          <w:numFmt w:val="custom" w:format="а, й, к, ..."/>
        </mc:Choice>
        <mc:Fallback>
          <w:numFmt w:val="decimal"/>
        </mc:Fallback>
      </mc:AlternateContent>
      <w:lvlText w:val="%1)"/>
      <w:lvlJc w:val="left"/>
      <w:pPr>
        <w:ind w:left="1580" w:hanging="360"/>
      </w:pPr>
      <w:rPr>
        <w:rFonts w:hint="default"/>
      </w:rPr>
    </w:lvl>
    <w:lvl w:ilvl="1" w:tplc="08090019">
      <w:start w:val="1"/>
      <w:numFmt w:val="lowerLetter"/>
      <w:lvlText w:val="%2."/>
      <w:lvlJc w:val="left"/>
      <w:pPr>
        <w:ind w:left="2300" w:hanging="360"/>
      </w:pPr>
    </w:lvl>
    <w:lvl w:ilvl="2" w:tplc="0809001B" w:tentative="1">
      <w:start w:val="1"/>
      <w:numFmt w:val="lowerRoman"/>
      <w:lvlText w:val="%3."/>
      <w:lvlJc w:val="right"/>
      <w:pPr>
        <w:ind w:left="3020" w:hanging="180"/>
      </w:pPr>
    </w:lvl>
    <w:lvl w:ilvl="3" w:tplc="0809000F" w:tentative="1">
      <w:start w:val="1"/>
      <w:numFmt w:val="decimal"/>
      <w:lvlText w:val="%4."/>
      <w:lvlJc w:val="left"/>
      <w:pPr>
        <w:ind w:left="3740" w:hanging="360"/>
      </w:pPr>
    </w:lvl>
    <w:lvl w:ilvl="4" w:tplc="08090019" w:tentative="1">
      <w:start w:val="1"/>
      <w:numFmt w:val="lowerLetter"/>
      <w:lvlText w:val="%5."/>
      <w:lvlJc w:val="left"/>
      <w:pPr>
        <w:ind w:left="4460" w:hanging="360"/>
      </w:pPr>
    </w:lvl>
    <w:lvl w:ilvl="5" w:tplc="0809001B" w:tentative="1">
      <w:start w:val="1"/>
      <w:numFmt w:val="lowerRoman"/>
      <w:lvlText w:val="%6."/>
      <w:lvlJc w:val="right"/>
      <w:pPr>
        <w:ind w:left="5180" w:hanging="180"/>
      </w:pPr>
    </w:lvl>
    <w:lvl w:ilvl="6" w:tplc="0809000F" w:tentative="1">
      <w:start w:val="1"/>
      <w:numFmt w:val="decimal"/>
      <w:lvlText w:val="%7."/>
      <w:lvlJc w:val="left"/>
      <w:pPr>
        <w:ind w:left="5900" w:hanging="360"/>
      </w:pPr>
    </w:lvl>
    <w:lvl w:ilvl="7" w:tplc="08090019" w:tentative="1">
      <w:start w:val="1"/>
      <w:numFmt w:val="lowerLetter"/>
      <w:lvlText w:val="%8."/>
      <w:lvlJc w:val="left"/>
      <w:pPr>
        <w:ind w:left="6620" w:hanging="360"/>
      </w:pPr>
    </w:lvl>
    <w:lvl w:ilvl="8" w:tplc="0809001B" w:tentative="1">
      <w:start w:val="1"/>
      <w:numFmt w:val="lowerRoman"/>
      <w:lvlText w:val="%9."/>
      <w:lvlJc w:val="right"/>
      <w:pPr>
        <w:ind w:left="7340" w:hanging="18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8D01306"/>
    <w:multiLevelType w:val="multilevel"/>
    <w:tmpl w:val="2654C51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49FF7203"/>
    <w:multiLevelType w:val="multilevel"/>
    <w:tmpl w:val="814E1AC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mc:AlternateContent>
        <mc:Choice Requires="w14">
          <w:numFmt w:val="custom" w:format="а, й, к, ..."/>
        </mc:Choice>
        <mc:Fallback>
          <w:numFmt w:val="decimal"/>
        </mc:Fallback>
      </mc:AlternateContent>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5">
    <w:nsid w:val="599E3C6B"/>
    <w:multiLevelType w:val="multilevel"/>
    <w:tmpl w:val="320EB84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mc:AlternateContent>
        <mc:Choice Requires="w14">
          <w:numFmt w:val="custom" w:format="а, й, к, ..."/>
        </mc:Choice>
        <mc:Fallback>
          <w:numFmt w:val="decimal"/>
        </mc:Fallback>
      </mc:AlternateContent>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nsid w:val="5C5D1DE2"/>
    <w:multiLevelType w:val="multilevel"/>
    <w:tmpl w:val="2FDC5AA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mc:AlternateContent>
        <mc:Choice Requires="w14">
          <w:numFmt w:val="custom" w:format="а, й, к, ..."/>
        </mc:Choice>
        <mc:Fallback>
          <w:numFmt w:val="decimal"/>
        </mc:Fallback>
      </mc:AlternateContent>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5"/>
  </w:num>
  <w:num w:numId="13">
    <w:abstractNumId w:val="6"/>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653014386EAD41969099EEDDBF39AADD"/>
    <w:docVar w:name="LW_CROSSREFERENCE" w:val="&lt;UNUSED&gt;"/>
    <w:docVar w:name="LW_DocType" w:val="NORMAL"/>
    <w:docVar w:name="LW_EMISSION" w:val="8.5.2017"/>
    <w:docVar w:name="LW_EMISSION_ISODATE" w:val="2017-05-08"/>
    <w:docVar w:name="LW_EMISSION_LOCATION" w:val="BRX"/>
    <w:docVar w:name="LW_EMISSION_PREFIX" w:val="\u1041?\u1088?\u1102?\u1082?\u1089?\u1077?\u1083?,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7?\u1087?\u1086?\u1088?\u1072?\u1079?\u1091?\u1084?\u1077?\u1085?\u1080?\u1077? \u1084?\u1077?\u1078?\u1076?\u1091? \u1045?\u1074?\u1088?\u1086?\u1087?\u1077?\u1081?\u1089?\u1082?\u1080?\u1103? \u1089?\u1098?\u1102?\u1079? \u1080? \u1048?\u1089?\u1083?\u1072?\u1085?\u1076?\u1080?\u1103? \u1086?\u1090?\u1085?\u1086?\u1089?\u1085?\u1086? \u1076?\u1086?\u1087?\u1098?\u1083?\u1085?\u1080?\u1090?\u1077?\u1083?\u1085?\u1080?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 \u1075?."/>
    <w:docVar w:name="LW_PART_NBR" w:val="1"/>
    <w:docVar w:name="LW_PART_NBR_TOTAL" w:val="1"/>
    <w:docVar w:name="LW_REF.INST.NEW" w:val="COM"/>
    <w:docVar w:name="LW_REF.INST.NEW_ADOPTED" w:val="final"/>
    <w:docVar w:name="LW_REF.INST.NEW_TEXT" w:val="(2017) 207"/>
    <w:docVar w:name="LW_REF.INTERNE" w:val="&lt;UNUSED&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0972-2C4D-47E6-A3C4-25652882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3329</Words>
  <Characters>18382</Characters>
  <Application>Microsoft Office Word</Application>
  <DocSecurity>0</DocSecurity>
  <Lines>382</Lines>
  <Paragraphs>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DIGIT/A3</cp:lastModifiedBy>
  <cp:revision>27</cp:revision>
  <dcterms:created xsi:type="dcterms:W3CDTF">2017-04-26T08:09:00Z</dcterms:created>
  <dcterms:modified xsi:type="dcterms:W3CDTF">2017-05-02T16:09:00Z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