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DE46889CD6F941ADA58BD58EAFF3BB7C" style="width:450.8pt;height:393.2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rFonts w:eastAsia="Times New Roman"/>
          <w:noProof/>
        </w:rPr>
      </w:pPr>
      <w:r>
        <w:rPr>
          <w:noProof/>
        </w:rPr>
        <w:t>Полша е договорна страна по Конвенцията за опазване и управление на запасите от сайда в централната част на Берингово море (Конвенцията за Берингово море). В съответствие с член 6, параграф 9 от Акта за присъединяване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споразуменията за риболов, сключени от новите държави членки с трети страни, се управляват от Съюза и Съюзът следва да изпълнява решения, установени съгласно Конвенцията.</w:t>
      </w:r>
    </w:p>
    <w:p>
      <w:pPr>
        <w:rPr>
          <w:rFonts w:eastAsia="Times New Roman"/>
          <w:noProof/>
        </w:rPr>
      </w:pPr>
      <w:r>
        <w:rPr>
          <w:noProof/>
        </w:rPr>
        <w:t xml:space="preserve">В рамките на Конвенцията за Берингово море годишната Конференция на страните отговаря за установяването на международен режим за опазване, управление и оптимално използване на запасите от сайда в обхванатия от Конвенцията район. Освен това тя се стреми да възстанови запасите от сайда в Берингово море, които ще позволят постигането на техния максимален устойчив улов, а така също и да събира и анализира фактическата информация за сайда и други живи морски ресурси в Берингово море. </w:t>
      </w:r>
    </w:p>
    <w:p>
      <w:pPr>
        <w:rPr>
          <w:rFonts w:eastAsia="Times New Roman"/>
          <w:noProof/>
        </w:rPr>
      </w:pPr>
      <w:r>
        <w:rPr>
          <w:noProof/>
        </w:rPr>
        <w:t>Съгласно член 218, параграф 9 от Договора за функционирането на Европейския съюз позицията, която да бъде заета от името на Съюза в рамките на регионалните организации за управление на рибарството (RFMO), когато те имат за задача да приемат актове с правно действие, с изключение на актовете за допълнение или изменение на тяхната институционална рамка, се определя посредством решение на Съвета по предложение на Комисията.</w:t>
      </w:r>
    </w:p>
    <w:p>
      <w:pPr>
        <w:rPr>
          <w:rFonts w:eastAsia="Times New Roman"/>
          <w:noProof/>
        </w:rPr>
      </w:pPr>
      <w:r>
        <w:rPr>
          <w:noProof/>
        </w:rPr>
        <w:t>Такава позиция в рамките на регионалните организации за управление на рибарството (RFMO)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всяка годишна среща с неофициални документи на Комисията, които трябва да бъдат обсъдени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Конвенцията за Берингово море в Решение 11724/12 на Съвета от 29 юни 2012 г. се предвижда преразглеждане на позицията на Съюза преди годишната среща през 2016 г. Поради това с настоящото предложение се цели формулирането на позицията на Съюза в рамките на Конвенцията за Берингово море за периода 2017—2021 г. и съответно замяната на Решение 11724/12 на Съвета от 29 юни 2012 г., което се отнася за периода 2012—2016 г.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rPr>
          <w:rFonts w:eastAsia="Times New Roman"/>
          <w:noProof/>
        </w:rPr>
      </w:pPr>
      <w:r>
        <w:rPr>
          <w:noProof/>
        </w:rPr>
        <w:t>Настоящото преразглеждане е насочено към включването на принципите и насоките на новата обща политика в областта на рибарството (ОПОР),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също така целите на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Освен това позицията на Съюза беше коригирана в съответствие с Договора от Лисабон. </w:t>
      </w:r>
    </w:p>
    <w:p>
      <w:pPr>
        <w:rPr>
          <w:rFonts w:eastAsia="Times New Roman"/>
          <w:noProof/>
        </w:rPr>
      </w:pPr>
      <w:r>
        <w:rPr>
          <w:noProof/>
        </w:rPr>
        <w:t>Както и досегашната, изложената по-долу позиция съдържа принципи и насоки, а доколкото е необходимо — особеностите на Конвенцията за Берингово море. Освен това бе включена и стандартната процедура по ежегодното уточняване на позицията на Съюза, както беше поискано от държавите членки.</w:t>
      </w:r>
    </w:p>
    <w:p>
      <w:pPr>
        <w:rPr>
          <w:rFonts w:eastAsia="Times New Roman"/>
          <w:noProof/>
        </w:rPr>
      </w:pPr>
      <w:r>
        <w:rPr>
          <w:noProof/>
        </w:rPr>
        <w:t>С Решение 7277/16 на Съвета от 11 април 2016 г. Република Полша беше упълномощена да води преговори в интерес на Съюза за изменение на Конвенцията за Берингово море с цел Съюзът да стане договорна страна по Конвенцията. Този мандат се изпълнява в момента. Подразбира се, че с приемането на Съюза като пълноправна договорна страна по Конвенцията за Берингово море Република Полша ще оттегли членството си от Конвенцията.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rFonts w:eastAsia="Times New Roman"/>
          <w:noProof/>
        </w:rPr>
      </w:pPr>
      <w:r>
        <w:rPr>
          <w:noProof/>
        </w:rPr>
        <w:t xml:space="preserve">Решението по-долу се основава на Договора за функционирането на Европейския съюз, и по-специално на член 43, параграф 2 във връзка с член 218, параграф 9 от него, в който се предвижда, че Съветът, по предложение на Комисията, приема решение за определяне на позициите, които да бъдат заети от името на Съюза в рамките на орган, създаден със споразумение, когато този орган има за задача да приема актове с правно действие. Това се отнася за позицията, която Комисията да заеме от името на Съюза на Конференцията на страните по Конвенцията за Берингово море. </w:t>
      </w:r>
    </w:p>
    <w:p>
      <w:pPr>
        <w:rPr>
          <w:rFonts w:eastAsia="Times New Roman"/>
          <w:noProof/>
        </w:rPr>
      </w:pPr>
      <w:r>
        <w:rPr>
          <w:noProof/>
        </w:rPr>
        <w:t xml:space="preserve">Регламент (ЕС) № 1380/2013 на Европейския парламент и на Съвета е правното основание за определянето на принципите, които да бъдат отразени в настоящата позиция. </w:t>
      </w:r>
    </w:p>
    <w:p>
      <w:pPr>
        <w:rPr>
          <w:rFonts w:eastAsia="Times New Roman"/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Следното решение ще замени Решение 11724/12 на Съвета от 29 юни 2012 г., което се отнася за периода 2012—2016 г.</w:t>
      </w:r>
      <w:r>
        <w:rPr>
          <w:noProof/>
        </w:rPr>
        <w:tab/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rFonts w:eastAsia="Times New Roman"/>
          <w:noProof/>
        </w:rPr>
      </w:pPr>
      <w:r>
        <w:rPr>
          <w:noProof/>
        </w:rPr>
        <w:t>Съгласно член 218, параграф 9 от Договора за функционирането на Европейския съюз позицията, която да бъде заета от името на Съюза в рамките на регионалните организации за управление на рибарството (RFMO), когато те имат за задача да приемат актове с правно действие, с изключение на актовете за допълнение или изменение на тяхната институционална рамка, се определя посредством решение на Съвета по предложение на Комисията.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rPr>
          <w:rFonts w:eastAsia="Times New Roman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Не се прилага.</w:t>
      </w:r>
    </w:p>
    <w:p>
      <w:pPr>
        <w:rPr>
          <w:noProof/>
        </w:rPr>
        <w:sectPr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2017/0092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определяне на позицията, която да бъде заета от името на Европейския съюз на годишната Конференция на страните по Конвенцията за опазване и управление на запасите от сайда в централната част на Берингово море и за отмяна на Решение 11724/12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rFonts w:eastAsia="Times New Roman"/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rFonts w:eastAsia="Times New Roman"/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rFonts w:eastAsia="Times New Roman"/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В член 38 от Договора за функционирането на Европейския съюз във връзка с член 39, параграф 1, буква г) от него се предвижда, че една от целите на общата политика в областта на рибарството е да се гарантира сигурността на снабдяването.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член 2 от Регламент (ЕС) № 1380/2013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се предвижда, че общата политика в областта на рибарството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Освен това в него се предвижда, че Съюзът прилага подхода на предпазливост към управлението на рибарството и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В него се предвижда също така Съюзът да се стреми да вземе управленски мерки и мерки за опазване въз основа на най-добрите налични научни становища, да насърчава риболовни методи, които допринасят за по-селективен риболов и за избягване и намаляване, доколкото е възможно, на нежелания улов, за извършване на риболов със слабо въздействие върху морските екосистеми и рибните ресурси и за постепенно премахване на изхвърлянето на улов. Освен това в член 28 от Регламент (ЕС) № 1380/2013 изрично се предвижда тези принципи да се прилагат от Съюза в неговата външна политика.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Полша е договорна страна по Конвенцията за опазване и управление на запасите от сайда в централната част на Берингово море (наричана по-долу „Конвенцията за Берингово море“). Съюзът не е страна по Конвенцията. В съответствие с член 6, параграф 9 от Акта за присъединяване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споразуменията за риболов, сключени от новите държави членки с трети страни, се управляват от Съюза и Съюзът следва да изпълнява решения, установени съгласно Конвенцията.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С Решение 7277/16 на Съвета от 11 април 2016 г. Република Полша беше упълномощена да води преговори в интерес на Съюза за изменение на Конвенцията за Берингово море с цел Съюзът да стане договорна страна по Конвенцията. Този мандат се изпълнява в момента. Подразбира се, че с приемането на Съюза като пълноправна договорна страна по Конвенцията за Берингово море Република Полша ще оттегли членството си от Конвенцията. 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На 10 юли 2012 г. Съветът прие Решение 11724/12 за определяне на позицията, която да бъде заета от името на Съюза в рамките на Конвенцията за опазване и управление на запасите от сайда в централната част на Берингово море.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 xml:space="preserve">В Решение 11724/12 се предвижда, че определената там позиция е необходимо да бъде разгледана най-късно за годишната Конференция на страните по Конвенцията за Берингово море през 2016 г. Поради това е целесъобразно Решение 11724/12 да бъде отменено и да бъде заменено с ново решение. 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Предвид изменящия се характер на запасите от сайда в обхванатия от Конвенцията за Берингово море район и на произтичащата от това необходимост позицията на Съюза да бъде съобразена с някои новости, включително нови статистически, биологични и други данни, представени преди или по време на годишната Конференция на страните, трябва да бъдат установени процедури в съответствие с принципа на лоялно сътрудничество между институциите на Съюза, залегнал в член 13, параграф 2 от ДЕС, за ежегодното уточняване на позицията на Съюза.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Тъй като понастоящем ЕС не е страна по Конвенцията за Берингово море, Република Полша представлява ЕС на годишната Конференция на страните по Конвенцията за Берингово море. Поради това адресат на настоящото решение е Република Полша. 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 xml:space="preserve">След присъединяването на ЕС към Конвенцията за Берингово море, в съответствие с член 218 и член 3, параграф 1 от ДФЕС Комисията представлява ЕС на годишната Конференция на страните по Конвенцията за Берингово море. Поради това след този момент адресат на настоящото решение е Комисията. 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widowControl w:val="0"/>
        <w:spacing w:before="360" w:line="360" w:lineRule="auto"/>
        <w:rPr>
          <w:rFonts w:eastAsia="Times New Roman"/>
          <w:noProof/>
          <w:szCs w:val="20"/>
        </w:rPr>
      </w:pPr>
      <w:r>
        <w:rPr>
          <w:noProof/>
        </w:rPr>
        <w:t xml:space="preserve">Позицията на Европейския съюз на годишната Конференция на страните по Конвенцията за Берингово море, когато този орган има за задача да приема решения с правно действие, е определена в приложение I. </w:t>
      </w:r>
    </w:p>
    <w:p>
      <w:pPr>
        <w:keepNext/>
        <w:spacing w:before="360"/>
        <w:jc w:val="center"/>
        <w:rPr>
          <w:rFonts w:eastAsia="Times New Roman"/>
          <w:i/>
          <w:noProof/>
        </w:rPr>
      </w:pPr>
      <w:r>
        <w:rPr>
          <w:i/>
          <w:noProof/>
        </w:rPr>
        <w:t>Член 2</w:t>
      </w:r>
    </w:p>
    <w:p>
      <w:pPr>
        <w:spacing w:before="360" w:line="360" w:lineRule="auto"/>
        <w:rPr>
          <w:rFonts w:eastAsia="Times New Roman"/>
          <w:noProof/>
        </w:rPr>
      </w:pPr>
      <w:r>
        <w:rPr>
          <w:noProof/>
        </w:rPr>
        <w:t>Ежегодното уточняване на позицията на Съюза, която да се заеме на годишната Конференция на страните по Конвенцията за Берингово море, се извършва в съответствие с приложение II.</w:t>
      </w:r>
    </w:p>
    <w:p>
      <w:pPr>
        <w:keepNext/>
        <w:spacing w:before="360"/>
        <w:jc w:val="center"/>
        <w:rPr>
          <w:rFonts w:eastAsia="Times New Roman"/>
          <w:i/>
          <w:noProof/>
        </w:rPr>
      </w:pPr>
      <w:r>
        <w:rPr>
          <w:i/>
          <w:noProof/>
        </w:rPr>
        <w:t>Член 3</w:t>
      </w:r>
    </w:p>
    <w:p>
      <w:pPr>
        <w:widowControl w:val="0"/>
        <w:spacing w:before="360" w:line="360" w:lineRule="auto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 xml:space="preserve">1. </w:t>
      </w:r>
      <w:r>
        <w:rPr>
          <w:noProof/>
        </w:rPr>
        <w:tab/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годишната Среща на страните по Конвенцията за Берингово море през 2022 г.</w:t>
      </w:r>
    </w:p>
    <w:p>
      <w:pPr>
        <w:widowControl w:val="0"/>
        <w:spacing w:before="0" w:after="0" w:line="360" w:lineRule="auto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 xml:space="preserve">2. </w:t>
      </w:r>
      <w:r>
        <w:rPr>
          <w:noProof/>
        </w:rPr>
        <w:tab/>
        <w:t xml:space="preserve">При присъединяване на ЕС към Конвенцията за Берингово море параграф 1 от настоящия член продължава да се прилага за остатъка от срока, предвиден в посочения параграф. </w:t>
      </w:r>
    </w:p>
    <w:p>
      <w:pPr>
        <w:keepNext/>
        <w:spacing w:before="360"/>
        <w:jc w:val="center"/>
        <w:rPr>
          <w:rFonts w:eastAsia="Times New Roman"/>
          <w:i/>
          <w:noProof/>
        </w:rPr>
      </w:pPr>
      <w:r>
        <w:rPr>
          <w:i/>
          <w:noProof/>
        </w:rPr>
        <w:t>Член 4</w:t>
      </w:r>
    </w:p>
    <w:p>
      <w:pPr>
        <w:widowControl w:val="0"/>
        <w:spacing w:before="360" w:line="360" w:lineRule="auto"/>
        <w:rPr>
          <w:rFonts w:eastAsia="Times New Roman"/>
          <w:i/>
          <w:noProof/>
          <w:szCs w:val="20"/>
        </w:rPr>
      </w:pPr>
      <w:r>
        <w:rPr>
          <w:noProof/>
        </w:rPr>
        <w:t>Решение 11724/12 се отменя.</w:t>
      </w:r>
    </w:p>
    <w:p>
      <w:pPr>
        <w:spacing w:before="360"/>
        <w:jc w:val="center"/>
        <w:rPr>
          <w:rFonts w:eastAsia="Times New Roman"/>
          <w:i/>
          <w:noProof/>
        </w:rPr>
      </w:pPr>
      <w:r>
        <w:rPr>
          <w:i/>
          <w:noProof/>
        </w:rPr>
        <w:t>Член 5</w:t>
      </w:r>
    </w:p>
    <w:p>
      <w:pPr>
        <w:keepLines/>
        <w:spacing w:before="360"/>
        <w:rPr>
          <w:rFonts w:eastAsia="Times New Roman"/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Адресат на настоящото решение е Република Полша. </w:t>
      </w:r>
    </w:p>
    <w:p>
      <w:pPr>
        <w:widowControl w:val="0"/>
        <w:spacing w:before="360" w:line="360" w:lineRule="auto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 xml:space="preserve">2. </w:t>
      </w:r>
      <w:r>
        <w:rPr>
          <w:noProof/>
        </w:rPr>
        <w:tab/>
        <w:t xml:space="preserve">При обстоятелствата, предвидени в член 3, параграф 2, адресат на настоящото решение е Европейската комисия, която представлява ЕС на Конференцията на страните по Конвенцията за Берингово море. </w:t>
      </w:r>
    </w:p>
    <w:p>
      <w:pPr>
        <w:keepLines/>
        <w:rPr>
          <w:rFonts w:eastAsia="Times New Roman"/>
          <w:noProof/>
        </w:rPr>
      </w:pPr>
    </w:p>
    <w:p>
      <w:pPr>
        <w:pStyle w:val="Titrearticle"/>
        <w:keepLines/>
        <w:rPr>
          <w:noProof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9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236, 23.9.2003 г., стр. 33.</w:t>
      </w:r>
    </w:p>
  </w:footnote>
  <w:footnote w:id="2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ind w:left="142" w:hanging="142"/>
      </w:pPr>
      <w:r>
        <w:rPr>
          <w:rStyle w:val="FootnoteReference"/>
        </w:rPr>
        <w:footnoteRef/>
      </w:r>
      <w:r>
        <w:tab/>
        <w:t>COM(2011) 424 от 13.7.2011 г.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Strong"/>
          <w:b w:val="0"/>
        </w:rPr>
        <w:t>Акт относно условията за присъединяване на Чешката република, Република Естония, Република Кипър, Република Латвия, Република Литва, Република Унгария, Република Малта, Република Полша, Република Словения и Словашката република и промените в учредителните договори, въз основа на които се създава Европейският съюз</w:t>
      </w:r>
      <w:r>
        <w:t xml:space="preserve"> (ОВ L 236 от 23.9.2003 г., стр. 33).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18D1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E0059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E26E2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42C4E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EE075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0A03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800A1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ABAE6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4-26 10:58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6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E46889CD6F941ADA58BD58EAFF3BB7C"/>
    <w:docVar w:name="LW_CROSSREFERENCE" w:val="&lt;UNUSED&gt;"/>
    <w:docVar w:name="LW_DocType" w:val="COM"/>
    <w:docVar w:name="LW_EMISSION" w:val="8.5.2017"/>
    <w:docVar w:name="LW_EMISSION_ISODATE" w:val="2017-05-08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92"/>
    <w:docVar w:name="LW_REF.II.NEW.CP_YEAR" w:val="2017"/>
    <w:docVar w:name="LW_REF.INST.NEW" w:val="COM"/>
    <w:docVar w:name="LW_REF.INST.NEW_ADOPTED" w:val="final"/>
    <w:docVar w:name="LW_REF.INST.NEW_TEXT" w:val="(2017) 215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6?\u1087?\u1088?\u1077?\u1076?\u1077?\u1083?\u1103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5?\u1072? \u1075?\u1086?\u1076?\u1080?\u1096?\u1085?\u1072?\u1090?\u1072? \u1050?\u1086?\u1085?\u1092?\u1077?\u1088?\u1077?\u1085?\u1094?\u1080?\u1103? \u1085?\u1072? \u1089?\u1090?\u1088?\u1072?\u1085?\u1080?\u1090?\u1077? \u1087?\u1086? \u1050?\u1086?\u1085?\u1074?\u1077?\u1085?\u1094?\u1080?\u1103?\u1090?\u1072? \u1079?\u1072? \u1086?\u1087?\u1072?\u1079?\u1074?\u1072?\u1085?\u1077? \u1080? \u1091?\u1087?\u1088?\u1072?\u1074?\u1083?\u1077?\u1085?\u1080?\u1077? \u1085?\u1072? \u1079?\u1072?\u1087?\u1072?\u1089?\u1080?\u1090?\u1077? \u1086?\u1090? \u1089?\u1072?\u1081?\u1076?\u1072? \u1074? \u1094?\u1077?\u1085?\u1090?\u1088?\u1072?\u1083?\u1085?\u1072?\u1090?\u1072? \u1095?\u1072?\u1089?\u1090? \u1085?\u1072? \u1041?\u1077?\u1088?\u1080?\u1085?\u1075?\u1086?\u1074?\u1086? \u1084?\u1086?\u1088?\u1077? \u1080? \u1079?\u1072? \u1086?\u1090?\u1084?\u1103?\u1085?\u1072? \u1085?\u1072? \u1056?\u1077?\u1096?\u1077?\u1085?\u1080?\u1077? 11724/12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Footnotetex">
    <w:name w:val="Footnote tex"/>
    <w:basedOn w:val="Default"/>
    <w:pPr>
      <w:ind w:left="709" w:hanging="709"/>
      <w:jc w:val="both"/>
    </w:pPr>
  </w:style>
  <w:style w:type="paragraph" w:customStyle="1" w:styleId="FootnoteTexte">
    <w:name w:val="Footnote Texte"/>
    <w:basedOn w:val="FootnoteTex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Footnotetex">
    <w:name w:val="Footnote tex"/>
    <w:basedOn w:val="Default"/>
    <w:pPr>
      <w:ind w:left="709" w:hanging="709"/>
      <w:jc w:val="both"/>
    </w:pPr>
  </w:style>
  <w:style w:type="paragraph" w:customStyle="1" w:styleId="FootnoteTexte">
    <w:name w:val="Footnote Texte"/>
    <w:basedOn w:val="FootnoteTex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9</Pages>
  <Words>1754</Words>
  <Characters>9671</Characters>
  <Application>Microsoft Office Word</Application>
  <DocSecurity>0</DocSecurity>
  <Lines>205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2017-03-07T11:11:00Z</cp:lastPrinted>
  <dcterms:created xsi:type="dcterms:W3CDTF">2017-04-20T13:22:00Z</dcterms:created>
  <dcterms:modified xsi:type="dcterms:W3CDTF">2017-04-26T08:58:00Z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