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1D78003A24B4B3CBC1CFA5B5FB4D23F" style="width:450.8pt;height:321.2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1/ Въведение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Финансовата криза показа, че липсата на прозрачност в сектора на дериватите, както и сложната взаимозависимост между участниците на финансовия пазар, задълбочават несигурността в периоди на напрежение и представляват риск за световната финансова стабилност. </w:t>
      </w:r>
      <w:r>
        <w:rPr>
          <w:rFonts w:ascii="Times New Roman" w:hAnsi="Times New Roman" w:cs="Times New Roman"/>
          <w:noProof/>
          <w:sz w:val="24"/>
          <w:szCs w:val="24"/>
        </w:rPr>
        <w:t>През 2012 г., въз основа на решенията, взети от държавите от Г-20 през 2009 г. в отговор на финансовата криза, ЕС прие Регламента за европейската пазарна инфраструктура (EMIR). С него се целеше разрешаване на тези проблеми чрез регулиране на централните контрагенти (ЦК) и осигуряване на съгласуваност на надзора на ЦК посредством колегиуми на надзорните органи, включващи съответните национални надзорни органи и Европейския орган за ценни книжа и пазари (ЕОЦКП). Регламентът също така постави изискването стандартизираните извънборсови деривати да преминават през клиринг в ЦК.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Оттогава ЦК играят все по-основна роля на капиталовите пазари в Европа.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Днес Европейската комисия прие предложение за първия набор от изменения на Регламента за европейската пазарна инфраструктура. </w:t>
      </w:r>
      <w:r>
        <w:rPr>
          <w:rFonts w:ascii="Times New Roman" w:hAnsi="Times New Roman" w:cs="Times New Roman"/>
          <w:noProof/>
          <w:sz w:val="24"/>
          <w:szCs w:val="24"/>
        </w:rPr>
        <w:t>Целта на това предложение е да се отрази опитът, натрупан през първите години от прилагането на този регламент, чрез опростени и пропорционални правила в редица области. С него също така ЦК се стимулират допълнително да предлагат клиринг на деривати на контрагентите с оглед допълнителното повишаване на сигурността на финансовата система.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Представеното днес законодателно предложение не изчерпва намеренията на Комисията за въвеждане на изменения. Според нея, с оглед на предизвикателствата в областта на клиринга на деривати, ще бъдат необходими допълнителни промени за подобряване на действащата нормативна база, която гарантира финансовата стабилност и подкрепя по-нататъшното развитие и задълбочаване на Съюза на капиталовите пазари (СКП).</w:t>
      </w:r>
    </w:p>
    <w:p>
      <w:p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2/ Контекст и текущи предизвикателства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Клирингът на сделки с деривати представлява глобална финансова услуга. Като такъв, по-голямата част от клиринга се извършва на трансгранично равнище, както в рамките на ЕС, така и в международен план с ЦК, установени в трети страни. Мащабите и значението на ЦК в Европа и в световен мащаб нараснаха почти двойно в резултат на следкризисните ангажименти, поети от Г-20 за извършване на клиринг чрез ЦК на стандартните извънборсови деривати. Средно 62 % от неизплатената стойност по всички видове договори за деривати преминаваше през централен клиринг чрез ЦК</w:t>
      </w:r>
      <w:r>
        <w:rPr>
          <w:rFonts w:ascii="Times New Roman" w:hAnsi="Times New Roman"/>
          <w:noProof/>
          <w:color w:val="000000"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color w:val="000000"/>
          <w:sz w:val="24"/>
        </w:rPr>
        <w:t>. По-конкретно, според Банката за международни разплащания стойностният обем на извънборсовите сделки, които са преминали през клиринг, в края на юни 2016 г. възлиза на 337 трилиона щатски долара в световен мащаб, от които по-голямата част (328 трилиона щатски долара) са деривати по лихвени проценти. Все по-голямото значение на клиринга и съответните нарастващи обеми представляват предизвикателства, които са широко признати от правителствата и публичните власти.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ЦК от ЕС вече са добре регулирани и разполагат със сериозни ресурси за справяне с финансовите затруднения съобразно Регламента за европейската пазарна инфраструктура. Освен това в предложението на Комисията от декември 2016 г. за регламент относно възстановяването и преструктурирането на ЦК</w:t>
      </w:r>
      <w:r>
        <w:rPr>
          <w:rFonts w:ascii="Times New Roman" w:hAnsi="Times New Roman"/>
          <w:noProof/>
          <w:color w:val="000000"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color w:val="000000"/>
          <w:sz w:val="24"/>
        </w:rPr>
        <w:t xml:space="preserve"> се предвижда набор от средства за управление на малко вероятната ситуация, при която ЦК изпитва трудности. 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Нарастващото системно значение на ЦК за ЕС и взаимовръзките във финансовата система като цяло подчертават необходимостта от усъвършенстване на действащите правила за надзор, които понастоящем разчитат на централната роля на държавата членка по произход при координация в колегиумите на националните органи в ЕС с участието на ESMA. Ярък пример за това е силната концентрация на клиринговите услуги в ограничен брой ЦК в ЕС и по света, която увеличава значението на най-влиятелните ЦК за финансовата стабилност и доброто функциониране на пазара на всички държави членки, а не само на държавата членка по произход, която е издала разрешение за ЦК и осъществява надзора върху него.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В този контекст очакваното излизане на Обединеното кралство от ЕС ще окаже значително влияние върху регулирането и надзора на клиринга в Европа. Понастоящем цели 75 % от лихвените деривати, деноминирани в евро, преминават през клиринг в Обединеното кралство. Някои деривати, деноминирани в други валути на държави членки, също преминават през клиринг в Обединеното кралство. Тези трансакции оказват пряко въздействие върху отговорностите, включително в областта на паричната политика, на институциите и органите на ЕС и на държавите членки. </w:t>
      </w:r>
    </w:p>
    <w:p>
      <w:pPr>
        <w:spacing w:after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3/ По-нататъшни стъпки за гарантиране сигурността и стабилността на ЦК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color w:val="000000"/>
          <w:sz w:val="24"/>
          <w:u w:val="single"/>
        </w:rPr>
        <w:t xml:space="preserve">Подобрен надзор 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Преодоляването на проблема с разпокъсаността на нормативната база на ЕС, произтичаща от различията в националните законодателства, и насърчаването на ефикасността и ефективността на европейските системи за клиринг и сетълмент вече бяха откроени като важни задачи в доклада „Джованини“ от ноември 2001 г. Регламентът за европейската пазарна инфраструктура даде съществен принос в този процес, като предостави последователен и широк набор от правила, приложими в рамките на единния пазар. Той представлява основа за по-нататъшно сближаване на надзорните практики.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В контекста на развитието на съюза на капиталовите пазари, Комисията обмисля как един по-интегриран надзор от страна на надзорните органи и възлагането на повече отговорности на централната банка, емитираща съответната валута (централната банка емитент), на инфраструктурите на финансовите пазари и на участниците на пазара на равнище ЕС може да спомогнат за по-тясна и по-добра интеграция на капиталовите пазари. Спешната необходимост от по-нататъшно разработване и интегриране на капиталовите пазари в ЕС вече беше подчертана в съобщението относно съюза на капиталовите пазари от септември 2016 г.</w:t>
      </w:r>
      <w:r>
        <w:rPr>
          <w:noProof/>
          <w:color w:val="000000"/>
          <w:vertAlign w:val="superscript"/>
        </w:rPr>
        <w:footnoteReference w:id="3"/>
      </w:r>
      <w:r>
        <w:rPr>
          <w:rFonts w:ascii="Times New Roman" w:hAnsi="Times New Roman"/>
          <w:noProof/>
          <w:color w:val="000000"/>
          <w:sz w:val="24"/>
        </w:rPr>
        <w:t xml:space="preserve"> и в текущата консултация относно работата на европейските надзорни органи (ЕНО)</w:t>
      </w:r>
      <w:r>
        <w:rPr>
          <w:noProof/>
          <w:color w:val="000000"/>
          <w:vertAlign w:val="superscript"/>
        </w:rPr>
        <w:footnoteReference w:id="4"/>
      </w:r>
      <w:r>
        <w:rPr>
          <w:rFonts w:ascii="Times New Roman" w:hAnsi="Times New Roman"/>
          <w:noProof/>
          <w:color w:val="000000"/>
          <w:sz w:val="24"/>
        </w:rPr>
        <w:t>.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В центъра на тези усилия е засилването на надзорните функции и отговорности на централната банка емитент на европейско равнище, като се има предвид тяхната важна роля за ускоряване на интеграцията на пазарите и премахването на регулаторния арбитраж или надпреварата за намаляване на разходите за сметка на заплати и социални придобивки. Функциите от критично значение, чието добро изпълнение и ефективен надзор са от ключово значение за функционирането на капиталовите пазари, изискват по-централизиран подход към надзора. Поради това е необходимо адаптиране на правната рамка по отношение на надзора от Европейския орган за ценни книжа и пазари, както и във връзка с отговорностите на емитиращата централна банка. Наред с другото е необходимо да се обърне внимание и на издаването на разрешителни за ЦК и текущия надзор на ниво ЕС, например чрез проследяване на финансовите ресурси и рисковете за ликвидността. 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Тези бъдещи корекции и подобрения в регулаторната уредба също ще трябва да бъдат надлежно отразени в  посоченото по-горе предстоящо законодателно предложение относно възстановяването и преструктурирането на ЦК, което предоставя по-координиран механизъм на равнище ЕС в отговор на малко вероятното неизпълнение от страна на ЦК. В предложението, което в момента се обсъжда с Европейския парламент и Съвета, се предвижда инструментариум за работата на бъдещите органи за преструктуриране. Комисията е готова да работи със съзаконодателите по този важен въпрос.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color w:val="000000"/>
          <w:sz w:val="24"/>
          <w:u w:val="single"/>
        </w:rPr>
        <w:t>ЦК от трети държави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Клиринговите пазари са силно интегрирани в международен план. Това е от особено значение, тъй като след оттеглянето на Обединеното кралство от ЕС значителен обем трансакции в евро няма да преминават през клиринг в ЕС и няма да бъдат предмет на Регламента за европейската пазарна инфраструктура и на надзорната структура на ЕС. Някои деривати, деноминирани в други валути на държави членки, също преминават през клиринг в Обединеното кралство. 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Като запазва ангажимента си по отношение на  интегрираните финансови пазари, международните си задължения и възможността за еквивалентност на ЦК, Комисията съзнава необходимостта от избягване на излишното фрагментиране на глобалната система. При все това, като се има предвид опитът в други юрисдикции, ще бъдат необходими специфични договорености въз основа на обективни критерии, за да се гарантира, че ЦК, които играят ключова роля за системата за финансовите пазари в ЕС и имат пряко отражение върху финансовата стабилност и отговорностите, включително паричната политика, на институциите и органите на ЕС и на държавите членки, са обект на защитните механизми, предвидени в правната уредба на ЕС. Това включва, когато е необходимо, засилен надзор на равнище ЕС и/или изисквания за местоположението.</w:t>
      </w:r>
    </w:p>
    <w:p>
      <w:pPr>
        <w:spacing w:after="24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4/ Заключение</w:t>
      </w:r>
    </w:p>
    <w:p>
      <w:pPr>
        <w:spacing w:after="24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В светлината на съображенията, изложени в настоящото съобщение, и след предоставяне на възможност на заинтересованите страни да изразят становище на базата на настоящото съобщение, както и след съответната оценка на въздействието, Комисията ще представи допълнителни законодателни предложения през юни, за да се осигури финансовата стабилност, сигурността и устойчивостта на ЦК, които са от системно значение за финансовите пазари в ЕС, както и за да се подпомогне  по-нататъшното развитие на съюза на капиталовите пазари.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0420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БМР, Статистически данни за извънборсовите деривати в края на юни 2016 г. (</w:t>
      </w:r>
      <w:hyperlink r:id="rId1">
        <w:r>
          <w:rPr>
            <w:rStyle w:val="Hyperlink"/>
            <w:rFonts w:ascii="Times New Roman" w:hAnsi="Times New Roman"/>
          </w:rPr>
          <w:t>OTC derivatives statistics at end-June 2016)</w:t>
        </w:r>
      </w:hyperlink>
      <w:r>
        <w:rPr>
          <w:rFonts w:ascii="Times New Roman" w:hAnsi="Times New Roman"/>
        </w:rPr>
        <w:t>, ноември 2016 г.</w:t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COM(2016) 856  final — 2016/0365 (COD)</w:t>
      </w:r>
    </w:p>
  </w:footnote>
  <w:footnote w:id="3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Съобщение относно „Състоянието на Съюза през 2016 г.: Завършване на съюза на капиталовите пазари — Комисията ускорява реформата“; 14 септември 2016 г. IP/16/3001</w:t>
      </w:r>
    </w:p>
  </w:footnote>
  <w:footnote w:id="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Обществена консултация относно работата на европейските надзорни органи“; 21.3.2017—16.5.2017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5814"/>
    <w:multiLevelType w:val="hybridMultilevel"/>
    <w:tmpl w:val="3E025B0A"/>
    <w:lvl w:ilvl="0" w:tplc="14DEE02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51D78003A24B4B3CBC1CFA5B5FB4D23F"/>
    <w:docVar w:name="LW_CROSSREFERENCE" w:val="&lt;UNUSED&gt;"/>
    <w:docVar w:name="LW_DocType" w:val="NORMAL"/>
    <w:docVar w:name="LW_EMISSION" w:val="4.5.2017"/>
    <w:docVar w:name="LW_EMISSION_ISODATE" w:val="2017-05-04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225"/>
    <w:docVar w:name="LW_REF.INTERNE" w:val="&lt;UNUSED&gt;"/>
    <w:docVar w:name="LW_SOUS.TITRE.OBJ.CP" w:val="&lt;UNUSED&gt;"/>
    <w:docVar w:name="LW_SUPERTITRE" w:val="&lt;UNUSED&gt;"/>
    <w:docVar w:name="LW_TITRE.OBJ.CP" w:val="\u1042? \u1086?\u1090?\u1075?\u1086?\u1074?\u1086?\u1088? \u1085?\u1072? \u1087?\u1088?\u1077?\u1076?\u1080?\u1079?\u1074?\u1080?\u1082?\u1072?\u1090?\u1077?\u1083?\u1089?\u1090?\u1074?\u1072?\u1090?\u1072? \u1087?\u1088?\u1077?\u1076? \u1087?\u1072?\u1079?\u1072?\u1088?\u1085?\u1072?\u1090?\u1072? \u1080?\u1085?\u1092?\u1088?\u1072?\u1089?\u1090?\u1088?\u1091?\u1082?\u1090?\u1091?\u1088?\u1072? \u1086?\u1090? \u1082?\u1088?\u1080?\u1090?\u1080?\u1095?\u1085?\u1086? \u1079?\u1085?\u1072?\u1095?\u1077?\u1085?\u1080?\u1077? \u1080? \u1087?\u1086?-\u1085?\u1072?\u1090?\u1072?\u1090?\u1098?\u1096?\u1085?\u1086? \u1088?\u1072?\u1079?\u1074?\u1080?\u1090?\u1080?\u1077? \u1085?\u1072? \u1089?\u1098?\u1102?\u1079?\u1072? \u1085?\u1072? \u1082?\u1072?\u1087?\u1080?\u1090?\u1072?\u1083?\u1086?\u1074?\u1080?\u1090?\u1077? \u1087?\u1072?\u1079?\u1072?\u1088?\u1080?"/>
    <w:docVar w:name="LW_TYPE.DOC.CP" w:val="\u1057?\u1066?\u1054?\u1041?\u1065?\u1045?\u1053?\u1048?\u1045? \u1054?\u1058? \u1050?\u1054?\u1052?\u1048?\u1057?\u1048?\u1071?\u1058?\u1040? \u1044?\u1054? \u1045?\u1042?\u1056?\u1054?\u1055?\u1045?\u1049?\u1057?\u1050?\u1048?\u1071? \u1055?\u1040?\u1056?\u1051?\u1040?\u1052?\u1045?\u1053?\u1058?, \u1057?\u1066?\u1042?\u1045?\u1058?\u1040? \u1048? \u1045?\u1042?\u1056?\u1054?\u1055?\u1045?\u1049?\u1057?\u1050?\u1040?\u1058?\u1040? \u1062?\u1045?\u1053?\u1058?\u1056?\u1040?\u1051?\u1053?\u1040? \u1041?\u1040?\u1053?\u1050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Ref,de nota al pie,BVI fnr,Footnote Reference Superscript,SUPERS,C"/>
    <w:uiPriority w:val="99"/>
    <w:unhideWhenUsed/>
    <w:qFormat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Ref,de nota al pie,BVI fnr,Footnote Reference Superscript,SUPERS,C"/>
    <w:uiPriority w:val="99"/>
    <w:unhideWhenUsed/>
    <w:qFormat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s.org/publ/otc_hy16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2BE7-CC6E-4CC3-9736-014FB2A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1301</Words>
  <Characters>7793</Characters>
  <Application>Microsoft Office Word</Application>
  <DocSecurity>0</DocSecurity>
  <Lines>129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2017-05-02T07:36:00Z</cp:lastPrinted>
  <dcterms:created xsi:type="dcterms:W3CDTF">2017-05-02T10:26:00Z</dcterms:created>
  <dcterms:modified xsi:type="dcterms:W3CDTF">2017-05-05T15:55:00Z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