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93CC89DD21A4C4693BEB0AF201A45B9"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Objetacteprincipal"/>
        <w:rPr>
          <w:noProof/>
        </w:rPr>
      </w:pPr>
      <w:bookmarkStart w:id="0" w:name="_GoBack"/>
      <w:bookmarkEnd w:id="0"/>
      <w:r>
        <w:rPr>
          <w:noProof/>
        </w:rPr>
        <w:lastRenderedPageBreak/>
        <w:t>ПРИЛОЖЕНИЕ I</w:t>
      </w:r>
    </w:p>
    <w:p>
      <w:pPr>
        <w:pStyle w:val="Typeacteprincipal"/>
        <w:rPr>
          <w:noProof/>
        </w:rPr>
      </w:pPr>
      <w:r>
        <w:rPr>
          <w:noProof/>
        </w:rPr>
        <w:t xml:space="preserve">Позиция на Съюза в Комисията на Регионалната организация за управление на рибарството в южната част на Тихия океан </w:t>
      </w:r>
    </w:p>
    <w:p>
      <w:pPr>
        <w:pStyle w:val="Point0number"/>
        <w:numPr>
          <w:ilvl w:val="0"/>
          <w:numId w:val="9"/>
        </w:numPr>
        <w:rPr>
          <w:noProof/>
        </w:rPr>
      </w:pPr>
      <w:r>
        <w:rPr>
          <w:noProof/>
        </w:rPr>
        <w:t>Принципи</w:t>
      </w:r>
    </w:p>
    <w:p>
      <w:pPr>
        <w:rPr>
          <w:rFonts w:eastAsia="Times New Roman"/>
          <w:noProof/>
        </w:rPr>
      </w:pPr>
      <w:r>
        <w:rPr>
          <w:noProof/>
        </w:rPr>
        <w:t>В рамките на SPRFMO Съюзът:</w:t>
      </w:r>
    </w:p>
    <w:p>
      <w:pPr>
        <w:ind w:left="850" w:hanging="850"/>
        <w:rPr>
          <w:rFonts w:eastAsia="Times New Roman"/>
          <w:noProof/>
        </w:rPr>
      </w:pPr>
      <w:r>
        <w:rPr>
          <w:noProof/>
        </w:rPr>
        <w:t>а)</w:t>
      </w:r>
      <w:r>
        <w:rPr>
          <w:noProof/>
        </w:rPr>
        <w:tab/>
        <w:t>предприема необходимото, за да осигури, че мерките, приети в рамките на SPRFMO, са в съответствие с целите и принципите, от които се води Съюзът в рамките на общата политика в областта на рибарството, по-специално чрез подхода на предпазливост и с целите, свързани с максималния устойчив улов, както е определено в член 2, параграф 2 от Регламент (ЕС) № 1380/2013, за насърчаване на прилагането към управлението на рибарството на екосистемен подход; за ограничаване на въздействието на риболовните дейности върху околната среда; за избягване и намаляване доколкото е възможно на нежелания улов и за постепенно прекратяване на изхвърлянето на улов; за свеждане до минимум на въздействието на риболовните дейности върху морските екосистеми, както и — чрез насърчаване на икономически жизнеспособен и конкурентоспособен сектор на рибарството в Съюза — за гарантиране на добър жизнен стандарт на лицата, които зависят от риболовните дейности, като същевременно се отчитат интересите на потребителите;</w:t>
      </w:r>
    </w:p>
    <w:p>
      <w:pPr>
        <w:ind w:left="850" w:hanging="850"/>
        <w:rPr>
          <w:rFonts w:eastAsia="Times New Roman"/>
          <w:noProof/>
        </w:rPr>
      </w:pPr>
      <w:r>
        <w:rPr>
          <w:noProof/>
        </w:rPr>
        <w:t>б)</w:t>
      </w:r>
      <w:r>
        <w:rPr>
          <w:noProof/>
        </w:rPr>
        <w:tab/>
        <w:t>предприема необходимото, за да осигури, че мерките, приети в рамките на SPRFMO, са в съответствие с целите на Конвенцията на SPRFMO;</w:t>
      </w:r>
    </w:p>
    <w:p>
      <w:pPr>
        <w:ind w:left="850" w:hanging="850"/>
        <w:rPr>
          <w:rFonts w:eastAsia="Times New Roman"/>
          <w:noProof/>
        </w:rPr>
      </w:pPr>
      <w:r>
        <w:rPr>
          <w:noProof/>
        </w:rPr>
        <w:t>в)</w:t>
      </w:r>
      <w:r>
        <w:rPr>
          <w:noProof/>
        </w:rPr>
        <w:tab/>
        <w:t xml:space="preserve">предприема необходимото, за да осигури, че мерките, приети в рамките на SPRFMO, са съобразени с международното право, и по-специално с разпоредбите на Конвенцията на ООН по морско право, Споразумението на ООН, отнасящо се до опазването и управлението на трансгранично преминаващите и далекомигриращите рибни запаси, както и със Споразумението за насърчаване на спазването на международните мерки за опазване и управление от риболовните кораби в открито море и Споразумението на Организацията за прехрана и земеделие от 2009 г. за мерките на пристанищната държава; </w:t>
      </w:r>
    </w:p>
    <w:p>
      <w:pPr>
        <w:ind w:left="850" w:hanging="850"/>
        <w:rPr>
          <w:rFonts w:eastAsia="Times New Roman"/>
          <w:i/>
          <w:noProof/>
        </w:rPr>
      </w:pPr>
      <w:r>
        <w:rPr>
          <w:noProof/>
        </w:rPr>
        <w:t>г)</w:t>
      </w:r>
      <w:r>
        <w:rPr>
          <w:noProof/>
        </w:rPr>
        <w:tab/>
        <w:t>насърчава позиции, съгласувани с позициите, взети в рамките на регионалните организации за управление на рибарството, а когато е уместно, и с регионалните морски конвенции в същата област;</w:t>
      </w:r>
    </w:p>
    <w:p>
      <w:pPr>
        <w:ind w:left="850" w:hanging="850"/>
        <w:rPr>
          <w:rFonts w:eastAsia="Times New Roman"/>
          <w:noProof/>
        </w:rPr>
      </w:pPr>
      <w:r>
        <w:rPr>
          <w:noProof/>
        </w:rPr>
        <w:t>д)</w:t>
      </w:r>
      <w:r>
        <w:rPr>
          <w:noProof/>
        </w:rPr>
        <w:tab/>
        <w:t>стреми се към полезно взаимодействие с политиката, която Съюзът провежда като част от своите двустранни отношения с трети държави в областта на рибарството, и осигурява съгласуваност с другите политики на Съюза, по-конкретно в областта на външните отношения, околната среда, търговията, развитието, научните изследвания и иновациите и други;</w:t>
      </w:r>
    </w:p>
    <w:p>
      <w:pPr>
        <w:ind w:left="850" w:hanging="850"/>
        <w:rPr>
          <w:rFonts w:eastAsia="Times New Roman"/>
          <w:noProof/>
        </w:rPr>
      </w:pPr>
      <w:r>
        <w:rPr>
          <w:noProof/>
        </w:rPr>
        <w:t>е)</w:t>
      </w:r>
      <w:r>
        <w:rPr>
          <w:noProof/>
        </w:rPr>
        <w:tab/>
        <w:t>осигурява спазването на международните ангажименти на Съюза;</w:t>
      </w:r>
    </w:p>
    <w:p>
      <w:pPr>
        <w:ind w:left="851" w:hanging="851"/>
        <w:rPr>
          <w:rFonts w:eastAsia="Times New Roman"/>
          <w:noProof/>
        </w:rPr>
      </w:pPr>
      <w:r>
        <w:rPr>
          <w:noProof/>
        </w:rPr>
        <w:lastRenderedPageBreak/>
        <w:t>ж)</w:t>
      </w:r>
      <w:r>
        <w:rPr>
          <w:noProof/>
        </w:rPr>
        <w:tab/>
        <w:t>се съобразява със заключенията на Съвета от 19 март 2012 г. във връзка със Съобщението относно външното измерение на общата политика в областта на рибарството</w:t>
      </w:r>
      <w:r>
        <w:rPr>
          <w:rStyle w:val="FootnoteReference"/>
          <w:noProof/>
        </w:rPr>
        <w:footnoteReference w:id="1"/>
      </w:r>
      <w:r>
        <w:rPr>
          <w:noProof/>
        </w:rPr>
        <w:t>;</w:t>
      </w:r>
    </w:p>
    <w:p>
      <w:pPr>
        <w:ind w:left="851" w:hanging="851"/>
        <w:rPr>
          <w:rFonts w:eastAsia="Times New Roman"/>
          <w:noProof/>
        </w:rPr>
      </w:pPr>
      <w:r>
        <w:rPr>
          <w:noProof/>
        </w:rPr>
        <w:t>з)</w:t>
      </w:r>
      <w:r>
        <w:rPr>
          <w:noProof/>
        </w:rPr>
        <w:tab/>
        <w:t>се стреми да създава равнопоставени условия за флотата на Съюза в рамките на обхванатия от Конвенцията район въз основа на същите принципи и стандарти като принципите и стандартите, които се прилагат съгласно правото на Съюза, и да насърчава еднаквото прилагане на резолюциите и препоръките.</w:t>
      </w:r>
    </w:p>
    <w:p>
      <w:pPr>
        <w:ind w:left="851" w:hanging="851"/>
        <w:rPr>
          <w:rFonts w:eastAsia="Times New Roman"/>
          <w:noProof/>
        </w:rPr>
      </w:pPr>
    </w:p>
    <w:p>
      <w:pPr>
        <w:pStyle w:val="Point0number"/>
        <w:rPr>
          <w:noProof/>
        </w:rPr>
      </w:pPr>
      <w:r>
        <w:rPr>
          <w:noProof/>
        </w:rPr>
        <w:t>Насоки</w:t>
      </w:r>
    </w:p>
    <w:p>
      <w:pPr>
        <w:rPr>
          <w:rFonts w:eastAsia="Times New Roman"/>
          <w:noProof/>
        </w:rPr>
      </w:pPr>
      <w:r>
        <w:rPr>
          <w:noProof/>
        </w:rPr>
        <w:t>Ако е необходимо, Съюзът се стреми да подкрепя приемането на следните мерки от страна на SPRFMO:</w:t>
      </w:r>
    </w:p>
    <w:p>
      <w:pPr>
        <w:ind w:left="850" w:hanging="850"/>
        <w:rPr>
          <w:rFonts w:eastAsia="Times New Roman"/>
          <w:noProof/>
        </w:rPr>
      </w:pPr>
      <w:r>
        <w:rPr>
          <w:noProof/>
        </w:rPr>
        <w:t>а)</w:t>
      </w:r>
      <w:r>
        <w:rPr>
          <w:noProof/>
        </w:rPr>
        <w:tab/>
        <w:t>мерки за опазване и управление на рибните ресурси в обхванатия от Конвенцията на SPRFMO район въз основа на най-добрите налични научни становища, включително на общия допустим улов и квотите или регулирането на усилието за видовете, регулирани от SPRFMO, които биха довели до постигане или биха поддържали производството на равнището на максималния устойчив улов въз основа на правилата за улов с прогресивно увеличаване най-късно до 2020 г.</w:t>
      </w:r>
    </w:p>
    <w:p>
      <w:pPr>
        <w:ind w:left="850" w:hanging="850"/>
        <w:rPr>
          <w:rFonts w:eastAsia="Times New Roman"/>
          <w:noProof/>
        </w:rPr>
      </w:pPr>
      <w:r>
        <w:rPr>
          <w:noProof/>
        </w:rPr>
        <w:t xml:space="preserve">б) </w:t>
      </w:r>
      <w:r>
        <w:rPr>
          <w:noProof/>
        </w:rPr>
        <w:tab/>
        <w:t>при необходимост конкретни мерки за запасите, които са подложени на прекомерен улов, с цел риболовното усилие да се запази в границите на наличните възможности за риболов, както и допълнителни мерки във връзка с дълбоководните запаси като ресурс, който е особено уязвим на прекомерния улов;</w:t>
      </w:r>
    </w:p>
    <w:p>
      <w:pPr>
        <w:ind w:left="850" w:hanging="850"/>
        <w:rPr>
          <w:rFonts w:eastAsia="Times New Roman"/>
          <w:noProof/>
        </w:rPr>
      </w:pPr>
      <w:r>
        <w:rPr>
          <w:noProof/>
        </w:rPr>
        <w:t xml:space="preserve">в) </w:t>
      </w:r>
      <w:r>
        <w:rPr>
          <w:noProof/>
        </w:rPr>
        <w:tab/>
        <w:t>мерки за укрепване на събирането на научни данни в областта на рибарството и за насърчаване на по-добро сътрудничество между промишлеността и академичния свят;</w:t>
      </w:r>
    </w:p>
    <w:p>
      <w:pPr>
        <w:ind w:left="850" w:hanging="850"/>
        <w:rPr>
          <w:rFonts w:eastAsia="Times New Roman"/>
          <w:noProof/>
        </w:rPr>
      </w:pPr>
      <w:r>
        <w:rPr>
          <w:noProof/>
        </w:rPr>
        <w:t>г)</w:t>
      </w:r>
      <w:r>
        <w:rPr>
          <w:noProof/>
        </w:rPr>
        <w:tab/>
        <w:t>мерки за предотвратяване, възпиране и премахване на незаконните, недекларираните и нерегулираните (ННН) риболовни дейности в обхванатия от Конвенцията на SPRFMO район, включително списък с кораби, извършващи незаконен, недеклариран и нерегулиран риболов и мерки на пристанищната държава;</w:t>
      </w:r>
    </w:p>
    <w:p>
      <w:pPr>
        <w:ind w:left="850" w:hanging="850"/>
        <w:rPr>
          <w:rFonts w:eastAsia="Times New Roman"/>
          <w:noProof/>
        </w:rPr>
      </w:pPr>
      <w:r>
        <w:rPr>
          <w:noProof/>
        </w:rPr>
        <w:t>д)</w:t>
      </w:r>
      <w:r>
        <w:rPr>
          <w:noProof/>
        </w:rPr>
        <w:tab/>
        <w:t>мерки за наблюдение, контрол и надзор в обхванатия от Конвенцията на SPRFMO район, с цел да се осигури ефективност на контрола и спазването на мерките, приети в рамките на SPRFMO, включително въвеждането на система на SPRFMO за наблюдение на корабите;</w:t>
      </w:r>
    </w:p>
    <w:p>
      <w:pPr>
        <w:ind w:left="850" w:hanging="850"/>
        <w:rPr>
          <w:rFonts w:eastAsia="Times New Roman"/>
          <w:noProof/>
        </w:rPr>
      </w:pPr>
      <w:r>
        <w:rPr>
          <w:noProof/>
        </w:rPr>
        <w:t>е)</w:t>
      </w:r>
      <w:r>
        <w:rPr>
          <w:noProof/>
        </w:rPr>
        <w:tab/>
        <w:t xml:space="preserve">мерки за свеждане до минимум на отрицателното въздействие на риболовните дейности върху морското биологично разнообразие, включително морските птици, и защитни мерки за уязвимите морски екосистеми (УМЕ), включително набелязване на нови потенциални УМЕ в обхванатия от Конвенцията на SPRFMO район, в съответствие с резолюциите на Общото събрание на ООН, и морски екосистеми, които се състоят от мерки за избягване и намаляване </w:t>
      </w:r>
      <w:r>
        <w:rPr>
          <w:noProof/>
        </w:rPr>
        <w:lastRenderedPageBreak/>
        <w:t>доколкото е възможно на нежелания улов, включително улов на екологично свързани видове, както и за постепенно премахване на изхвърлянето на улов;</w:t>
      </w:r>
    </w:p>
    <w:p>
      <w:pPr>
        <w:ind w:left="850" w:hanging="850"/>
        <w:rPr>
          <w:rFonts w:eastAsia="Times New Roman"/>
          <w:i/>
          <w:noProof/>
        </w:rPr>
      </w:pPr>
      <w:r>
        <w:rPr>
          <w:noProof/>
        </w:rPr>
        <w:t xml:space="preserve">ж) </w:t>
      </w:r>
      <w:r>
        <w:rPr>
          <w:noProof/>
        </w:rPr>
        <w:tab/>
        <w:t>мерки, насочени към забраната на риболова, извършван единствено за целите на добиването на перки от акули, и изискване всички акули да бъдат разтоварвани с всичките си перки естествено прикрепени;</w:t>
      </w:r>
    </w:p>
    <w:p>
      <w:pPr>
        <w:ind w:left="850" w:hanging="850"/>
        <w:rPr>
          <w:rFonts w:eastAsia="Times New Roman"/>
          <w:noProof/>
        </w:rPr>
      </w:pPr>
      <w:r>
        <w:rPr>
          <w:noProof/>
        </w:rPr>
        <w:t>з)</w:t>
      </w:r>
      <w:r>
        <w:rPr>
          <w:noProof/>
        </w:rPr>
        <w:tab/>
        <w:t>разработване на съвместни подходи с други регионални организации за управление на рибарството, които участват в управлението на рибарството в SPRFMO;</w:t>
      </w:r>
    </w:p>
    <w:p>
      <w:pPr>
        <w:ind w:left="850" w:hanging="850"/>
        <w:rPr>
          <w:rFonts w:eastAsia="Times New Roman"/>
          <w:noProof/>
        </w:rPr>
      </w:pPr>
      <w:r>
        <w:rPr>
          <w:noProof/>
        </w:rPr>
        <w:t xml:space="preserve">и) </w:t>
      </w:r>
      <w:r>
        <w:rPr>
          <w:noProof/>
        </w:rPr>
        <w:tab/>
        <w:t>принос за установяването на програма за наблюдение, като разработва и допринася за изготвянето на съответната схема на наблюдение;</w:t>
      </w:r>
    </w:p>
    <w:p>
      <w:pPr>
        <w:ind w:left="850" w:hanging="850"/>
        <w:rPr>
          <w:rFonts w:eastAsia="Times New Roman"/>
          <w:noProof/>
        </w:rPr>
      </w:pPr>
      <w:r>
        <w:rPr>
          <w:noProof/>
        </w:rPr>
        <w:t>й)</w:t>
      </w:r>
      <w:r>
        <w:rPr>
          <w:noProof/>
        </w:rPr>
        <w:tab/>
        <w:t>подкрепа за извършването на редовни прегледи за оценка на резултатите на SPRFMO в необходимите срокове и изпълнението на нейните препоръки;</w:t>
      </w:r>
    </w:p>
    <w:p>
      <w:pPr>
        <w:ind w:left="850" w:hanging="850"/>
        <w:rPr>
          <w:rFonts w:eastAsia="Times New Roman"/>
          <w:noProof/>
        </w:rPr>
      </w:pPr>
      <w:r>
        <w:rPr>
          <w:noProof/>
        </w:rPr>
        <w:t xml:space="preserve">к) </w:t>
      </w:r>
      <w:r>
        <w:rPr>
          <w:noProof/>
        </w:rPr>
        <w:tab/>
        <w:t>мерки за осигуряване в средносрочен план на по-равномерно преразпределяне на бюджета на SPRFMO;</w:t>
      </w:r>
    </w:p>
    <w:p>
      <w:pPr>
        <w:ind w:left="850" w:hanging="850"/>
        <w:rPr>
          <w:rFonts w:eastAsia="Times New Roman"/>
          <w:noProof/>
        </w:rPr>
      </w:pPr>
      <w:r>
        <w:rPr>
          <w:noProof/>
        </w:rPr>
        <w:t>л)</w:t>
      </w:r>
      <w:r>
        <w:rPr>
          <w:noProof/>
        </w:rPr>
        <w:tab/>
        <w:t>допълнителни технически мерки, основани на становища на спомагателните органи на SPRFMO.</w:t>
      </w:r>
    </w:p>
    <w:p>
      <w:pPr>
        <w:rPr>
          <w:noProof/>
        </w:rPr>
      </w:pPr>
      <w:r>
        <w:rPr>
          <w:noProof/>
        </w:rPr>
        <w:br w:type="page"/>
      </w:r>
    </w:p>
    <w:p>
      <w:pPr>
        <w:pStyle w:val="Typedudocument"/>
        <w:rPr>
          <w:noProof/>
        </w:rPr>
      </w:pPr>
      <w:r>
        <w:rPr>
          <w:noProof/>
        </w:rPr>
        <w:lastRenderedPageBreak/>
        <w:t>ПРИЛОЖЕНИЕ ІI</w:t>
      </w:r>
    </w:p>
    <w:p>
      <w:pPr>
        <w:pStyle w:val="Annexetitreexpos"/>
        <w:rPr>
          <w:rFonts w:eastAsia="Times New Roman"/>
          <w:noProof/>
        </w:rPr>
      </w:pPr>
      <w:r>
        <w:rPr>
          <w:noProof/>
        </w:rPr>
        <w:t>Ежегодно уточняване на позицията на Съюза, която да бъде заета</w:t>
      </w:r>
    </w:p>
    <w:p>
      <w:pPr>
        <w:jc w:val="center"/>
        <w:rPr>
          <w:rFonts w:eastAsia="Times New Roman"/>
          <w:b/>
          <w:i/>
          <w:strike/>
          <w:noProof/>
          <w:u w:val="single"/>
        </w:rPr>
      </w:pPr>
      <w:r>
        <w:rPr>
          <w:b/>
          <w:noProof/>
          <w:u w:val="single"/>
        </w:rPr>
        <w:t xml:space="preserve">на годишната среща на Комисията на Регионалната организация за управление на рибарството в южната част на Тихия океан </w:t>
      </w:r>
      <w:r>
        <w:rPr>
          <w:b/>
          <w:i/>
          <w:noProof/>
          <w:u w:val="single"/>
        </w:rPr>
        <w:t xml:space="preserve"> </w:t>
      </w:r>
    </w:p>
    <w:p>
      <w:pPr>
        <w:rPr>
          <w:rFonts w:eastAsia="Times New Roman"/>
          <w:noProof/>
        </w:rPr>
      </w:pPr>
      <w:r>
        <w:rPr>
          <w:noProof/>
        </w:rPr>
        <w:t>Преди всяка годишна среща на Комисията на SPRFMO се предприемат необходимите стъпки, така че позицията, която да бъде изразена от името на Съюза, да отчита най-актуалната статистическа, биологична и друга полезна информация, с която разполага Европейската комисия, в съответствие с принципите и насоките, изложени в приложение І.</w:t>
      </w:r>
    </w:p>
    <w:p>
      <w:pPr>
        <w:rPr>
          <w:rFonts w:eastAsia="Times New Roman"/>
          <w:noProof/>
        </w:rPr>
      </w:pPr>
      <w:r>
        <w:rPr>
          <w:noProof/>
        </w:rPr>
        <w:t>За тази цел и въз основа на тази информация Европейската комисия представя на Съвета или на подготвителните му органи достатъчно време преди всяка годишна среща на Комисията на SPRFMO писмен документ, в който са изложени елементите на предложеното уточняване на позицията на Съюза за обсъждане и одобряване.</w:t>
      </w:r>
    </w:p>
    <w:p>
      <w:pPr>
        <w:rPr>
          <w:rFonts w:eastAsia="Times New Roman"/>
          <w:noProof/>
        </w:rPr>
      </w:pPr>
      <w:r>
        <w:rPr>
          <w:noProof/>
        </w:rPr>
        <w:t>Ако в хода на по-нататъшни срещи, включително на място, не е възможно да се постигне споразумение за това позицията на Съюза да бъде съобразена с новите елементи, въпросът се отнася до Съвета или до подготвителните му органи.</w:t>
      </w:r>
    </w:p>
    <w:sectPr>
      <w:footerReference w:type="default" r:id="rId15"/>
      <w:footerReference w:type="first" r:id="rId16"/>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вж. док. 7086/12 PECHE 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DC2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4450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0EFA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84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AE9A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C2B7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D4761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70C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6 11:07: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
    <w:docVar w:name="LW_CORRIGENDUM" w:val="&lt;UNUSED&gt;"/>
    <w:docVar w:name="LW_COVERPAGE_GUID" w:val="293CC89DD21A4C4693BEB0AF201A45B9"/>
    <w:docVar w:name="LW_CROSSREFERENCE" w:val="&lt;UNUSED&gt;"/>
    <w:docVar w:name="LW_DocType" w:val="ANNEX"/>
    <w:docVar w:name="LW_EMISSION" w:val="8.5.2017"/>
    <w:docVar w:name="LW_EMISSION_ISODATE" w:val="2017-05-0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6?\u1077?\u1075?\u1080?\u1086?\u1085?\u1072?\u1083?\u1085?\u1072?\u1090?\u1072? \u1086?\u1088?\u1075?\u1072?\u1085?\u1080?\u1079?\u1072?\u1094?\u1080?\u1103? \u1079?\u1072? \u1091?\u1087?\u1088?\u1072?\u1074?\u1083?\u1077?\u1085?\u1080?\u1077? \u1085?\u1072? \u1088?\u1080?\u1073?\u1072?\u1088?\u1089?\u1090?\u1074?\u1086?\u1090?\u1086? \u1074? \u1102?\u1078?\u1085?\u1072?\u1090?\u1072? \u1095?\u1072?\u1089?\u1090? \u1085?\u1072? \u1058?\u1080?\u1093?\u1080?\u1103? \u1086?\u1082?\u1077?\u1072?\u1085? (SPRFMO) \u1080? \u1079?\u1072? \u1086?\u1090?\u1084?\u1103?\u1085?\u1072? \u1085?\u1072? \u1056?\u1077?\u1096?\u1077?\u1085?\u1080?\u1077? 14405/12"/>
    <w:docVar w:name="LW_PART_NBR" w:val="&lt;UNUSED&gt;"/>
    <w:docVar w:name="LW_PART_NBR_TOTAL" w:val="&lt;UNUSED&gt;"/>
    <w:docVar w:name="LW_REF.INST.NEW" w:val="COM"/>
    <w:docVar w:name="LW_REF.INST.NEW_ADOPTED" w:val="final"/>
    <w:docVar w:name="LW_REF.INST.NEW_TEXT" w:val="(2017) 216"/>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 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1026</Words>
  <Characters>5924</Characters>
  <Application>Microsoft Office Word</Application>
  <DocSecurity>0</DocSecurity>
  <Lines>116</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AROCA LABERNIA</dc:creator>
  <cp:lastModifiedBy>DIGIT/A3</cp:lastModifiedBy>
  <cp:revision>7</cp:revision>
  <cp:lastPrinted>2017-03-30T14:56:00Z</cp:lastPrinted>
  <dcterms:created xsi:type="dcterms:W3CDTF">2017-04-20T13:13:00Z</dcterms:created>
  <dcterms:modified xsi:type="dcterms:W3CDTF">2017-04-26T09:07:00Z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