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C3" w:rsidRDefault="00AF3002">
      <w:pPr>
        <w:pStyle w:val="Pagedecouverture"/>
        <w:spacing w:before="2"/>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8DE7A000A4440C9966B719CA1316747" style="width:450.6pt;height:444.4pt">
            <v:imagedata r:id="rId9" o:title=""/>
          </v:shape>
        </w:pict>
      </w:r>
    </w:p>
    <w:bookmarkEnd w:id="0"/>
    <w:p w:rsidR="00EF2BC3" w:rsidRDefault="00EF2BC3">
      <w:pPr>
        <w:rPr>
          <w:noProof/>
        </w:rPr>
        <w:sectPr w:rsidR="00EF2BC3">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EF2BC3" w:rsidRDefault="00AF3002">
      <w:pPr>
        <w:spacing w:beforeLines="1" w:before="2"/>
        <w:jc w:val="center"/>
        <w:rPr>
          <w:rFonts w:eastAsia="Times New Roman"/>
          <w:b/>
          <w:noProof/>
        </w:rPr>
      </w:pPr>
      <w:r>
        <w:rPr>
          <w:rFonts w:eastAsia="Times New Roman"/>
          <w:b/>
          <w:noProof/>
        </w:rPr>
        <w:lastRenderedPageBreak/>
        <w:t>TABLE OF CONTENTS</w:t>
      </w:r>
    </w:p>
    <w:sdt>
      <w:sdtPr>
        <w:rPr>
          <w:rFonts w:eastAsiaTheme="minorHAnsi"/>
          <w:b w:val="0"/>
          <w:noProof/>
          <w:sz w:val="24"/>
        </w:rPr>
        <w:id w:val="37560579"/>
        <w:docPartObj>
          <w:docPartGallery w:val="Table of Contents"/>
          <w:docPartUnique/>
        </w:docPartObj>
      </w:sdtPr>
      <w:sdtEndPr>
        <w:rPr>
          <w:bCs/>
        </w:rPr>
      </w:sdtEndPr>
      <w:sdtContent>
        <w:p w:rsidR="00EF2BC3" w:rsidRDefault="00EF2BC3">
          <w:pPr>
            <w:pStyle w:val="TOCHeading"/>
            <w:spacing w:before="2"/>
            <w:rPr>
              <w:noProof/>
            </w:rPr>
          </w:pPr>
        </w:p>
        <w:p w:rsidR="00EF2BC3" w:rsidRDefault="00AF3002">
          <w:pPr>
            <w:pStyle w:val="TOC1"/>
            <w:rPr>
              <w:rFonts w:asciiTheme="minorHAnsi" w:eastAsiaTheme="minorEastAsia" w:hAnsiTheme="minorHAnsi" w:cstheme="minorBidi"/>
              <w:noProof/>
              <w:sz w:val="22"/>
              <w:szCs w:val="22"/>
              <w:lang w:eastAsia="en-GB"/>
            </w:rPr>
          </w:pPr>
          <w:r>
            <w:rPr>
              <w:noProof/>
            </w:rPr>
            <w:fldChar w:fldCharType="begin"/>
          </w:r>
          <w:r>
            <w:rPr>
              <w:noProof/>
            </w:rPr>
            <w:instrText xml:space="preserve"> TOC \o "1-3" \h \z \u </w:instrText>
          </w:r>
          <w:r>
            <w:rPr>
              <w:noProof/>
            </w:rPr>
            <w:fldChar w:fldCharType="separate"/>
          </w:r>
        </w:p>
        <w:p w:rsidR="00EF2BC3" w:rsidRDefault="00EF2BC3">
          <w:pPr>
            <w:pStyle w:val="TOC1"/>
            <w:rPr>
              <w:rFonts w:eastAsiaTheme="minorEastAsia"/>
              <w:noProof/>
              <w:lang w:eastAsia="en-GB"/>
            </w:rPr>
          </w:pPr>
        </w:p>
        <w:p w:rsidR="00EF2BC3" w:rsidRDefault="00AF3002">
          <w:pPr>
            <w:pStyle w:val="TOC1"/>
            <w:rPr>
              <w:rFonts w:asciiTheme="minorHAnsi" w:eastAsiaTheme="minorEastAsia" w:hAnsiTheme="minorHAnsi" w:cstheme="minorBidi"/>
              <w:noProof/>
              <w:sz w:val="22"/>
              <w:szCs w:val="22"/>
              <w:lang w:eastAsia="en-GB"/>
            </w:rPr>
          </w:pPr>
          <w:hyperlink w:anchor="_Toc474832851" w:history="1">
            <w:r>
              <w:rPr>
                <w:rStyle w:val="Hyperlink"/>
                <w:noProof/>
              </w:rPr>
              <w:t>1.</w:t>
            </w:r>
            <w:r>
              <w:rPr>
                <w:rFonts w:asciiTheme="minorHAnsi" w:eastAsiaTheme="minorEastAsia" w:hAnsiTheme="minorHAnsi" w:cstheme="minorBidi"/>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_Toc474832851 \h </w:instrText>
            </w:r>
            <w:r>
              <w:rPr>
                <w:noProof/>
                <w:webHidden/>
              </w:rPr>
            </w:r>
            <w:r>
              <w:rPr>
                <w:noProof/>
                <w:webHidden/>
              </w:rPr>
              <w:fldChar w:fldCharType="separate"/>
            </w:r>
            <w:r>
              <w:rPr>
                <w:noProof/>
                <w:webHidden/>
              </w:rPr>
              <w:t>4</w:t>
            </w:r>
            <w:r>
              <w:rPr>
                <w:noProof/>
                <w:webHidden/>
              </w:rPr>
              <w:fldChar w:fldCharType="end"/>
            </w:r>
          </w:hyperlink>
        </w:p>
        <w:p w:rsidR="00EF2BC3" w:rsidRDefault="00AF3002">
          <w:pPr>
            <w:pStyle w:val="TOC1"/>
            <w:rPr>
              <w:rFonts w:asciiTheme="minorHAnsi" w:eastAsiaTheme="minorEastAsia" w:hAnsiTheme="minorHAnsi" w:cstheme="minorBidi"/>
              <w:noProof/>
              <w:sz w:val="22"/>
              <w:szCs w:val="22"/>
              <w:lang w:eastAsia="en-GB"/>
            </w:rPr>
          </w:pPr>
          <w:hyperlink w:anchor="_Toc474832852" w:history="1">
            <w:r>
              <w:rPr>
                <w:rStyle w:val="Hyperlink"/>
                <w:noProof/>
              </w:rPr>
              <w:t>2.</w:t>
            </w:r>
            <w:r>
              <w:rPr>
                <w:rFonts w:asciiTheme="minorHAnsi" w:eastAsiaTheme="minorEastAsia" w:hAnsiTheme="minorHAnsi" w:cstheme="minorBidi"/>
                <w:noProof/>
                <w:sz w:val="22"/>
                <w:szCs w:val="22"/>
                <w:lang w:eastAsia="en-GB"/>
              </w:rPr>
              <w:tab/>
            </w:r>
            <w:r>
              <w:rPr>
                <w:rStyle w:val="Hyperlink"/>
                <w:noProof/>
              </w:rPr>
              <w:t>STATUS OF IMPLEMENTATION</w:t>
            </w:r>
            <w:r>
              <w:rPr>
                <w:noProof/>
                <w:webHidden/>
              </w:rPr>
              <w:tab/>
            </w:r>
            <w:r>
              <w:rPr>
                <w:noProof/>
                <w:webHidden/>
              </w:rPr>
              <w:fldChar w:fldCharType="begin"/>
            </w:r>
            <w:r>
              <w:rPr>
                <w:noProof/>
                <w:webHidden/>
              </w:rPr>
              <w:instrText xml:space="preserve"> PAGEREF _Toc474832852 \h </w:instrText>
            </w:r>
            <w:r>
              <w:rPr>
                <w:noProof/>
                <w:webHidden/>
              </w:rPr>
            </w:r>
            <w:r>
              <w:rPr>
                <w:noProof/>
                <w:webHidden/>
              </w:rPr>
              <w:fldChar w:fldCharType="separate"/>
            </w:r>
            <w:r>
              <w:rPr>
                <w:noProof/>
                <w:webHidden/>
              </w:rPr>
              <w:t>4</w:t>
            </w:r>
            <w:r>
              <w:rPr>
                <w:noProof/>
                <w:webHidden/>
              </w:rPr>
              <w:fldChar w:fldCharType="end"/>
            </w:r>
          </w:hyperlink>
        </w:p>
        <w:p w:rsidR="00EF2BC3" w:rsidRDefault="00AF3002">
          <w:pPr>
            <w:pStyle w:val="TOC2"/>
            <w:spacing w:beforeLines="50" w:before="120"/>
            <w:ind w:left="851" w:hanging="851"/>
            <w:rPr>
              <w:rFonts w:asciiTheme="minorHAnsi" w:eastAsiaTheme="minorEastAsia" w:hAnsiTheme="minorHAnsi" w:cstheme="minorBidi"/>
              <w:sz w:val="22"/>
              <w:szCs w:val="22"/>
              <w:lang w:eastAsia="en-GB"/>
            </w:rPr>
          </w:pPr>
          <w:hyperlink w:anchor="_Toc474832853" w:history="1">
            <w:r>
              <w:rPr>
                <w:rStyle w:val="Hyperlink"/>
              </w:rPr>
              <w:t>2.1.</w:t>
            </w:r>
            <w:r>
              <w:rPr>
                <w:rFonts w:asciiTheme="minorHAnsi" w:eastAsiaTheme="minorEastAsia" w:hAnsiTheme="minorHAnsi" w:cstheme="minorBidi"/>
                <w:sz w:val="22"/>
                <w:szCs w:val="22"/>
                <w:lang w:eastAsia="en-GB"/>
              </w:rPr>
              <w:tab/>
            </w:r>
            <w:r>
              <w:rPr>
                <w:rStyle w:val="Hyperlink"/>
              </w:rPr>
              <w:t>National policies and frameworks for the safe and responsible management of           spent fuel and radioactive waste</w:t>
            </w:r>
            <w:r>
              <w:rPr>
                <w:webHidden/>
              </w:rPr>
              <w:tab/>
            </w:r>
            <w:r>
              <w:rPr>
                <w:webHidden/>
              </w:rPr>
              <w:fldChar w:fldCharType="begin"/>
            </w:r>
            <w:r>
              <w:rPr>
                <w:webHidden/>
              </w:rPr>
              <w:instrText xml:space="preserve"> PAGEREF _Toc474832853 \h </w:instrText>
            </w:r>
            <w:r>
              <w:rPr>
                <w:webHidden/>
              </w:rPr>
            </w:r>
            <w:r>
              <w:rPr>
                <w:webHidden/>
              </w:rPr>
              <w:fldChar w:fldCharType="separate"/>
            </w:r>
            <w:r>
              <w:rPr>
                <w:webHidden/>
              </w:rPr>
              <w:t>4</w:t>
            </w:r>
            <w:r>
              <w:rPr>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54" w:history="1">
            <w:r>
              <w:rPr>
                <w:rStyle w:val="Hyperlink"/>
                <w:noProof/>
              </w:rPr>
              <w:t>2.1.1.</w:t>
            </w:r>
            <w:r>
              <w:rPr>
                <w:rFonts w:asciiTheme="minorHAnsi" w:eastAsiaTheme="minorEastAsia" w:hAnsiTheme="minorHAnsi" w:cstheme="minorBidi"/>
                <w:noProof/>
                <w:sz w:val="22"/>
                <w:szCs w:val="22"/>
                <w:lang w:eastAsia="en-GB"/>
              </w:rPr>
              <w:tab/>
            </w:r>
            <w:r>
              <w:rPr>
                <w:rStyle w:val="Hyperlink"/>
                <w:noProof/>
              </w:rPr>
              <w:t>National policies</w:t>
            </w:r>
            <w:r>
              <w:rPr>
                <w:noProof/>
                <w:webHidden/>
              </w:rPr>
              <w:tab/>
            </w:r>
            <w:r>
              <w:rPr>
                <w:noProof/>
                <w:webHidden/>
              </w:rPr>
              <w:fldChar w:fldCharType="begin"/>
            </w:r>
            <w:r>
              <w:rPr>
                <w:noProof/>
                <w:webHidden/>
              </w:rPr>
              <w:instrText xml:space="preserve"> PAGEREF _Toc474832854 \h </w:instrText>
            </w:r>
            <w:r>
              <w:rPr>
                <w:noProof/>
                <w:webHidden/>
              </w:rPr>
            </w:r>
            <w:r>
              <w:rPr>
                <w:noProof/>
                <w:webHidden/>
              </w:rPr>
              <w:fldChar w:fldCharType="separate"/>
            </w:r>
            <w:r>
              <w:rPr>
                <w:noProof/>
                <w:webHidden/>
              </w:rPr>
              <w:t>4</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55" w:history="1">
            <w:r>
              <w:rPr>
                <w:rStyle w:val="Hyperlink"/>
                <w:noProof/>
              </w:rPr>
              <w:t>2.1.2.</w:t>
            </w:r>
            <w:r>
              <w:rPr>
                <w:rFonts w:asciiTheme="minorHAnsi" w:eastAsiaTheme="minorEastAsia" w:hAnsiTheme="minorHAnsi" w:cstheme="minorBidi"/>
                <w:noProof/>
                <w:sz w:val="22"/>
                <w:szCs w:val="22"/>
                <w:lang w:eastAsia="en-GB"/>
              </w:rPr>
              <w:tab/>
            </w:r>
            <w:r>
              <w:rPr>
                <w:rStyle w:val="Hyperlink"/>
                <w:noProof/>
              </w:rPr>
              <w:t>National programmes, timeframes and key performance indicators</w:t>
            </w:r>
            <w:r>
              <w:rPr>
                <w:noProof/>
                <w:webHidden/>
              </w:rPr>
              <w:tab/>
            </w:r>
            <w:r>
              <w:rPr>
                <w:noProof/>
                <w:webHidden/>
              </w:rPr>
              <w:fldChar w:fldCharType="begin"/>
            </w:r>
            <w:r>
              <w:rPr>
                <w:noProof/>
                <w:webHidden/>
              </w:rPr>
              <w:instrText xml:space="preserve"> PAGEREF _Toc474832855 \h </w:instrText>
            </w:r>
            <w:r>
              <w:rPr>
                <w:noProof/>
                <w:webHidden/>
              </w:rPr>
            </w:r>
            <w:r>
              <w:rPr>
                <w:noProof/>
                <w:webHidden/>
              </w:rPr>
              <w:fldChar w:fldCharType="separate"/>
            </w:r>
            <w:r>
              <w:rPr>
                <w:noProof/>
                <w:webHidden/>
              </w:rPr>
              <w:t>6</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58" w:history="1">
            <w:r>
              <w:rPr>
                <w:rStyle w:val="Hyperlink"/>
                <w:noProof/>
              </w:rPr>
              <w:t>2.1.3.</w:t>
            </w:r>
            <w:r>
              <w:rPr>
                <w:rFonts w:asciiTheme="minorHAnsi" w:eastAsiaTheme="minorEastAsia" w:hAnsiTheme="minorHAnsi" w:cstheme="minorBidi"/>
                <w:noProof/>
                <w:sz w:val="22"/>
                <w:szCs w:val="22"/>
                <w:lang w:eastAsia="en-GB"/>
              </w:rPr>
              <w:tab/>
            </w:r>
            <w:r>
              <w:rPr>
                <w:rStyle w:val="Hyperlink"/>
                <w:noProof/>
              </w:rPr>
              <w:t>National legal and organisational frameworks</w:t>
            </w:r>
            <w:r>
              <w:rPr>
                <w:noProof/>
                <w:webHidden/>
              </w:rPr>
              <w:tab/>
            </w:r>
            <w:r>
              <w:rPr>
                <w:noProof/>
                <w:webHidden/>
              </w:rPr>
              <w:fldChar w:fldCharType="begin"/>
            </w:r>
            <w:r>
              <w:rPr>
                <w:noProof/>
                <w:webHidden/>
              </w:rPr>
              <w:instrText xml:space="preserve"> PAGEREF _Toc474832858 \h </w:instrText>
            </w:r>
            <w:r>
              <w:rPr>
                <w:noProof/>
                <w:webHidden/>
              </w:rPr>
            </w:r>
            <w:r>
              <w:rPr>
                <w:noProof/>
                <w:webHidden/>
              </w:rPr>
              <w:fldChar w:fldCharType="separate"/>
            </w:r>
            <w:r>
              <w:rPr>
                <w:noProof/>
                <w:webHidden/>
              </w:rPr>
              <w:t>12</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60" w:history="1">
            <w:r>
              <w:rPr>
                <w:rStyle w:val="Hyperlink"/>
                <w:noProof/>
              </w:rPr>
              <w:t>2.1.4.</w:t>
            </w:r>
            <w:r>
              <w:rPr>
                <w:rFonts w:asciiTheme="minorHAnsi" w:eastAsiaTheme="minorEastAsia" w:hAnsiTheme="minorHAnsi" w:cstheme="minorBidi"/>
                <w:noProof/>
                <w:sz w:val="22"/>
                <w:szCs w:val="22"/>
                <w:lang w:eastAsia="en-GB"/>
              </w:rPr>
              <w:tab/>
            </w:r>
            <w:r>
              <w:rPr>
                <w:rStyle w:val="Hyperlink"/>
                <w:noProof/>
              </w:rPr>
              <w:t>Regulatory framework and competent regulatory authorities</w:t>
            </w:r>
            <w:r>
              <w:rPr>
                <w:noProof/>
                <w:webHidden/>
              </w:rPr>
              <w:tab/>
            </w:r>
            <w:r>
              <w:rPr>
                <w:noProof/>
                <w:webHidden/>
              </w:rPr>
              <w:fldChar w:fldCharType="begin"/>
            </w:r>
            <w:r>
              <w:rPr>
                <w:noProof/>
                <w:webHidden/>
              </w:rPr>
              <w:instrText xml:space="preserve"> PAGEREF _Toc474832860 \h </w:instrText>
            </w:r>
            <w:r>
              <w:rPr>
                <w:noProof/>
                <w:webHidden/>
              </w:rPr>
            </w:r>
            <w:r>
              <w:rPr>
                <w:noProof/>
                <w:webHidden/>
              </w:rPr>
              <w:fldChar w:fldCharType="separate"/>
            </w:r>
            <w:r>
              <w:rPr>
                <w:noProof/>
                <w:webHidden/>
              </w:rPr>
              <w:t>15</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63" w:history="1">
            <w:r>
              <w:rPr>
                <w:rStyle w:val="Hyperlink"/>
                <w:noProof/>
              </w:rPr>
              <w:t>2.1.5.</w:t>
            </w:r>
            <w:r>
              <w:rPr>
                <w:rFonts w:asciiTheme="minorHAnsi" w:eastAsiaTheme="minorEastAsia" w:hAnsiTheme="minorHAnsi" w:cstheme="minorBidi"/>
                <w:noProof/>
                <w:sz w:val="22"/>
                <w:szCs w:val="22"/>
                <w:lang w:eastAsia="en-GB"/>
              </w:rPr>
              <w:tab/>
            </w:r>
            <w:r>
              <w:rPr>
                <w:rStyle w:val="Hyperlink"/>
                <w:noProof/>
              </w:rPr>
              <w:t>Shipments within EU and to third countries</w:t>
            </w:r>
            <w:r>
              <w:rPr>
                <w:noProof/>
                <w:webHidden/>
              </w:rPr>
              <w:tab/>
            </w:r>
            <w:r>
              <w:rPr>
                <w:noProof/>
                <w:webHidden/>
              </w:rPr>
              <w:fldChar w:fldCharType="begin"/>
            </w:r>
            <w:r>
              <w:rPr>
                <w:noProof/>
                <w:webHidden/>
              </w:rPr>
              <w:instrText xml:space="preserve"> PAGEREF _Toc474832863 \h </w:instrText>
            </w:r>
            <w:r>
              <w:rPr>
                <w:noProof/>
                <w:webHidden/>
              </w:rPr>
            </w:r>
            <w:r>
              <w:rPr>
                <w:noProof/>
                <w:webHidden/>
              </w:rPr>
              <w:fldChar w:fldCharType="separate"/>
            </w:r>
            <w:r>
              <w:rPr>
                <w:noProof/>
                <w:webHidden/>
              </w:rPr>
              <w:t>23</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67" w:history="1">
            <w:r>
              <w:rPr>
                <w:rStyle w:val="Hyperlink"/>
                <w:noProof/>
              </w:rPr>
              <w:t>2.1.6.</w:t>
            </w:r>
            <w:r>
              <w:rPr>
                <w:rFonts w:asciiTheme="minorHAnsi" w:eastAsiaTheme="minorEastAsia" w:hAnsiTheme="minorHAnsi" w:cstheme="minorBidi"/>
                <w:noProof/>
                <w:sz w:val="22"/>
                <w:szCs w:val="22"/>
                <w:lang w:eastAsia="en-GB"/>
              </w:rPr>
              <w:tab/>
            </w:r>
            <w:r>
              <w:rPr>
                <w:rStyle w:val="Hyperlink"/>
                <w:noProof/>
              </w:rPr>
              <w:t>Self-assessment and international</w:t>
            </w:r>
            <w:r>
              <w:rPr>
                <w:rStyle w:val="Hyperlink"/>
                <w:noProof/>
              </w:rPr>
              <w:t xml:space="preserve"> peer reviews</w:t>
            </w:r>
            <w:r>
              <w:rPr>
                <w:noProof/>
                <w:webHidden/>
              </w:rPr>
              <w:tab/>
            </w:r>
            <w:r>
              <w:rPr>
                <w:noProof/>
                <w:webHidden/>
              </w:rPr>
              <w:fldChar w:fldCharType="begin"/>
            </w:r>
            <w:r>
              <w:rPr>
                <w:noProof/>
                <w:webHidden/>
              </w:rPr>
              <w:instrText xml:space="preserve"> PAGEREF _Toc474832867 \h </w:instrText>
            </w:r>
            <w:r>
              <w:rPr>
                <w:noProof/>
                <w:webHidden/>
              </w:rPr>
            </w:r>
            <w:r>
              <w:rPr>
                <w:noProof/>
                <w:webHidden/>
              </w:rPr>
              <w:fldChar w:fldCharType="separate"/>
            </w:r>
            <w:r>
              <w:rPr>
                <w:noProof/>
                <w:webHidden/>
              </w:rPr>
              <w:t>24</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69" w:history="1">
            <w:r>
              <w:rPr>
                <w:rStyle w:val="Hyperlink"/>
                <w:noProof/>
              </w:rPr>
              <w:t>2.1.7.</w:t>
            </w:r>
            <w:r>
              <w:rPr>
                <w:rFonts w:asciiTheme="minorHAnsi" w:eastAsiaTheme="minorEastAsia" w:hAnsiTheme="minorHAnsi" w:cstheme="minorBidi"/>
                <w:noProof/>
                <w:sz w:val="22"/>
                <w:szCs w:val="22"/>
                <w:lang w:eastAsia="en-GB"/>
              </w:rPr>
              <w:tab/>
            </w:r>
            <w:r>
              <w:rPr>
                <w:rStyle w:val="Hyperlink"/>
                <w:noProof/>
              </w:rPr>
              <w:t>Notification and reporting</w:t>
            </w:r>
            <w:r>
              <w:rPr>
                <w:noProof/>
                <w:webHidden/>
              </w:rPr>
              <w:tab/>
            </w:r>
            <w:r>
              <w:rPr>
                <w:noProof/>
                <w:webHidden/>
              </w:rPr>
              <w:fldChar w:fldCharType="begin"/>
            </w:r>
            <w:r>
              <w:rPr>
                <w:noProof/>
                <w:webHidden/>
              </w:rPr>
              <w:instrText xml:space="preserve"> PAGEREF _Toc474832869 \h </w:instrText>
            </w:r>
            <w:r>
              <w:rPr>
                <w:noProof/>
                <w:webHidden/>
              </w:rPr>
            </w:r>
            <w:r>
              <w:rPr>
                <w:noProof/>
                <w:webHidden/>
              </w:rPr>
              <w:fldChar w:fldCharType="separate"/>
            </w:r>
            <w:r>
              <w:rPr>
                <w:noProof/>
                <w:webHidden/>
              </w:rPr>
              <w:t>27</w:t>
            </w:r>
            <w:r>
              <w:rPr>
                <w:noProof/>
                <w:webHidden/>
              </w:rPr>
              <w:fldChar w:fldCharType="end"/>
            </w:r>
          </w:hyperlink>
        </w:p>
        <w:p w:rsidR="00EF2BC3" w:rsidRDefault="00AF3002">
          <w:pPr>
            <w:pStyle w:val="TOC2"/>
            <w:spacing w:beforeLines="50" w:before="120"/>
            <w:ind w:left="851" w:hanging="851"/>
            <w:rPr>
              <w:rFonts w:asciiTheme="minorHAnsi" w:eastAsiaTheme="minorEastAsia" w:hAnsiTheme="minorHAnsi" w:cstheme="minorBidi"/>
              <w:sz w:val="22"/>
              <w:szCs w:val="22"/>
              <w:lang w:eastAsia="en-GB"/>
            </w:rPr>
          </w:pPr>
          <w:hyperlink w:anchor="_Toc474832870" w:history="1">
            <w:r>
              <w:rPr>
                <w:rStyle w:val="Hyperlink"/>
              </w:rPr>
              <w:t>2.2.</w:t>
            </w:r>
            <w:r>
              <w:rPr>
                <w:rFonts w:asciiTheme="minorHAnsi" w:eastAsiaTheme="minorEastAsia" w:hAnsiTheme="minorHAnsi" w:cstheme="minorBidi"/>
                <w:sz w:val="22"/>
                <w:szCs w:val="22"/>
                <w:lang w:eastAsia="en-GB"/>
              </w:rPr>
              <w:tab/>
            </w:r>
            <w:r>
              <w:rPr>
                <w:rStyle w:val="Hyperlink"/>
              </w:rPr>
              <w:t>Assuring the safety of spent fuel and radioactive waste management</w:t>
            </w:r>
            <w:r>
              <w:rPr>
                <w:webHidden/>
              </w:rPr>
              <w:tab/>
            </w:r>
            <w:r>
              <w:rPr>
                <w:webHidden/>
              </w:rPr>
              <w:fldChar w:fldCharType="begin"/>
            </w:r>
            <w:r>
              <w:rPr>
                <w:webHidden/>
              </w:rPr>
              <w:instrText xml:space="preserve"> PAGEREF _Toc474832870 \h </w:instrText>
            </w:r>
            <w:r>
              <w:rPr>
                <w:webHidden/>
              </w:rPr>
            </w:r>
            <w:r>
              <w:rPr>
                <w:webHidden/>
              </w:rPr>
              <w:fldChar w:fldCharType="separate"/>
            </w:r>
            <w:r>
              <w:rPr>
                <w:webHidden/>
              </w:rPr>
              <w:t>27</w:t>
            </w:r>
            <w:r>
              <w:rPr>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1" w:history="1">
            <w:r>
              <w:rPr>
                <w:rStyle w:val="Hyperlink"/>
                <w:noProof/>
              </w:rPr>
              <w:t>2.2.1.</w:t>
            </w:r>
            <w:r>
              <w:rPr>
                <w:rFonts w:asciiTheme="minorHAnsi" w:eastAsiaTheme="minorEastAsia" w:hAnsiTheme="minorHAnsi" w:cstheme="minorBidi"/>
                <w:noProof/>
                <w:sz w:val="22"/>
                <w:szCs w:val="22"/>
                <w:lang w:eastAsia="en-GB"/>
              </w:rPr>
              <w:tab/>
            </w:r>
            <w:r>
              <w:rPr>
                <w:rStyle w:val="Hyperlink"/>
                <w:noProof/>
              </w:rPr>
              <w:t>Licence holder’s responsibilities</w:t>
            </w:r>
            <w:r>
              <w:rPr>
                <w:noProof/>
                <w:webHidden/>
              </w:rPr>
              <w:tab/>
            </w:r>
            <w:r>
              <w:rPr>
                <w:noProof/>
                <w:webHidden/>
              </w:rPr>
              <w:fldChar w:fldCharType="begin"/>
            </w:r>
            <w:r>
              <w:rPr>
                <w:noProof/>
                <w:webHidden/>
              </w:rPr>
              <w:instrText xml:space="preserve"> PAGEREF _Toc474832871 \h </w:instrText>
            </w:r>
            <w:r>
              <w:rPr>
                <w:noProof/>
                <w:webHidden/>
              </w:rPr>
            </w:r>
            <w:r>
              <w:rPr>
                <w:noProof/>
                <w:webHidden/>
              </w:rPr>
              <w:fldChar w:fldCharType="separate"/>
            </w:r>
            <w:r>
              <w:rPr>
                <w:noProof/>
                <w:webHidden/>
              </w:rPr>
              <w:t>27</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2" w:history="1">
            <w:r>
              <w:rPr>
                <w:rStyle w:val="Hyperlink"/>
                <w:noProof/>
              </w:rPr>
              <w:t>2.2.2.</w:t>
            </w:r>
            <w:r>
              <w:rPr>
                <w:rFonts w:asciiTheme="minorHAnsi" w:eastAsiaTheme="minorEastAsia" w:hAnsiTheme="minorHAnsi" w:cstheme="minorBidi"/>
                <w:noProof/>
                <w:sz w:val="22"/>
                <w:szCs w:val="22"/>
                <w:lang w:eastAsia="en-GB"/>
              </w:rPr>
              <w:tab/>
            </w:r>
            <w:r>
              <w:rPr>
                <w:rStyle w:val="Hyperlink"/>
                <w:noProof/>
              </w:rPr>
              <w:t>Concepts and plans (including post closure)</w:t>
            </w:r>
            <w:r>
              <w:rPr>
                <w:noProof/>
                <w:webHidden/>
              </w:rPr>
              <w:tab/>
            </w:r>
            <w:r>
              <w:rPr>
                <w:noProof/>
                <w:webHidden/>
              </w:rPr>
              <w:fldChar w:fldCharType="begin"/>
            </w:r>
            <w:r>
              <w:rPr>
                <w:noProof/>
                <w:webHidden/>
              </w:rPr>
              <w:instrText xml:space="preserve"> PAGEREF _Toc474832872 \h </w:instrText>
            </w:r>
            <w:r>
              <w:rPr>
                <w:noProof/>
                <w:webHidden/>
              </w:rPr>
            </w:r>
            <w:r>
              <w:rPr>
                <w:noProof/>
                <w:webHidden/>
              </w:rPr>
              <w:fldChar w:fldCharType="separate"/>
            </w:r>
            <w:r>
              <w:rPr>
                <w:noProof/>
                <w:webHidden/>
              </w:rPr>
              <w:t>28</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3" w:history="1">
            <w:r>
              <w:rPr>
                <w:rStyle w:val="Hyperlink"/>
                <w:noProof/>
              </w:rPr>
              <w:t>2.2.3.</w:t>
            </w:r>
            <w:r>
              <w:rPr>
                <w:rFonts w:asciiTheme="minorHAnsi" w:eastAsiaTheme="minorEastAsia" w:hAnsiTheme="minorHAnsi" w:cstheme="minorBidi"/>
                <w:noProof/>
                <w:sz w:val="22"/>
                <w:szCs w:val="22"/>
                <w:lang w:eastAsia="en-GB"/>
              </w:rPr>
              <w:tab/>
            </w:r>
            <w:r>
              <w:rPr>
                <w:rStyle w:val="Hyperlink"/>
                <w:noProof/>
              </w:rPr>
              <w:t>Safety demonstration</w:t>
            </w:r>
            <w:r>
              <w:rPr>
                <w:noProof/>
                <w:webHidden/>
              </w:rPr>
              <w:tab/>
            </w:r>
            <w:r>
              <w:rPr>
                <w:noProof/>
                <w:webHidden/>
              </w:rPr>
              <w:fldChar w:fldCharType="begin"/>
            </w:r>
            <w:r>
              <w:rPr>
                <w:noProof/>
                <w:webHidden/>
              </w:rPr>
              <w:instrText xml:space="preserve"> PAGEREF _Toc474832873 \h </w:instrText>
            </w:r>
            <w:r>
              <w:rPr>
                <w:noProof/>
                <w:webHidden/>
              </w:rPr>
            </w:r>
            <w:r>
              <w:rPr>
                <w:noProof/>
                <w:webHidden/>
              </w:rPr>
              <w:fldChar w:fldCharType="separate"/>
            </w:r>
            <w:r>
              <w:rPr>
                <w:noProof/>
                <w:webHidden/>
              </w:rPr>
              <w:t>35</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4" w:history="1">
            <w:r>
              <w:rPr>
                <w:rStyle w:val="Hyperlink"/>
                <w:noProof/>
              </w:rPr>
              <w:t>2.2.4.</w:t>
            </w:r>
            <w:r>
              <w:rPr>
                <w:rFonts w:asciiTheme="minorHAnsi" w:eastAsiaTheme="minorEastAsia" w:hAnsiTheme="minorHAnsi" w:cstheme="minorBidi"/>
                <w:noProof/>
                <w:sz w:val="22"/>
                <w:szCs w:val="22"/>
                <w:lang w:eastAsia="en-GB"/>
              </w:rPr>
              <w:tab/>
            </w:r>
            <w:r>
              <w:rPr>
                <w:rStyle w:val="Hyperlink"/>
                <w:noProof/>
              </w:rPr>
              <w:t>Cost assessment, financing mechanisms and available resources</w:t>
            </w:r>
            <w:r>
              <w:rPr>
                <w:noProof/>
                <w:webHidden/>
              </w:rPr>
              <w:tab/>
            </w:r>
            <w:r>
              <w:rPr>
                <w:noProof/>
                <w:webHidden/>
              </w:rPr>
              <w:fldChar w:fldCharType="begin"/>
            </w:r>
            <w:r>
              <w:rPr>
                <w:noProof/>
                <w:webHidden/>
              </w:rPr>
              <w:instrText xml:space="preserve"> PAGEREF _Toc474832874 \h </w:instrText>
            </w:r>
            <w:r>
              <w:rPr>
                <w:noProof/>
                <w:webHidden/>
              </w:rPr>
            </w:r>
            <w:r>
              <w:rPr>
                <w:noProof/>
                <w:webHidden/>
              </w:rPr>
              <w:fldChar w:fldCharType="separate"/>
            </w:r>
            <w:r>
              <w:rPr>
                <w:noProof/>
                <w:webHidden/>
              </w:rPr>
              <w:t>36</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7" w:history="1">
            <w:r>
              <w:rPr>
                <w:rStyle w:val="Hyperlink"/>
                <w:noProof/>
              </w:rPr>
              <w:t>2.2.5.</w:t>
            </w:r>
            <w:r>
              <w:rPr>
                <w:rFonts w:asciiTheme="minorHAnsi" w:eastAsiaTheme="minorEastAsia" w:hAnsiTheme="minorHAnsi" w:cstheme="minorBidi"/>
                <w:noProof/>
                <w:sz w:val="22"/>
                <w:szCs w:val="22"/>
                <w:lang w:eastAsia="en-GB"/>
              </w:rPr>
              <w:tab/>
            </w:r>
            <w:r>
              <w:rPr>
                <w:rStyle w:val="Hyperlink"/>
                <w:noProof/>
              </w:rPr>
              <w:t>Expertise and skills</w:t>
            </w:r>
            <w:r>
              <w:rPr>
                <w:noProof/>
                <w:webHidden/>
              </w:rPr>
              <w:tab/>
            </w:r>
            <w:r>
              <w:rPr>
                <w:noProof/>
                <w:webHidden/>
              </w:rPr>
              <w:fldChar w:fldCharType="begin"/>
            </w:r>
            <w:r>
              <w:rPr>
                <w:noProof/>
                <w:webHidden/>
              </w:rPr>
              <w:instrText xml:space="preserve"> PAGEREF _Toc474832877 \h </w:instrText>
            </w:r>
            <w:r>
              <w:rPr>
                <w:noProof/>
                <w:webHidden/>
              </w:rPr>
            </w:r>
            <w:r>
              <w:rPr>
                <w:noProof/>
                <w:webHidden/>
              </w:rPr>
              <w:fldChar w:fldCharType="separate"/>
            </w:r>
            <w:r>
              <w:rPr>
                <w:noProof/>
                <w:webHidden/>
              </w:rPr>
              <w:t>44</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8" w:history="1">
            <w:r>
              <w:rPr>
                <w:rStyle w:val="Hyperlink"/>
                <w:noProof/>
              </w:rPr>
              <w:t>2.2.6.</w:t>
            </w:r>
            <w:r>
              <w:rPr>
                <w:rFonts w:asciiTheme="minorHAnsi" w:eastAsiaTheme="minorEastAsia" w:hAnsiTheme="minorHAnsi" w:cstheme="minorBidi"/>
                <w:noProof/>
                <w:sz w:val="22"/>
                <w:szCs w:val="22"/>
                <w:lang w:eastAsia="en-GB"/>
              </w:rPr>
              <w:tab/>
            </w:r>
            <w:r>
              <w:rPr>
                <w:rStyle w:val="Hyperlink"/>
                <w:noProof/>
              </w:rPr>
              <w:t>Research and development</w:t>
            </w:r>
            <w:r>
              <w:rPr>
                <w:noProof/>
                <w:webHidden/>
              </w:rPr>
              <w:tab/>
            </w:r>
            <w:r>
              <w:rPr>
                <w:noProof/>
                <w:webHidden/>
              </w:rPr>
              <w:fldChar w:fldCharType="begin"/>
            </w:r>
            <w:r>
              <w:rPr>
                <w:noProof/>
                <w:webHidden/>
              </w:rPr>
              <w:instrText xml:space="preserve"> PAGEREF _Toc474832878 \h </w:instrText>
            </w:r>
            <w:r>
              <w:rPr>
                <w:noProof/>
                <w:webHidden/>
              </w:rPr>
            </w:r>
            <w:r>
              <w:rPr>
                <w:noProof/>
                <w:webHidden/>
              </w:rPr>
              <w:fldChar w:fldCharType="separate"/>
            </w:r>
            <w:r>
              <w:rPr>
                <w:noProof/>
                <w:webHidden/>
              </w:rPr>
              <w:t>44</w:t>
            </w:r>
            <w:r>
              <w:rPr>
                <w:noProof/>
                <w:webHidden/>
              </w:rPr>
              <w:fldChar w:fldCharType="end"/>
            </w:r>
          </w:hyperlink>
        </w:p>
        <w:p w:rsidR="00EF2BC3" w:rsidRDefault="00AF3002">
          <w:pPr>
            <w:pStyle w:val="TOC3"/>
            <w:spacing w:beforeLines="50" w:before="120"/>
            <w:ind w:left="851" w:hanging="851"/>
            <w:rPr>
              <w:rFonts w:asciiTheme="minorHAnsi" w:eastAsiaTheme="minorEastAsia" w:hAnsiTheme="minorHAnsi" w:cstheme="minorBidi"/>
              <w:noProof/>
              <w:sz w:val="22"/>
              <w:szCs w:val="22"/>
              <w:lang w:eastAsia="en-GB"/>
            </w:rPr>
          </w:pPr>
          <w:hyperlink w:anchor="_Toc474832879" w:history="1">
            <w:r>
              <w:rPr>
                <w:rStyle w:val="Hyperlink"/>
                <w:noProof/>
              </w:rPr>
              <w:t>2.2.7.</w:t>
            </w:r>
            <w:r>
              <w:rPr>
                <w:rFonts w:asciiTheme="minorHAnsi" w:eastAsiaTheme="minorEastAsia" w:hAnsiTheme="minorHAnsi" w:cstheme="minorBidi"/>
                <w:noProof/>
                <w:sz w:val="22"/>
                <w:szCs w:val="22"/>
                <w:lang w:eastAsia="en-GB"/>
              </w:rPr>
              <w:tab/>
            </w:r>
            <w:r>
              <w:rPr>
                <w:rStyle w:val="Hyperlink"/>
                <w:noProof/>
              </w:rPr>
              <w:t>Transparency</w:t>
            </w:r>
            <w:r>
              <w:rPr>
                <w:noProof/>
                <w:webHidden/>
              </w:rPr>
              <w:tab/>
            </w:r>
            <w:r>
              <w:rPr>
                <w:noProof/>
                <w:webHidden/>
              </w:rPr>
              <w:fldChar w:fldCharType="begin"/>
            </w:r>
            <w:r>
              <w:rPr>
                <w:noProof/>
                <w:webHidden/>
              </w:rPr>
              <w:instrText xml:space="preserve"> PAGEREF _Toc474832879 \h </w:instrText>
            </w:r>
            <w:r>
              <w:rPr>
                <w:noProof/>
                <w:webHidden/>
              </w:rPr>
            </w:r>
            <w:r>
              <w:rPr>
                <w:noProof/>
                <w:webHidden/>
              </w:rPr>
              <w:fldChar w:fldCharType="separate"/>
            </w:r>
            <w:r>
              <w:rPr>
                <w:noProof/>
                <w:webHidden/>
              </w:rPr>
              <w:t>46</w:t>
            </w:r>
            <w:r>
              <w:rPr>
                <w:noProof/>
                <w:webHidden/>
              </w:rPr>
              <w:fldChar w:fldCharType="end"/>
            </w:r>
          </w:hyperlink>
        </w:p>
        <w:p w:rsidR="00EF2BC3" w:rsidRDefault="00AF3002">
          <w:pPr>
            <w:pStyle w:val="TOC1"/>
            <w:rPr>
              <w:rFonts w:asciiTheme="minorHAnsi" w:eastAsiaTheme="minorEastAsia" w:hAnsiTheme="minorHAnsi" w:cstheme="minorBidi"/>
              <w:noProof/>
              <w:sz w:val="22"/>
              <w:szCs w:val="22"/>
              <w:lang w:eastAsia="en-GB"/>
            </w:rPr>
          </w:pPr>
          <w:hyperlink w:anchor="_Toc474832881" w:history="1">
            <w:r>
              <w:rPr>
                <w:rStyle w:val="Hyperlink"/>
                <w:noProof/>
              </w:rPr>
              <w:t>3.</w:t>
            </w:r>
            <w:r>
              <w:rPr>
                <w:rFonts w:asciiTheme="minorHAnsi" w:eastAsiaTheme="minorEastAsia" w:hAnsiTheme="minorHAnsi" w:cstheme="minorBidi"/>
                <w:noProof/>
                <w:sz w:val="22"/>
                <w:szCs w:val="22"/>
                <w:lang w:eastAsia="en-GB"/>
              </w:rPr>
              <w:tab/>
            </w:r>
            <w:r>
              <w:rPr>
                <w:rStyle w:val="Hyperlink"/>
                <w:noProof/>
              </w:rPr>
              <w:t>CONCLUSION</w:t>
            </w:r>
            <w:r>
              <w:rPr>
                <w:noProof/>
                <w:webHidden/>
              </w:rPr>
              <w:tab/>
            </w:r>
            <w:r>
              <w:rPr>
                <w:noProof/>
                <w:webHidden/>
              </w:rPr>
              <w:fldChar w:fldCharType="begin"/>
            </w:r>
            <w:r>
              <w:rPr>
                <w:noProof/>
                <w:webHidden/>
              </w:rPr>
              <w:instrText xml:space="preserve"> PAGEREF _Toc474832881 \h </w:instrText>
            </w:r>
            <w:r>
              <w:rPr>
                <w:noProof/>
                <w:webHidden/>
              </w:rPr>
            </w:r>
            <w:r>
              <w:rPr>
                <w:noProof/>
                <w:webHidden/>
              </w:rPr>
              <w:fldChar w:fldCharType="separate"/>
            </w:r>
            <w:r>
              <w:rPr>
                <w:noProof/>
                <w:webHidden/>
              </w:rPr>
              <w:t>48</w:t>
            </w:r>
            <w:r>
              <w:rPr>
                <w:noProof/>
                <w:webHidden/>
              </w:rPr>
              <w:fldChar w:fldCharType="end"/>
            </w:r>
          </w:hyperlink>
        </w:p>
        <w:p w:rsidR="00EF2BC3" w:rsidRDefault="00AF3002">
          <w:pPr>
            <w:rPr>
              <w:noProof/>
            </w:rPr>
          </w:pPr>
          <w:r>
            <w:rPr>
              <w:b/>
              <w:bCs/>
              <w:noProof/>
            </w:rPr>
            <w:fldChar w:fldCharType="end"/>
          </w:r>
        </w:p>
      </w:sdtContent>
    </w:sdt>
    <w:p w:rsidR="00EF2BC3" w:rsidRDefault="00EF2BC3">
      <w:pPr>
        <w:tabs>
          <w:tab w:val="right" w:leader="dot" w:pos="9071"/>
        </w:tabs>
        <w:spacing w:beforeLines="1" w:before="2"/>
        <w:ind w:left="850" w:hanging="850"/>
        <w:rPr>
          <w:rFonts w:eastAsia="Times New Roman"/>
          <w:noProof/>
        </w:rPr>
      </w:pPr>
    </w:p>
    <w:p w:rsidR="00EF2BC3" w:rsidRDefault="00EF2BC3">
      <w:pPr>
        <w:spacing w:before="120" w:after="120"/>
        <w:jc w:val="both"/>
        <w:rPr>
          <w:rFonts w:eastAsia="Times New Roman"/>
          <w:noProof/>
        </w:rPr>
      </w:pPr>
    </w:p>
    <w:p w:rsidR="00EF2BC3" w:rsidRDefault="00AF3002">
      <w:pPr>
        <w:spacing w:before="120" w:after="120"/>
        <w:jc w:val="both"/>
        <w:rPr>
          <w:rFonts w:eastAsia="Times New Roman"/>
          <w:noProof/>
        </w:rPr>
      </w:pPr>
      <w:r>
        <w:rPr>
          <w:rFonts w:eastAsia="Times New Roman"/>
          <w:noProof/>
        </w:rPr>
        <w:br w:type="page"/>
      </w:r>
    </w:p>
    <w:p w:rsidR="00EF2BC3" w:rsidRDefault="00EF2BC3">
      <w:pPr>
        <w:spacing w:before="120" w:after="120"/>
        <w:jc w:val="both"/>
        <w:rPr>
          <w:rFonts w:eastAsia="Times New Roman"/>
          <w:noProof/>
        </w:rPr>
      </w:pPr>
    </w:p>
    <w:p w:rsidR="00EF2BC3" w:rsidRDefault="00EF2BC3">
      <w:pPr>
        <w:spacing w:before="120" w:after="120"/>
        <w:jc w:val="both"/>
        <w:rPr>
          <w:rFonts w:eastAsia="Times New Roman"/>
          <w:noProof/>
        </w:rPr>
      </w:pPr>
    </w:p>
    <w:p w:rsidR="00EF2BC3" w:rsidRDefault="00AF3002">
      <w:pPr>
        <w:jc w:val="center"/>
        <w:rPr>
          <w:rFonts w:eastAsia="Times New Roman"/>
          <w:b/>
          <w:noProof/>
        </w:rPr>
      </w:pPr>
      <w:r>
        <w:rPr>
          <w:rFonts w:eastAsia="Times New Roman"/>
          <w:b/>
          <w:noProof/>
        </w:rPr>
        <w:t>LIST OF ABBREVIATIONS AND ACCRONYMS</w:t>
      </w:r>
    </w:p>
    <w:p w:rsidR="00EF2BC3" w:rsidRDefault="00EF2BC3">
      <w:pPr>
        <w:jc w:val="center"/>
        <w:rPr>
          <w:rFonts w:eastAsia="Times New Roman"/>
          <w:b/>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1"/>
        <w:gridCol w:w="5244"/>
      </w:tblGrid>
      <w:tr w:rsidR="00EF2BC3">
        <w:tc>
          <w:tcPr>
            <w:tcW w:w="2093" w:type="dxa"/>
          </w:tcPr>
          <w:p w:rsidR="00EF2BC3" w:rsidRDefault="00AF3002">
            <w:pPr>
              <w:spacing w:before="120"/>
              <w:rPr>
                <w:noProof/>
              </w:rPr>
            </w:pPr>
            <w:r>
              <w:rPr>
                <w:noProof/>
              </w:rPr>
              <w:t>ARTEMIS</w:t>
            </w:r>
          </w:p>
        </w:tc>
        <w:tc>
          <w:tcPr>
            <w:tcW w:w="281" w:type="dxa"/>
          </w:tcPr>
          <w:p w:rsidR="00EF2BC3" w:rsidRDefault="00EF2BC3">
            <w:pPr>
              <w:spacing w:before="120"/>
              <w:rPr>
                <w:noProof/>
              </w:rPr>
            </w:pPr>
          </w:p>
        </w:tc>
        <w:tc>
          <w:tcPr>
            <w:tcW w:w="5244" w:type="dxa"/>
          </w:tcPr>
          <w:p w:rsidR="00EF2BC3" w:rsidRDefault="00AF3002">
            <w:pPr>
              <w:spacing w:before="120"/>
              <w:jc w:val="both"/>
              <w:rPr>
                <w:noProof/>
              </w:rPr>
            </w:pPr>
            <w:r>
              <w:rPr>
                <w:noProof/>
              </w:rPr>
              <w:t xml:space="preserve">Integrated review service for radioactive waste and spent fuel management, decommissioning and remediation programmes </w:t>
            </w:r>
          </w:p>
        </w:tc>
      </w:tr>
      <w:tr w:rsidR="00EF2BC3">
        <w:tc>
          <w:tcPr>
            <w:tcW w:w="2093" w:type="dxa"/>
          </w:tcPr>
          <w:p w:rsidR="00EF2BC3" w:rsidRDefault="00AF3002">
            <w:pPr>
              <w:spacing w:before="120"/>
              <w:rPr>
                <w:noProof/>
              </w:rPr>
            </w:pPr>
            <w:r>
              <w:rPr>
                <w:noProof/>
              </w:rPr>
              <w:t>EIA</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Enviornmental impact assessment</w:t>
            </w:r>
          </w:p>
        </w:tc>
      </w:tr>
      <w:tr w:rsidR="00EF2BC3">
        <w:tc>
          <w:tcPr>
            <w:tcW w:w="2093" w:type="dxa"/>
          </w:tcPr>
          <w:p w:rsidR="00EF2BC3" w:rsidRDefault="00AF3002">
            <w:pPr>
              <w:spacing w:before="120"/>
              <w:rPr>
                <w:noProof/>
              </w:rPr>
            </w:pPr>
            <w:r>
              <w:rPr>
                <w:noProof/>
              </w:rPr>
              <w:t>ENSREG</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European Nuclear Safety Regulators Group</w:t>
            </w:r>
          </w:p>
        </w:tc>
      </w:tr>
      <w:tr w:rsidR="00EF2BC3">
        <w:tc>
          <w:tcPr>
            <w:tcW w:w="2093" w:type="dxa"/>
          </w:tcPr>
          <w:p w:rsidR="00EF2BC3" w:rsidRDefault="00AF3002">
            <w:pPr>
              <w:spacing w:before="120"/>
              <w:rPr>
                <w:noProof/>
              </w:rPr>
            </w:pPr>
            <w:r>
              <w:rPr>
                <w:noProof/>
              </w:rPr>
              <w:t>EU</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European Union</w:t>
            </w:r>
          </w:p>
        </w:tc>
      </w:tr>
      <w:tr w:rsidR="00EF2BC3">
        <w:tc>
          <w:tcPr>
            <w:tcW w:w="2093" w:type="dxa"/>
          </w:tcPr>
          <w:p w:rsidR="00EF2BC3" w:rsidRDefault="00AF3002">
            <w:pPr>
              <w:spacing w:before="120"/>
              <w:rPr>
                <w:noProof/>
              </w:rPr>
            </w:pPr>
            <w:r>
              <w:rPr>
                <w:noProof/>
              </w:rPr>
              <w:t xml:space="preserve">KPI </w:t>
            </w:r>
            <w:r>
              <w:rPr>
                <w:noProof/>
              </w:rPr>
              <w:tab/>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 xml:space="preserve">Key performance </w:t>
            </w:r>
            <w:r>
              <w:rPr>
                <w:noProof/>
              </w:rPr>
              <w:t>indicators</w:t>
            </w:r>
          </w:p>
        </w:tc>
      </w:tr>
      <w:tr w:rsidR="00EF2BC3">
        <w:tc>
          <w:tcPr>
            <w:tcW w:w="2093" w:type="dxa"/>
          </w:tcPr>
          <w:p w:rsidR="00EF2BC3" w:rsidRDefault="00AF3002">
            <w:pPr>
              <w:spacing w:before="120"/>
              <w:rPr>
                <w:noProof/>
              </w:rPr>
            </w:pPr>
            <w:r>
              <w:rPr>
                <w:noProof/>
              </w:rPr>
              <w:t>HLW</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High level waste</w:t>
            </w:r>
          </w:p>
        </w:tc>
      </w:tr>
      <w:tr w:rsidR="00EF2BC3">
        <w:tc>
          <w:tcPr>
            <w:tcW w:w="2093" w:type="dxa"/>
          </w:tcPr>
          <w:p w:rsidR="00EF2BC3" w:rsidRDefault="00AF3002">
            <w:pPr>
              <w:spacing w:before="120"/>
              <w:rPr>
                <w:noProof/>
              </w:rPr>
            </w:pPr>
            <w:r>
              <w:rPr>
                <w:noProof/>
              </w:rPr>
              <w:t>IAEA</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International Atomic Energy Agency</w:t>
            </w:r>
          </w:p>
        </w:tc>
      </w:tr>
      <w:tr w:rsidR="00EF2BC3">
        <w:tc>
          <w:tcPr>
            <w:tcW w:w="2093" w:type="dxa"/>
          </w:tcPr>
          <w:p w:rsidR="00EF2BC3" w:rsidRDefault="00AF3002">
            <w:pPr>
              <w:spacing w:before="120"/>
              <w:rPr>
                <w:noProof/>
              </w:rPr>
            </w:pPr>
            <w:r>
              <w:rPr>
                <w:noProof/>
              </w:rPr>
              <w:t>ILW</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Intermediate level waste</w:t>
            </w:r>
          </w:p>
        </w:tc>
      </w:tr>
      <w:tr w:rsidR="00EF2BC3">
        <w:tc>
          <w:tcPr>
            <w:tcW w:w="2093" w:type="dxa"/>
          </w:tcPr>
          <w:p w:rsidR="00EF2BC3" w:rsidRDefault="00AF3002">
            <w:pPr>
              <w:spacing w:before="120"/>
              <w:rPr>
                <w:noProof/>
              </w:rPr>
            </w:pPr>
            <w:r>
              <w:rPr>
                <w:noProof/>
              </w:rPr>
              <w:t>LLW</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Low level waste</w:t>
            </w:r>
          </w:p>
        </w:tc>
      </w:tr>
      <w:tr w:rsidR="00EF2BC3">
        <w:tc>
          <w:tcPr>
            <w:tcW w:w="2093" w:type="dxa"/>
          </w:tcPr>
          <w:p w:rsidR="00EF2BC3" w:rsidRDefault="00AF3002">
            <w:pPr>
              <w:spacing w:before="120"/>
              <w:rPr>
                <w:noProof/>
              </w:rPr>
            </w:pPr>
            <w:r>
              <w:rPr>
                <w:noProof/>
              </w:rPr>
              <w:t>LTO</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Lifetime extension</w:t>
            </w:r>
          </w:p>
        </w:tc>
      </w:tr>
      <w:tr w:rsidR="00EF2BC3">
        <w:tc>
          <w:tcPr>
            <w:tcW w:w="2093" w:type="dxa"/>
          </w:tcPr>
          <w:p w:rsidR="00EF2BC3" w:rsidRDefault="00AF3002">
            <w:pPr>
              <w:spacing w:before="120"/>
              <w:rPr>
                <w:noProof/>
              </w:rPr>
            </w:pPr>
            <w:r>
              <w:rPr>
                <w:noProof/>
              </w:rPr>
              <w:t>IRRS</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International regulatory review service</w:t>
            </w:r>
          </w:p>
        </w:tc>
      </w:tr>
      <w:tr w:rsidR="00EF2BC3">
        <w:tc>
          <w:tcPr>
            <w:tcW w:w="2093" w:type="dxa"/>
          </w:tcPr>
          <w:p w:rsidR="00EF2BC3" w:rsidRDefault="00AF3002">
            <w:pPr>
              <w:spacing w:before="120"/>
              <w:rPr>
                <w:noProof/>
              </w:rPr>
            </w:pPr>
            <w:r>
              <w:rPr>
                <w:noProof/>
              </w:rPr>
              <w:t>MS</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Member State</w:t>
            </w:r>
          </w:p>
        </w:tc>
      </w:tr>
      <w:tr w:rsidR="00EF2BC3">
        <w:tc>
          <w:tcPr>
            <w:tcW w:w="2093" w:type="dxa"/>
          </w:tcPr>
          <w:p w:rsidR="00EF2BC3" w:rsidRDefault="00AF3002">
            <w:pPr>
              <w:spacing w:before="120"/>
              <w:rPr>
                <w:noProof/>
              </w:rPr>
            </w:pPr>
            <w:r>
              <w:rPr>
                <w:noProof/>
              </w:rPr>
              <w:t>NORM</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Naturally occuring radioactive</w:t>
            </w:r>
            <w:r>
              <w:rPr>
                <w:noProof/>
              </w:rPr>
              <w:t xml:space="preserve"> material</w:t>
            </w:r>
          </w:p>
        </w:tc>
      </w:tr>
      <w:tr w:rsidR="00EF2BC3">
        <w:tc>
          <w:tcPr>
            <w:tcW w:w="2093" w:type="dxa"/>
          </w:tcPr>
          <w:p w:rsidR="00EF2BC3" w:rsidRDefault="00AF3002">
            <w:pPr>
              <w:spacing w:before="120"/>
              <w:rPr>
                <w:noProof/>
              </w:rPr>
            </w:pPr>
            <w:r>
              <w:rPr>
                <w:noProof/>
              </w:rPr>
              <w:t>NPP</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Nuclear power plant</w:t>
            </w:r>
          </w:p>
        </w:tc>
      </w:tr>
      <w:tr w:rsidR="00EF2BC3">
        <w:tc>
          <w:tcPr>
            <w:tcW w:w="2093" w:type="dxa"/>
          </w:tcPr>
          <w:p w:rsidR="00EF2BC3" w:rsidRDefault="00AF3002">
            <w:pPr>
              <w:spacing w:before="120"/>
              <w:rPr>
                <w:noProof/>
              </w:rPr>
            </w:pPr>
            <w:r>
              <w:rPr>
                <w:noProof/>
              </w:rPr>
              <w:t>RAW</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Radioactive waste</w:t>
            </w:r>
          </w:p>
        </w:tc>
      </w:tr>
      <w:tr w:rsidR="00EF2BC3">
        <w:tc>
          <w:tcPr>
            <w:tcW w:w="2093" w:type="dxa"/>
          </w:tcPr>
          <w:p w:rsidR="00EF2BC3" w:rsidRDefault="00AF3002">
            <w:pPr>
              <w:spacing w:before="120"/>
              <w:rPr>
                <w:noProof/>
              </w:rPr>
            </w:pPr>
            <w:r>
              <w:rPr>
                <w:noProof/>
              </w:rPr>
              <w:t>SEA</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Strategic environmental impact assessment</w:t>
            </w:r>
          </w:p>
        </w:tc>
      </w:tr>
      <w:tr w:rsidR="00EF2BC3">
        <w:tc>
          <w:tcPr>
            <w:tcW w:w="2093" w:type="dxa"/>
          </w:tcPr>
          <w:p w:rsidR="00EF2BC3" w:rsidRDefault="00AF3002">
            <w:pPr>
              <w:spacing w:before="120"/>
              <w:rPr>
                <w:noProof/>
              </w:rPr>
            </w:pPr>
            <w:r>
              <w:rPr>
                <w:noProof/>
              </w:rPr>
              <w:t>SF</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Spent fuel</w:t>
            </w:r>
          </w:p>
        </w:tc>
      </w:tr>
      <w:tr w:rsidR="00EF2BC3">
        <w:tc>
          <w:tcPr>
            <w:tcW w:w="2093" w:type="dxa"/>
          </w:tcPr>
          <w:p w:rsidR="00EF2BC3" w:rsidRDefault="00AF3002">
            <w:pPr>
              <w:spacing w:before="120"/>
              <w:rPr>
                <w:noProof/>
              </w:rPr>
            </w:pPr>
            <w:r>
              <w:rPr>
                <w:noProof/>
              </w:rPr>
              <w:t>URL</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Underground research laboratory</w:t>
            </w:r>
          </w:p>
        </w:tc>
      </w:tr>
      <w:tr w:rsidR="00EF2BC3">
        <w:tc>
          <w:tcPr>
            <w:tcW w:w="2093" w:type="dxa"/>
          </w:tcPr>
          <w:p w:rsidR="00EF2BC3" w:rsidRDefault="00AF3002">
            <w:pPr>
              <w:spacing w:before="120"/>
              <w:rPr>
                <w:noProof/>
              </w:rPr>
            </w:pPr>
            <w:r>
              <w:rPr>
                <w:noProof/>
              </w:rPr>
              <w:t>VLLW</w:t>
            </w:r>
          </w:p>
        </w:tc>
        <w:tc>
          <w:tcPr>
            <w:tcW w:w="281" w:type="dxa"/>
          </w:tcPr>
          <w:p w:rsidR="00EF2BC3" w:rsidRDefault="00EF2BC3">
            <w:pPr>
              <w:spacing w:before="120"/>
              <w:rPr>
                <w:noProof/>
              </w:rPr>
            </w:pPr>
          </w:p>
        </w:tc>
        <w:tc>
          <w:tcPr>
            <w:tcW w:w="5244" w:type="dxa"/>
          </w:tcPr>
          <w:p w:rsidR="00EF2BC3" w:rsidRDefault="00AF3002">
            <w:pPr>
              <w:spacing w:before="120"/>
              <w:rPr>
                <w:noProof/>
              </w:rPr>
            </w:pPr>
            <w:r>
              <w:rPr>
                <w:noProof/>
              </w:rPr>
              <w:t>Very low level waste</w:t>
            </w:r>
          </w:p>
        </w:tc>
      </w:tr>
    </w:tbl>
    <w:p w:rsidR="00EF2BC3" w:rsidRDefault="00AF3002">
      <w:pPr>
        <w:rPr>
          <w:rFonts w:eastAsia="Times New Roman"/>
          <w:noProof/>
        </w:rPr>
      </w:pPr>
      <w:r>
        <w:rPr>
          <w:rFonts w:eastAsia="Times New Roman"/>
          <w:noProof/>
        </w:rPr>
        <w:br w:type="page"/>
      </w:r>
    </w:p>
    <w:p w:rsidR="00EF2BC3" w:rsidRDefault="00AF3002">
      <w:pPr>
        <w:pStyle w:val="ManualHeading1"/>
        <w:spacing w:before="2"/>
        <w:rPr>
          <w:noProof/>
        </w:rPr>
      </w:pPr>
      <w:bookmarkStart w:id="2" w:name="_Toc474832851"/>
      <w:r>
        <w:tab/>
      </w:r>
      <w:r>
        <w:rPr>
          <w:noProof/>
        </w:rPr>
        <w:t>1.</w:t>
      </w:r>
      <w:r>
        <w:rPr>
          <w:noProof/>
        </w:rPr>
        <w:tab/>
        <w:t>INTRODUCTION</w:t>
      </w:r>
      <w:bookmarkEnd w:id="2"/>
    </w:p>
    <w:p w:rsidR="00EF2BC3" w:rsidRDefault="00AF3002">
      <w:pPr>
        <w:tabs>
          <w:tab w:val="right" w:leader="dot" w:pos="9071"/>
        </w:tabs>
        <w:spacing w:before="120"/>
        <w:jc w:val="both"/>
        <w:rPr>
          <w:rFonts w:eastAsia="Times New Roman"/>
          <w:noProof/>
        </w:rPr>
      </w:pPr>
      <w:r>
        <w:rPr>
          <w:rFonts w:eastAsia="Times New Roman"/>
          <w:noProof/>
        </w:rPr>
        <w:t xml:space="preserve">This Staff Working Document presents details on the outcome of the Commission’s assessment of European Union (EU) Member States’ notifications on the implementation of Council Directive 2011/70/EURATOM on </w:t>
      </w:r>
      <w:r>
        <w:rPr>
          <w:bCs/>
          <w:noProof/>
        </w:rPr>
        <w:t>responsible and safe management of spent fuel and r</w:t>
      </w:r>
      <w:r>
        <w:rPr>
          <w:bCs/>
          <w:noProof/>
        </w:rPr>
        <w:t>adioactive waste</w:t>
      </w:r>
      <w:r>
        <w:rPr>
          <w:rStyle w:val="FootnoteReference"/>
          <w:rFonts w:eastAsia="Times New Roman"/>
          <w:noProof/>
        </w:rPr>
        <w:t xml:space="preserve"> </w:t>
      </w:r>
      <w:r>
        <w:rPr>
          <w:rFonts w:eastAsia="Times New Roman"/>
          <w:noProof/>
        </w:rPr>
        <w:t xml:space="preserve"> (further “Directive”)</w:t>
      </w:r>
      <w:r>
        <w:rPr>
          <w:rStyle w:val="FootnoteReference"/>
          <w:rFonts w:eastAsia="Times New Roman"/>
          <w:noProof/>
        </w:rPr>
        <w:footnoteReference w:id="2"/>
      </w:r>
      <w:r>
        <w:rPr>
          <w:rFonts w:eastAsia="Times New Roman"/>
          <w:noProof/>
        </w:rPr>
        <w:t>. It is based on the information provided in Member States' national programmes</w:t>
      </w:r>
      <w:r>
        <w:rPr>
          <w:rStyle w:val="FootnoteReference"/>
          <w:rFonts w:eastAsia="Times New Roman"/>
          <w:noProof/>
        </w:rPr>
        <w:footnoteReference w:id="3"/>
      </w:r>
      <w:r>
        <w:rPr>
          <w:rFonts w:eastAsia="Times New Roman"/>
          <w:noProof/>
        </w:rPr>
        <w:t xml:space="preserve"> and national reports</w:t>
      </w:r>
      <w:r>
        <w:rPr>
          <w:rStyle w:val="FootnoteReference"/>
          <w:rFonts w:eastAsia="Times New Roman"/>
          <w:noProof/>
        </w:rPr>
        <w:footnoteReference w:id="4"/>
      </w:r>
      <w:r>
        <w:rPr>
          <w:rFonts w:eastAsia="Times New Roman"/>
          <w:noProof/>
        </w:rPr>
        <w:t xml:space="preserve"> on spent fuel and radioactive waste management, as notified to the Commission by 30 September 2016</w:t>
      </w:r>
      <w:r>
        <w:rPr>
          <w:rStyle w:val="FootnoteReference"/>
          <w:rFonts w:eastAsia="Times New Roman"/>
          <w:noProof/>
        </w:rPr>
        <w:footnoteReference w:id="5"/>
      </w:r>
      <w:r>
        <w:rPr>
          <w:rFonts w:eastAsia="Times New Roman"/>
          <w:noProof/>
        </w:rPr>
        <w:t xml:space="preserve">. It provides </w:t>
      </w:r>
      <w:r>
        <w:rPr>
          <w:rFonts w:eastAsia="Times New Roman"/>
          <w:noProof/>
        </w:rPr>
        <w:t>background information related to the main findings, progress, challenges, and trends presented in the first Commission report COM(2017)236 to the Council and the European Parliament on progress of implementation of Council Directive 2011/70/Euratom and an</w:t>
      </w:r>
      <w:r>
        <w:rPr>
          <w:rFonts w:eastAsia="Times New Roman"/>
          <w:noProof/>
        </w:rPr>
        <w:t xml:space="preserve"> inventory of radioactive waste and spent fuel present in the Community's territory and future prospects. </w:t>
      </w:r>
    </w:p>
    <w:p w:rsidR="00EF2BC3" w:rsidRDefault="00AF3002">
      <w:pPr>
        <w:tabs>
          <w:tab w:val="right" w:leader="dot" w:pos="9071"/>
        </w:tabs>
        <w:spacing w:before="120"/>
        <w:jc w:val="both"/>
        <w:rPr>
          <w:rFonts w:eastAsia="Times New Roman"/>
          <w:noProof/>
        </w:rPr>
      </w:pPr>
      <w:r>
        <w:rPr>
          <w:rFonts w:eastAsia="Times New Roman"/>
          <w:noProof/>
        </w:rPr>
        <w:t>On the basis of the notified legal measures transposing the Directive, 27 national programmes on spent fuel and radioactive waste management (5 of wh</w:t>
      </w:r>
      <w:r>
        <w:rPr>
          <w:rFonts w:eastAsia="Times New Roman"/>
          <w:noProof/>
        </w:rPr>
        <w:t>ich under formal approval by Member States), and 28 national reports on implementation of the Directive, the Commission notes the commitment of Member States towards the safe and responsible management of spent fuel and radioactive waste. This is the first</w:t>
      </w:r>
      <w:r>
        <w:rPr>
          <w:rFonts w:eastAsia="Times New Roman"/>
          <w:noProof/>
        </w:rPr>
        <w:t xml:space="preserve"> time that Member States report on the implementation of their national programmes for the management of spent fuel and radioactive waste under the Directive. </w:t>
      </w:r>
    </w:p>
    <w:p w:rsidR="00EF2BC3" w:rsidRDefault="00AF3002">
      <w:pPr>
        <w:tabs>
          <w:tab w:val="right" w:leader="dot" w:pos="9071"/>
        </w:tabs>
        <w:spacing w:before="120"/>
        <w:jc w:val="both"/>
        <w:rPr>
          <w:rFonts w:eastAsia="Times New Roman"/>
          <w:noProof/>
        </w:rPr>
      </w:pPr>
      <w:r>
        <w:rPr>
          <w:rFonts w:eastAsia="Times New Roman"/>
          <w:noProof/>
        </w:rPr>
        <w:t>The Staff Working Document pays particular attention to national policies and principles, nation</w:t>
      </w:r>
      <w:r>
        <w:rPr>
          <w:rFonts w:eastAsia="Times New Roman"/>
          <w:noProof/>
        </w:rPr>
        <w:t>al frameworks, national programmes and their implementation, competent regulatory authorities, license holders responsibilities, concepts and plans, safety demonstration, financial resources, expertise and skills, research, and transparency.</w:t>
      </w:r>
    </w:p>
    <w:p w:rsidR="00EF2BC3" w:rsidRDefault="00AF3002">
      <w:pPr>
        <w:spacing w:before="120"/>
        <w:jc w:val="both"/>
        <w:rPr>
          <w:noProof/>
        </w:rPr>
      </w:pPr>
      <w:r>
        <w:rPr>
          <w:noProof/>
          <w:color w:val="000000" w:themeColor="text1"/>
        </w:rPr>
        <w:t xml:space="preserve">In this first </w:t>
      </w:r>
      <w:r>
        <w:rPr>
          <w:noProof/>
          <w:color w:val="000000" w:themeColor="text1"/>
        </w:rPr>
        <w:t>report, the Commission has taken into account information from the national programmes and national reports, relevant for implementation of the Directive in Member States in order to present a comprehensive overview to the Council and European Parliament o</w:t>
      </w:r>
      <w:r>
        <w:rPr>
          <w:noProof/>
          <w:color w:val="000000" w:themeColor="text1"/>
        </w:rPr>
        <w:t>n spent fuel and radioactive waste management in the EU.</w:t>
      </w:r>
    </w:p>
    <w:p w:rsidR="00EF2BC3" w:rsidRDefault="00AF3002">
      <w:pPr>
        <w:pStyle w:val="ManualHeading1"/>
        <w:spacing w:before="2"/>
        <w:rPr>
          <w:noProof/>
        </w:rPr>
      </w:pPr>
      <w:bookmarkStart w:id="3" w:name="_Toc474832852"/>
      <w:r>
        <w:t>2.</w:t>
      </w:r>
      <w:r>
        <w:tab/>
      </w:r>
      <w:r>
        <w:rPr>
          <w:noProof/>
        </w:rPr>
        <w:t>STATUS OF IMPLEMENTATION</w:t>
      </w:r>
      <w:bookmarkEnd w:id="3"/>
    </w:p>
    <w:p w:rsidR="00EF2BC3" w:rsidRDefault="00AF3002">
      <w:pPr>
        <w:pStyle w:val="ManualHeading2"/>
        <w:spacing w:before="2"/>
        <w:rPr>
          <w:noProof/>
        </w:rPr>
      </w:pPr>
      <w:bookmarkStart w:id="4" w:name="_Toc474832853"/>
      <w:r>
        <w:t>2.1.</w:t>
      </w:r>
      <w:r>
        <w:tab/>
      </w:r>
      <w:r>
        <w:rPr>
          <w:noProof/>
        </w:rPr>
        <w:t>National policies and frameworks for the safe and responsible management of spent fuel and radioactive waste</w:t>
      </w:r>
      <w:bookmarkEnd w:id="4"/>
    </w:p>
    <w:p w:rsidR="00EF2BC3" w:rsidRDefault="00AF3002">
      <w:pPr>
        <w:pStyle w:val="ManualHeading3"/>
        <w:spacing w:before="2"/>
        <w:rPr>
          <w:noProof/>
        </w:rPr>
      </w:pPr>
      <w:r>
        <w:t>2.1.1.</w:t>
      </w:r>
      <w:r>
        <w:tab/>
      </w:r>
      <w:r>
        <w:rPr>
          <w:noProof/>
        </w:rPr>
        <w:t xml:space="preserve"> </w:t>
      </w:r>
      <w:bookmarkStart w:id="5" w:name="_Toc474832854"/>
      <w:r>
        <w:rPr>
          <w:noProof/>
        </w:rPr>
        <w:tab/>
        <w:t>National policies</w:t>
      </w:r>
      <w:bookmarkEnd w:id="5"/>
    </w:p>
    <w:p w:rsidR="00EF2BC3" w:rsidRDefault="00AF3002">
      <w:pPr>
        <w:autoSpaceDE w:val="0"/>
        <w:autoSpaceDN w:val="0"/>
        <w:adjustRightInd w:val="0"/>
        <w:spacing w:before="120"/>
        <w:jc w:val="both"/>
        <w:rPr>
          <w:rFonts w:eastAsia="Times New Roman"/>
          <w:noProof/>
          <w:color w:val="000000" w:themeColor="text1"/>
        </w:rPr>
      </w:pPr>
      <w:r>
        <w:rPr>
          <w:rFonts w:eastAsia="Times New Roman"/>
          <w:noProof/>
          <w:color w:val="000000" w:themeColor="text1"/>
        </w:rPr>
        <w:t>Development of a national poli</w:t>
      </w:r>
      <w:r>
        <w:rPr>
          <w:rFonts w:eastAsia="Times New Roman"/>
          <w:noProof/>
          <w:color w:val="000000" w:themeColor="text1"/>
        </w:rPr>
        <w:t xml:space="preserve">cy for management of spent fuel and radioactive waste is a key provision for long term and safe management of spent fuel and radioactive waste. </w:t>
      </w:r>
    </w:p>
    <w:p w:rsidR="00EF2BC3" w:rsidRDefault="00AF3002">
      <w:pPr>
        <w:tabs>
          <w:tab w:val="left" w:pos="0"/>
        </w:tabs>
        <w:autoSpaceDE w:val="0"/>
        <w:autoSpaceDN w:val="0"/>
        <w:adjustRightInd w:val="0"/>
        <w:spacing w:before="120"/>
        <w:jc w:val="both"/>
        <w:rPr>
          <w:rFonts w:eastAsia="Times New Roman"/>
          <w:noProof/>
          <w:color w:val="000000" w:themeColor="text1"/>
        </w:rPr>
      </w:pPr>
      <w:r>
        <w:rPr>
          <w:rFonts w:eastAsia="Times New Roman"/>
          <w:noProof/>
          <w:color w:val="000000" w:themeColor="text1"/>
        </w:rPr>
        <w:t>According to the Directive each Member State shall bear ultimate responsibility for the management of the spent</w:t>
      </w:r>
      <w:r>
        <w:rPr>
          <w:rFonts w:eastAsia="Times New Roman"/>
          <w:noProof/>
          <w:color w:val="000000" w:themeColor="text1"/>
        </w:rPr>
        <w:t xml:space="preserve"> fuel and radioactive waste generated in it. It is up to the Member States to take a decision whether they will build a single disposal facility for all radioactive waste or a number of facilities for different waste types.</w:t>
      </w:r>
    </w:p>
    <w:p w:rsidR="00EF2BC3" w:rsidRDefault="00AF3002">
      <w:pPr>
        <w:tabs>
          <w:tab w:val="left" w:pos="0"/>
        </w:tabs>
        <w:autoSpaceDE w:val="0"/>
        <w:autoSpaceDN w:val="0"/>
        <w:adjustRightInd w:val="0"/>
        <w:spacing w:before="120"/>
        <w:jc w:val="both"/>
        <w:rPr>
          <w:rFonts w:eastAsia="Times New Roman"/>
          <w:noProof/>
          <w:color w:val="000000" w:themeColor="text1"/>
        </w:rPr>
      </w:pPr>
      <w:r>
        <w:rPr>
          <w:rFonts w:eastAsia="Times New Roman"/>
          <w:noProof/>
          <w:color w:val="000000" w:themeColor="text1"/>
        </w:rPr>
        <w:t xml:space="preserve">Although the Directive requires </w:t>
      </w:r>
      <w:r>
        <w:rPr>
          <w:rFonts w:eastAsia="Times New Roman"/>
          <w:noProof/>
          <w:color w:val="000000" w:themeColor="text1"/>
        </w:rPr>
        <w:t>that the radioactive waste be disposed of in the Member State in which it was generated, it introduces conditions under which the radioactive waste could be disposed of in another Member State or in a third country (Article 4(4) of the Directive). The expo</w:t>
      </w:r>
      <w:r>
        <w:rPr>
          <w:rFonts w:eastAsia="Times New Roman"/>
          <w:noProof/>
          <w:color w:val="000000" w:themeColor="text1"/>
        </w:rPr>
        <w:t>rt of radioactive waste for disposal in another Member State or in a third country is in practice considered by most Member States without a nuclear programme, or which have one or several research reactors and relatively small quantities of low level wast</w:t>
      </w:r>
      <w:r>
        <w:rPr>
          <w:rFonts w:eastAsia="Times New Roman"/>
          <w:noProof/>
          <w:color w:val="000000" w:themeColor="text1"/>
        </w:rPr>
        <w:t xml:space="preserve">e (LLW) and intermediate level waste (ILW). </w:t>
      </w:r>
    </w:p>
    <w:p w:rsidR="00EF2BC3" w:rsidRDefault="00AF3002">
      <w:pPr>
        <w:tabs>
          <w:tab w:val="left" w:pos="0"/>
        </w:tabs>
        <w:autoSpaceDE w:val="0"/>
        <w:autoSpaceDN w:val="0"/>
        <w:adjustRightInd w:val="0"/>
        <w:spacing w:before="120"/>
        <w:jc w:val="both"/>
        <w:rPr>
          <w:rFonts w:eastAsia="Times New Roman"/>
          <w:noProof/>
          <w:color w:val="000000" w:themeColor="text1"/>
        </w:rPr>
      </w:pPr>
      <w:r>
        <w:rPr>
          <w:rFonts w:eastAsia="Times New Roman"/>
          <w:noProof/>
          <w:color w:val="000000" w:themeColor="text1"/>
        </w:rPr>
        <w:t>Article 4 (3) of the Directive defines a number of principles national policies shall be based on:</w:t>
      </w:r>
    </w:p>
    <w:p w:rsidR="00EF2BC3" w:rsidRDefault="00AF3002">
      <w:pPr>
        <w:pStyle w:val="ListParagraph"/>
        <w:widowControl w:val="0"/>
        <w:numPr>
          <w:ilvl w:val="0"/>
          <w:numId w:val="26"/>
        </w:numPr>
        <w:tabs>
          <w:tab w:val="left" w:pos="567"/>
        </w:tabs>
        <w:autoSpaceDE w:val="0"/>
        <w:autoSpaceDN w:val="0"/>
        <w:adjustRightInd w:val="0"/>
        <w:spacing w:after="120" w:line="300" w:lineRule="atLeast"/>
        <w:ind w:left="851" w:hanging="284"/>
        <w:rPr>
          <w:noProof/>
        </w:rPr>
      </w:pPr>
      <w:r>
        <w:rPr>
          <w:rFonts w:eastAsia="Times New Roman"/>
          <w:noProof/>
          <w:color w:val="000000" w:themeColor="text1"/>
        </w:rPr>
        <w:t>Keeping the ge</w:t>
      </w:r>
      <w:r>
        <w:rPr>
          <w:noProof/>
        </w:rPr>
        <w:t>neration of radioactive waste to the minimum;</w:t>
      </w:r>
    </w:p>
    <w:p w:rsidR="00EF2BC3" w:rsidRDefault="00AF3002">
      <w:pPr>
        <w:pStyle w:val="ListParagraph"/>
        <w:numPr>
          <w:ilvl w:val="0"/>
          <w:numId w:val="26"/>
        </w:numPr>
        <w:tabs>
          <w:tab w:val="left" w:pos="567"/>
        </w:tabs>
        <w:spacing w:after="120"/>
        <w:ind w:left="851" w:hanging="284"/>
        <w:jc w:val="both"/>
        <w:rPr>
          <w:noProof/>
        </w:rPr>
      </w:pPr>
      <w:r>
        <w:rPr>
          <w:noProof/>
        </w:rPr>
        <w:t xml:space="preserve">The interdependencies between all steps in spent </w:t>
      </w:r>
      <w:r>
        <w:rPr>
          <w:noProof/>
        </w:rPr>
        <w:t>fuel and radioactive waste management;</w:t>
      </w:r>
    </w:p>
    <w:p w:rsidR="00EF2BC3" w:rsidRDefault="00AF3002">
      <w:pPr>
        <w:pStyle w:val="ListParagraph"/>
        <w:numPr>
          <w:ilvl w:val="0"/>
          <w:numId w:val="26"/>
        </w:numPr>
        <w:tabs>
          <w:tab w:val="left" w:pos="567"/>
        </w:tabs>
        <w:spacing w:after="120"/>
        <w:ind w:left="851" w:hanging="284"/>
        <w:jc w:val="both"/>
        <w:rPr>
          <w:noProof/>
        </w:rPr>
      </w:pPr>
      <w:r>
        <w:rPr>
          <w:noProof/>
        </w:rPr>
        <w:t>Safe management of spent fuel and radioactive waste and passive safety features for long term safety;</w:t>
      </w:r>
    </w:p>
    <w:p w:rsidR="00EF2BC3" w:rsidRDefault="00AF3002">
      <w:pPr>
        <w:pStyle w:val="ListParagraph"/>
        <w:numPr>
          <w:ilvl w:val="0"/>
          <w:numId w:val="26"/>
        </w:numPr>
        <w:tabs>
          <w:tab w:val="left" w:pos="567"/>
        </w:tabs>
        <w:spacing w:after="120"/>
        <w:ind w:left="851" w:hanging="284"/>
        <w:jc w:val="both"/>
        <w:rPr>
          <w:noProof/>
        </w:rPr>
      </w:pPr>
      <w:r>
        <w:rPr>
          <w:noProof/>
        </w:rPr>
        <w:t>Graded approach in implementation of measures for spent fuel and radioactive waste management;</w:t>
      </w:r>
    </w:p>
    <w:p w:rsidR="00EF2BC3" w:rsidRDefault="00AF3002">
      <w:pPr>
        <w:pStyle w:val="ListParagraph"/>
        <w:numPr>
          <w:ilvl w:val="0"/>
          <w:numId w:val="26"/>
        </w:numPr>
        <w:tabs>
          <w:tab w:val="left" w:pos="567"/>
        </w:tabs>
        <w:spacing w:after="120"/>
        <w:ind w:left="851" w:hanging="284"/>
        <w:jc w:val="both"/>
        <w:rPr>
          <w:noProof/>
        </w:rPr>
      </w:pPr>
      <w:r>
        <w:rPr>
          <w:noProof/>
        </w:rPr>
        <w:t>The costs for the ma</w:t>
      </w:r>
      <w:r>
        <w:rPr>
          <w:noProof/>
        </w:rPr>
        <w:t>nagement of spent fuel and radioactive waste shall be borne by those who generated those materials;</w:t>
      </w:r>
    </w:p>
    <w:p w:rsidR="00EF2BC3" w:rsidRDefault="00AF3002">
      <w:pPr>
        <w:pStyle w:val="ListParagraph"/>
        <w:widowControl w:val="0"/>
        <w:numPr>
          <w:ilvl w:val="0"/>
          <w:numId w:val="26"/>
        </w:numPr>
        <w:tabs>
          <w:tab w:val="left" w:pos="220"/>
          <w:tab w:val="left" w:pos="567"/>
        </w:tabs>
        <w:autoSpaceDE w:val="0"/>
        <w:autoSpaceDN w:val="0"/>
        <w:adjustRightInd w:val="0"/>
        <w:spacing w:after="120" w:line="300" w:lineRule="atLeast"/>
        <w:ind w:left="851" w:hanging="284"/>
        <w:jc w:val="both"/>
        <w:rPr>
          <w:rFonts w:eastAsiaTheme="minorHAnsi"/>
          <w:noProof/>
        </w:rPr>
      </w:pPr>
      <w:r>
        <w:rPr>
          <w:rFonts w:eastAsia="Times New Roman"/>
          <w:noProof/>
          <w:color w:val="000000" w:themeColor="text1"/>
        </w:rPr>
        <w:t xml:space="preserve">Evidence-based and documented decision making process </w:t>
      </w:r>
      <w:r>
        <w:rPr>
          <w:noProof/>
        </w:rPr>
        <w:t>to all stages of spent fuel and radioactive waste management</w:t>
      </w:r>
      <w:r>
        <w:rPr>
          <w:rFonts w:eastAsia="Times New Roman"/>
          <w:noProof/>
          <w:color w:val="000000" w:themeColor="text1"/>
        </w:rPr>
        <w:t>.</w:t>
      </w:r>
    </w:p>
    <w:p w:rsidR="00EF2BC3" w:rsidRDefault="00AF3002">
      <w:pPr>
        <w:tabs>
          <w:tab w:val="right" w:leader="dot" w:pos="9071"/>
        </w:tabs>
        <w:spacing w:before="120"/>
        <w:jc w:val="both"/>
        <w:rPr>
          <w:rFonts w:eastAsia="Times New Roman"/>
          <w:noProof/>
        </w:rPr>
      </w:pPr>
      <w:r>
        <w:rPr>
          <w:rFonts w:eastAsia="Times New Roman"/>
          <w:noProof/>
          <w:color w:val="000000" w:themeColor="text1"/>
        </w:rPr>
        <w:t>The majority of Member States has develo</w:t>
      </w:r>
      <w:r>
        <w:rPr>
          <w:rFonts w:eastAsia="Times New Roman"/>
          <w:noProof/>
          <w:color w:val="000000" w:themeColor="text1"/>
        </w:rPr>
        <w:t xml:space="preserve">ped national policies for management of </w:t>
      </w:r>
      <w:r>
        <w:rPr>
          <w:rFonts w:eastAsia="Times New Roman"/>
          <w:noProof/>
        </w:rPr>
        <w:t>spent fuel</w:t>
      </w:r>
      <w:r>
        <w:rPr>
          <w:rFonts w:eastAsia="Times New Roman"/>
          <w:noProof/>
          <w:color w:val="000000" w:themeColor="text1"/>
        </w:rPr>
        <w:t xml:space="preserve"> and radioactive </w:t>
      </w:r>
      <w:r>
        <w:rPr>
          <w:rFonts w:eastAsia="Times New Roman"/>
          <w:noProof/>
        </w:rPr>
        <w:t xml:space="preserve">waste, although not all Member States' policies cover all types of their radioactive waste or spent fuel (e.g. research facilities) or all states of their management, in particular long term management. </w:t>
      </w:r>
    </w:p>
    <w:p w:rsidR="00EF2BC3" w:rsidRDefault="00AF3002">
      <w:pPr>
        <w:pStyle w:val="ListParagraph"/>
        <w:tabs>
          <w:tab w:val="right" w:leader="dot" w:pos="9071"/>
        </w:tabs>
        <w:spacing w:before="120"/>
        <w:ind w:left="0"/>
        <w:contextualSpacing w:val="0"/>
        <w:jc w:val="both"/>
        <w:rPr>
          <w:noProof/>
        </w:rPr>
      </w:pPr>
      <w:r>
        <w:rPr>
          <w:noProof/>
        </w:rPr>
        <w:t>The majority of Member States has developed policies</w:t>
      </w:r>
      <w:r>
        <w:rPr>
          <w:noProof/>
        </w:rPr>
        <w:t xml:space="preserve"> either in stand-alone documents, or reflected in their national frameworks and/or their national programmes. Almost half of the Member States are considering multiple options for disposal of their spent fuel and/or radioactive waste. </w:t>
      </w:r>
    </w:p>
    <w:p w:rsidR="00EF2BC3" w:rsidRDefault="00AF3002">
      <w:pPr>
        <w:pStyle w:val="ListParagraph"/>
        <w:tabs>
          <w:tab w:val="right" w:leader="dot" w:pos="9071"/>
        </w:tabs>
        <w:spacing w:before="120"/>
        <w:ind w:left="0"/>
        <w:contextualSpacing w:val="0"/>
        <w:jc w:val="both"/>
        <w:rPr>
          <w:rFonts w:eastAsia="Times New Roman"/>
          <w:noProof/>
        </w:rPr>
      </w:pPr>
      <w:r>
        <w:rPr>
          <w:rFonts w:eastAsia="Times New Roman"/>
          <w:noProof/>
        </w:rPr>
        <w:t>Operators from a few</w:t>
      </w:r>
      <w:r>
        <w:rPr>
          <w:rFonts w:eastAsia="Times New Roman"/>
          <w:noProof/>
        </w:rPr>
        <w:t xml:space="preserve"> Member States are currently reprocessing their spent fuel in France, the United Kingdom and the Russian Federation. In the rest of the Member States spent fuel is intended to be disposed of in deep geological facilities without reprocessing. This is parti</w:t>
      </w:r>
      <w:r>
        <w:rPr>
          <w:rFonts w:eastAsia="Times New Roman"/>
          <w:noProof/>
        </w:rPr>
        <w:t xml:space="preserve">cularly valid for spent fuel from new build, and for current spent fuel in some Member States that used to reprocess it in the past. </w:t>
      </w:r>
    </w:p>
    <w:p w:rsidR="00EF2BC3" w:rsidRDefault="00AF3002">
      <w:pPr>
        <w:pStyle w:val="ListParagraph"/>
        <w:tabs>
          <w:tab w:val="right" w:leader="dot" w:pos="9071"/>
        </w:tabs>
        <w:spacing w:before="120"/>
        <w:ind w:left="0"/>
        <w:contextualSpacing w:val="0"/>
        <w:jc w:val="both"/>
        <w:rPr>
          <w:rFonts w:eastAsia="Times New Roman"/>
          <w:noProof/>
          <w:color w:val="000000" w:themeColor="text1"/>
        </w:rPr>
      </w:pPr>
      <w:r>
        <w:rPr>
          <w:rFonts w:eastAsia="Times New Roman"/>
          <w:noProof/>
        </w:rPr>
        <w:t xml:space="preserve">The </w:t>
      </w:r>
      <w:r>
        <w:rPr>
          <w:noProof/>
          <w:color w:val="000000" w:themeColor="text1"/>
        </w:rPr>
        <w:t xml:space="preserve">spent fuel </w:t>
      </w:r>
      <w:r>
        <w:rPr>
          <w:rFonts w:eastAsia="Times New Roman"/>
          <w:noProof/>
        </w:rPr>
        <w:t>from research reactors is intended for shipment to the supplier (USA or the Russian Federation) in most cas</w:t>
      </w:r>
      <w:r>
        <w:rPr>
          <w:rFonts w:eastAsia="Times New Roman"/>
          <w:noProof/>
        </w:rPr>
        <w:t>es before 2020.</w:t>
      </w:r>
    </w:p>
    <w:p w:rsidR="00EF2BC3" w:rsidRDefault="00AF3002">
      <w:pPr>
        <w:spacing w:before="120"/>
        <w:jc w:val="both"/>
        <w:rPr>
          <w:noProof/>
          <w:color w:val="000000" w:themeColor="text1"/>
        </w:rPr>
      </w:pPr>
      <w:r>
        <w:rPr>
          <w:rFonts w:eastAsia="Times New Roman"/>
          <w:noProof/>
          <w:color w:val="000000" w:themeColor="text1"/>
        </w:rPr>
        <w:t xml:space="preserve">Three </w:t>
      </w:r>
      <w:r>
        <w:rPr>
          <w:rFonts w:eastAsia="Times New Roman"/>
          <w:noProof/>
        </w:rPr>
        <w:t>Member States</w:t>
      </w:r>
      <w:r>
        <w:rPr>
          <w:rFonts w:eastAsia="Times New Roman"/>
          <w:noProof/>
          <w:color w:val="000000" w:themeColor="text1"/>
        </w:rPr>
        <w:t xml:space="preserve"> (Finland, France and Sweden) have concrete plans for development of geological disposal facilities for ILW and high level waste (HLW) in the next 15 years. Based on the </w:t>
      </w:r>
      <w:r>
        <w:rPr>
          <w:rFonts w:eastAsia="Times New Roman"/>
          <w:noProof/>
        </w:rPr>
        <w:t>Member States'</w:t>
      </w:r>
      <w:r>
        <w:rPr>
          <w:rFonts w:eastAsia="Times New Roman"/>
          <w:noProof/>
          <w:color w:val="000000" w:themeColor="text1"/>
        </w:rPr>
        <w:t xml:space="preserve"> programmes to date, in total fifteen</w:t>
      </w:r>
      <w:r>
        <w:rPr>
          <w:rFonts w:eastAsia="Times New Roman"/>
          <w:noProof/>
          <w:color w:val="000000" w:themeColor="text1"/>
        </w:rPr>
        <w:t xml:space="preserve"> </w:t>
      </w:r>
      <w:r>
        <w:rPr>
          <w:rFonts w:eastAsia="Times New Roman"/>
          <w:noProof/>
        </w:rPr>
        <w:t>Member States</w:t>
      </w:r>
      <w:r>
        <w:rPr>
          <w:rFonts w:eastAsia="Times New Roman"/>
          <w:noProof/>
          <w:color w:val="000000" w:themeColor="text1"/>
        </w:rPr>
        <w:t xml:space="preserve"> plan to develop geological disposal facilities in the next 100 years in the EU. Thereby, shared disposal facilities remains an option</w:t>
      </w:r>
      <w:r>
        <w:rPr>
          <w:noProof/>
          <w:vertAlign w:val="superscript"/>
        </w:rPr>
        <w:footnoteReference w:id="6"/>
      </w:r>
      <w:r>
        <w:rPr>
          <w:rFonts w:eastAsia="Times New Roman"/>
          <w:noProof/>
          <w:color w:val="000000" w:themeColor="text1"/>
        </w:rPr>
        <w:t xml:space="preserve"> for many Member States.</w:t>
      </w:r>
      <w:r>
        <w:rPr>
          <w:noProof/>
          <w:color w:val="000000" w:themeColor="text1"/>
        </w:rPr>
        <w:t xml:space="preserve">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remaining </w:t>
      </w:r>
      <w:r>
        <w:rPr>
          <w:rFonts w:eastAsia="Times New Roman"/>
          <w:noProof/>
        </w:rPr>
        <w:t>Member States</w:t>
      </w:r>
      <w:r>
        <w:rPr>
          <w:rFonts w:eastAsia="Times New Roman"/>
          <w:noProof/>
          <w:color w:val="000000" w:themeColor="text1"/>
        </w:rPr>
        <w:t xml:space="preserve"> have either:</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Not defined their long-term policy for s</w:t>
      </w:r>
      <w:r>
        <w:rPr>
          <w:rFonts w:eastAsia="Times New Roman"/>
          <w:noProof/>
          <w:color w:val="000000" w:themeColor="text1"/>
        </w:rPr>
        <w:t xml:space="preserve">pent fuel, HLW and ILW disposal (e.g. national disposal facility, disposal in a third country or shared disposal facilities); or </w:t>
      </w:r>
    </w:p>
    <w:p w:rsidR="00EF2BC3" w:rsidRDefault="00AF3002">
      <w:pPr>
        <w:pStyle w:val="ListParagraph"/>
        <w:numPr>
          <w:ilvl w:val="0"/>
          <w:numId w:val="24"/>
        </w:numPr>
        <w:ind w:left="714" w:hanging="357"/>
        <w:contextualSpacing w:val="0"/>
        <w:jc w:val="both"/>
        <w:rPr>
          <w:rFonts w:eastAsia="Times New Roman"/>
          <w:noProof/>
          <w:color w:val="000000" w:themeColor="text1"/>
        </w:rPr>
      </w:pPr>
      <w:r>
        <w:rPr>
          <w:rFonts w:eastAsia="Times New Roman"/>
          <w:noProof/>
          <w:color w:val="000000" w:themeColor="text1"/>
        </w:rPr>
        <w:t>Considered two options (e.g. (i) national and shared disposal solutions or (ii) reprocessing and disposal),</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and in those cases long term storage in the </w:t>
      </w:r>
      <w:r>
        <w:rPr>
          <w:rFonts w:eastAsia="Times New Roman"/>
          <w:noProof/>
        </w:rPr>
        <w:t>Member States</w:t>
      </w:r>
      <w:r>
        <w:rPr>
          <w:rFonts w:eastAsia="Times New Roman"/>
          <w:noProof/>
          <w:color w:val="000000" w:themeColor="text1"/>
        </w:rPr>
        <w:t xml:space="preserve"> is foreseen as an interim step.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About half of the </w:t>
      </w:r>
      <w:r>
        <w:rPr>
          <w:rFonts w:eastAsia="Times New Roman"/>
          <w:noProof/>
        </w:rPr>
        <w:t>Member States</w:t>
      </w:r>
      <w:r>
        <w:rPr>
          <w:rFonts w:eastAsia="Times New Roman"/>
          <w:noProof/>
          <w:color w:val="000000" w:themeColor="text1"/>
        </w:rPr>
        <w:t xml:space="preserve"> consider shared solutions in their programmes. Some define it as the primary option for disposal of HLW and spent fuel, other </w:t>
      </w:r>
      <w:r>
        <w:rPr>
          <w:rFonts w:eastAsia="Times New Roman"/>
          <w:noProof/>
        </w:rPr>
        <w:t xml:space="preserve">Member </w:t>
      </w:r>
      <w:r>
        <w:rPr>
          <w:rFonts w:eastAsia="Times New Roman"/>
          <w:noProof/>
        </w:rPr>
        <w:t>States</w:t>
      </w:r>
      <w:r>
        <w:rPr>
          <w:rFonts w:eastAsia="Times New Roman"/>
          <w:noProof/>
          <w:color w:val="000000" w:themeColor="text1"/>
        </w:rPr>
        <w:t xml:space="preserve"> take a dual track approach for a few decades until they will make a decision for a national or shared disposal facility, and a few </w:t>
      </w:r>
      <w:r>
        <w:rPr>
          <w:rFonts w:eastAsia="Times New Roman"/>
          <w:noProof/>
        </w:rPr>
        <w:t>Member States</w:t>
      </w:r>
      <w:r>
        <w:rPr>
          <w:rFonts w:eastAsia="Times New Roman"/>
          <w:noProof/>
          <w:color w:val="000000" w:themeColor="text1"/>
        </w:rPr>
        <w:t xml:space="preserve"> consider shared disposal as a last and not very realistic option.</w:t>
      </w:r>
    </w:p>
    <w:p w:rsidR="00EF2BC3" w:rsidRDefault="00AF3002">
      <w:pPr>
        <w:autoSpaceDE w:val="0"/>
        <w:autoSpaceDN w:val="0"/>
        <w:adjustRightInd w:val="0"/>
        <w:spacing w:before="120"/>
        <w:jc w:val="both"/>
        <w:rPr>
          <w:noProof/>
          <w:color w:val="000000" w:themeColor="text1"/>
        </w:rPr>
      </w:pPr>
      <w:r>
        <w:rPr>
          <w:rFonts w:eastAsia="Times New Roman"/>
          <w:noProof/>
        </w:rPr>
        <w:t>Member States</w:t>
      </w:r>
      <w:r>
        <w:rPr>
          <w:noProof/>
          <w:color w:val="000000" w:themeColor="text1"/>
        </w:rPr>
        <w:t xml:space="preserve"> with small amounts of in</w:t>
      </w:r>
      <w:r>
        <w:rPr>
          <w:noProof/>
          <w:color w:val="000000" w:themeColor="text1"/>
        </w:rPr>
        <w:t>stitutional waste</w:t>
      </w:r>
      <w:r>
        <w:rPr>
          <w:rStyle w:val="FootnoteReference"/>
          <w:noProof/>
          <w:color w:val="000000" w:themeColor="text1"/>
        </w:rPr>
        <w:footnoteReference w:id="7"/>
      </w:r>
      <w:r>
        <w:rPr>
          <w:noProof/>
          <w:color w:val="000000" w:themeColor="text1"/>
        </w:rPr>
        <w:t xml:space="preserve"> plan interim storage of radioactive waste, while a final solution is being decided: disposal on the territory of the said </w:t>
      </w:r>
      <w:r>
        <w:rPr>
          <w:rFonts w:eastAsia="Times New Roman"/>
          <w:noProof/>
        </w:rPr>
        <w:t>Member State</w:t>
      </w:r>
      <w:r>
        <w:rPr>
          <w:noProof/>
          <w:color w:val="000000" w:themeColor="text1"/>
        </w:rPr>
        <w:t>, export for disposal abroad or a shared disposal solution.</w:t>
      </w:r>
    </w:p>
    <w:p w:rsidR="00EF2BC3" w:rsidRDefault="00AF3002">
      <w:pPr>
        <w:autoSpaceDE w:val="0"/>
        <w:autoSpaceDN w:val="0"/>
        <w:adjustRightInd w:val="0"/>
        <w:spacing w:before="120"/>
        <w:jc w:val="both"/>
        <w:rPr>
          <w:noProof/>
          <w:color w:val="000000" w:themeColor="text1"/>
        </w:rPr>
      </w:pPr>
      <w:r>
        <w:rPr>
          <w:noProof/>
          <w:color w:val="000000" w:themeColor="text1"/>
        </w:rPr>
        <w:t xml:space="preserve">The majority of </w:t>
      </w:r>
      <w:r>
        <w:rPr>
          <w:rFonts w:eastAsia="Times New Roman"/>
          <w:noProof/>
        </w:rPr>
        <w:t>Member States</w:t>
      </w:r>
      <w:r>
        <w:rPr>
          <w:noProof/>
          <w:color w:val="000000" w:themeColor="text1"/>
        </w:rPr>
        <w:t xml:space="preserve"> manage radioa</w:t>
      </w:r>
      <w:r>
        <w:rPr>
          <w:noProof/>
          <w:color w:val="000000" w:themeColor="text1"/>
        </w:rPr>
        <w:t xml:space="preserve">ctive waste on their territory, while a number of </w:t>
      </w:r>
      <w:r>
        <w:rPr>
          <w:rFonts w:eastAsia="Times New Roman"/>
          <w:noProof/>
        </w:rPr>
        <w:t>Member States</w:t>
      </w:r>
      <w:r>
        <w:rPr>
          <w:noProof/>
          <w:color w:val="000000" w:themeColor="text1"/>
        </w:rPr>
        <w:t xml:space="preserve"> send radioactive waste for processing abroad. In the latter cases, as per Article 4(2) of the Directive, the </w:t>
      </w:r>
      <w:r>
        <w:rPr>
          <w:rFonts w:eastAsia="Times New Roman"/>
          <w:noProof/>
        </w:rPr>
        <w:t>Member State</w:t>
      </w:r>
      <w:r>
        <w:rPr>
          <w:noProof/>
          <w:color w:val="000000" w:themeColor="text1"/>
        </w:rPr>
        <w:t xml:space="preserve"> of origin remains responsible for the secondary waste as a by-product </w:t>
      </w:r>
      <w:r>
        <w:rPr>
          <w:noProof/>
          <w:color w:val="000000" w:themeColor="text1"/>
        </w:rPr>
        <w:t>generated during the processing.</w:t>
      </w:r>
    </w:p>
    <w:p w:rsidR="00EF2BC3" w:rsidRDefault="00AF3002">
      <w:pPr>
        <w:autoSpaceDE w:val="0"/>
        <w:autoSpaceDN w:val="0"/>
        <w:adjustRightInd w:val="0"/>
        <w:spacing w:before="120"/>
        <w:jc w:val="both"/>
        <w:rPr>
          <w:rFonts w:eastAsia="Times New Roman"/>
          <w:noProof/>
          <w:color w:val="000000" w:themeColor="text1"/>
        </w:rPr>
      </w:pPr>
      <w:r>
        <w:rPr>
          <w:rFonts w:eastAsia="Times New Roman"/>
          <w:noProof/>
          <w:color w:val="000000" w:themeColor="text1"/>
        </w:rPr>
        <w:t xml:space="preserve">Most </w:t>
      </w:r>
      <w:r>
        <w:rPr>
          <w:rFonts w:eastAsia="Times New Roman"/>
          <w:noProof/>
        </w:rPr>
        <w:t>Member States</w:t>
      </w:r>
      <w:r>
        <w:rPr>
          <w:rFonts w:eastAsia="Times New Roman"/>
          <w:noProof/>
          <w:color w:val="000000" w:themeColor="text1"/>
        </w:rPr>
        <w:t xml:space="preserve"> established clearly in their laws and regulations the ultimate responsibility of the State for management</w:t>
      </w:r>
      <w:r>
        <w:rPr>
          <w:noProof/>
          <w:color w:val="000000" w:themeColor="text1"/>
        </w:rPr>
        <w:t xml:space="preserve"> of the spent fuel</w:t>
      </w:r>
      <w:r>
        <w:rPr>
          <w:rFonts w:eastAsia="Times New Roman"/>
          <w:noProof/>
          <w:color w:val="000000" w:themeColor="text1"/>
        </w:rPr>
        <w:t xml:space="preserve"> and radioactive waste generated on its territory, however in most cases no detai</w:t>
      </w:r>
      <w:r>
        <w:rPr>
          <w:rFonts w:eastAsia="Times New Roman"/>
          <w:noProof/>
          <w:color w:val="000000" w:themeColor="text1"/>
        </w:rPr>
        <w:t>ls on the practical implementation have been provided.</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Almost all </w:t>
      </w:r>
      <w:r>
        <w:rPr>
          <w:rFonts w:eastAsia="Times New Roman"/>
          <w:noProof/>
        </w:rPr>
        <w:t>Member States</w:t>
      </w:r>
      <w:r>
        <w:rPr>
          <w:rFonts w:eastAsia="Times New Roman"/>
          <w:noProof/>
          <w:color w:val="000000" w:themeColor="text1"/>
        </w:rPr>
        <w:t xml:space="preserve"> policies address the principles stated in Article 4(3) of the Directive. </w:t>
      </w:r>
      <w:r>
        <w:rPr>
          <w:noProof/>
          <w:color w:val="000000" w:themeColor="text1"/>
        </w:rPr>
        <w:t xml:space="preserve">In general, </w:t>
      </w:r>
      <w:r>
        <w:rPr>
          <w:rFonts w:eastAsia="Times New Roman"/>
          <w:noProof/>
        </w:rPr>
        <w:t>Member States</w:t>
      </w:r>
      <w:r>
        <w:rPr>
          <w:noProof/>
          <w:color w:val="000000" w:themeColor="text1"/>
        </w:rPr>
        <w:t xml:space="preserve"> require in their legislation that these principles are included in the policies. However, information on the practical implementation of the policy principles is not always presented in the national reports, especially in the reports of non-nuclear countr</w:t>
      </w:r>
      <w:r>
        <w:rPr>
          <w:noProof/>
          <w:color w:val="000000" w:themeColor="text1"/>
        </w:rPr>
        <w:t xml:space="preserve">ies. </w:t>
      </w:r>
      <w:r>
        <w:rPr>
          <w:rFonts w:eastAsia="Times New Roman"/>
          <w:noProof/>
          <w:color w:val="000000" w:themeColor="text1"/>
        </w:rPr>
        <w:t xml:space="preserve">Overall </w:t>
      </w:r>
      <w:r>
        <w:rPr>
          <w:rFonts w:eastAsia="Times New Roman"/>
          <w:noProof/>
        </w:rPr>
        <w:t>Member States'</w:t>
      </w:r>
      <w:r>
        <w:rPr>
          <w:rFonts w:eastAsia="Times New Roman"/>
          <w:noProof/>
          <w:color w:val="000000" w:themeColor="text1"/>
        </w:rPr>
        <w:t xml:space="preserve"> policies cover better the principles of (i) keeping the ge</w:t>
      </w:r>
      <w:r>
        <w:rPr>
          <w:noProof/>
        </w:rPr>
        <w:t xml:space="preserve">neration of radioactive waste to the minimum </w:t>
      </w:r>
      <w:r>
        <w:rPr>
          <w:rFonts w:eastAsia="Times New Roman"/>
          <w:noProof/>
          <w:color w:val="000000" w:themeColor="text1"/>
        </w:rPr>
        <w:t>and (ii) safety demonstration, than the principles of application of the graded approach, passive safety features for long te</w:t>
      </w:r>
      <w:r>
        <w:rPr>
          <w:rFonts w:eastAsia="Times New Roman"/>
          <w:noProof/>
          <w:color w:val="000000" w:themeColor="text1"/>
        </w:rPr>
        <w:t xml:space="preserve">rm safety and interdependencies between radioactive waste management steps.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In </w:t>
      </w:r>
      <w:r>
        <w:rPr>
          <w:rFonts w:eastAsia="Times New Roman"/>
          <w:noProof/>
        </w:rPr>
        <w:t>Member States</w:t>
      </w:r>
      <w:r>
        <w:rPr>
          <w:rFonts w:eastAsia="Times New Roman"/>
          <w:noProof/>
          <w:color w:val="000000" w:themeColor="text1"/>
        </w:rPr>
        <w:t xml:space="preserve"> with defined policies, a few </w:t>
      </w:r>
      <w:r>
        <w:rPr>
          <w:rFonts w:eastAsia="Times New Roman"/>
          <w:noProof/>
        </w:rPr>
        <w:t>Member States</w:t>
      </w:r>
      <w:r>
        <w:rPr>
          <w:rFonts w:eastAsia="Times New Roman"/>
          <w:noProof/>
          <w:color w:val="000000" w:themeColor="text1"/>
        </w:rPr>
        <w:t xml:space="preserve"> recognize the need for technical solutions for long term management of special radioactive waste (e.g. exotic waste fro</w:t>
      </w:r>
      <w:r>
        <w:rPr>
          <w:rFonts w:eastAsia="Times New Roman"/>
          <w:noProof/>
          <w:color w:val="000000" w:themeColor="text1"/>
        </w:rPr>
        <w:t xml:space="preserve">m research). These </w:t>
      </w:r>
      <w:r>
        <w:rPr>
          <w:rFonts w:eastAsia="Times New Roman"/>
          <w:noProof/>
        </w:rPr>
        <w:t>Member States</w:t>
      </w:r>
      <w:r>
        <w:rPr>
          <w:rFonts w:eastAsia="Times New Roman"/>
          <w:noProof/>
          <w:color w:val="000000" w:themeColor="text1"/>
        </w:rPr>
        <w:t xml:space="preserve"> reported that they have ongoing or planned research activities to address this need.</w:t>
      </w:r>
    </w:p>
    <w:p w:rsidR="00EF2BC3" w:rsidRDefault="00AF3002">
      <w:pPr>
        <w:spacing w:before="120"/>
        <w:jc w:val="both"/>
        <w:rPr>
          <w:noProof/>
        </w:rPr>
      </w:pPr>
      <w:r>
        <w:rPr>
          <w:rFonts w:eastAsia="Times New Roman"/>
          <w:noProof/>
          <w:color w:val="000000" w:themeColor="text1"/>
        </w:rPr>
        <w:t xml:space="preserve">The majority of </w:t>
      </w:r>
      <w:r>
        <w:rPr>
          <w:rFonts w:eastAsia="Times New Roman"/>
          <w:noProof/>
        </w:rPr>
        <w:t>Member States</w:t>
      </w:r>
      <w:r>
        <w:rPr>
          <w:rFonts w:eastAsia="Times New Roman"/>
          <w:noProof/>
          <w:color w:val="000000" w:themeColor="text1"/>
        </w:rPr>
        <w:t xml:space="preserve"> with nuclear programmes focus on management of spent fuel and radioactive waste from large generators, such </w:t>
      </w:r>
      <w:r>
        <w:rPr>
          <w:rFonts w:eastAsia="Times New Roman"/>
          <w:noProof/>
          <w:color w:val="000000" w:themeColor="text1"/>
        </w:rPr>
        <w:t>as nuclear power plants and therefore do not provide detailed information on management of institutional waste.</w:t>
      </w:r>
      <w:r>
        <w:rPr>
          <w:noProof/>
        </w:rPr>
        <w:t xml:space="preserve"> In particular, for long-term management (e.g. strategy, technical solutions and cost estimates) of radioactive waste and spent fuel coming from </w:t>
      </w:r>
      <w:r>
        <w:rPr>
          <w:noProof/>
        </w:rPr>
        <w:t>the research activities (e.g. research reactors, universities).</w:t>
      </w:r>
    </w:p>
    <w:p w:rsidR="00EF2BC3" w:rsidRDefault="00AF3002">
      <w:pPr>
        <w:pStyle w:val="ManualHeading3"/>
        <w:spacing w:before="2"/>
        <w:rPr>
          <w:noProof/>
        </w:rPr>
      </w:pPr>
      <w:bookmarkStart w:id="6" w:name="_Toc474832855"/>
      <w:r>
        <w:t>2.1.2.</w:t>
      </w:r>
      <w:r>
        <w:tab/>
      </w:r>
      <w:r>
        <w:rPr>
          <w:noProof/>
        </w:rPr>
        <w:t>National programmes, timeframes and key performance indicators</w:t>
      </w:r>
      <w:bookmarkEnd w:id="6"/>
    </w:p>
    <w:p w:rsidR="00EF2BC3" w:rsidRDefault="00AF3002">
      <w:pPr>
        <w:spacing w:before="120"/>
        <w:jc w:val="both"/>
        <w:rPr>
          <w:rFonts w:eastAsia="Times New Roman"/>
          <w:noProof/>
          <w:color w:val="000000" w:themeColor="text1"/>
        </w:rPr>
      </w:pPr>
      <w:r>
        <w:rPr>
          <w:rFonts w:eastAsia="Times New Roman"/>
          <w:noProof/>
        </w:rPr>
        <w:t>Member States</w:t>
      </w:r>
      <w:r>
        <w:rPr>
          <w:rFonts w:eastAsia="Times New Roman"/>
          <w:noProof/>
          <w:color w:val="000000" w:themeColor="text1"/>
        </w:rPr>
        <w:t xml:space="preserve"> are required to establish national programmes for spent fuel and radioactive waste management, which define </w:t>
      </w:r>
      <w:r>
        <w:rPr>
          <w:rFonts w:eastAsia="Times New Roman"/>
          <w:noProof/>
          <w:color w:val="000000" w:themeColor="text1"/>
        </w:rPr>
        <w:t xml:space="preserve">the measures, timeframes and milestones for the national policy in practice. They were also required to notify these programmes to the Commission before 23 August 2015. All </w:t>
      </w:r>
      <w:r>
        <w:rPr>
          <w:rFonts w:eastAsia="Times New Roman"/>
          <w:noProof/>
        </w:rPr>
        <w:t>Member States</w:t>
      </w:r>
      <w:r>
        <w:rPr>
          <w:rFonts w:eastAsia="Times New Roman"/>
          <w:noProof/>
          <w:color w:val="000000" w:themeColor="text1"/>
        </w:rPr>
        <w:t xml:space="preserve"> except one have developed and submitted their national programmes to </w:t>
      </w:r>
      <w:r>
        <w:rPr>
          <w:rFonts w:eastAsia="Times New Roman"/>
          <w:noProof/>
          <w:color w:val="000000" w:themeColor="text1"/>
        </w:rPr>
        <w:t xml:space="preserve">date, although the programmes of six </w:t>
      </w:r>
      <w:r>
        <w:rPr>
          <w:rFonts w:eastAsia="Times New Roman"/>
          <w:noProof/>
        </w:rPr>
        <w:t>Member States</w:t>
      </w:r>
      <w:r>
        <w:rPr>
          <w:rFonts w:eastAsia="Times New Roman"/>
          <w:noProof/>
          <w:color w:val="000000" w:themeColor="text1"/>
        </w:rPr>
        <w:t xml:space="preserve"> are expected to be finalised at the end of 2016 or in 2017, mainly due to ongoing Strategic Environmental Assessment (SEA) procedures. Overall the programmes of more than half of the </w:t>
      </w:r>
      <w:r>
        <w:rPr>
          <w:rFonts w:eastAsia="Times New Roman"/>
          <w:noProof/>
        </w:rPr>
        <w:t>Member States</w:t>
      </w:r>
      <w:r>
        <w:rPr>
          <w:rFonts w:eastAsia="Times New Roman"/>
          <w:noProof/>
          <w:color w:val="000000" w:themeColor="text1"/>
        </w:rPr>
        <w:t xml:space="preserve"> have bee</w:t>
      </w:r>
      <w:r>
        <w:rPr>
          <w:rFonts w:eastAsia="Times New Roman"/>
          <w:noProof/>
          <w:color w:val="000000" w:themeColor="text1"/>
        </w:rPr>
        <w:t xml:space="preserve">n subject of SEA as presented in Table 1.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majority of the programmes are recent and adopted in 2015-2016 period, however in two </w:t>
      </w:r>
      <w:r>
        <w:rPr>
          <w:rFonts w:eastAsia="Times New Roman"/>
          <w:noProof/>
        </w:rPr>
        <w:t>Member States</w:t>
      </w:r>
      <w:r>
        <w:rPr>
          <w:rFonts w:eastAsia="Times New Roman"/>
          <w:noProof/>
          <w:color w:val="000000" w:themeColor="text1"/>
        </w:rPr>
        <w:t xml:space="preserve"> the programmes date as of 2006 and in one as of 2013. Updated submissions of the programmes of two cases</w:t>
      </w:r>
      <w:r>
        <w:rPr>
          <w:rStyle w:val="FootnoteReference"/>
          <w:rFonts w:eastAsia="Times New Roman"/>
          <w:noProof/>
          <w:color w:val="000000" w:themeColor="text1"/>
        </w:rPr>
        <w:footnoteReference w:id="8"/>
      </w:r>
      <w:r>
        <w:rPr>
          <w:rFonts w:eastAsia="Times New Roman"/>
          <w:noProof/>
          <w:color w:val="000000" w:themeColor="text1"/>
        </w:rPr>
        <w:t xml:space="preserve"> (as</w:t>
      </w:r>
      <w:r>
        <w:rPr>
          <w:rFonts w:eastAsia="Times New Roman"/>
          <w:noProof/>
          <w:color w:val="000000" w:themeColor="text1"/>
        </w:rPr>
        <w:t xml:space="preserve"> per Article 13(1) of the Directive) are expected by the Commission.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A few </w:t>
      </w:r>
      <w:r>
        <w:rPr>
          <w:rFonts w:eastAsia="Times New Roman"/>
          <w:noProof/>
        </w:rPr>
        <w:t>Member States</w:t>
      </w:r>
      <w:r>
        <w:rPr>
          <w:rFonts w:eastAsia="Times New Roman"/>
          <w:noProof/>
          <w:color w:val="000000" w:themeColor="text1"/>
        </w:rPr>
        <w:t xml:space="preserve"> have programmes that address most types of spent fuel and radioactive waste and the respective concrete plans from generation to disposal (including deep geological d</w:t>
      </w:r>
      <w:r>
        <w:rPr>
          <w:rFonts w:eastAsia="Times New Roman"/>
          <w:noProof/>
          <w:color w:val="000000" w:themeColor="text1"/>
        </w:rPr>
        <w:t xml:space="preserve">isposal and post-closure measures); although they recognize that there are exotic waste from research activities and remediation waste for which these </w:t>
      </w:r>
      <w:r>
        <w:rPr>
          <w:rFonts w:eastAsia="Times New Roman"/>
          <w:noProof/>
        </w:rPr>
        <w:t>Member States still</w:t>
      </w:r>
      <w:r>
        <w:rPr>
          <w:rFonts w:eastAsia="Times New Roman"/>
          <w:noProof/>
          <w:color w:val="000000" w:themeColor="text1"/>
        </w:rPr>
        <w:t xml:space="preserve"> need to take decisions. </w:t>
      </w:r>
    </w:p>
    <w:p w:rsidR="00EF2BC3" w:rsidRDefault="00AF3002">
      <w:pPr>
        <w:spacing w:before="120"/>
        <w:jc w:val="both"/>
        <w:rPr>
          <w:rFonts w:eastAsia="Times New Roman"/>
          <w:noProof/>
          <w:color w:val="000000" w:themeColor="text1"/>
        </w:rPr>
      </w:pPr>
      <w:r>
        <w:rPr>
          <w:noProof/>
        </w:rPr>
        <w:t xml:space="preserve">Most </w:t>
      </w:r>
      <w:r>
        <w:rPr>
          <w:rFonts w:eastAsia="Times New Roman"/>
          <w:noProof/>
        </w:rPr>
        <w:t>Member States</w:t>
      </w:r>
      <w:r>
        <w:rPr>
          <w:noProof/>
        </w:rPr>
        <w:t xml:space="preserve"> with nuclear power plants (NPPs) have dev</w:t>
      </w:r>
      <w:r>
        <w:rPr>
          <w:noProof/>
        </w:rPr>
        <w:t xml:space="preserve">eloped and approved programmes that cover all stages from generation to disposal. A few </w:t>
      </w:r>
      <w:r>
        <w:rPr>
          <w:rFonts w:eastAsia="Times New Roman"/>
          <w:noProof/>
        </w:rPr>
        <w:t>Member States</w:t>
      </w:r>
      <w:r>
        <w:rPr>
          <w:noProof/>
        </w:rPr>
        <w:t xml:space="preserve"> have not yet decided a long term solution for the management of their radioactive waste or </w:t>
      </w:r>
      <w:r>
        <w:rPr>
          <w:noProof/>
          <w:color w:val="000000" w:themeColor="text1"/>
        </w:rPr>
        <w:t>spent fuel</w:t>
      </w:r>
      <w:r>
        <w:rPr>
          <w:noProof/>
        </w:rPr>
        <w:t>. As mentioned for the national policies, Member Stat</w:t>
      </w:r>
      <w:r>
        <w:rPr>
          <w:noProof/>
        </w:rPr>
        <w:t xml:space="preserve">es with nuclear programmes provide very detailed information on the management of spent fuel and radioactive waste generated in the nuclear industry, and much less on the management of institutional radioactive waste. All </w:t>
      </w:r>
      <w:r>
        <w:rPr>
          <w:rFonts w:eastAsia="Times New Roman"/>
          <w:noProof/>
        </w:rPr>
        <w:t>Member States</w:t>
      </w:r>
      <w:r>
        <w:rPr>
          <w:noProof/>
        </w:rPr>
        <w:t xml:space="preserve"> reflected the exclus</w:t>
      </w:r>
      <w:r>
        <w:rPr>
          <w:noProof/>
        </w:rPr>
        <w:t>ions of the Directive as per Articles 2(2) and 2(3).</w:t>
      </w:r>
    </w:p>
    <w:p w:rsidR="00EF2BC3" w:rsidRDefault="00AF3002">
      <w:pPr>
        <w:spacing w:before="120"/>
        <w:jc w:val="both"/>
        <w:rPr>
          <w:noProof/>
        </w:rPr>
      </w:pPr>
      <w:r>
        <w:rPr>
          <w:noProof/>
        </w:rPr>
        <w:t>Member States without nuclear programmes and having research reactors address all types of radioactive waste and spent fuel generated from research reactor operation. The majority of the national framewo</w:t>
      </w:r>
      <w:r>
        <w:rPr>
          <w:noProof/>
        </w:rPr>
        <w:t xml:space="preserve">rks of these </w:t>
      </w:r>
      <w:r>
        <w:rPr>
          <w:rFonts w:eastAsia="Times New Roman"/>
          <w:noProof/>
        </w:rPr>
        <w:t>Member States</w:t>
      </w:r>
      <w:r>
        <w:rPr>
          <w:noProof/>
        </w:rPr>
        <w:t xml:space="preserve"> only cover activities up to interim storage and repatriation of </w:t>
      </w:r>
      <w:r>
        <w:rPr>
          <w:noProof/>
          <w:color w:val="000000" w:themeColor="text1"/>
        </w:rPr>
        <w:t>spent fuel</w:t>
      </w:r>
      <w:r>
        <w:rPr>
          <w:noProof/>
        </w:rPr>
        <w:t xml:space="preserve"> to the supplier, and have not yet defined policies or routes for the disposal of radioactive waste. </w:t>
      </w:r>
    </w:p>
    <w:p w:rsidR="00EF2BC3" w:rsidRDefault="00AF3002">
      <w:pPr>
        <w:spacing w:before="120"/>
        <w:jc w:val="both"/>
        <w:rPr>
          <w:noProof/>
        </w:rPr>
      </w:pPr>
      <w:r>
        <w:rPr>
          <w:noProof/>
        </w:rPr>
        <w:t xml:space="preserve">Except for one, </w:t>
      </w:r>
      <w:r>
        <w:rPr>
          <w:rFonts w:eastAsia="Times New Roman"/>
          <w:noProof/>
        </w:rPr>
        <w:t>Member States</w:t>
      </w:r>
      <w:r>
        <w:rPr>
          <w:noProof/>
        </w:rPr>
        <w:t xml:space="preserve"> with no nuclear program</w:t>
      </w:r>
      <w:r>
        <w:rPr>
          <w:noProof/>
        </w:rPr>
        <w:t xml:space="preserve">mes communicated their national programmes. Most of these </w:t>
      </w:r>
      <w:r>
        <w:rPr>
          <w:rFonts w:eastAsia="Times New Roman"/>
          <w:noProof/>
        </w:rPr>
        <w:t>Member States</w:t>
      </w:r>
      <w:r>
        <w:rPr>
          <w:noProof/>
        </w:rPr>
        <w:t xml:space="preserve"> cover all types of radioactive waste and have not yet defined a policy or a route for their disposal. Although a final solution has not been defined yet, some </w:t>
      </w:r>
      <w:r>
        <w:rPr>
          <w:rFonts w:eastAsia="Times New Roman"/>
          <w:noProof/>
        </w:rPr>
        <w:t>Member States</w:t>
      </w:r>
      <w:r>
        <w:rPr>
          <w:noProof/>
        </w:rPr>
        <w:t xml:space="preserve"> have establ</w:t>
      </w:r>
      <w:r>
        <w:rPr>
          <w:noProof/>
        </w:rPr>
        <w:t xml:space="preserve">ished decision-making milestones to progressively define more concretely the long term management and disposal of radioactive waste. Most of the </w:t>
      </w:r>
      <w:r>
        <w:rPr>
          <w:rFonts w:eastAsia="Times New Roman"/>
          <w:noProof/>
        </w:rPr>
        <w:t>Member States</w:t>
      </w:r>
      <w:r>
        <w:rPr>
          <w:noProof/>
        </w:rPr>
        <w:t xml:space="preserve"> with no nuclear programmes aim at finding a shared disposal solution. Luxembourg has recently con</w:t>
      </w:r>
      <w:r>
        <w:rPr>
          <w:noProof/>
        </w:rPr>
        <w:t>cluded an agreement with Belgium for the management of part of its radioactive waste.</w:t>
      </w:r>
    </w:p>
    <w:p w:rsidR="00EF2BC3" w:rsidRDefault="00AF3002">
      <w:pPr>
        <w:spacing w:before="240" w:after="120"/>
        <w:jc w:val="center"/>
        <w:outlineLvl w:val="0"/>
        <w:rPr>
          <w:b/>
          <w:noProof/>
        </w:rPr>
      </w:pPr>
      <w:bookmarkStart w:id="7" w:name="_Toc474832556"/>
      <w:bookmarkStart w:id="8" w:name="_Toc474832856"/>
      <w:r>
        <w:rPr>
          <w:b/>
          <w:noProof/>
        </w:rPr>
        <w:t>Table 1. Member States' National Programmes under Directive 2011/70/EURATOM</w:t>
      </w:r>
      <w:r>
        <w:rPr>
          <w:rStyle w:val="FootnoteReference"/>
          <w:b/>
          <w:noProof/>
        </w:rPr>
        <w:footnoteReference w:id="9"/>
      </w:r>
      <w:bookmarkEnd w:id="7"/>
      <w:bookmarkEnd w:id="8"/>
    </w:p>
    <w:tbl>
      <w:tblPr>
        <w:tblStyle w:val="TableGrid"/>
        <w:tblW w:w="9464"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671"/>
        <w:gridCol w:w="3548"/>
        <w:gridCol w:w="2409"/>
        <w:gridCol w:w="728"/>
        <w:gridCol w:w="2108"/>
      </w:tblGrid>
      <w:tr w:rsidR="00EF2BC3">
        <w:tc>
          <w:tcPr>
            <w:tcW w:w="671" w:type="dxa"/>
            <w:shd w:val="clear" w:color="auto" w:fill="1F497D" w:themeFill="text2"/>
          </w:tcPr>
          <w:p w:rsidR="00EF2BC3" w:rsidRDefault="00AF3002">
            <w:pPr>
              <w:spacing w:before="2"/>
              <w:jc w:val="center"/>
              <w:rPr>
                <w:b/>
                <w:noProof/>
                <w:color w:val="FFFFFF" w:themeColor="background1"/>
                <w:sz w:val="20"/>
                <w:szCs w:val="20"/>
              </w:rPr>
            </w:pPr>
            <w:r>
              <w:rPr>
                <w:b/>
                <w:noProof/>
                <w:color w:val="FFFFFF" w:themeColor="background1"/>
                <w:sz w:val="20"/>
                <w:szCs w:val="20"/>
              </w:rPr>
              <w:t>MS</w:t>
            </w:r>
            <w:r>
              <w:rPr>
                <w:rStyle w:val="FootnoteReference"/>
                <w:b/>
                <w:noProof/>
                <w:color w:val="FFFFFF" w:themeColor="background1"/>
                <w:sz w:val="20"/>
                <w:szCs w:val="20"/>
              </w:rPr>
              <w:footnoteReference w:id="10"/>
            </w:r>
          </w:p>
        </w:tc>
        <w:tc>
          <w:tcPr>
            <w:tcW w:w="3548" w:type="dxa"/>
            <w:shd w:val="clear" w:color="auto" w:fill="1F497D" w:themeFill="text2"/>
          </w:tcPr>
          <w:p w:rsidR="00EF2BC3" w:rsidRDefault="00AF3002">
            <w:pPr>
              <w:spacing w:before="2"/>
              <w:jc w:val="center"/>
              <w:rPr>
                <w:b/>
                <w:noProof/>
                <w:color w:val="FFFFFF" w:themeColor="background1"/>
                <w:sz w:val="20"/>
                <w:szCs w:val="20"/>
              </w:rPr>
            </w:pPr>
            <w:r>
              <w:rPr>
                <w:b/>
                <w:noProof/>
                <w:color w:val="FFFFFF" w:themeColor="background1"/>
                <w:sz w:val="20"/>
                <w:szCs w:val="20"/>
              </w:rPr>
              <w:t>Organisation developing the programme</w:t>
            </w:r>
          </w:p>
        </w:tc>
        <w:tc>
          <w:tcPr>
            <w:tcW w:w="2409" w:type="dxa"/>
            <w:shd w:val="clear" w:color="auto" w:fill="1F497D" w:themeFill="text2"/>
          </w:tcPr>
          <w:p w:rsidR="00EF2BC3" w:rsidRDefault="00AF3002">
            <w:pPr>
              <w:spacing w:before="2"/>
              <w:jc w:val="center"/>
              <w:rPr>
                <w:b/>
                <w:noProof/>
                <w:color w:val="FFFFFF" w:themeColor="background1"/>
                <w:sz w:val="20"/>
                <w:szCs w:val="20"/>
              </w:rPr>
            </w:pPr>
            <w:r>
              <w:rPr>
                <w:b/>
                <w:noProof/>
                <w:color w:val="FFFFFF" w:themeColor="background1"/>
                <w:sz w:val="20"/>
                <w:szCs w:val="20"/>
              </w:rPr>
              <w:t>Organisation approving</w:t>
            </w:r>
          </w:p>
        </w:tc>
        <w:tc>
          <w:tcPr>
            <w:tcW w:w="728" w:type="dxa"/>
            <w:shd w:val="clear" w:color="auto" w:fill="1F497D" w:themeFill="text2"/>
          </w:tcPr>
          <w:p w:rsidR="00EF2BC3" w:rsidRDefault="00AF3002">
            <w:pPr>
              <w:spacing w:before="2"/>
              <w:jc w:val="center"/>
              <w:rPr>
                <w:b/>
                <w:noProof/>
                <w:color w:val="FFFFFF" w:themeColor="background1"/>
                <w:sz w:val="20"/>
                <w:szCs w:val="20"/>
              </w:rPr>
            </w:pPr>
            <w:r>
              <w:rPr>
                <w:b/>
                <w:noProof/>
                <w:color w:val="FFFFFF" w:themeColor="background1"/>
                <w:sz w:val="20"/>
                <w:szCs w:val="20"/>
              </w:rPr>
              <w:t>SEA</w:t>
            </w:r>
          </w:p>
        </w:tc>
        <w:tc>
          <w:tcPr>
            <w:tcW w:w="2108" w:type="dxa"/>
            <w:shd w:val="clear" w:color="auto" w:fill="1F497D" w:themeFill="text2"/>
          </w:tcPr>
          <w:p w:rsidR="00EF2BC3" w:rsidRDefault="00AF3002">
            <w:pPr>
              <w:tabs>
                <w:tab w:val="center" w:pos="672"/>
              </w:tabs>
              <w:spacing w:before="2"/>
              <w:jc w:val="center"/>
              <w:rPr>
                <w:b/>
                <w:noProof/>
                <w:color w:val="FFFFFF" w:themeColor="background1"/>
                <w:sz w:val="20"/>
                <w:szCs w:val="20"/>
              </w:rPr>
            </w:pPr>
            <w:r>
              <w:rPr>
                <w:b/>
                <w:noProof/>
                <w:color w:val="FFFFFF" w:themeColor="background1"/>
                <w:sz w:val="20"/>
                <w:szCs w:val="20"/>
              </w:rPr>
              <w:t>Review and update</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BE</w:t>
            </w:r>
          </w:p>
        </w:tc>
        <w:tc>
          <w:tcPr>
            <w:tcW w:w="3548" w:type="dxa"/>
            <w:shd w:val="clear" w:color="auto" w:fill="FFFFFF" w:themeFill="background1"/>
          </w:tcPr>
          <w:p w:rsidR="00EF2BC3" w:rsidRDefault="00AF3002">
            <w:pPr>
              <w:spacing w:before="2"/>
              <w:rPr>
                <w:noProof/>
                <w:sz w:val="20"/>
                <w:szCs w:val="20"/>
              </w:rPr>
            </w:pPr>
            <w:r>
              <w:rPr>
                <w:noProof/>
                <w:sz w:val="20"/>
                <w:szCs w:val="20"/>
              </w:rPr>
              <w:t xml:space="preserve">National Committee created by law with Ministry of Economy, ONDRAF/NIRAS and Synatom </w:t>
            </w:r>
          </w:p>
        </w:tc>
        <w:tc>
          <w:tcPr>
            <w:tcW w:w="2409" w:type="dxa"/>
            <w:shd w:val="clear" w:color="auto" w:fill="FFFFFF" w:themeFill="background1"/>
          </w:tcPr>
          <w:p w:rsidR="00EF2BC3" w:rsidRDefault="00AF3002">
            <w:pPr>
              <w:spacing w:before="2"/>
              <w:rPr>
                <w:noProof/>
                <w:sz w:val="20"/>
                <w:szCs w:val="20"/>
              </w:rPr>
            </w:pPr>
            <w:r>
              <w:rPr>
                <w:noProof/>
                <w:sz w:val="20"/>
                <w:szCs w:val="20"/>
              </w:rPr>
              <w:t>Federal Ministers of Energy and Economy</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N</w:t>
            </w:r>
          </w:p>
        </w:tc>
        <w:tc>
          <w:tcPr>
            <w:tcW w:w="2108" w:type="dxa"/>
            <w:shd w:val="clear" w:color="auto" w:fill="FFFFFF" w:themeFill="background1"/>
          </w:tcPr>
          <w:p w:rsidR="00EF2BC3" w:rsidRDefault="00AF3002">
            <w:pPr>
              <w:tabs>
                <w:tab w:val="center" w:pos="672"/>
              </w:tabs>
              <w:spacing w:before="2"/>
              <w:rPr>
                <w:noProof/>
                <w:sz w:val="20"/>
                <w:szCs w:val="20"/>
              </w:rPr>
            </w:pPr>
            <w:r>
              <w:rPr>
                <w:noProof/>
                <w:sz w:val="20"/>
                <w:szCs w:val="20"/>
              </w:rPr>
              <w:t>Regular update when a national policy is adopted or amended</w:t>
            </w:r>
          </w:p>
        </w:tc>
      </w:tr>
      <w:tr w:rsidR="00EF2BC3">
        <w:trPr>
          <w:trHeight w:val="575"/>
        </w:trPr>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BG</w:t>
            </w:r>
          </w:p>
        </w:tc>
        <w:tc>
          <w:tcPr>
            <w:tcW w:w="3548" w:type="dxa"/>
            <w:shd w:val="clear" w:color="auto" w:fill="FFFFFF" w:themeFill="background1"/>
          </w:tcPr>
          <w:p w:rsidR="00EF2BC3" w:rsidRDefault="00AF3002">
            <w:pPr>
              <w:spacing w:before="2"/>
              <w:rPr>
                <w:noProof/>
                <w:sz w:val="20"/>
                <w:szCs w:val="20"/>
              </w:rPr>
            </w:pPr>
            <w:r>
              <w:rPr>
                <w:noProof/>
                <w:sz w:val="20"/>
                <w:szCs w:val="20"/>
              </w:rPr>
              <w:t>Ministry of Energy</w:t>
            </w:r>
          </w:p>
        </w:tc>
        <w:tc>
          <w:tcPr>
            <w:tcW w:w="2409" w:type="dxa"/>
            <w:shd w:val="clear" w:color="auto" w:fill="FFFFFF" w:themeFill="background1"/>
          </w:tcPr>
          <w:p w:rsidR="00EF2BC3" w:rsidRDefault="00AF3002">
            <w:pPr>
              <w:spacing w:before="2"/>
              <w:rPr>
                <w:noProof/>
                <w:sz w:val="20"/>
                <w:szCs w:val="20"/>
              </w:rPr>
            </w:pPr>
            <w:r>
              <w:rPr>
                <w:noProof/>
                <w:sz w:val="20"/>
                <w:szCs w:val="20"/>
              </w:rPr>
              <w:t>Government</w:t>
            </w:r>
          </w:p>
        </w:tc>
        <w:tc>
          <w:tcPr>
            <w:tcW w:w="728" w:type="dxa"/>
            <w:shd w:val="clear" w:color="auto" w:fill="FFFFFF" w:themeFill="background1"/>
          </w:tcPr>
          <w:p w:rsidR="00EF2BC3" w:rsidRDefault="00AF3002">
            <w:pPr>
              <w:spacing w:before="2"/>
              <w:jc w:val="center"/>
              <w:rPr>
                <w:rFonts w:eastAsiaTheme="minorHAnsi"/>
                <w:noProof/>
                <w:sz w:val="20"/>
                <w:szCs w:val="20"/>
              </w:rPr>
            </w:pPr>
            <w:r>
              <w:rPr>
                <w:noProof/>
                <w:sz w:val="20"/>
                <w:szCs w:val="20"/>
              </w:rPr>
              <w:t>Y</w:t>
            </w:r>
          </w:p>
        </w:tc>
        <w:tc>
          <w:tcPr>
            <w:tcW w:w="2108" w:type="dxa"/>
            <w:shd w:val="clear" w:color="auto" w:fill="FFFFFF" w:themeFill="background1"/>
          </w:tcPr>
          <w:p w:rsidR="00EF2BC3" w:rsidRDefault="00AF3002">
            <w:pPr>
              <w:spacing w:before="2"/>
              <w:rPr>
                <w:rFonts w:eastAsiaTheme="minorHAnsi"/>
                <w:noProof/>
                <w:sz w:val="20"/>
                <w:szCs w:val="20"/>
              </w:rPr>
            </w:pPr>
            <w:r>
              <w:rPr>
                <w:noProof/>
                <w:sz w:val="20"/>
                <w:szCs w:val="20"/>
              </w:rPr>
              <w:t xml:space="preserve">2011 Strategy was revised in 2015. </w:t>
            </w:r>
          </w:p>
        </w:tc>
      </w:tr>
      <w:tr w:rsidR="00EF2BC3">
        <w:trPr>
          <w:trHeight w:val="541"/>
        </w:trPr>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CZ</w:t>
            </w:r>
          </w:p>
        </w:tc>
        <w:tc>
          <w:tcPr>
            <w:tcW w:w="3548" w:type="dxa"/>
            <w:shd w:val="clear" w:color="auto" w:fill="FFFFFF" w:themeFill="background1"/>
          </w:tcPr>
          <w:p w:rsidR="00EF2BC3" w:rsidRDefault="00AF3002">
            <w:pPr>
              <w:spacing w:before="2"/>
              <w:rPr>
                <w:rFonts w:eastAsiaTheme="minorHAnsi"/>
                <w:noProof/>
                <w:sz w:val="20"/>
                <w:szCs w:val="20"/>
              </w:rPr>
            </w:pPr>
            <w:r>
              <w:rPr>
                <w:noProof/>
                <w:sz w:val="20"/>
                <w:szCs w:val="20"/>
              </w:rPr>
              <w:t xml:space="preserve">Ministry of Industry and Trade </w:t>
            </w:r>
          </w:p>
        </w:tc>
        <w:tc>
          <w:tcPr>
            <w:tcW w:w="2409" w:type="dxa"/>
            <w:shd w:val="clear" w:color="auto" w:fill="FFFFFF" w:themeFill="background1"/>
          </w:tcPr>
          <w:p w:rsidR="00EF2BC3" w:rsidRDefault="00AF3002">
            <w:pPr>
              <w:spacing w:before="2"/>
              <w:rPr>
                <w:rFonts w:eastAsiaTheme="minorHAnsi"/>
                <w:noProof/>
                <w:sz w:val="20"/>
                <w:szCs w:val="20"/>
              </w:rPr>
            </w:pPr>
            <w:r>
              <w:rPr>
                <w:noProof/>
                <w:sz w:val="20"/>
                <w:szCs w:val="20"/>
              </w:rPr>
              <w:t>Government</w:t>
            </w:r>
          </w:p>
        </w:tc>
        <w:tc>
          <w:tcPr>
            <w:tcW w:w="728" w:type="dxa"/>
            <w:shd w:val="clear" w:color="auto" w:fill="FFFFFF" w:themeFill="background1"/>
          </w:tcPr>
          <w:p w:rsidR="00EF2BC3" w:rsidRDefault="00AF3002">
            <w:pPr>
              <w:spacing w:before="2"/>
              <w:jc w:val="center"/>
              <w:rPr>
                <w:rFonts w:eastAsiaTheme="minorHAnsi"/>
                <w:noProof/>
                <w:sz w:val="20"/>
                <w:szCs w:val="20"/>
              </w:rPr>
            </w:pPr>
            <w:r>
              <w:rPr>
                <w:noProof/>
                <w:sz w:val="20"/>
                <w:szCs w:val="20"/>
              </w:rPr>
              <w:t>Y</w:t>
            </w:r>
          </w:p>
        </w:tc>
        <w:tc>
          <w:tcPr>
            <w:tcW w:w="2108" w:type="dxa"/>
            <w:shd w:val="clear" w:color="auto" w:fill="FFFFFF" w:themeFill="background1"/>
          </w:tcPr>
          <w:p w:rsidR="00EF2BC3" w:rsidRDefault="00AF3002">
            <w:pPr>
              <w:spacing w:before="2"/>
              <w:rPr>
                <w:rFonts w:eastAsiaTheme="minorHAnsi"/>
                <w:noProof/>
                <w:sz w:val="20"/>
                <w:szCs w:val="20"/>
              </w:rPr>
            </w:pPr>
            <w:r>
              <w:rPr>
                <w:noProof/>
                <w:sz w:val="20"/>
                <w:szCs w:val="20"/>
              </w:rPr>
              <w:t>2002 Concept updated in 2014 is under review. Next review planned in 2025</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DE</w:t>
            </w:r>
          </w:p>
        </w:tc>
        <w:tc>
          <w:tcPr>
            <w:tcW w:w="3548" w:type="dxa"/>
            <w:shd w:val="clear" w:color="auto" w:fill="FFFFFF" w:themeFill="background1"/>
          </w:tcPr>
          <w:p w:rsidR="00EF2BC3" w:rsidRDefault="00AF3002">
            <w:pPr>
              <w:spacing w:before="2"/>
              <w:rPr>
                <w:noProof/>
                <w:sz w:val="20"/>
                <w:szCs w:val="20"/>
              </w:rPr>
            </w:pPr>
            <w:r>
              <w:rPr>
                <w:noProof/>
                <w:sz w:val="20"/>
                <w:szCs w:val="20"/>
              </w:rPr>
              <w:t>Federal Ministry for the Environment, Nature Conservation, Building and Nuclear Safety</w:t>
            </w:r>
          </w:p>
        </w:tc>
        <w:tc>
          <w:tcPr>
            <w:tcW w:w="2409" w:type="dxa"/>
            <w:shd w:val="clear" w:color="auto" w:fill="FFFFFF" w:themeFill="background1"/>
          </w:tcPr>
          <w:p w:rsidR="00EF2BC3" w:rsidRDefault="00AF3002">
            <w:pPr>
              <w:spacing w:before="2"/>
              <w:rPr>
                <w:noProof/>
                <w:sz w:val="20"/>
                <w:szCs w:val="20"/>
              </w:rPr>
            </w:pPr>
            <w:r>
              <w:rPr>
                <w:noProof/>
                <w:sz w:val="20"/>
                <w:szCs w:val="20"/>
              </w:rPr>
              <w:t>Federal Cabinet</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Every 3 years</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FI</w:t>
            </w:r>
          </w:p>
        </w:tc>
        <w:tc>
          <w:tcPr>
            <w:tcW w:w="3548" w:type="dxa"/>
            <w:shd w:val="clear" w:color="auto" w:fill="FFFFFF" w:themeFill="background1"/>
          </w:tcPr>
          <w:p w:rsidR="00EF2BC3" w:rsidRDefault="00AF3002">
            <w:pPr>
              <w:spacing w:before="2"/>
              <w:rPr>
                <w:b/>
                <w:noProof/>
                <w:sz w:val="20"/>
                <w:szCs w:val="20"/>
              </w:rPr>
            </w:pPr>
            <w:r>
              <w:rPr>
                <w:noProof/>
                <w:sz w:val="20"/>
                <w:szCs w:val="20"/>
              </w:rPr>
              <w:t>Ministry on Employment and the Economy</w:t>
            </w:r>
          </w:p>
        </w:tc>
        <w:tc>
          <w:tcPr>
            <w:tcW w:w="2409" w:type="dxa"/>
            <w:shd w:val="clear" w:color="auto" w:fill="FFFFFF" w:themeFill="background1"/>
          </w:tcPr>
          <w:p w:rsidR="00EF2BC3" w:rsidRDefault="00AF3002">
            <w:pPr>
              <w:spacing w:before="2"/>
              <w:rPr>
                <w:b/>
                <w:noProof/>
                <w:sz w:val="20"/>
                <w:szCs w:val="20"/>
              </w:rPr>
            </w:pPr>
            <w:r>
              <w:rPr>
                <w:noProof/>
                <w:sz w:val="20"/>
                <w:szCs w:val="20"/>
              </w:rPr>
              <w:t>Ministry on Employment and the Economy</w:t>
            </w:r>
            <w:r>
              <w:rPr>
                <w:b/>
                <w:noProof/>
                <w:sz w:val="20"/>
                <w:szCs w:val="20"/>
              </w:rPr>
              <w:t xml:space="preserve"> </w:t>
            </w:r>
          </w:p>
          <w:p w:rsidR="00EF2BC3" w:rsidRDefault="00EF2BC3">
            <w:pPr>
              <w:spacing w:before="2"/>
              <w:rPr>
                <w:noProof/>
                <w:sz w:val="20"/>
                <w:szCs w:val="20"/>
              </w:rPr>
            </w:pPr>
          </w:p>
        </w:tc>
        <w:tc>
          <w:tcPr>
            <w:tcW w:w="728" w:type="dxa"/>
            <w:shd w:val="clear" w:color="auto" w:fill="FFFFFF" w:themeFill="background1"/>
          </w:tcPr>
          <w:p w:rsidR="00EF2BC3" w:rsidRDefault="00AF3002">
            <w:pPr>
              <w:spacing w:before="2"/>
              <w:jc w:val="center"/>
              <w:rPr>
                <w:noProof/>
                <w:sz w:val="20"/>
                <w:szCs w:val="20"/>
              </w:rPr>
            </w:pPr>
            <w:r>
              <w:rPr>
                <w:noProof/>
                <w:sz w:val="20"/>
                <w:szCs w:val="20"/>
              </w:rPr>
              <w:t>N</w:t>
            </w:r>
          </w:p>
        </w:tc>
        <w:tc>
          <w:tcPr>
            <w:tcW w:w="2108" w:type="dxa"/>
            <w:shd w:val="clear" w:color="auto" w:fill="FFFFFF" w:themeFill="background1"/>
          </w:tcPr>
          <w:p w:rsidR="00EF2BC3" w:rsidRDefault="00AF3002">
            <w:pPr>
              <w:spacing w:before="2"/>
              <w:rPr>
                <w:noProof/>
                <w:sz w:val="20"/>
                <w:szCs w:val="20"/>
              </w:rPr>
            </w:pPr>
            <w:r>
              <w:rPr>
                <w:noProof/>
                <w:sz w:val="20"/>
                <w:szCs w:val="20"/>
              </w:rPr>
              <w:t xml:space="preserve">Every 3 years </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FR</w:t>
            </w:r>
          </w:p>
        </w:tc>
        <w:tc>
          <w:tcPr>
            <w:tcW w:w="3548" w:type="dxa"/>
            <w:shd w:val="clear" w:color="auto" w:fill="FFFFFF" w:themeFill="background1"/>
          </w:tcPr>
          <w:p w:rsidR="00EF2BC3" w:rsidRDefault="00AF3002">
            <w:pPr>
              <w:spacing w:before="2"/>
              <w:rPr>
                <w:noProof/>
                <w:sz w:val="20"/>
                <w:szCs w:val="20"/>
              </w:rPr>
            </w:pPr>
            <w:r>
              <w:rPr>
                <w:noProof/>
                <w:sz w:val="20"/>
                <w:szCs w:val="20"/>
              </w:rPr>
              <w:t>Ministry of Ecology, Sustainable Development and Energy</w:t>
            </w:r>
          </w:p>
        </w:tc>
        <w:tc>
          <w:tcPr>
            <w:tcW w:w="2409" w:type="dxa"/>
            <w:shd w:val="clear" w:color="auto" w:fill="FFFFFF" w:themeFill="background1"/>
          </w:tcPr>
          <w:p w:rsidR="00EF2BC3" w:rsidRDefault="00AF3002">
            <w:pPr>
              <w:spacing w:before="2"/>
              <w:rPr>
                <w:noProof/>
                <w:sz w:val="20"/>
                <w:szCs w:val="20"/>
              </w:rPr>
            </w:pPr>
            <w:r>
              <w:rPr>
                <w:noProof/>
                <w:sz w:val="20"/>
                <w:szCs w:val="20"/>
              </w:rPr>
              <w:t xml:space="preserve">Government, new 2016-2019 programme expected to be approved in </w:t>
            </w:r>
            <w:r>
              <w:rPr>
                <w:noProof/>
                <w:sz w:val="20"/>
                <w:szCs w:val="20"/>
              </w:rPr>
              <w:t>2016</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Every 3 years</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HU</w:t>
            </w:r>
          </w:p>
        </w:tc>
        <w:tc>
          <w:tcPr>
            <w:tcW w:w="3548" w:type="dxa"/>
            <w:shd w:val="clear" w:color="auto" w:fill="FFFFFF" w:themeFill="background1"/>
          </w:tcPr>
          <w:p w:rsidR="00EF2BC3" w:rsidRDefault="00AF3002">
            <w:pPr>
              <w:spacing w:before="2"/>
              <w:rPr>
                <w:noProof/>
                <w:sz w:val="20"/>
                <w:szCs w:val="20"/>
              </w:rPr>
            </w:pPr>
            <w:r>
              <w:rPr>
                <w:noProof/>
                <w:sz w:val="20"/>
                <w:szCs w:val="20"/>
              </w:rPr>
              <w:t>PURAM and the Ministry of National Development</w:t>
            </w:r>
          </w:p>
        </w:tc>
        <w:tc>
          <w:tcPr>
            <w:tcW w:w="2409" w:type="dxa"/>
            <w:shd w:val="clear" w:color="auto" w:fill="FFFFFF" w:themeFill="background1"/>
          </w:tcPr>
          <w:p w:rsidR="00EF2BC3" w:rsidRDefault="00AF3002">
            <w:pPr>
              <w:spacing w:before="2"/>
              <w:rPr>
                <w:noProof/>
                <w:sz w:val="20"/>
                <w:szCs w:val="20"/>
              </w:rPr>
            </w:pPr>
            <w:r>
              <w:rPr>
                <w:noProof/>
                <w:sz w:val="20"/>
                <w:szCs w:val="20"/>
              </w:rPr>
              <w:t xml:space="preserve">Government after SEA completion </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Every 5 years</w:t>
            </w:r>
          </w:p>
        </w:tc>
      </w:tr>
      <w:tr w:rsidR="00EF2BC3">
        <w:tc>
          <w:tcPr>
            <w:tcW w:w="671" w:type="dxa"/>
            <w:shd w:val="clear" w:color="auto" w:fill="1F497D" w:themeFill="text2"/>
          </w:tcPr>
          <w:p w:rsidR="00EF2BC3" w:rsidRDefault="00AF3002">
            <w:pPr>
              <w:spacing w:before="2"/>
              <w:jc w:val="both"/>
              <w:rPr>
                <w:b/>
                <w:noProof/>
                <w:color w:val="FFFFFF" w:themeColor="background1"/>
                <w:sz w:val="20"/>
                <w:szCs w:val="20"/>
              </w:rPr>
            </w:pPr>
            <w:r>
              <w:rPr>
                <w:b/>
                <w:noProof/>
                <w:color w:val="FFFFFF" w:themeColor="background1"/>
                <w:sz w:val="20"/>
                <w:szCs w:val="20"/>
              </w:rPr>
              <w:t>IT</w:t>
            </w:r>
          </w:p>
        </w:tc>
        <w:tc>
          <w:tcPr>
            <w:tcW w:w="3548" w:type="dxa"/>
            <w:shd w:val="clear" w:color="auto" w:fill="FFFFFF" w:themeFill="background1"/>
          </w:tcPr>
          <w:p w:rsidR="00EF2BC3" w:rsidRDefault="00AF3002">
            <w:pPr>
              <w:spacing w:before="2"/>
              <w:jc w:val="both"/>
              <w:rPr>
                <w:noProof/>
                <w:sz w:val="20"/>
                <w:szCs w:val="20"/>
              </w:rPr>
            </w:pPr>
            <w:r>
              <w:rPr>
                <w:noProof/>
                <w:sz w:val="20"/>
                <w:szCs w:val="20"/>
              </w:rPr>
              <w:t>Ministry of Environment and Protection of Land and Sea,</w:t>
            </w:r>
          </w:p>
          <w:p w:rsidR="00EF2BC3" w:rsidRDefault="00AF3002">
            <w:pPr>
              <w:spacing w:before="2"/>
              <w:jc w:val="both"/>
              <w:rPr>
                <w:noProof/>
                <w:sz w:val="20"/>
                <w:szCs w:val="20"/>
              </w:rPr>
            </w:pPr>
            <w:r>
              <w:rPr>
                <w:noProof/>
                <w:sz w:val="20"/>
                <w:szCs w:val="20"/>
              </w:rPr>
              <w:t>Ministry of Economic Development, Ministry of Health</w:t>
            </w:r>
          </w:p>
        </w:tc>
        <w:tc>
          <w:tcPr>
            <w:tcW w:w="2409" w:type="dxa"/>
            <w:shd w:val="clear" w:color="auto" w:fill="FFFFFF" w:themeFill="background1"/>
          </w:tcPr>
          <w:p w:rsidR="00EF2BC3" w:rsidRDefault="00AF3002">
            <w:pPr>
              <w:spacing w:before="2"/>
              <w:jc w:val="both"/>
              <w:rPr>
                <w:noProof/>
                <w:sz w:val="20"/>
                <w:szCs w:val="20"/>
              </w:rPr>
            </w:pPr>
            <w:r>
              <w:rPr>
                <w:noProof/>
                <w:sz w:val="20"/>
                <w:szCs w:val="20"/>
              </w:rPr>
              <w:t xml:space="preserve">Ministry of </w:t>
            </w:r>
            <w:r>
              <w:rPr>
                <w:noProof/>
                <w:sz w:val="20"/>
                <w:szCs w:val="20"/>
              </w:rPr>
              <w:t>Environment and Protection of Land and Sea,</w:t>
            </w:r>
          </w:p>
          <w:p w:rsidR="00EF2BC3" w:rsidRDefault="00AF3002">
            <w:pPr>
              <w:spacing w:before="2"/>
              <w:jc w:val="both"/>
              <w:rPr>
                <w:noProof/>
                <w:sz w:val="20"/>
                <w:szCs w:val="20"/>
              </w:rPr>
            </w:pPr>
            <w:r>
              <w:rPr>
                <w:noProof/>
                <w:sz w:val="20"/>
                <w:szCs w:val="20"/>
              </w:rPr>
              <w:t>Ministry of Economic Development</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jc w:val="both"/>
              <w:rPr>
                <w:noProof/>
                <w:sz w:val="20"/>
                <w:szCs w:val="20"/>
              </w:rPr>
            </w:pPr>
            <w:r>
              <w:rPr>
                <w:noProof/>
                <w:sz w:val="20"/>
                <w:szCs w:val="20"/>
              </w:rPr>
              <w:t xml:space="preserve">Every 3 years </w:t>
            </w:r>
          </w:p>
        </w:tc>
      </w:tr>
      <w:tr w:rsidR="00EF2BC3">
        <w:trPr>
          <w:trHeight w:val="705"/>
        </w:trPr>
        <w:tc>
          <w:tcPr>
            <w:tcW w:w="671" w:type="dxa"/>
            <w:shd w:val="clear" w:color="auto" w:fill="1F497D" w:themeFill="text2"/>
          </w:tcPr>
          <w:p w:rsidR="00EF2BC3" w:rsidRDefault="00AF3002">
            <w:pPr>
              <w:spacing w:before="2"/>
              <w:jc w:val="both"/>
              <w:rPr>
                <w:b/>
                <w:noProof/>
                <w:color w:val="FFFFFF" w:themeColor="background1"/>
                <w:sz w:val="20"/>
                <w:szCs w:val="20"/>
              </w:rPr>
            </w:pPr>
            <w:r>
              <w:rPr>
                <w:b/>
                <w:noProof/>
                <w:color w:val="FFFFFF" w:themeColor="background1"/>
                <w:sz w:val="20"/>
                <w:szCs w:val="20"/>
              </w:rPr>
              <w:t>LT</w:t>
            </w:r>
          </w:p>
        </w:tc>
        <w:tc>
          <w:tcPr>
            <w:tcW w:w="3548" w:type="dxa"/>
            <w:tcBorders>
              <w:bottom w:val="single" w:sz="4" w:space="0" w:color="auto"/>
            </w:tcBorders>
            <w:shd w:val="clear" w:color="auto" w:fill="FFFFFF" w:themeFill="background1"/>
          </w:tcPr>
          <w:p w:rsidR="00EF2BC3" w:rsidRDefault="00AF3002">
            <w:pPr>
              <w:spacing w:before="2"/>
              <w:jc w:val="both"/>
              <w:rPr>
                <w:noProof/>
                <w:sz w:val="20"/>
                <w:szCs w:val="20"/>
              </w:rPr>
            </w:pPr>
            <w:r>
              <w:rPr>
                <w:noProof/>
                <w:sz w:val="20"/>
                <w:szCs w:val="20"/>
              </w:rPr>
              <w:t>Ministry of Energy on the proposal of a Radioactive Waste Management Organization</w:t>
            </w:r>
          </w:p>
        </w:tc>
        <w:tc>
          <w:tcPr>
            <w:tcW w:w="2409" w:type="dxa"/>
            <w:tcBorders>
              <w:bottom w:val="single" w:sz="4" w:space="0" w:color="auto"/>
            </w:tcBorders>
            <w:shd w:val="clear" w:color="auto" w:fill="FFFFFF" w:themeFill="background1"/>
          </w:tcPr>
          <w:p w:rsidR="00EF2BC3" w:rsidRDefault="00AF3002">
            <w:pPr>
              <w:spacing w:before="2"/>
              <w:jc w:val="both"/>
              <w:rPr>
                <w:noProof/>
                <w:sz w:val="20"/>
                <w:szCs w:val="20"/>
              </w:rPr>
            </w:pPr>
            <w:r>
              <w:rPr>
                <w:noProof/>
                <w:sz w:val="20"/>
                <w:szCs w:val="20"/>
              </w:rPr>
              <w:t>Government</w:t>
            </w:r>
          </w:p>
        </w:tc>
        <w:tc>
          <w:tcPr>
            <w:tcW w:w="728" w:type="dxa"/>
            <w:tcBorders>
              <w:bottom w:val="single" w:sz="4" w:space="0" w:color="auto"/>
            </w:tcBorders>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tcBorders>
              <w:bottom w:val="single" w:sz="4" w:space="0" w:color="auto"/>
            </w:tcBorders>
            <w:shd w:val="clear" w:color="auto" w:fill="FFFFFF" w:themeFill="background1"/>
          </w:tcPr>
          <w:p w:rsidR="00EF2BC3" w:rsidRDefault="00AF3002">
            <w:pPr>
              <w:spacing w:before="2"/>
              <w:jc w:val="both"/>
              <w:rPr>
                <w:noProof/>
                <w:sz w:val="20"/>
                <w:szCs w:val="20"/>
              </w:rPr>
            </w:pPr>
            <w:r>
              <w:rPr>
                <w:noProof/>
                <w:sz w:val="20"/>
                <w:szCs w:val="20"/>
              </w:rPr>
              <w:t>Every 7 years at least</w:t>
            </w:r>
          </w:p>
        </w:tc>
      </w:tr>
      <w:tr w:rsidR="00EF2BC3">
        <w:tc>
          <w:tcPr>
            <w:tcW w:w="671" w:type="dxa"/>
            <w:shd w:val="clear" w:color="auto" w:fill="1F497D" w:themeFill="text2"/>
          </w:tcPr>
          <w:p w:rsidR="00EF2BC3" w:rsidRDefault="00AF3002">
            <w:pPr>
              <w:spacing w:before="2"/>
              <w:jc w:val="both"/>
              <w:rPr>
                <w:b/>
                <w:noProof/>
                <w:color w:val="000000" w:themeColor="text1"/>
                <w:sz w:val="20"/>
                <w:szCs w:val="20"/>
              </w:rPr>
            </w:pPr>
            <w:r>
              <w:rPr>
                <w:b/>
                <w:noProof/>
                <w:color w:val="FFFFFF" w:themeColor="background1"/>
                <w:sz w:val="20"/>
                <w:szCs w:val="20"/>
              </w:rPr>
              <w:t>LV</w:t>
            </w:r>
          </w:p>
        </w:tc>
        <w:tc>
          <w:tcPr>
            <w:tcW w:w="3548" w:type="dxa"/>
            <w:shd w:val="clear" w:color="auto" w:fill="FFFFFF" w:themeFill="background1"/>
          </w:tcPr>
          <w:p w:rsidR="00EF2BC3" w:rsidRDefault="00AF3002">
            <w:pPr>
              <w:spacing w:before="2"/>
              <w:jc w:val="both"/>
              <w:rPr>
                <w:noProof/>
                <w:color w:val="000000" w:themeColor="text1"/>
                <w:sz w:val="20"/>
                <w:szCs w:val="20"/>
              </w:rPr>
            </w:pPr>
            <w:r>
              <w:rPr>
                <w:noProof/>
                <w:color w:val="000000" w:themeColor="text1"/>
                <w:sz w:val="20"/>
                <w:szCs w:val="20"/>
              </w:rPr>
              <w:t>Latvian authorities</w:t>
            </w:r>
            <w:r>
              <w:rPr>
                <w:rStyle w:val="FootnoteReference"/>
                <w:noProof/>
                <w:color w:val="000000" w:themeColor="text1"/>
                <w:sz w:val="20"/>
                <w:szCs w:val="20"/>
              </w:rPr>
              <w:footnoteReference w:id="11"/>
            </w:r>
          </w:p>
        </w:tc>
        <w:tc>
          <w:tcPr>
            <w:tcW w:w="2409"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 xml:space="preserve">No available </w:t>
            </w:r>
            <w:r>
              <w:rPr>
                <w:noProof/>
                <w:color w:val="000000" w:themeColor="text1"/>
                <w:sz w:val="20"/>
                <w:szCs w:val="20"/>
              </w:rPr>
              <w:t>information</w:t>
            </w:r>
          </w:p>
        </w:tc>
        <w:tc>
          <w:tcPr>
            <w:tcW w:w="728" w:type="dxa"/>
            <w:shd w:val="clear" w:color="auto" w:fill="FFFFFF" w:themeFill="background1"/>
          </w:tcPr>
          <w:p w:rsidR="00EF2BC3" w:rsidRDefault="00AF3002">
            <w:pPr>
              <w:spacing w:before="2"/>
              <w:jc w:val="both"/>
              <w:rPr>
                <w:noProof/>
                <w:color w:val="000000" w:themeColor="text1"/>
                <w:sz w:val="20"/>
                <w:szCs w:val="20"/>
              </w:rPr>
            </w:pPr>
            <w:r>
              <w:rPr>
                <w:noProof/>
                <w:color w:val="000000" w:themeColor="text1"/>
                <w:sz w:val="20"/>
                <w:szCs w:val="20"/>
              </w:rPr>
              <w:t>Planned</w:t>
            </w:r>
          </w:p>
        </w:tc>
        <w:tc>
          <w:tcPr>
            <w:tcW w:w="2108" w:type="dxa"/>
            <w:shd w:val="clear" w:color="auto" w:fill="FFFFFF" w:themeFill="background1"/>
          </w:tcPr>
          <w:p w:rsidR="00EF2BC3" w:rsidRDefault="00AF3002">
            <w:pPr>
              <w:spacing w:before="2"/>
              <w:jc w:val="both"/>
              <w:rPr>
                <w:noProof/>
                <w:color w:val="000000" w:themeColor="text1"/>
                <w:sz w:val="20"/>
                <w:szCs w:val="20"/>
              </w:rPr>
            </w:pPr>
            <w:r>
              <w:rPr>
                <w:noProof/>
                <w:color w:val="000000" w:themeColor="text1"/>
                <w:sz w:val="20"/>
                <w:szCs w:val="20"/>
              </w:rPr>
              <w:t>Concept of Radioactive Waste Storage, developed in 2003, National programme under development (incl. SEA)</w:t>
            </w:r>
          </w:p>
        </w:tc>
      </w:tr>
      <w:tr w:rsidR="00EF2BC3">
        <w:tc>
          <w:tcPr>
            <w:tcW w:w="671" w:type="dxa"/>
            <w:shd w:val="clear" w:color="auto" w:fill="1F497D" w:themeFill="text2"/>
          </w:tcPr>
          <w:p w:rsidR="00EF2BC3" w:rsidRDefault="00AF3002">
            <w:pPr>
              <w:spacing w:before="2"/>
              <w:jc w:val="both"/>
              <w:rPr>
                <w:b/>
                <w:noProof/>
                <w:color w:val="FFFFFF" w:themeColor="background1"/>
                <w:sz w:val="20"/>
                <w:szCs w:val="20"/>
              </w:rPr>
            </w:pPr>
            <w:r>
              <w:rPr>
                <w:b/>
                <w:noProof/>
                <w:color w:val="FFFFFF" w:themeColor="background1"/>
                <w:sz w:val="20"/>
                <w:szCs w:val="20"/>
              </w:rPr>
              <w:t>NL</w:t>
            </w:r>
          </w:p>
        </w:tc>
        <w:tc>
          <w:tcPr>
            <w:tcW w:w="3548" w:type="dxa"/>
            <w:shd w:val="clear" w:color="auto" w:fill="FFFFFF" w:themeFill="background1"/>
          </w:tcPr>
          <w:p w:rsidR="00EF2BC3" w:rsidRDefault="00AF3002">
            <w:pPr>
              <w:spacing w:before="2"/>
              <w:jc w:val="both"/>
              <w:rPr>
                <w:noProof/>
                <w:sz w:val="20"/>
                <w:szCs w:val="20"/>
              </w:rPr>
            </w:pPr>
            <w:r>
              <w:rPr>
                <w:noProof/>
                <w:sz w:val="20"/>
                <w:szCs w:val="20"/>
              </w:rPr>
              <w:t>Ministry of Infrastructure and Environment</w:t>
            </w:r>
          </w:p>
        </w:tc>
        <w:tc>
          <w:tcPr>
            <w:tcW w:w="2409" w:type="dxa"/>
            <w:shd w:val="clear" w:color="auto" w:fill="FFFFFF" w:themeFill="background1"/>
          </w:tcPr>
          <w:p w:rsidR="00EF2BC3" w:rsidRDefault="00AF3002">
            <w:pPr>
              <w:spacing w:before="2"/>
              <w:jc w:val="both"/>
              <w:rPr>
                <w:noProof/>
                <w:sz w:val="20"/>
                <w:szCs w:val="20"/>
              </w:rPr>
            </w:pPr>
            <w:r>
              <w:rPr>
                <w:noProof/>
                <w:sz w:val="20"/>
                <w:szCs w:val="20"/>
              </w:rPr>
              <w:t>Parliament</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N</w:t>
            </w:r>
          </w:p>
        </w:tc>
        <w:tc>
          <w:tcPr>
            <w:tcW w:w="2108" w:type="dxa"/>
            <w:shd w:val="clear" w:color="auto" w:fill="FFFFFF" w:themeFill="background1"/>
          </w:tcPr>
          <w:p w:rsidR="00EF2BC3" w:rsidRDefault="00AF3002">
            <w:pPr>
              <w:spacing w:before="2"/>
              <w:jc w:val="both"/>
              <w:rPr>
                <w:noProof/>
                <w:sz w:val="20"/>
                <w:szCs w:val="20"/>
              </w:rPr>
            </w:pPr>
            <w:r>
              <w:rPr>
                <w:noProof/>
                <w:sz w:val="20"/>
                <w:szCs w:val="20"/>
              </w:rPr>
              <w:t>At least every 10 years</w:t>
            </w:r>
          </w:p>
        </w:tc>
      </w:tr>
      <w:tr w:rsidR="00EF2BC3">
        <w:trPr>
          <w:trHeight w:val="481"/>
        </w:trPr>
        <w:tc>
          <w:tcPr>
            <w:tcW w:w="671" w:type="dxa"/>
            <w:shd w:val="clear" w:color="auto" w:fill="1F497D" w:themeFill="text2"/>
          </w:tcPr>
          <w:p w:rsidR="00EF2BC3" w:rsidRDefault="00AF3002">
            <w:pPr>
              <w:spacing w:before="2"/>
              <w:jc w:val="both"/>
              <w:rPr>
                <w:b/>
                <w:noProof/>
                <w:color w:val="FFFFFF" w:themeColor="background1"/>
                <w:sz w:val="20"/>
                <w:szCs w:val="20"/>
              </w:rPr>
            </w:pPr>
            <w:r>
              <w:rPr>
                <w:b/>
                <w:noProof/>
                <w:color w:val="FFFFFF" w:themeColor="background1"/>
                <w:sz w:val="20"/>
                <w:szCs w:val="20"/>
              </w:rPr>
              <w:t>SI</w:t>
            </w:r>
          </w:p>
        </w:tc>
        <w:tc>
          <w:tcPr>
            <w:tcW w:w="3548" w:type="dxa"/>
            <w:shd w:val="clear" w:color="auto" w:fill="FFFFFF" w:themeFill="background1"/>
          </w:tcPr>
          <w:p w:rsidR="00EF2BC3" w:rsidRDefault="00AF3002">
            <w:pPr>
              <w:spacing w:before="2"/>
              <w:jc w:val="both"/>
              <w:rPr>
                <w:noProof/>
                <w:sz w:val="20"/>
                <w:szCs w:val="20"/>
              </w:rPr>
            </w:pPr>
            <w:r>
              <w:rPr>
                <w:noProof/>
                <w:sz w:val="20"/>
                <w:szCs w:val="20"/>
              </w:rPr>
              <w:t xml:space="preserve">Agency for Radioactive Waste Management </w:t>
            </w:r>
            <w:r>
              <w:rPr>
                <w:noProof/>
                <w:sz w:val="20"/>
                <w:szCs w:val="20"/>
              </w:rPr>
              <w:t>(ARAO) and Slovenian Nuclear Safety Administration (SNSA)</w:t>
            </w:r>
            <w:r>
              <w:rPr>
                <w:rStyle w:val="FootnoteReference"/>
                <w:noProof/>
                <w:sz w:val="20"/>
                <w:szCs w:val="20"/>
              </w:rPr>
              <w:footnoteReference w:id="12"/>
            </w:r>
            <w:r>
              <w:rPr>
                <w:noProof/>
                <w:sz w:val="20"/>
                <w:szCs w:val="20"/>
              </w:rPr>
              <w:t xml:space="preserve">  </w:t>
            </w:r>
          </w:p>
          <w:p w:rsidR="00EF2BC3" w:rsidRDefault="00EF2BC3">
            <w:pPr>
              <w:spacing w:before="2"/>
              <w:jc w:val="both"/>
              <w:rPr>
                <w:noProof/>
                <w:sz w:val="20"/>
                <w:szCs w:val="20"/>
              </w:rPr>
            </w:pPr>
          </w:p>
          <w:p w:rsidR="00EF2BC3" w:rsidRDefault="00EF2BC3">
            <w:pPr>
              <w:spacing w:before="2"/>
              <w:jc w:val="both"/>
              <w:rPr>
                <w:noProof/>
                <w:sz w:val="20"/>
                <w:szCs w:val="20"/>
              </w:rPr>
            </w:pPr>
          </w:p>
          <w:p w:rsidR="00EF2BC3" w:rsidRDefault="00EF2BC3">
            <w:pPr>
              <w:spacing w:before="2"/>
              <w:jc w:val="both"/>
              <w:rPr>
                <w:noProof/>
                <w:sz w:val="20"/>
                <w:szCs w:val="20"/>
              </w:rPr>
            </w:pPr>
          </w:p>
        </w:tc>
        <w:tc>
          <w:tcPr>
            <w:tcW w:w="2409" w:type="dxa"/>
            <w:shd w:val="clear" w:color="auto" w:fill="FFFFFF" w:themeFill="background1"/>
          </w:tcPr>
          <w:p w:rsidR="00EF2BC3" w:rsidRDefault="00AF3002">
            <w:pPr>
              <w:spacing w:before="2"/>
              <w:jc w:val="both"/>
              <w:rPr>
                <w:noProof/>
                <w:sz w:val="20"/>
                <w:szCs w:val="20"/>
              </w:rPr>
            </w:pPr>
            <w:r>
              <w:rPr>
                <w:noProof/>
                <w:sz w:val="20"/>
                <w:szCs w:val="20"/>
              </w:rPr>
              <w:t>National Assembly</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N</w:t>
            </w:r>
          </w:p>
        </w:tc>
        <w:tc>
          <w:tcPr>
            <w:tcW w:w="2108" w:type="dxa"/>
            <w:shd w:val="clear" w:color="auto" w:fill="FFFFFF" w:themeFill="background1"/>
          </w:tcPr>
          <w:p w:rsidR="00EF2BC3" w:rsidRDefault="00AF3002">
            <w:pPr>
              <w:spacing w:before="2"/>
              <w:jc w:val="both"/>
              <w:rPr>
                <w:noProof/>
                <w:sz w:val="20"/>
                <w:szCs w:val="20"/>
              </w:rPr>
            </w:pPr>
            <w:r>
              <w:rPr>
                <w:noProof/>
                <w:sz w:val="20"/>
                <w:szCs w:val="20"/>
              </w:rPr>
              <w:t>2006 programme revised in 2016</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ES</w:t>
            </w:r>
          </w:p>
        </w:tc>
        <w:tc>
          <w:tcPr>
            <w:tcW w:w="3548" w:type="dxa"/>
            <w:shd w:val="clear" w:color="auto" w:fill="FFFFFF" w:themeFill="background1"/>
          </w:tcPr>
          <w:p w:rsidR="00EF2BC3" w:rsidRDefault="00AF3002">
            <w:pPr>
              <w:spacing w:before="2"/>
              <w:rPr>
                <w:noProof/>
                <w:sz w:val="20"/>
                <w:szCs w:val="20"/>
              </w:rPr>
            </w:pPr>
            <w:r>
              <w:rPr>
                <w:noProof/>
                <w:sz w:val="20"/>
                <w:szCs w:val="20"/>
              </w:rPr>
              <w:t>ENRESA</w:t>
            </w:r>
            <w:r>
              <w:rPr>
                <w:rStyle w:val="FootnoteReference"/>
                <w:noProof/>
                <w:sz w:val="20"/>
                <w:szCs w:val="20"/>
              </w:rPr>
              <w:footnoteReference w:id="13"/>
            </w:r>
          </w:p>
        </w:tc>
        <w:tc>
          <w:tcPr>
            <w:tcW w:w="2409" w:type="dxa"/>
            <w:shd w:val="clear" w:color="auto" w:fill="FFFFFF" w:themeFill="background1"/>
          </w:tcPr>
          <w:p w:rsidR="00EF2BC3" w:rsidRDefault="00AF3002">
            <w:pPr>
              <w:spacing w:before="2"/>
              <w:rPr>
                <w:noProof/>
                <w:sz w:val="20"/>
                <w:szCs w:val="20"/>
              </w:rPr>
            </w:pPr>
            <w:r>
              <w:rPr>
                <w:noProof/>
                <w:color w:val="000000" w:themeColor="text1"/>
                <w:sz w:val="20"/>
                <w:szCs w:val="20"/>
              </w:rPr>
              <w:t>Government upon proposal by Ministry of Industry, Energy and Tourism, being heard the CSN and relevant Autonomous Communities</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Periodic review, 2006 programme is being reviewed</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SE</w:t>
            </w:r>
          </w:p>
          <w:p w:rsidR="00EF2BC3" w:rsidRDefault="00EF2BC3">
            <w:pPr>
              <w:spacing w:before="2"/>
              <w:rPr>
                <w:b/>
                <w:noProof/>
                <w:color w:val="FFFFFF" w:themeColor="background1"/>
                <w:sz w:val="20"/>
                <w:szCs w:val="20"/>
              </w:rPr>
            </w:pPr>
          </w:p>
        </w:tc>
        <w:tc>
          <w:tcPr>
            <w:tcW w:w="3548" w:type="dxa"/>
            <w:shd w:val="clear" w:color="auto" w:fill="FFFFFF" w:themeFill="background1"/>
          </w:tcPr>
          <w:p w:rsidR="00EF2BC3" w:rsidRDefault="00AF3002">
            <w:pPr>
              <w:spacing w:before="2"/>
              <w:rPr>
                <w:b/>
                <w:noProof/>
                <w:color w:val="000000" w:themeColor="text1"/>
                <w:sz w:val="20"/>
                <w:szCs w:val="20"/>
              </w:rPr>
            </w:pPr>
            <w:r>
              <w:rPr>
                <w:noProof/>
                <w:color w:val="000000" w:themeColor="text1"/>
                <w:sz w:val="20"/>
                <w:szCs w:val="20"/>
              </w:rPr>
              <w:t>Swedish Radiation Safety Authority</w:t>
            </w:r>
          </w:p>
        </w:tc>
        <w:tc>
          <w:tcPr>
            <w:tcW w:w="2409" w:type="dxa"/>
            <w:shd w:val="clear" w:color="auto" w:fill="FFFFFF" w:themeFill="background1"/>
          </w:tcPr>
          <w:p w:rsidR="00EF2BC3" w:rsidRDefault="00AF3002">
            <w:pPr>
              <w:spacing w:before="2"/>
              <w:rPr>
                <w:b/>
                <w:noProof/>
                <w:color w:val="000000" w:themeColor="text1"/>
                <w:sz w:val="20"/>
                <w:szCs w:val="20"/>
              </w:rPr>
            </w:pPr>
            <w:r>
              <w:rPr>
                <w:noProof/>
                <w:color w:val="000000" w:themeColor="text1"/>
                <w:sz w:val="20"/>
                <w:szCs w:val="20"/>
              </w:rPr>
              <w:t>Ministry of the Environment and Energy</w:t>
            </w:r>
          </w:p>
        </w:tc>
        <w:tc>
          <w:tcPr>
            <w:tcW w:w="728" w:type="dxa"/>
            <w:shd w:val="clear" w:color="auto" w:fill="FFFFFF" w:themeFill="background1"/>
          </w:tcPr>
          <w:p w:rsidR="00EF2BC3" w:rsidRDefault="00AF3002">
            <w:pPr>
              <w:spacing w:before="2"/>
              <w:jc w:val="center"/>
              <w:rPr>
                <w:b/>
                <w:noProof/>
                <w:color w:val="000000" w:themeColor="text1"/>
                <w:sz w:val="20"/>
                <w:szCs w:val="20"/>
              </w:rPr>
            </w:pPr>
            <w:r>
              <w:rPr>
                <w:noProof/>
                <w:color w:val="000000" w:themeColor="text1"/>
                <w:sz w:val="20"/>
                <w:szCs w:val="20"/>
              </w:rPr>
              <w:t>N</w:t>
            </w:r>
          </w:p>
        </w:tc>
        <w:tc>
          <w:tcPr>
            <w:tcW w:w="2108" w:type="dxa"/>
            <w:shd w:val="clear" w:color="auto" w:fill="FFFFFF" w:themeFill="background1"/>
          </w:tcPr>
          <w:p w:rsidR="00EF2BC3" w:rsidRDefault="00AF3002">
            <w:pPr>
              <w:spacing w:before="2" w:after="120"/>
              <w:rPr>
                <w:noProof/>
                <w:color w:val="000000" w:themeColor="text1"/>
                <w:sz w:val="20"/>
                <w:szCs w:val="20"/>
              </w:rPr>
            </w:pPr>
            <w:r>
              <w:rPr>
                <w:noProof/>
                <w:color w:val="000000" w:themeColor="text1"/>
                <w:sz w:val="20"/>
                <w:szCs w:val="20"/>
              </w:rPr>
              <w:t>Regular national and international reviews; Follow-up IRRS mission May in 2016</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SK</w:t>
            </w:r>
          </w:p>
        </w:tc>
        <w:tc>
          <w:tcPr>
            <w:tcW w:w="3548" w:type="dxa"/>
            <w:shd w:val="clear" w:color="auto" w:fill="FFFFFF" w:themeFill="background1"/>
          </w:tcPr>
          <w:p w:rsidR="00EF2BC3" w:rsidRDefault="00AF3002">
            <w:pPr>
              <w:spacing w:before="2"/>
              <w:rPr>
                <w:noProof/>
                <w:sz w:val="20"/>
                <w:szCs w:val="20"/>
              </w:rPr>
            </w:pPr>
            <w:r>
              <w:rPr>
                <w:noProof/>
                <w:sz w:val="20"/>
                <w:szCs w:val="20"/>
              </w:rPr>
              <w:t xml:space="preserve">The administrative board of the National </w:t>
            </w:r>
            <w:r>
              <w:rPr>
                <w:noProof/>
                <w:sz w:val="20"/>
                <w:szCs w:val="20"/>
              </w:rPr>
              <w:t>Nuclear Fund for decommissioning nuclear installations and managing spent nuclear fuel and radioactive waste (‘NNF’)</w:t>
            </w:r>
          </w:p>
        </w:tc>
        <w:tc>
          <w:tcPr>
            <w:tcW w:w="2409" w:type="dxa"/>
            <w:shd w:val="clear" w:color="auto" w:fill="FFFFFF" w:themeFill="background1"/>
          </w:tcPr>
          <w:p w:rsidR="00EF2BC3" w:rsidRDefault="00AF3002">
            <w:pPr>
              <w:spacing w:before="2"/>
              <w:rPr>
                <w:noProof/>
                <w:sz w:val="20"/>
                <w:szCs w:val="20"/>
              </w:rPr>
            </w:pPr>
            <w:r>
              <w:rPr>
                <w:noProof/>
                <w:sz w:val="20"/>
                <w:szCs w:val="20"/>
              </w:rPr>
              <w:t>Government</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Every 6 years</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RO</w:t>
            </w:r>
          </w:p>
        </w:tc>
        <w:tc>
          <w:tcPr>
            <w:tcW w:w="3548" w:type="dxa"/>
            <w:shd w:val="clear" w:color="auto" w:fill="FFFFFF" w:themeFill="background1"/>
          </w:tcPr>
          <w:p w:rsidR="00EF2BC3" w:rsidRDefault="00AF3002">
            <w:pPr>
              <w:spacing w:before="2"/>
              <w:rPr>
                <w:noProof/>
                <w:sz w:val="20"/>
                <w:szCs w:val="20"/>
              </w:rPr>
            </w:pPr>
            <w:r>
              <w:rPr>
                <w:noProof/>
                <w:sz w:val="20"/>
                <w:szCs w:val="20"/>
              </w:rPr>
              <w:t>Nuclear Agency and for Radioactive Waste (ANDR)</w:t>
            </w:r>
          </w:p>
        </w:tc>
        <w:tc>
          <w:tcPr>
            <w:tcW w:w="2409" w:type="dxa"/>
            <w:shd w:val="clear" w:color="auto" w:fill="auto"/>
          </w:tcPr>
          <w:p w:rsidR="00EF2BC3" w:rsidRDefault="00AF3002">
            <w:pPr>
              <w:spacing w:before="2"/>
              <w:rPr>
                <w:noProof/>
                <w:sz w:val="20"/>
                <w:szCs w:val="20"/>
                <w:highlight w:val="yellow"/>
              </w:rPr>
            </w:pPr>
            <w:r>
              <w:rPr>
                <w:noProof/>
                <w:color w:val="000000" w:themeColor="text1"/>
                <w:sz w:val="20"/>
                <w:szCs w:val="20"/>
              </w:rPr>
              <w:t>No available information</w:t>
            </w:r>
          </w:p>
        </w:tc>
        <w:tc>
          <w:tcPr>
            <w:tcW w:w="728" w:type="dxa"/>
            <w:shd w:val="clear" w:color="auto" w:fill="FFFFFF" w:themeFill="background1"/>
          </w:tcPr>
          <w:p w:rsidR="00EF2BC3" w:rsidRDefault="00AF3002">
            <w:pPr>
              <w:spacing w:before="2"/>
              <w:ind w:left="24"/>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Every 5 years</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UK</w:t>
            </w:r>
          </w:p>
          <w:p w:rsidR="00EF2BC3" w:rsidRDefault="00EF2BC3">
            <w:pPr>
              <w:spacing w:before="2"/>
              <w:rPr>
                <w:b/>
                <w:noProof/>
                <w:color w:val="FFFFFF" w:themeColor="background1"/>
                <w:sz w:val="20"/>
                <w:szCs w:val="20"/>
              </w:rPr>
            </w:pPr>
          </w:p>
        </w:tc>
        <w:tc>
          <w:tcPr>
            <w:tcW w:w="3548" w:type="dxa"/>
            <w:shd w:val="clear" w:color="auto" w:fill="FFFFFF" w:themeFill="background1"/>
            <w:hideMark/>
          </w:tcPr>
          <w:p w:rsidR="00EF2BC3" w:rsidRDefault="00AF3002">
            <w:pPr>
              <w:spacing w:before="2"/>
              <w:rPr>
                <w:noProof/>
                <w:sz w:val="20"/>
                <w:szCs w:val="20"/>
              </w:rPr>
            </w:pPr>
            <w:r>
              <w:rPr>
                <w:noProof/>
                <w:sz w:val="20"/>
                <w:szCs w:val="20"/>
              </w:rPr>
              <w:t xml:space="preserve">Department of </w:t>
            </w:r>
            <w:r>
              <w:rPr>
                <w:noProof/>
                <w:sz w:val="20"/>
                <w:szCs w:val="20"/>
              </w:rPr>
              <w:t>Energy and Climate Change</w:t>
            </w:r>
          </w:p>
        </w:tc>
        <w:tc>
          <w:tcPr>
            <w:tcW w:w="2409" w:type="dxa"/>
            <w:shd w:val="clear" w:color="auto" w:fill="FFFFFF" w:themeFill="background1"/>
            <w:hideMark/>
          </w:tcPr>
          <w:p w:rsidR="00EF2BC3" w:rsidRDefault="00AF3002">
            <w:pPr>
              <w:spacing w:before="2"/>
              <w:rPr>
                <w:noProof/>
                <w:sz w:val="20"/>
                <w:szCs w:val="20"/>
              </w:rPr>
            </w:pPr>
            <w:r>
              <w:rPr>
                <w:noProof/>
                <w:sz w:val="20"/>
                <w:szCs w:val="20"/>
              </w:rPr>
              <w:t>Department of Energy and Climate Change</w:t>
            </w:r>
          </w:p>
        </w:tc>
        <w:tc>
          <w:tcPr>
            <w:tcW w:w="728" w:type="dxa"/>
            <w:shd w:val="clear" w:color="auto" w:fill="FFFFFF" w:themeFill="background1"/>
            <w:hideMark/>
          </w:tcPr>
          <w:p w:rsidR="00EF2BC3" w:rsidRDefault="00AF3002">
            <w:pPr>
              <w:tabs>
                <w:tab w:val="left" w:pos="630"/>
              </w:tabs>
              <w:spacing w:before="2"/>
              <w:jc w:val="center"/>
              <w:rPr>
                <w:noProof/>
                <w:sz w:val="20"/>
                <w:szCs w:val="20"/>
              </w:rPr>
            </w:pPr>
            <w:r>
              <w:rPr>
                <w:noProof/>
                <w:sz w:val="20"/>
                <w:szCs w:val="20"/>
              </w:rPr>
              <w:t>N</w:t>
            </w:r>
          </w:p>
        </w:tc>
        <w:tc>
          <w:tcPr>
            <w:tcW w:w="2108" w:type="dxa"/>
            <w:shd w:val="clear" w:color="auto" w:fill="FFFFFF" w:themeFill="background1"/>
            <w:hideMark/>
          </w:tcPr>
          <w:p w:rsidR="00EF2BC3" w:rsidRDefault="00AF3002">
            <w:pPr>
              <w:spacing w:before="2"/>
              <w:rPr>
                <w:noProof/>
                <w:sz w:val="20"/>
                <w:szCs w:val="20"/>
              </w:rPr>
            </w:pPr>
            <w:r>
              <w:rPr>
                <w:noProof/>
                <w:sz w:val="20"/>
                <w:szCs w:val="20"/>
              </w:rPr>
              <w:t>Nuclear Decommissioning Authority strategy review every 5 years</w:t>
            </w:r>
          </w:p>
        </w:tc>
      </w:tr>
      <w:tr w:rsidR="00EF2BC3">
        <w:trPr>
          <w:trHeight w:val="712"/>
        </w:trPr>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AT</w:t>
            </w:r>
          </w:p>
          <w:p w:rsidR="00EF2BC3" w:rsidRDefault="00EF2BC3">
            <w:pPr>
              <w:spacing w:before="2"/>
              <w:rPr>
                <w:noProof/>
                <w:color w:val="FFFFFF" w:themeColor="background1"/>
                <w:sz w:val="20"/>
                <w:szCs w:val="20"/>
              </w:rPr>
            </w:pPr>
          </w:p>
        </w:tc>
        <w:tc>
          <w:tcPr>
            <w:tcW w:w="3548"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Government of the Republic of Austria</w:t>
            </w:r>
          </w:p>
        </w:tc>
        <w:tc>
          <w:tcPr>
            <w:tcW w:w="2409"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Government</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Regular update</w:t>
            </w:r>
          </w:p>
        </w:tc>
      </w:tr>
      <w:tr w:rsidR="00EF2BC3">
        <w:tc>
          <w:tcPr>
            <w:tcW w:w="671" w:type="dxa"/>
            <w:shd w:val="clear" w:color="auto" w:fill="1F497D" w:themeFill="text2"/>
            <w:hideMark/>
          </w:tcPr>
          <w:p w:rsidR="00EF2BC3" w:rsidRDefault="00AF3002">
            <w:pPr>
              <w:spacing w:before="2"/>
              <w:rPr>
                <w:b/>
                <w:noProof/>
                <w:color w:val="FFFFFF" w:themeColor="background1"/>
                <w:sz w:val="20"/>
                <w:szCs w:val="20"/>
              </w:rPr>
            </w:pPr>
            <w:r>
              <w:rPr>
                <w:b/>
                <w:noProof/>
                <w:color w:val="FFFFFF" w:themeColor="background1"/>
                <w:sz w:val="20"/>
                <w:szCs w:val="20"/>
              </w:rPr>
              <w:t>DK</w:t>
            </w:r>
          </w:p>
        </w:tc>
        <w:tc>
          <w:tcPr>
            <w:tcW w:w="3548" w:type="dxa"/>
            <w:shd w:val="clear" w:color="auto" w:fill="FFFFFF" w:themeFill="background1"/>
            <w:hideMark/>
          </w:tcPr>
          <w:p w:rsidR="00EF2BC3" w:rsidRDefault="00AF3002">
            <w:pPr>
              <w:spacing w:before="2"/>
              <w:rPr>
                <w:noProof/>
                <w:sz w:val="20"/>
                <w:szCs w:val="20"/>
              </w:rPr>
            </w:pPr>
            <w:r>
              <w:rPr>
                <w:noProof/>
                <w:sz w:val="20"/>
                <w:szCs w:val="20"/>
              </w:rPr>
              <w:t xml:space="preserve">Danish Radiation Protection Authority at the </w:t>
            </w:r>
            <w:r>
              <w:rPr>
                <w:noProof/>
                <w:sz w:val="20"/>
                <w:szCs w:val="20"/>
              </w:rPr>
              <w:t>Danish Health and Medicines Authority (SST/SIS)</w:t>
            </w:r>
          </w:p>
          <w:p w:rsidR="00EF2BC3" w:rsidRDefault="00EF2BC3">
            <w:pPr>
              <w:spacing w:before="2"/>
              <w:rPr>
                <w:b/>
                <w:noProof/>
                <w:sz w:val="20"/>
                <w:szCs w:val="20"/>
              </w:rPr>
            </w:pPr>
          </w:p>
        </w:tc>
        <w:tc>
          <w:tcPr>
            <w:tcW w:w="2409" w:type="dxa"/>
            <w:shd w:val="clear" w:color="auto" w:fill="FFFFFF" w:themeFill="background1"/>
            <w:hideMark/>
          </w:tcPr>
          <w:p w:rsidR="00EF2BC3" w:rsidRDefault="00AF3002">
            <w:pPr>
              <w:spacing w:before="2"/>
              <w:rPr>
                <w:noProof/>
                <w:sz w:val="20"/>
                <w:szCs w:val="20"/>
              </w:rPr>
            </w:pPr>
            <w:r>
              <w:rPr>
                <w:noProof/>
                <w:sz w:val="20"/>
                <w:szCs w:val="20"/>
              </w:rPr>
              <w:t>Ministry of Health</w:t>
            </w:r>
          </w:p>
        </w:tc>
        <w:tc>
          <w:tcPr>
            <w:tcW w:w="728" w:type="dxa"/>
            <w:shd w:val="clear" w:color="auto" w:fill="FFFFFF" w:themeFill="background1"/>
            <w:hideMark/>
          </w:tcPr>
          <w:p w:rsidR="00EF2BC3" w:rsidRDefault="00AF3002">
            <w:pPr>
              <w:spacing w:before="2"/>
              <w:jc w:val="center"/>
              <w:rPr>
                <w:noProof/>
                <w:sz w:val="20"/>
                <w:szCs w:val="20"/>
              </w:rPr>
            </w:pPr>
            <w:r>
              <w:rPr>
                <w:noProof/>
                <w:sz w:val="20"/>
                <w:szCs w:val="20"/>
              </w:rPr>
              <w:t>N</w:t>
            </w:r>
          </w:p>
        </w:tc>
        <w:tc>
          <w:tcPr>
            <w:tcW w:w="2108" w:type="dxa"/>
            <w:shd w:val="clear" w:color="auto" w:fill="FFFFFF" w:themeFill="background1"/>
          </w:tcPr>
          <w:p w:rsidR="00EF2BC3" w:rsidRDefault="00AF3002">
            <w:pPr>
              <w:spacing w:before="2"/>
              <w:rPr>
                <w:noProof/>
                <w:sz w:val="20"/>
                <w:szCs w:val="20"/>
              </w:rPr>
            </w:pPr>
            <w:r>
              <w:rPr>
                <w:noProof/>
                <w:sz w:val="20"/>
                <w:szCs w:val="20"/>
              </w:rPr>
              <w:t>Not defined in the national programme</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EL</w:t>
            </w:r>
          </w:p>
        </w:tc>
        <w:tc>
          <w:tcPr>
            <w:tcW w:w="3548" w:type="dxa"/>
            <w:shd w:val="clear" w:color="auto" w:fill="FFFFFF" w:themeFill="background1"/>
          </w:tcPr>
          <w:p w:rsidR="00EF2BC3" w:rsidRDefault="00AF3002">
            <w:pPr>
              <w:spacing w:before="2"/>
              <w:rPr>
                <w:noProof/>
                <w:sz w:val="20"/>
                <w:szCs w:val="20"/>
              </w:rPr>
            </w:pPr>
            <w:r>
              <w:rPr>
                <w:noProof/>
                <w:sz w:val="20"/>
                <w:szCs w:val="20"/>
              </w:rPr>
              <w:t>Greek Atomic Energy Commission (EEAE)</w:t>
            </w:r>
          </w:p>
        </w:tc>
        <w:tc>
          <w:tcPr>
            <w:tcW w:w="2409" w:type="dxa"/>
            <w:shd w:val="clear" w:color="auto" w:fill="FFFFFF" w:themeFill="background1"/>
          </w:tcPr>
          <w:p w:rsidR="00EF2BC3" w:rsidRDefault="00AF3002">
            <w:pPr>
              <w:spacing w:before="2"/>
              <w:rPr>
                <w:noProof/>
                <w:sz w:val="20"/>
                <w:szCs w:val="20"/>
              </w:rPr>
            </w:pPr>
            <w:r>
              <w:rPr>
                <w:noProof/>
                <w:sz w:val="20"/>
                <w:szCs w:val="20"/>
              </w:rPr>
              <w:t>Minister responsible for the EEAE, the Minister for Education, Research and Religious Affairs</w:t>
            </w:r>
          </w:p>
        </w:tc>
        <w:tc>
          <w:tcPr>
            <w:tcW w:w="728" w:type="dxa"/>
            <w:shd w:val="clear" w:color="auto" w:fill="FFFFFF" w:themeFill="background1"/>
          </w:tcPr>
          <w:p w:rsidR="00EF2BC3" w:rsidRDefault="00AF3002">
            <w:pPr>
              <w:tabs>
                <w:tab w:val="left" w:pos="630"/>
              </w:tabs>
              <w:spacing w:before="2"/>
              <w:rPr>
                <w:noProof/>
                <w:sz w:val="20"/>
                <w:szCs w:val="20"/>
              </w:rPr>
            </w:pPr>
            <w:r>
              <w:rPr>
                <w:noProof/>
                <w:sz w:val="20"/>
                <w:szCs w:val="20"/>
              </w:rPr>
              <w:t>No data</w:t>
            </w:r>
          </w:p>
        </w:tc>
        <w:tc>
          <w:tcPr>
            <w:tcW w:w="2108" w:type="dxa"/>
            <w:shd w:val="clear" w:color="auto" w:fill="FFFFFF" w:themeFill="background1"/>
          </w:tcPr>
          <w:p w:rsidR="00EF2BC3" w:rsidRDefault="00AF3002">
            <w:pPr>
              <w:spacing w:before="2"/>
              <w:rPr>
                <w:noProof/>
                <w:sz w:val="20"/>
                <w:szCs w:val="20"/>
              </w:rPr>
            </w:pPr>
            <w:r>
              <w:rPr>
                <w:noProof/>
                <w:sz w:val="20"/>
                <w:szCs w:val="20"/>
              </w:rPr>
              <w:t xml:space="preserve">At </w:t>
            </w:r>
            <w:r>
              <w:rPr>
                <w:noProof/>
                <w:sz w:val="20"/>
                <w:szCs w:val="20"/>
              </w:rPr>
              <w:t>least once every 3 years and updated by EEAE, upon agreement of the National Committee for Radioactive Waste Management (EEDRA)</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PL</w:t>
            </w:r>
          </w:p>
        </w:tc>
        <w:tc>
          <w:tcPr>
            <w:tcW w:w="3548" w:type="dxa"/>
            <w:shd w:val="clear" w:color="auto" w:fill="FFFFFF" w:themeFill="background1"/>
          </w:tcPr>
          <w:p w:rsidR="00EF2BC3" w:rsidRDefault="00AF3002">
            <w:pPr>
              <w:spacing w:before="2"/>
              <w:rPr>
                <w:noProof/>
                <w:sz w:val="20"/>
                <w:szCs w:val="20"/>
              </w:rPr>
            </w:pPr>
            <w:r>
              <w:rPr>
                <w:noProof/>
                <w:sz w:val="20"/>
                <w:szCs w:val="20"/>
              </w:rPr>
              <w:t xml:space="preserve">Ministry of Economy </w:t>
            </w:r>
          </w:p>
        </w:tc>
        <w:tc>
          <w:tcPr>
            <w:tcW w:w="2409" w:type="dxa"/>
            <w:shd w:val="clear" w:color="auto" w:fill="FFFFFF" w:themeFill="background1"/>
          </w:tcPr>
          <w:p w:rsidR="00EF2BC3" w:rsidRDefault="00AF3002">
            <w:pPr>
              <w:spacing w:before="2"/>
              <w:rPr>
                <w:noProof/>
                <w:sz w:val="20"/>
                <w:szCs w:val="20"/>
              </w:rPr>
            </w:pPr>
            <w:r>
              <w:rPr>
                <w:noProof/>
                <w:sz w:val="20"/>
                <w:szCs w:val="20"/>
              </w:rPr>
              <w:t>Council of Ministers</w:t>
            </w:r>
          </w:p>
        </w:tc>
        <w:tc>
          <w:tcPr>
            <w:tcW w:w="728" w:type="dxa"/>
            <w:shd w:val="clear" w:color="auto" w:fill="FFFFFF" w:themeFill="background1"/>
          </w:tcPr>
          <w:p w:rsidR="00EF2BC3" w:rsidRDefault="00AF3002">
            <w:pPr>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 xml:space="preserve">Every 4 years </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PT</w:t>
            </w:r>
          </w:p>
        </w:tc>
        <w:tc>
          <w:tcPr>
            <w:tcW w:w="3548" w:type="dxa"/>
            <w:shd w:val="clear" w:color="auto" w:fill="FFFFFF" w:themeFill="background1"/>
          </w:tcPr>
          <w:p w:rsidR="00EF2BC3" w:rsidRDefault="00AF3002">
            <w:pPr>
              <w:spacing w:before="2"/>
              <w:rPr>
                <w:noProof/>
                <w:sz w:val="20"/>
                <w:szCs w:val="20"/>
              </w:rPr>
            </w:pPr>
            <w:r>
              <w:rPr>
                <w:noProof/>
                <w:sz w:val="20"/>
                <w:szCs w:val="20"/>
              </w:rPr>
              <w:t>Regulatory Commission for the Safety of Nuclear Installations</w:t>
            </w:r>
            <w:r>
              <w:rPr>
                <w:noProof/>
                <w:sz w:val="20"/>
                <w:szCs w:val="20"/>
              </w:rPr>
              <w:t xml:space="preserve"> (COMRSIN)</w:t>
            </w:r>
          </w:p>
        </w:tc>
        <w:tc>
          <w:tcPr>
            <w:tcW w:w="2409" w:type="dxa"/>
            <w:shd w:val="clear" w:color="auto" w:fill="FFFFFF" w:themeFill="background1"/>
          </w:tcPr>
          <w:p w:rsidR="00EF2BC3" w:rsidRDefault="00AF3002">
            <w:pPr>
              <w:spacing w:before="2"/>
              <w:rPr>
                <w:noProof/>
                <w:sz w:val="20"/>
                <w:szCs w:val="20"/>
              </w:rPr>
            </w:pPr>
            <w:r>
              <w:rPr>
                <w:noProof/>
                <w:sz w:val="20"/>
                <w:szCs w:val="20"/>
              </w:rPr>
              <w:t>Council of Ministers</w:t>
            </w:r>
          </w:p>
        </w:tc>
        <w:tc>
          <w:tcPr>
            <w:tcW w:w="728" w:type="dxa"/>
            <w:shd w:val="clear" w:color="auto" w:fill="FFFFFF" w:themeFill="background1"/>
          </w:tcPr>
          <w:p w:rsidR="00EF2BC3" w:rsidRDefault="00AF3002">
            <w:pPr>
              <w:tabs>
                <w:tab w:val="left" w:pos="630"/>
              </w:tabs>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COMRSIN* Frequency not defined</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HR</w:t>
            </w:r>
          </w:p>
        </w:tc>
        <w:tc>
          <w:tcPr>
            <w:tcW w:w="3548" w:type="dxa"/>
            <w:shd w:val="clear" w:color="auto" w:fill="FFFFFF" w:themeFill="background1"/>
          </w:tcPr>
          <w:p w:rsidR="00EF2BC3" w:rsidRDefault="00AF3002">
            <w:pPr>
              <w:spacing w:before="2"/>
              <w:rPr>
                <w:noProof/>
                <w:sz w:val="20"/>
                <w:szCs w:val="20"/>
              </w:rPr>
            </w:pPr>
            <w:r>
              <w:rPr>
                <w:noProof/>
                <w:sz w:val="20"/>
                <w:szCs w:val="20"/>
              </w:rPr>
              <w:t>State Office for Radiological and Nuclear Safety (SORNS)</w:t>
            </w:r>
          </w:p>
        </w:tc>
        <w:tc>
          <w:tcPr>
            <w:tcW w:w="2409" w:type="dxa"/>
            <w:shd w:val="clear" w:color="auto" w:fill="FFFFFF" w:themeFill="background1"/>
          </w:tcPr>
          <w:p w:rsidR="00EF2BC3" w:rsidRDefault="00AF3002">
            <w:pPr>
              <w:spacing w:before="2"/>
              <w:rPr>
                <w:noProof/>
                <w:sz w:val="20"/>
                <w:szCs w:val="20"/>
              </w:rPr>
            </w:pPr>
            <w:r>
              <w:rPr>
                <w:noProof/>
                <w:sz w:val="20"/>
                <w:szCs w:val="20"/>
              </w:rPr>
              <w:t>Ministry of Economy with the prior approval by the Croatian Parliament</w:t>
            </w:r>
          </w:p>
          <w:p w:rsidR="00EF2BC3" w:rsidRDefault="00EF2BC3">
            <w:pPr>
              <w:spacing w:before="2"/>
              <w:rPr>
                <w:noProof/>
                <w:sz w:val="20"/>
                <w:szCs w:val="20"/>
              </w:rPr>
            </w:pPr>
          </w:p>
        </w:tc>
        <w:tc>
          <w:tcPr>
            <w:tcW w:w="728" w:type="dxa"/>
            <w:shd w:val="clear" w:color="auto" w:fill="FFFFFF" w:themeFill="background1"/>
          </w:tcPr>
          <w:p w:rsidR="00EF2BC3" w:rsidRDefault="00AF3002">
            <w:pPr>
              <w:tabs>
                <w:tab w:val="left" w:pos="630"/>
              </w:tabs>
              <w:spacing w:before="2"/>
              <w:jc w:val="center"/>
              <w:rPr>
                <w:noProof/>
                <w:sz w:val="20"/>
                <w:szCs w:val="20"/>
              </w:rPr>
            </w:pPr>
            <w:r>
              <w:rPr>
                <w:noProof/>
                <w:sz w:val="20"/>
                <w:szCs w:val="20"/>
              </w:rPr>
              <w:t>Y</w:t>
            </w:r>
          </w:p>
        </w:tc>
        <w:tc>
          <w:tcPr>
            <w:tcW w:w="2108" w:type="dxa"/>
            <w:shd w:val="clear" w:color="auto" w:fill="FFFFFF" w:themeFill="background1"/>
          </w:tcPr>
          <w:p w:rsidR="00EF2BC3" w:rsidRDefault="00AF3002">
            <w:pPr>
              <w:spacing w:before="2"/>
              <w:rPr>
                <w:noProof/>
                <w:sz w:val="20"/>
                <w:szCs w:val="20"/>
              </w:rPr>
            </w:pPr>
            <w:r>
              <w:rPr>
                <w:noProof/>
                <w:sz w:val="20"/>
                <w:szCs w:val="20"/>
              </w:rPr>
              <w:t>Krško programme every 5 years at least</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CY</w:t>
            </w:r>
          </w:p>
        </w:tc>
        <w:tc>
          <w:tcPr>
            <w:tcW w:w="3548" w:type="dxa"/>
          </w:tcPr>
          <w:p w:rsidR="00EF2BC3" w:rsidRDefault="00AF3002">
            <w:pPr>
              <w:spacing w:before="2"/>
              <w:rPr>
                <w:noProof/>
                <w:sz w:val="20"/>
                <w:szCs w:val="20"/>
              </w:rPr>
            </w:pPr>
            <w:r>
              <w:rPr>
                <w:noProof/>
                <w:sz w:val="20"/>
                <w:szCs w:val="20"/>
              </w:rPr>
              <w:t xml:space="preserve">Radiation </w:t>
            </w:r>
            <w:r>
              <w:rPr>
                <w:noProof/>
                <w:sz w:val="20"/>
                <w:szCs w:val="20"/>
              </w:rPr>
              <w:t>Inspection and Control Service (RICS), Department of Labour Inspection (DLI),</w:t>
            </w:r>
          </w:p>
          <w:p w:rsidR="00EF2BC3" w:rsidRDefault="00AF3002">
            <w:pPr>
              <w:spacing w:before="2"/>
              <w:rPr>
                <w:noProof/>
                <w:sz w:val="20"/>
                <w:szCs w:val="20"/>
              </w:rPr>
            </w:pPr>
            <w:r>
              <w:rPr>
                <w:noProof/>
                <w:sz w:val="20"/>
                <w:szCs w:val="20"/>
              </w:rPr>
              <w:t>Minister of Labour, Welfare and Social Insurance (MLWSI)</w:t>
            </w:r>
          </w:p>
        </w:tc>
        <w:tc>
          <w:tcPr>
            <w:tcW w:w="2409" w:type="dxa"/>
          </w:tcPr>
          <w:p w:rsidR="00EF2BC3" w:rsidRDefault="00AF3002">
            <w:pPr>
              <w:spacing w:before="2"/>
              <w:rPr>
                <w:noProof/>
                <w:sz w:val="20"/>
                <w:szCs w:val="20"/>
              </w:rPr>
            </w:pPr>
            <w:r>
              <w:rPr>
                <w:noProof/>
                <w:sz w:val="20"/>
                <w:szCs w:val="20"/>
              </w:rPr>
              <w:t>MLWSI</w:t>
            </w:r>
          </w:p>
        </w:tc>
        <w:tc>
          <w:tcPr>
            <w:tcW w:w="728" w:type="dxa"/>
          </w:tcPr>
          <w:p w:rsidR="00EF2BC3" w:rsidRDefault="00AF3002">
            <w:pPr>
              <w:tabs>
                <w:tab w:val="left" w:pos="630"/>
              </w:tabs>
              <w:spacing w:before="2"/>
              <w:jc w:val="center"/>
              <w:rPr>
                <w:noProof/>
                <w:sz w:val="20"/>
                <w:szCs w:val="20"/>
              </w:rPr>
            </w:pPr>
            <w:r>
              <w:rPr>
                <w:noProof/>
                <w:sz w:val="20"/>
                <w:szCs w:val="20"/>
              </w:rPr>
              <w:t>N</w:t>
            </w:r>
          </w:p>
        </w:tc>
        <w:tc>
          <w:tcPr>
            <w:tcW w:w="2108" w:type="dxa"/>
          </w:tcPr>
          <w:p w:rsidR="00EF2BC3" w:rsidRDefault="00AF3002">
            <w:pPr>
              <w:spacing w:before="2"/>
              <w:rPr>
                <w:noProof/>
                <w:sz w:val="20"/>
                <w:szCs w:val="20"/>
              </w:rPr>
            </w:pPr>
            <w:r>
              <w:rPr>
                <w:noProof/>
                <w:sz w:val="20"/>
                <w:szCs w:val="20"/>
              </w:rPr>
              <w:t>Every 10 years at least by RICS</w:t>
            </w:r>
          </w:p>
        </w:tc>
      </w:tr>
      <w:tr w:rsidR="00EF2BC3">
        <w:trPr>
          <w:trHeight w:val="928"/>
        </w:trPr>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EE</w:t>
            </w:r>
          </w:p>
        </w:tc>
        <w:tc>
          <w:tcPr>
            <w:tcW w:w="3548" w:type="dxa"/>
          </w:tcPr>
          <w:p w:rsidR="00EF2BC3" w:rsidRDefault="00AF3002">
            <w:pPr>
              <w:spacing w:before="2"/>
              <w:rPr>
                <w:noProof/>
                <w:sz w:val="20"/>
                <w:szCs w:val="20"/>
              </w:rPr>
            </w:pPr>
            <w:r>
              <w:rPr>
                <w:noProof/>
                <w:sz w:val="20"/>
                <w:szCs w:val="20"/>
              </w:rPr>
              <w:t xml:space="preserve">Ministry of the Environment, Environmental Board, Radiation Protection </w:t>
            </w:r>
            <w:r>
              <w:rPr>
                <w:noProof/>
                <w:sz w:val="20"/>
                <w:szCs w:val="20"/>
              </w:rPr>
              <w:t>Bureau, Radiation Monitoring Bureau</w:t>
            </w:r>
          </w:p>
        </w:tc>
        <w:tc>
          <w:tcPr>
            <w:tcW w:w="2409" w:type="dxa"/>
          </w:tcPr>
          <w:p w:rsidR="00EF2BC3" w:rsidRDefault="00AF3002">
            <w:pPr>
              <w:spacing w:before="2"/>
              <w:rPr>
                <w:noProof/>
                <w:sz w:val="20"/>
                <w:szCs w:val="20"/>
              </w:rPr>
            </w:pPr>
            <w:r>
              <w:rPr>
                <w:noProof/>
                <w:sz w:val="20"/>
                <w:szCs w:val="20"/>
              </w:rPr>
              <w:t>Minister of the</w:t>
            </w:r>
          </w:p>
          <w:p w:rsidR="00EF2BC3" w:rsidRDefault="00AF3002">
            <w:pPr>
              <w:spacing w:before="2"/>
              <w:rPr>
                <w:noProof/>
                <w:sz w:val="20"/>
                <w:szCs w:val="20"/>
              </w:rPr>
            </w:pPr>
            <w:r>
              <w:rPr>
                <w:noProof/>
                <w:sz w:val="20"/>
                <w:szCs w:val="20"/>
              </w:rPr>
              <w:t>Environment</w:t>
            </w:r>
          </w:p>
        </w:tc>
        <w:tc>
          <w:tcPr>
            <w:tcW w:w="728" w:type="dxa"/>
          </w:tcPr>
          <w:p w:rsidR="00EF2BC3" w:rsidRDefault="00AF3002">
            <w:pPr>
              <w:tabs>
                <w:tab w:val="left" w:pos="630"/>
              </w:tabs>
              <w:spacing w:before="2"/>
              <w:jc w:val="center"/>
              <w:rPr>
                <w:noProof/>
                <w:sz w:val="20"/>
                <w:szCs w:val="20"/>
              </w:rPr>
            </w:pPr>
            <w:r>
              <w:rPr>
                <w:noProof/>
                <w:sz w:val="20"/>
                <w:szCs w:val="20"/>
              </w:rPr>
              <w:t>Y</w:t>
            </w:r>
            <w:r>
              <w:rPr>
                <w:rStyle w:val="FootnoteReference"/>
                <w:noProof/>
                <w:sz w:val="20"/>
                <w:szCs w:val="20"/>
              </w:rPr>
              <w:footnoteReference w:id="14"/>
            </w:r>
          </w:p>
        </w:tc>
        <w:tc>
          <w:tcPr>
            <w:tcW w:w="2108" w:type="dxa"/>
          </w:tcPr>
          <w:p w:rsidR="00EF2BC3" w:rsidRDefault="00AF3002">
            <w:pPr>
              <w:spacing w:before="2"/>
              <w:rPr>
                <w:noProof/>
                <w:sz w:val="20"/>
                <w:szCs w:val="20"/>
              </w:rPr>
            </w:pPr>
            <w:r>
              <w:rPr>
                <w:noProof/>
                <w:sz w:val="20"/>
                <w:szCs w:val="20"/>
              </w:rPr>
              <w:t>Regular update at least every 4 years</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IE</w:t>
            </w:r>
          </w:p>
        </w:tc>
        <w:tc>
          <w:tcPr>
            <w:tcW w:w="3548" w:type="dxa"/>
          </w:tcPr>
          <w:p w:rsidR="00EF2BC3" w:rsidRDefault="00AF3002">
            <w:pPr>
              <w:spacing w:before="2"/>
              <w:rPr>
                <w:noProof/>
                <w:sz w:val="20"/>
                <w:szCs w:val="20"/>
              </w:rPr>
            </w:pPr>
            <w:r>
              <w:rPr>
                <w:noProof/>
                <w:sz w:val="20"/>
                <w:szCs w:val="20"/>
              </w:rPr>
              <w:t>Government Department of Environment, Community and Local Government (DECLG)</w:t>
            </w:r>
          </w:p>
        </w:tc>
        <w:tc>
          <w:tcPr>
            <w:tcW w:w="2409" w:type="dxa"/>
          </w:tcPr>
          <w:p w:rsidR="00EF2BC3" w:rsidRDefault="00AF3002">
            <w:pPr>
              <w:spacing w:before="2"/>
              <w:rPr>
                <w:noProof/>
                <w:sz w:val="20"/>
                <w:szCs w:val="20"/>
              </w:rPr>
            </w:pPr>
            <w:r>
              <w:rPr>
                <w:noProof/>
                <w:sz w:val="20"/>
                <w:szCs w:val="20"/>
              </w:rPr>
              <w:t>DECLG</w:t>
            </w:r>
          </w:p>
        </w:tc>
        <w:tc>
          <w:tcPr>
            <w:tcW w:w="728" w:type="dxa"/>
          </w:tcPr>
          <w:p w:rsidR="00EF2BC3" w:rsidRDefault="00AF3002">
            <w:pPr>
              <w:tabs>
                <w:tab w:val="left" w:pos="630"/>
              </w:tabs>
              <w:spacing w:before="2"/>
              <w:jc w:val="center"/>
              <w:rPr>
                <w:noProof/>
                <w:sz w:val="20"/>
                <w:szCs w:val="20"/>
              </w:rPr>
            </w:pPr>
            <w:r>
              <w:rPr>
                <w:noProof/>
                <w:sz w:val="20"/>
                <w:szCs w:val="20"/>
              </w:rPr>
              <w:t>N</w:t>
            </w:r>
          </w:p>
        </w:tc>
        <w:tc>
          <w:tcPr>
            <w:tcW w:w="2108" w:type="dxa"/>
          </w:tcPr>
          <w:p w:rsidR="00EF2BC3" w:rsidRDefault="00AF3002">
            <w:pPr>
              <w:spacing w:before="2"/>
              <w:rPr>
                <w:noProof/>
                <w:sz w:val="20"/>
                <w:szCs w:val="20"/>
              </w:rPr>
            </w:pPr>
            <w:r>
              <w:rPr>
                <w:noProof/>
                <w:sz w:val="20"/>
                <w:szCs w:val="20"/>
              </w:rPr>
              <w:t>Update and revision as necessary</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 xml:space="preserve">LV </w:t>
            </w:r>
          </w:p>
        </w:tc>
        <w:tc>
          <w:tcPr>
            <w:tcW w:w="3548" w:type="dxa"/>
          </w:tcPr>
          <w:p w:rsidR="00EF2BC3" w:rsidRDefault="00AF3002">
            <w:pPr>
              <w:spacing w:before="2"/>
              <w:rPr>
                <w:noProof/>
                <w:sz w:val="20"/>
                <w:szCs w:val="20"/>
              </w:rPr>
            </w:pPr>
            <w:r>
              <w:rPr>
                <w:noProof/>
                <w:sz w:val="20"/>
                <w:szCs w:val="20"/>
              </w:rPr>
              <w:t xml:space="preserve">Minister for </w:t>
            </w:r>
            <w:r>
              <w:rPr>
                <w:noProof/>
                <w:sz w:val="20"/>
                <w:szCs w:val="20"/>
              </w:rPr>
              <w:t>Environmental Protection</w:t>
            </w:r>
          </w:p>
          <w:p w:rsidR="00EF2BC3" w:rsidRDefault="00AF3002">
            <w:pPr>
              <w:spacing w:before="2"/>
              <w:rPr>
                <w:noProof/>
                <w:sz w:val="20"/>
                <w:szCs w:val="20"/>
              </w:rPr>
            </w:pPr>
            <w:r>
              <w:rPr>
                <w:noProof/>
                <w:sz w:val="20"/>
                <w:szCs w:val="20"/>
              </w:rPr>
              <w:t>and Regional Development*</w:t>
            </w:r>
          </w:p>
        </w:tc>
        <w:tc>
          <w:tcPr>
            <w:tcW w:w="2409" w:type="dxa"/>
          </w:tcPr>
          <w:p w:rsidR="00EF2BC3" w:rsidRDefault="00AF3002">
            <w:pPr>
              <w:spacing w:before="2"/>
              <w:rPr>
                <w:noProof/>
                <w:sz w:val="20"/>
                <w:szCs w:val="20"/>
              </w:rPr>
            </w:pPr>
            <w:r>
              <w:rPr>
                <w:noProof/>
                <w:sz w:val="20"/>
                <w:szCs w:val="20"/>
              </w:rPr>
              <w:t xml:space="preserve">Council of Ministers* </w:t>
            </w:r>
          </w:p>
        </w:tc>
        <w:tc>
          <w:tcPr>
            <w:tcW w:w="728" w:type="dxa"/>
          </w:tcPr>
          <w:p w:rsidR="00EF2BC3" w:rsidRDefault="00AF3002">
            <w:pPr>
              <w:tabs>
                <w:tab w:val="left" w:pos="630"/>
              </w:tabs>
              <w:spacing w:before="2"/>
              <w:jc w:val="center"/>
              <w:rPr>
                <w:noProof/>
                <w:sz w:val="20"/>
                <w:szCs w:val="20"/>
              </w:rPr>
            </w:pPr>
            <w:r>
              <w:rPr>
                <w:noProof/>
                <w:sz w:val="20"/>
                <w:szCs w:val="20"/>
              </w:rPr>
              <w:t>Y</w:t>
            </w:r>
          </w:p>
        </w:tc>
        <w:tc>
          <w:tcPr>
            <w:tcW w:w="2108" w:type="dxa"/>
          </w:tcPr>
          <w:p w:rsidR="00EF2BC3" w:rsidRDefault="00AF3002">
            <w:pPr>
              <w:spacing w:before="2"/>
              <w:rPr>
                <w:noProof/>
                <w:sz w:val="20"/>
                <w:szCs w:val="20"/>
              </w:rPr>
            </w:pPr>
            <w:r>
              <w:rPr>
                <w:noProof/>
                <w:sz w:val="20"/>
                <w:szCs w:val="20"/>
              </w:rPr>
              <w:t>2002 Concept, Programme in preparation</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LU</w:t>
            </w:r>
          </w:p>
        </w:tc>
        <w:tc>
          <w:tcPr>
            <w:tcW w:w="3548" w:type="dxa"/>
          </w:tcPr>
          <w:p w:rsidR="00EF2BC3" w:rsidRDefault="00AF3002">
            <w:pPr>
              <w:pStyle w:val="CommentText"/>
              <w:spacing w:before="2"/>
              <w:rPr>
                <w:noProof/>
                <w:lang w:val="en-GB"/>
              </w:rPr>
            </w:pPr>
            <w:r>
              <w:rPr>
                <w:noProof/>
                <w:lang w:val="en-GB"/>
              </w:rPr>
              <w:t>Radioprotection Division (DRP) within the Department of HEalth</w:t>
            </w:r>
          </w:p>
          <w:p w:rsidR="00EF2BC3" w:rsidRDefault="00EF2BC3">
            <w:pPr>
              <w:spacing w:before="2"/>
              <w:rPr>
                <w:noProof/>
                <w:sz w:val="20"/>
                <w:szCs w:val="20"/>
              </w:rPr>
            </w:pPr>
          </w:p>
        </w:tc>
        <w:tc>
          <w:tcPr>
            <w:tcW w:w="2409" w:type="dxa"/>
          </w:tcPr>
          <w:p w:rsidR="00EF2BC3" w:rsidRDefault="00AF3002">
            <w:pPr>
              <w:spacing w:before="2"/>
              <w:rPr>
                <w:noProof/>
                <w:sz w:val="20"/>
                <w:szCs w:val="20"/>
              </w:rPr>
            </w:pPr>
            <w:r>
              <w:rPr>
                <w:noProof/>
                <w:sz w:val="20"/>
                <w:szCs w:val="20"/>
              </w:rPr>
              <w:t>No available information</w:t>
            </w:r>
          </w:p>
        </w:tc>
        <w:tc>
          <w:tcPr>
            <w:tcW w:w="728" w:type="dxa"/>
          </w:tcPr>
          <w:p w:rsidR="00EF2BC3" w:rsidRDefault="00AF3002">
            <w:pPr>
              <w:tabs>
                <w:tab w:val="left" w:pos="630"/>
              </w:tabs>
              <w:spacing w:before="2"/>
              <w:jc w:val="center"/>
              <w:rPr>
                <w:noProof/>
                <w:sz w:val="20"/>
                <w:szCs w:val="20"/>
              </w:rPr>
            </w:pPr>
            <w:r>
              <w:rPr>
                <w:noProof/>
                <w:sz w:val="20"/>
                <w:szCs w:val="20"/>
              </w:rPr>
              <w:t>No data</w:t>
            </w:r>
          </w:p>
        </w:tc>
        <w:tc>
          <w:tcPr>
            <w:tcW w:w="2108" w:type="dxa"/>
          </w:tcPr>
          <w:p w:rsidR="00EF2BC3" w:rsidRDefault="00AF3002">
            <w:pPr>
              <w:spacing w:before="2"/>
              <w:rPr>
                <w:noProof/>
                <w:sz w:val="20"/>
                <w:szCs w:val="20"/>
              </w:rPr>
            </w:pPr>
            <w:r>
              <w:rPr>
                <w:noProof/>
                <w:sz w:val="20"/>
                <w:szCs w:val="20"/>
              </w:rPr>
              <w:t>Next review in 2018</w:t>
            </w:r>
          </w:p>
        </w:tc>
      </w:tr>
      <w:tr w:rsidR="00EF2BC3">
        <w:tc>
          <w:tcPr>
            <w:tcW w:w="671" w:type="dxa"/>
            <w:shd w:val="clear" w:color="auto" w:fill="1F497D" w:themeFill="text2"/>
          </w:tcPr>
          <w:p w:rsidR="00EF2BC3" w:rsidRDefault="00AF3002">
            <w:pPr>
              <w:spacing w:before="2"/>
              <w:rPr>
                <w:b/>
                <w:noProof/>
                <w:color w:val="FFFFFF" w:themeColor="background1"/>
                <w:sz w:val="20"/>
                <w:szCs w:val="20"/>
              </w:rPr>
            </w:pPr>
            <w:r>
              <w:rPr>
                <w:b/>
                <w:noProof/>
                <w:color w:val="FFFFFF" w:themeColor="background1"/>
                <w:sz w:val="20"/>
                <w:szCs w:val="20"/>
              </w:rPr>
              <w:t xml:space="preserve">MT </w:t>
            </w:r>
          </w:p>
        </w:tc>
        <w:tc>
          <w:tcPr>
            <w:tcW w:w="3548" w:type="dxa"/>
          </w:tcPr>
          <w:p w:rsidR="00EF2BC3" w:rsidRDefault="00AF3002">
            <w:pPr>
              <w:spacing w:before="2"/>
              <w:rPr>
                <w:noProof/>
                <w:sz w:val="20"/>
                <w:szCs w:val="20"/>
              </w:rPr>
            </w:pPr>
            <w:r>
              <w:rPr>
                <w:noProof/>
                <w:sz w:val="20"/>
                <w:szCs w:val="20"/>
              </w:rPr>
              <w:t xml:space="preserve">Radiation </w:t>
            </w:r>
            <w:r>
              <w:rPr>
                <w:noProof/>
                <w:sz w:val="20"/>
                <w:szCs w:val="20"/>
              </w:rPr>
              <w:t>Protection Board</w:t>
            </w:r>
          </w:p>
        </w:tc>
        <w:tc>
          <w:tcPr>
            <w:tcW w:w="2409" w:type="dxa"/>
          </w:tcPr>
          <w:p w:rsidR="00EF2BC3" w:rsidRDefault="00AF3002">
            <w:pPr>
              <w:spacing w:before="2"/>
              <w:rPr>
                <w:noProof/>
                <w:sz w:val="20"/>
                <w:szCs w:val="20"/>
              </w:rPr>
            </w:pPr>
            <w:r>
              <w:rPr>
                <w:noProof/>
                <w:sz w:val="20"/>
                <w:szCs w:val="20"/>
              </w:rPr>
              <w:t>Radiation Protection Board</w:t>
            </w:r>
          </w:p>
        </w:tc>
        <w:tc>
          <w:tcPr>
            <w:tcW w:w="728" w:type="dxa"/>
          </w:tcPr>
          <w:p w:rsidR="00EF2BC3" w:rsidRDefault="00AF3002">
            <w:pPr>
              <w:tabs>
                <w:tab w:val="left" w:pos="630"/>
              </w:tabs>
              <w:spacing w:before="2"/>
              <w:jc w:val="center"/>
              <w:rPr>
                <w:noProof/>
                <w:sz w:val="20"/>
                <w:szCs w:val="20"/>
              </w:rPr>
            </w:pPr>
            <w:r>
              <w:rPr>
                <w:noProof/>
                <w:sz w:val="20"/>
                <w:szCs w:val="20"/>
              </w:rPr>
              <w:t>Under screening</w:t>
            </w:r>
          </w:p>
        </w:tc>
        <w:tc>
          <w:tcPr>
            <w:tcW w:w="2108" w:type="dxa"/>
          </w:tcPr>
          <w:p w:rsidR="00EF2BC3" w:rsidRDefault="00AF3002">
            <w:pPr>
              <w:spacing w:before="2"/>
              <w:rPr>
                <w:noProof/>
                <w:sz w:val="20"/>
                <w:szCs w:val="20"/>
              </w:rPr>
            </w:pPr>
            <w:r>
              <w:rPr>
                <w:noProof/>
                <w:sz w:val="20"/>
                <w:szCs w:val="20"/>
              </w:rPr>
              <w:t>As necessary</w:t>
            </w:r>
          </w:p>
        </w:tc>
      </w:tr>
    </w:tbl>
    <w:p w:rsidR="00EF2BC3" w:rsidRDefault="00AF3002">
      <w:pPr>
        <w:spacing w:before="120"/>
        <w:ind w:left="284" w:hanging="284"/>
        <w:jc w:val="both"/>
        <w:rPr>
          <w:noProof/>
          <w:sz w:val="20"/>
          <w:szCs w:val="20"/>
        </w:rPr>
      </w:pPr>
      <w:r>
        <w:rPr>
          <w:noProof/>
          <w:sz w:val="20"/>
          <w:szCs w:val="20"/>
        </w:rPr>
        <w:t>*</w:t>
      </w:r>
      <w:r>
        <w:rPr>
          <w:noProof/>
          <w:sz w:val="20"/>
          <w:szCs w:val="20"/>
        </w:rPr>
        <w:tab/>
        <w:t>Information from notifications to the Commission other than the national programme</w:t>
      </w:r>
    </w:p>
    <w:p w:rsidR="00EF2BC3" w:rsidRDefault="00AF3002">
      <w:pPr>
        <w:spacing w:before="120"/>
        <w:jc w:val="both"/>
        <w:rPr>
          <w:noProof/>
        </w:rPr>
      </w:pPr>
      <w:r>
        <w:rPr>
          <w:noProof/>
        </w:rPr>
        <w:t xml:space="preserve">A third of all EU </w:t>
      </w:r>
      <w:r>
        <w:rPr>
          <w:rFonts w:eastAsia="Times New Roman"/>
          <w:noProof/>
        </w:rPr>
        <w:t>Member States</w:t>
      </w:r>
      <w:r>
        <w:rPr>
          <w:noProof/>
        </w:rPr>
        <w:t xml:space="preserve"> addressed waste with naturally occurring radioactive material (NORM) in their programmes, whereas the rest either explicitly exclude it from the scope of their national programmes, or do not mention it.</w:t>
      </w:r>
    </w:p>
    <w:p w:rsidR="00EF2BC3" w:rsidRDefault="00AF3002">
      <w:pPr>
        <w:tabs>
          <w:tab w:val="right" w:leader="dot" w:pos="9071"/>
        </w:tabs>
        <w:spacing w:before="120"/>
        <w:jc w:val="both"/>
        <w:rPr>
          <w:rFonts w:eastAsia="Times New Roman"/>
          <w:noProof/>
          <w:color w:val="000000" w:themeColor="text1"/>
        </w:rPr>
      </w:pPr>
      <w:r>
        <w:rPr>
          <w:rFonts w:eastAsia="Times New Roman"/>
          <w:noProof/>
          <w:color w:val="000000" w:themeColor="text1"/>
        </w:rPr>
        <w:t xml:space="preserve">The overall timescale of </w:t>
      </w:r>
      <w:r>
        <w:rPr>
          <w:rFonts w:eastAsia="Times New Roman"/>
          <w:noProof/>
        </w:rPr>
        <w:t>Member States'</w:t>
      </w:r>
      <w:r>
        <w:rPr>
          <w:rFonts w:eastAsia="Times New Roman"/>
          <w:noProof/>
          <w:color w:val="000000" w:themeColor="text1"/>
        </w:rPr>
        <w:t xml:space="preserve"> programmes f</w:t>
      </w:r>
      <w:r>
        <w:rPr>
          <w:rFonts w:eastAsia="Times New Roman"/>
          <w:noProof/>
          <w:color w:val="000000" w:themeColor="text1"/>
        </w:rPr>
        <w:t xml:space="preserve">or spent fuel and radioactive waste management vary signifficantly due to the scope and scale of the current nuclear programmes in each </w:t>
      </w:r>
      <w:r>
        <w:rPr>
          <w:rFonts w:eastAsia="Times New Roman"/>
          <w:noProof/>
        </w:rPr>
        <w:t>Member State</w:t>
      </w:r>
      <w:r>
        <w:rPr>
          <w:rFonts w:eastAsia="Times New Roman"/>
          <w:noProof/>
          <w:color w:val="000000" w:themeColor="text1"/>
        </w:rPr>
        <w:t>. The programmes include measures from a few years up to after 2300, which imposes challenges for the majori</w:t>
      </w:r>
      <w:r>
        <w:rPr>
          <w:rFonts w:eastAsia="Times New Roman"/>
          <w:noProof/>
          <w:color w:val="000000" w:themeColor="text1"/>
        </w:rPr>
        <w:t xml:space="preserve">ty </w:t>
      </w:r>
      <w:r>
        <w:rPr>
          <w:rFonts w:eastAsia="Times New Roman"/>
          <w:noProof/>
        </w:rPr>
        <w:t>Member States</w:t>
      </w:r>
      <w:r>
        <w:rPr>
          <w:rFonts w:eastAsia="Times New Roman"/>
          <w:noProof/>
          <w:color w:val="000000" w:themeColor="text1"/>
        </w:rPr>
        <w:t xml:space="preserve"> (in particular the ones with nuclear programme) to ensure long term safety measures for several decades to centuries in the future. </w:t>
      </w:r>
    </w:p>
    <w:p w:rsidR="00EF2BC3" w:rsidRDefault="00AF3002">
      <w:pPr>
        <w:autoSpaceDE w:val="0"/>
        <w:autoSpaceDN w:val="0"/>
        <w:adjustRightInd w:val="0"/>
        <w:spacing w:before="120"/>
        <w:jc w:val="both"/>
        <w:rPr>
          <w:noProof/>
          <w:color w:val="000000" w:themeColor="text1"/>
        </w:rPr>
      </w:pPr>
      <w:r>
        <w:rPr>
          <w:noProof/>
          <w:color w:val="000000" w:themeColor="text1"/>
        </w:rPr>
        <w:t xml:space="preserve">Clearly defined detailed milestones, timeframes and decision making points are defined by about a third of </w:t>
      </w:r>
      <w:r>
        <w:rPr>
          <w:rFonts w:eastAsia="Times New Roman"/>
          <w:noProof/>
        </w:rPr>
        <w:t>Member States</w:t>
      </w:r>
      <w:r>
        <w:rPr>
          <w:noProof/>
          <w:color w:val="000000" w:themeColor="text1"/>
        </w:rPr>
        <w:t xml:space="preserve"> (incl. shutdown and planned decommissioning of </w:t>
      </w:r>
      <w:r>
        <w:rPr>
          <w:noProof/>
        </w:rPr>
        <w:t>nuclear power plant</w:t>
      </w:r>
      <w:r>
        <w:rPr>
          <w:noProof/>
          <w:color w:val="000000" w:themeColor="text1"/>
        </w:rPr>
        <w:t xml:space="preserve">s that will also generate radioactive waste (see Table 2). </w:t>
      </w:r>
    </w:p>
    <w:p w:rsidR="00EF2BC3" w:rsidRDefault="00AF3002">
      <w:pPr>
        <w:spacing w:before="240" w:after="120"/>
        <w:jc w:val="center"/>
        <w:outlineLvl w:val="0"/>
        <w:rPr>
          <w:b/>
          <w:noProof/>
        </w:rPr>
      </w:pPr>
      <w:bookmarkStart w:id="9" w:name="_Toc474832557"/>
      <w:bookmarkStart w:id="10" w:name="_Toc474832857"/>
      <w:r>
        <w:rPr>
          <w:b/>
          <w:noProof/>
        </w:rPr>
        <w:t>Table 2 S</w:t>
      </w:r>
      <w:r>
        <w:rPr>
          <w:b/>
          <w:noProof/>
        </w:rPr>
        <w:t>chedule for Decommissioning of Nuclear Power Plants in EU Member States</w:t>
      </w:r>
      <w:r>
        <w:rPr>
          <w:rStyle w:val="FootnoteReference"/>
          <w:b/>
          <w:noProof/>
        </w:rPr>
        <w:footnoteReference w:id="15"/>
      </w:r>
      <w:bookmarkEnd w:id="9"/>
      <w:bookmarkEnd w:id="10"/>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5"/>
        <w:gridCol w:w="1701"/>
        <w:gridCol w:w="1419"/>
        <w:gridCol w:w="1559"/>
        <w:gridCol w:w="1557"/>
      </w:tblGrid>
      <w:tr w:rsidR="00EF2BC3">
        <w:trPr>
          <w:trHeight w:val="360"/>
        </w:trPr>
        <w:tc>
          <w:tcPr>
            <w:tcW w:w="959" w:type="dxa"/>
            <w:shd w:val="clear" w:color="auto" w:fill="8DB3E2" w:themeFill="text2" w:themeFillTint="66"/>
            <w:noWrap/>
            <w:vAlign w:val="bottom"/>
            <w:hideMark/>
          </w:tcPr>
          <w:p w:rsidR="00EF2BC3" w:rsidRDefault="00AF3002">
            <w:pPr>
              <w:rPr>
                <w:rFonts w:eastAsia="Times New Roman"/>
                <w:b/>
                <w:noProof/>
                <w:color w:val="FFFFFF" w:themeColor="background1"/>
                <w:sz w:val="20"/>
                <w:szCs w:val="20"/>
              </w:rPr>
            </w:pPr>
            <w:r>
              <w:rPr>
                <w:rFonts w:eastAsia="Times New Roman"/>
                <w:b/>
                <w:noProof/>
                <w:color w:val="FFFFFF" w:themeColor="background1"/>
                <w:sz w:val="20"/>
                <w:szCs w:val="20"/>
              </w:rPr>
              <w:t>MS</w:t>
            </w:r>
          </w:p>
        </w:tc>
        <w:tc>
          <w:tcPr>
            <w:tcW w:w="1985" w:type="dxa"/>
            <w:shd w:val="clear" w:color="auto" w:fill="8DB3E2" w:themeFill="text2" w:themeFillTint="66"/>
            <w:noWrap/>
            <w:vAlign w:val="bottom"/>
            <w:hideMark/>
          </w:tcPr>
          <w:p w:rsidR="00EF2BC3" w:rsidRDefault="00AF3002">
            <w:pPr>
              <w:jc w:val="center"/>
              <w:rPr>
                <w:rFonts w:eastAsia="Times New Roman"/>
                <w:b/>
                <w:bCs/>
                <w:noProof/>
                <w:color w:val="FFFFFF" w:themeColor="background1"/>
                <w:sz w:val="20"/>
                <w:szCs w:val="20"/>
              </w:rPr>
            </w:pPr>
            <w:r>
              <w:rPr>
                <w:rFonts w:eastAsia="Times New Roman"/>
                <w:b/>
                <w:bCs/>
                <w:noProof/>
                <w:color w:val="FFFFFF" w:themeColor="background1"/>
                <w:sz w:val="20"/>
                <w:szCs w:val="20"/>
              </w:rPr>
              <w:t>Reactors/Units</w:t>
            </w:r>
          </w:p>
        </w:tc>
        <w:tc>
          <w:tcPr>
            <w:tcW w:w="1701" w:type="dxa"/>
            <w:shd w:val="clear" w:color="auto" w:fill="8DB3E2" w:themeFill="text2" w:themeFillTint="66"/>
            <w:noWrap/>
            <w:vAlign w:val="bottom"/>
            <w:hideMark/>
          </w:tcPr>
          <w:p w:rsidR="00EF2BC3" w:rsidRDefault="00AF3002">
            <w:pPr>
              <w:jc w:val="center"/>
              <w:rPr>
                <w:rFonts w:eastAsia="Times New Roman"/>
                <w:b/>
                <w:bCs/>
                <w:noProof/>
                <w:color w:val="FFFFFF" w:themeColor="background1"/>
                <w:sz w:val="20"/>
                <w:szCs w:val="20"/>
              </w:rPr>
            </w:pPr>
            <w:r>
              <w:rPr>
                <w:rFonts w:eastAsia="Times New Roman"/>
                <w:b/>
                <w:bCs/>
                <w:noProof/>
                <w:color w:val="FFFFFF" w:themeColor="background1"/>
                <w:sz w:val="20"/>
                <w:szCs w:val="20"/>
              </w:rPr>
              <w:t>Operation</w:t>
            </w:r>
          </w:p>
        </w:tc>
        <w:tc>
          <w:tcPr>
            <w:tcW w:w="1419" w:type="dxa"/>
            <w:shd w:val="clear" w:color="auto" w:fill="8DB3E2" w:themeFill="text2" w:themeFillTint="66"/>
            <w:noWrap/>
            <w:vAlign w:val="bottom"/>
            <w:hideMark/>
          </w:tcPr>
          <w:p w:rsidR="00EF2BC3" w:rsidRDefault="00AF3002">
            <w:pPr>
              <w:jc w:val="center"/>
              <w:rPr>
                <w:rFonts w:eastAsia="Times New Roman"/>
                <w:b/>
                <w:bCs/>
                <w:noProof/>
                <w:color w:val="FFFFFF" w:themeColor="background1"/>
                <w:sz w:val="20"/>
                <w:szCs w:val="20"/>
              </w:rPr>
            </w:pPr>
            <w:r>
              <w:rPr>
                <w:rFonts w:eastAsia="Times New Roman"/>
                <w:b/>
                <w:bCs/>
                <w:noProof/>
                <w:color w:val="FFFFFF" w:themeColor="background1"/>
                <w:sz w:val="20"/>
                <w:szCs w:val="20"/>
              </w:rPr>
              <w:t xml:space="preserve">Shutdown </w:t>
            </w:r>
          </w:p>
        </w:tc>
        <w:tc>
          <w:tcPr>
            <w:tcW w:w="1559" w:type="dxa"/>
            <w:shd w:val="clear" w:color="auto" w:fill="8DB3E2" w:themeFill="text2" w:themeFillTint="66"/>
            <w:noWrap/>
            <w:vAlign w:val="bottom"/>
            <w:hideMark/>
          </w:tcPr>
          <w:p w:rsidR="00EF2BC3" w:rsidRDefault="00AF3002">
            <w:pPr>
              <w:jc w:val="center"/>
              <w:rPr>
                <w:rFonts w:eastAsia="Times New Roman"/>
                <w:b/>
                <w:bCs/>
                <w:noProof/>
                <w:color w:val="FFFFFF" w:themeColor="background1"/>
                <w:sz w:val="20"/>
                <w:szCs w:val="20"/>
              </w:rPr>
            </w:pPr>
            <w:r>
              <w:rPr>
                <w:rFonts w:eastAsia="Times New Roman"/>
                <w:b/>
                <w:bCs/>
                <w:noProof/>
                <w:color w:val="FFFFFF" w:themeColor="background1"/>
                <w:sz w:val="20"/>
                <w:szCs w:val="20"/>
              </w:rPr>
              <w:t>Decommission-ing</w:t>
            </w:r>
          </w:p>
        </w:tc>
        <w:tc>
          <w:tcPr>
            <w:tcW w:w="1557" w:type="dxa"/>
            <w:shd w:val="clear" w:color="auto" w:fill="8DB3E2" w:themeFill="text2" w:themeFillTint="66"/>
            <w:noWrap/>
            <w:vAlign w:val="bottom"/>
            <w:hideMark/>
          </w:tcPr>
          <w:p w:rsidR="00EF2BC3" w:rsidRDefault="00AF3002">
            <w:pPr>
              <w:jc w:val="center"/>
              <w:rPr>
                <w:rFonts w:eastAsia="Times New Roman"/>
                <w:b/>
                <w:bCs/>
                <w:noProof/>
                <w:color w:val="FFFFFF" w:themeColor="background1"/>
                <w:sz w:val="20"/>
                <w:szCs w:val="20"/>
              </w:rPr>
            </w:pPr>
            <w:r>
              <w:rPr>
                <w:rFonts w:eastAsia="Times New Roman"/>
                <w:b/>
                <w:bCs/>
                <w:noProof/>
                <w:color w:val="FFFFFF" w:themeColor="background1"/>
                <w:sz w:val="20"/>
                <w:szCs w:val="20"/>
              </w:rPr>
              <w:t>Comments</w:t>
            </w:r>
          </w:p>
        </w:tc>
      </w:tr>
      <w:tr w:rsidR="00EF2BC3">
        <w:trPr>
          <w:trHeight w:val="377"/>
        </w:trPr>
        <w:tc>
          <w:tcPr>
            <w:tcW w:w="959" w:type="dxa"/>
            <w:vMerge w:val="restart"/>
            <w:shd w:val="clear" w:color="auto" w:fill="8DB3E2" w:themeFill="text2" w:themeFillTint="66"/>
            <w:noWrap/>
            <w:vAlign w:val="bottom"/>
            <w:hideMark/>
          </w:tcPr>
          <w:p w:rsidR="00EF2BC3" w:rsidRDefault="00AF3002">
            <w:pPr>
              <w:ind w:right="384"/>
              <w:rPr>
                <w:rFonts w:eastAsia="Times New Roman"/>
                <w:b/>
                <w:bCs/>
                <w:noProof/>
                <w:color w:val="FFFFFF" w:themeColor="background1"/>
                <w:sz w:val="20"/>
                <w:szCs w:val="20"/>
              </w:rPr>
            </w:pPr>
            <w:r>
              <w:rPr>
                <w:rFonts w:eastAsia="Times New Roman"/>
                <w:b/>
                <w:bCs/>
                <w:noProof/>
                <w:color w:val="FFFFFF" w:themeColor="background1"/>
                <w:sz w:val="20"/>
                <w:szCs w:val="20"/>
              </w:rPr>
              <w:t>BG</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1</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1974</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2002</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vMerge w:val="restart"/>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Available data until 2030</w:t>
            </w:r>
          </w:p>
          <w:p w:rsidR="00EF2BC3" w:rsidRDefault="00EF2BC3">
            <w:pPr>
              <w:rPr>
                <w:rFonts w:eastAsia="Times New Roman"/>
                <w:noProof/>
                <w:color w:val="000000" w:themeColor="text1"/>
                <w:sz w:val="20"/>
                <w:szCs w:val="20"/>
              </w:rPr>
            </w:pPr>
          </w:p>
          <w:p w:rsidR="00EF2BC3" w:rsidRDefault="00EF2BC3">
            <w:pPr>
              <w:rPr>
                <w:rFonts w:eastAsia="Times New Roman"/>
                <w:noProof/>
                <w:color w:val="000000" w:themeColor="text1"/>
                <w:sz w:val="20"/>
                <w:szCs w:val="20"/>
              </w:rPr>
            </w:pPr>
          </w:p>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2</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1975</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2002</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vMerge/>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3</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1980</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2006</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vMerge/>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4</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1982</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2006</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vMerge/>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13"/>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5</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1987</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2017 (2030)</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Planned LTO by 2030</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Kozloduy unit 6</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1991</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2021 (2030)</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Planned LTO by 2030</w:t>
            </w:r>
          </w:p>
        </w:tc>
      </w:tr>
      <w:tr w:rsidR="00EF2BC3">
        <w:trPr>
          <w:trHeight w:val="30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CZ</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Dukovany 1-4</w:t>
            </w:r>
          </w:p>
        </w:tc>
        <w:tc>
          <w:tcPr>
            <w:tcW w:w="1701" w:type="dxa"/>
            <w:shd w:val="clear" w:color="auto" w:fill="auto"/>
            <w:noWrap/>
            <w:vAlign w:val="bottom"/>
            <w:hideMark/>
          </w:tcPr>
          <w:p w:rsidR="00EF2BC3" w:rsidRDefault="00AF3002">
            <w:pPr>
              <w:jc w:val="center"/>
              <w:rPr>
                <w:rFonts w:eastAsia="Times New Roman"/>
                <w:iCs/>
                <w:noProof/>
                <w:color w:val="000000" w:themeColor="text1"/>
                <w:sz w:val="20"/>
                <w:szCs w:val="20"/>
              </w:rPr>
            </w:pPr>
            <w:r>
              <w:rPr>
                <w:rFonts w:eastAsia="Times New Roman"/>
                <w:iCs/>
                <w:noProof/>
                <w:color w:val="000000" w:themeColor="text1"/>
                <w:sz w:val="20"/>
                <w:szCs w:val="20"/>
              </w:rPr>
              <w:t>1978-1987*</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2038 - 2047</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Planned LTO </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Temelin </w:t>
            </w:r>
            <w:r>
              <w:rPr>
                <w:rFonts w:eastAsia="Times New Roman"/>
                <w:noProof/>
                <w:color w:val="000000" w:themeColor="text1"/>
                <w:sz w:val="20"/>
                <w:szCs w:val="20"/>
              </w:rPr>
              <w:t>units 1-2</w:t>
            </w:r>
          </w:p>
        </w:tc>
        <w:tc>
          <w:tcPr>
            <w:tcW w:w="1701" w:type="dxa"/>
            <w:shd w:val="clear" w:color="auto" w:fill="auto"/>
            <w:noWrap/>
            <w:vAlign w:val="bottom"/>
            <w:hideMark/>
          </w:tcPr>
          <w:p w:rsidR="00EF2BC3" w:rsidRDefault="00AF3002">
            <w:pPr>
              <w:jc w:val="center"/>
              <w:rPr>
                <w:rFonts w:eastAsia="Times New Roman"/>
                <w:iCs/>
                <w:noProof/>
                <w:color w:val="000000" w:themeColor="text1"/>
                <w:sz w:val="20"/>
                <w:szCs w:val="20"/>
              </w:rPr>
            </w:pPr>
            <w:r>
              <w:rPr>
                <w:rFonts w:eastAsia="Times New Roman"/>
                <w:iCs/>
                <w:noProof/>
                <w:color w:val="000000" w:themeColor="text1"/>
                <w:sz w:val="20"/>
                <w:szCs w:val="20"/>
              </w:rPr>
              <w:t>2000-2002*</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2060-2062</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60 years operation</w:t>
            </w:r>
          </w:p>
        </w:tc>
      </w:tr>
      <w:tr w:rsidR="00EF2BC3">
        <w:trPr>
          <w:trHeight w:val="551"/>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Dukovany unit 5</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planned</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no available data</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60 years operation</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Temelin unit 3</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planned</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no available data</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60 years operation</w:t>
            </w:r>
          </w:p>
        </w:tc>
      </w:tr>
      <w:tr w:rsidR="00EF2BC3">
        <w:trPr>
          <w:trHeight w:val="30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HU</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vAlign w:val="center"/>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Paks units 1-4</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1982-1987</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2032-2037</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Considering 20 years LTO</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center"/>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Paks </w:t>
            </w:r>
            <w:r>
              <w:rPr>
                <w:rFonts w:eastAsia="Times New Roman"/>
                <w:noProof/>
                <w:color w:val="000000" w:themeColor="text1"/>
                <w:sz w:val="20"/>
                <w:szCs w:val="20"/>
              </w:rPr>
              <w:t>units 5-6</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2025-2026</w:t>
            </w:r>
          </w:p>
        </w:tc>
        <w:tc>
          <w:tcPr>
            <w:tcW w:w="1419" w:type="dxa"/>
            <w:shd w:val="clear" w:color="auto" w:fill="auto"/>
            <w:noWrap/>
            <w:hideMark/>
          </w:tcPr>
          <w:p w:rsidR="00EF2BC3" w:rsidRDefault="00EF2BC3">
            <w:pPr>
              <w:rPr>
                <w:rFonts w:eastAsia="Times New Roman"/>
                <w:noProof/>
                <w:color w:val="000000" w:themeColor="text1"/>
                <w:sz w:val="20"/>
                <w:szCs w:val="20"/>
              </w:rPr>
            </w:pP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Planned</w:t>
            </w:r>
          </w:p>
        </w:tc>
      </w:tr>
      <w:tr w:rsidR="00EF2BC3">
        <w:trPr>
          <w:trHeight w:val="30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SK</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Bohunice V1 (units 1-2)</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1978*</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1980*</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2006</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2008</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w:t>
            </w: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Bohunice V2 (units 1-2) </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1984*</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1985*</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2024 or 2044</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 or 2045</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2031-2048 (40 years operation)</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2051-2068 (60 years operation)</w:t>
            </w: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Possible LTO to 60 years</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Bohunice </w:t>
            </w:r>
            <w:r>
              <w:rPr>
                <w:rFonts w:eastAsia="Times New Roman"/>
                <w:noProof/>
                <w:color w:val="000000" w:themeColor="text1"/>
                <w:sz w:val="20"/>
                <w:szCs w:val="20"/>
              </w:rPr>
              <w:t>A1</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1972*</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1979</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2033</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Bohunice unit 3</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Planned (2029)</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2089</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Mochovce units 1-2</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1998*</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1999*</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2028 or 2046</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2029 or 2066</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2046-2063 (40 years of operation)</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2066-2083 (60 years of operation)</w:t>
            </w: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Possible LTO to 60 years</w:t>
            </w: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Mochovce units 3-4</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 xml:space="preserve">Under construction </w:t>
            </w:r>
            <w:r>
              <w:rPr>
                <w:rFonts w:eastAsia="Times New Roman"/>
                <w:noProof/>
                <w:color w:val="000000" w:themeColor="text1"/>
                <w:sz w:val="20"/>
                <w:szCs w:val="20"/>
              </w:rPr>
              <w:t>(2021)</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2062</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2082</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2062-2079 (40 years of operation)</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2082-2099 (60 years of operation)</w:t>
            </w:r>
          </w:p>
        </w:tc>
        <w:tc>
          <w:tcPr>
            <w:tcW w:w="1557" w:type="dxa"/>
            <w:shd w:val="clear" w:color="auto" w:fill="auto"/>
            <w:noWrap/>
            <w:vAlign w:val="bottom"/>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Possible LTOto 60 years</w:t>
            </w:r>
          </w:p>
        </w:tc>
      </w:tr>
      <w:tr w:rsidR="00EF2BC3">
        <w:trPr>
          <w:trHeight w:val="300"/>
        </w:trPr>
        <w:tc>
          <w:tcPr>
            <w:tcW w:w="959" w:type="dxa"/>
            <w:vMerge w:val="restart"/>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FI</w:t>
            </w: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bCs/>
                <w:noProof/>
                <w:color w:val="000000" w:themeColor="text1"/>
                <w:sz w:val="20"/>
                <w:szCs w:val="20"/>
              </w:rPr>
              <w:t>Olkiluoto unit 1</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1979</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2049*</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2080-2090</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237"/>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Olkiluoto unit 2</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1982</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2042*</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2080-2090</w:t>
            </w: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237"/>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Olkiluoto unit 3</w:t>
            </w:r>
            <w:r>
              <w:rPr>
                <w:noProof/>
                <w:sz w:val="20"/>
                <w:szCs w:val="20"/>
              </w:rPr>
              <w:t xml:space="preserve"> </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Under construction</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2078*</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2075 - 2085</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237"/>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Loviisa unit 1</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1977</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2027*</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2030-2035</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237"/>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Loviisa unit 2</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1981</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2030*</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2030-2035</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237"/>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Hanhikivi</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Planned</w:t>
            </w:r>
          </w:p>
        </w:tc>
        <w:tc>
          <w:tcPr>
            <w:tcW w:w="1419" w:type="dxa"/>
            <w:shd w:val="clear" w:color="auto" w:fill="auto"/>
            <w:noWrap/>
          </w:tcPr>
          <w:p w:rsidR="00EF2BC3" w:rsidRDefault="00EF2BC3">
            <w:pPr>
              <w:jc w:val="center"/>
              <w:rPr>
                <w:rFonts w:eastAsia="Times New Roman"/>
                <w:noProof/>
                <w:color w:val="000000" w:themeColor="text1"/>
                <w:sz w:val="20"/>
                <w:szCs w:val="20"/>
              </w:rPr>
            </w:pP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2085-2100</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237"/>
        </w:trPr>
        <w:tc>
          <w:tcPr>
            <w:tcW w:w="959" w:type="dxa"/>
            <w:vMerge w:val="restart"/>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BE</w:t>
            </w:r>
          </w:p>
        </w:tc>
        <w:tc>
          <w:tcPr>
            <w:tcW w:w="1985" w:type="dxa"/>
            <w:tcBorders>
              <w:bottom w:val="single" w:sz="4" w:space="0" w:color="auto"/>
            </w:tcBorders>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Doel unit 1</w:t>
            </w:r>
          </w:p>
        </w:tc>
        <w:tc>
          <w:tcPr>
            <w:tcW w:w="1701" w:type="dxa"/>
            <w:tcBorders>
              <w:bottom w:val="single" w:sz="4" w:space="0" w:color="auto"/>
            </w:tcBorders>
            <w:shd w:val="clear" w:color="auto" w:fill="auto"/>
            <w:noWrap/>
          </w:tcPr>
          <w:p w:rsidR="00EF2BC3" w:rsidRDefault="00AF3002">
            <w:pPr>
              <w:jc w:val="center"/>
              <w:rPr>
                <w:rFonts w:eastAsia="Times New Roman"/>
                <w:bCs/>
                <w:noProof/>
                <w:color w:val="000000" w:themeColor="text1"/>
                <w:sz w:val="20"/>
                <w:szCs w:val="20"/>
              </w:rPr>
            </w:pPr>
            <w:r>
              <w:rPr>
                <w:rFonts w:eastAsia="Times New Roman"/>
                <w:bCs/>
                <w:noProof/>
                <w:color w:val="000000" w:themeColor="text1"/>
                <w:sz w:val="20"/>
                <w:szCs w:val="20"/>
              </w:rPr>
              <w:t>1975</w:t>
            </w:r>
          </w:p>
        </w:tc>
        <w:tc>
          <w:tcPr>
            <w:tcW w:w="1419" w:type="dxa"/>
            <w:tcBorders>
              <w:bottom w:val="single" w:sz="4" w:space="0" w:color="auto"/>
            </w:tcBorders>
            <w:shd w:val="clear" w:color="auto" w:fill="auto"/>
            <w:noWrap/>
          </w:tcPr>
          <w:p w:rsidR="00EF2BC3" w:rsidRDefault="00AF3002">
            <w:pPr>
              <w:jc w:val="center"/>
              <w:rPr>
                <w:rFonts w:eastAsia="Times New Roman"/>
                <w:bCs/>
                <w:noProof/>
                <w:color w:val="000000" w:themeColor="text1"/>
                <w:sz w:val="20"/>
                <w:szCs w:val="20"/>
              </w:rPr>
            </w:pPr>
            <w:r>
              <w:rPr>
                <w:rFonts w:eastAsia="Times New Roman"/>
                <w:bCs/>
                <w:noProof/>
                <w:color w:val="000000" w:themeColor="text1"/>
                <w:sz w:val="20"/>
                <w:szCs w:val="20"/>
              </w:rPr>
              <w:t>2025</w:t>
            </w:r>
          </w:p>
        </w:tc>
        <w:tc>
          <w:tcPr>
            <w:tcW w:w="1559" w:type="dxa"/>
            <w:tcBorders>
              <w:bottom w:val="single" w:sz="4" w:space="0" w:color="auto"/>
            </w:tcBorders>
            <w:shd w:val="clear" w:color="auto" w:fill="auto"/>
            <w:noWrap/>
            <w:vAlign w:val="bottom"/>
          </w:tcPr>
          <w:p w:rsidR="00EF2BC3" w:rsidRDefault="00EF2BC3">
            <w:pPr>
              <w:jc w:val="center"/>
              <w:rPr>
                <w:rFonts w:eastAsia="Times New Roman"/>
                <w:b/>
                <w:bCs/>
                <w:noProof/>
                <w:color w:val="000000" w:themeColor="text1"/>
                <w:sz w:val="20"/>
                <w:szCs w:val="20"/>
              </w:rPr>
            </w:pPr>
          </w:p>
        </w:tc>
        <w:tc>
          <w:tcPr>
            <w:tcW w:w="1557" w:type="dxa"/>
            <w:tcBorders>
              <w:bottom w:val="single" w:sz="4" w:space="0" w:color="auto"/>
            </w:tcBorders>
            <w:shd w:val="clear" w:color="auto" w:fill="auto"/>
            <w:noWrap/>
            <w:vAlign w:val="bottom"/>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End of operation dates by Phase-out Law of 31/01/2003 modified by the law of 28/06/2015.</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000000" w:themeColor="text1"/>
                <w:sz w:val="20"/>
                <w:szCs w:val="20"/>
              </w:rPr>
            </w:pPr>
          </w:p>
        </w:tc>
        <w:tc>
          <w:tcPr>
            <w:tcW w:w="1985" w:type="dxa"/>
            <w:shd w:val="clear" w:color="auto" w:fill="auto"/>
            <w:noWrap/>
            <w:hideMark/>
          </w:tcPr>
          <w:p w:rsidR="00EF2BC3" w:rsidRDefault="00AF3002">
            <w:pPr>
              <w:rPr>
                <w:rFonts w:eastAsia="Times New Roman"/>
                <w:bCs/>
                <w:noProof/>
                <w:color w:val="000000" w:themeColor="text1"/>
                <w:sz w:val="20"/>
                <w:szCs w:val="20"/>
              </w:rPr>
            </w:pPr>
            <w:r>
              <w:rPr>
                <w:rFonts w:eastAsia="Times New Roman"/>
                <w:noProof/>
                <w:color w:val="000000" w:themeColor="text1"/>
                <w:sz w:val="20"/>
                <w:szCs w:val="20"/>
              </w:rPr>
              <w:t>Doel unit 2</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1975</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vMerge w:val="restart"/>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End of operation dates as established by the Phase-out Law of 31/01/2003 modified by the law of 28/06/2015. </w:t>
            </w: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noProof/>
                <w:color w:val="000000" w:themeColor="text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bCs/>
                <w:noProof/>
                <w:color w:val="000000" w:themeColor="text1"/>
                <w:sz w:val="20"/>
                <w:szCs w:val="20"/>
              </w:rPr>
              <w:t>Doel unit 3</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bCs/>
                <w:noProof/>
                <w:color w:val="000000" w:themeColor="text1"/>
                <w:sz w:val="20"/>
                <w:szCs w:val="20"/>
              </w:rPr>
              <w:t>1982</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bCs/>
                <w:noProof/>
                <w:color w:val="000000" w:themeColor="text1"/>
                <w:sz w:val="20"/>
                <w:szCs w:val="20"/>
              </w:rPr>
              <w:t>2022</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vMerge/>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noProof/>
                <w:color w:val="FFFFFF" w:themeColor="background1"/>
                <w:sz w:val="20"/>
                <w:szCs w:val="20"/>
              </w:rPr>
            </w:pPr>
          </w:p>
        </w:tc>
        <w:tc>
          <w:tcPr>
            <w:tcW w:w="1985" w:type="dxa"/>
            <w:shd w:val="clear" w:color="auto" w:fill="auto"/>
            <w:noWrap/>
          </w:tcPr>
          <w:p w:rsidR="00EF2BC3" w:rsidRDefault="00AF3002">
            <w:pPr>
              <w:rPr>
                <w:rFonts w:eastAsia="Times New Roman"/>
                <w:b/>
                <w:bCs/>
                <w:noProof/>
                <w:color w:val="000000" w:themeColor="text1"/>
                <w:sz w:val="20"/>
                <w:szCs w:val="20"/>
              </w:rPr>
            </w:pPr>
            <w:r>
              <w:rPr>
                <w:rFonts w:eastAsia="Times New Roman"/>
                <w:noProof/>
                <w:color w:val="000000" w:themeColor="text1"/>
                <w:sz w:val="20"/>
                <w:szCs w:val="20"/>
              </w:rPr>
              <w:t>Doel unit 4</w:t>
            </w:r>
          </w:p>
        </w:tc>
        <w:tc>
          <w:tcPr>
            <w:tcW w:w="1701" w:type="dxa"/>
            <w:shd w:val="clear" w:color="auto" w:fill="auto"/>
            <w:noWrap/>
          </w:tcPr>
          <w:p w:rsidR="00EF2BC3" w:rsidRDefault="00AF3002">
            <w:pPr>
              <w:jc w:val="center"/>
              <w:rPr>
                <w:rFonts w:eastAsia="Times New Roman"/>
                <w:b/>
                <w:bCs/>
                <w:noProof/>
                <w:color w:val="000000" w:themeColor="text1"/>
                <w:sz w:val="20"/>
                <w:szCs w:val="20"/>
              </w:rPr>
            </w:pPr>
            <w:r>
              <w:rPr>
                <w:rFonts w:eastAsia="Times New Roman"/>
                <w:noProof/>
                <w:color w:val="000000" w:themeColor="text1"/>
                <w:sz w:val="20"/>
                <w:szCs w:val="20"/>
              </w:rPr>
              <w:t>1985</w:t>
            </w:r>
          </w:p>
        </w:tc>
        <w:tc>
          <w:tcPr>
            <w:tcW w:w="1419" w:type="dxa"/>
            <w:shd w:val="clear" w:color="auto" w:fill="auto"/>
            <w:noWrap/>
          </w:tcPr>
          <w:p w:rsidR="00EF2BC3" w:rsidRDefault="00AF3002">
            <w:pPr>
              <w:jc w:val="center"/>
              <w:rPr>
                <w:rFonts w:eastAsia="Times New Roman"/>
                <w:b/>
                <w:bCs/>
                <w:noProof/>
                <w:color w:val="000000" w:themeColor="text1"/>
                <w:sz w:val="20"/>
                <w:szCs w:val="20"/>
              </w:rPr>
            </w:pPr>
            <w:r>
              <w:rPr>
                <w:rFonts w:eastAsia="Times New Roman"/>
                <w:noProof/>
                <w:color w:val="000000" w:themeColor="text1"/>
                <w:sz w:val="20"/>
                <w:szCs w:val="20"/>
              </w:rPr>
              <w:t>2025</w:t>
            </w:r>
          </w:p>
        </w:tc>
        <w:tc>
          <w:tcPr>
            <w:tcW w:w="1559" w:type="dxa"/>
            <w:shd w:val="clear" w:color="auto" w:fill="auto"/>
            <w:noWrap/>
            <w:vAlign w:val="bottom"/>
          </w:tcPr>
          <w:p w:rsidR="00EF2BC3" w:rsidRDefault="00EF2BC3">
            <w:pPr>
              <w:jc w:val="center"/>
              <w:rPr>
                <w:rFonts w:eastAsia="Times New Roman"/>
                <w:b/>
                <w:bCs/>
                <w:noProof/>
                <w:color w:val="000000" w:themeColor="text1"/>
                <w:sz w:val="20"/>
                <w:szCs w:val="20"/>
              </w:rPr>
            </w:pPr>
          </w:p>
        </w:tc>
        <w:tc>
          <w:tcPr>
            <w:tcW w:w="1557" w:type="dxa"/>
            <w:shd w:val="clear" w:color="auto" w:fill="auto"/>
            <w:noWrap/>
            <w:vAlign w:val="bottom"/>
          </w:tcPr>
          <w:p w:rsidR="00EF2BC3" w:rsidRDefault="00EF2BC3">
            <w:pPr>
              <w:rPr>
                <w:rFonts w:eastAsia="Times New Roman"/>
                <w:b/>
                <w:bCs/>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Thiange unit 1</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1975</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27"/>
        </w:trPr>
        <w:tc>
          <w:tcPr>
            <w:tcW w:w="959" w:type="dxa"/>
            <w:vMerge/>
            <w:shd w:val="clear" w:color="auto" w:fill="8DB3E2" w:themeFill="text2" w:themeFillTint="66"/>
            <w:noWrap/>
            <w:vAlign w:val="bottom"/>
          </w:tcPr>
          <w:p w:rsidR="00EF2BC3" w:rsidRDefault="00EF2BC3">
            <w:pPr>
              <w:rPr>
                <w:rFonts w:eastAsia="Times New Roman"/>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Thiange unit 2</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1983</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2023</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noProof/>
                <w:color w:val="FFFFFF" w:themeColor="background1"/>
                <w:sz w:val="20"/>
                <w:szCs w:val="20"/>
              </w:rPr>
            </w:pPr>
          </w:p>
        </w:tc>
        <w:tc>
          <w:tcPr>
            <w:tcW w:w="1985" w:type="dxa"/>
            <w:shd w:val="clear" w:color="auto" w:fill="auto"/>
            <w:noWrap/>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Thiange unit 3</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1985</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2025</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val="restart"/>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DE</w:t>
            </w:r>
          </w:p>
          <w:p w:rsidR="00EF2BC3" w:rsidRDefault="00EF2BC3">
            <w:pPr>
              <w:rPr>
                <w:rFonts w:eastAsia="Times New Roman"/>
                <w:b/>
                <w:bCs/>
                <w:noProof/>
                <w:color w:val="FFFFFF" w:themeColor="background1"/>
                <w:sz w:val="20"/>
                <w:szCs w:val="20"/>
              </w:rPr>
            </w:pPr>
          </w:p>
          <w:p w:rsidR="00EF2BC3" w:rsidRDefault="00EF2BC3">
            <w:pPr>
              <w:rPr>
                <w:rFonts w:eastAsia="Times New Roman"/>
                <w:b/>
                <w:bCs/>
                <w:noProof/>
                <w:color w:val="FFFFFF" w:themeColor="background1"/>
                <w:sz w:val="20"/>
                <w:szCs w:val="20"/>
              </w:rPr>
            </w:pPr>
          </w:p>
          <w:p w:rsidR="00EF2BC3" w:rsidRDefault="00EF2BC3">
            <w:pPr>
              <w:rPr>
                <w:rFonts w:eastAsia="Times New Roman"/>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8</w:t>
            </w:r>
            <w:r>
              <w:rPr>
                <w:rFonts w:eastAsia="Times New Roman"/>
                <w:bCs/>
                <w:noProof/>
                <w:color w:val="000000" w:themeColor="text1"/>
                <w:sz w:val="20"/>
                <w:szCs w:val="20"/>
              </w:rPr>
              <w:t xml:space="preserve"> reactors shutdown</w:t>
            </w:r>
          </w:p>
          <w:p w:rsidR="00EF2BC3" w:rsidRDefault="00EF2BC3">
            <w:pPr>
              <w:rPr>
                <w:rFonts w:eastAsia="Times New Roman"/>
                <w:noProof/>
                <w:color w:val="000000" w:themeColor="text1"/>
                <w:sz w:val="20"/>
                <w:szCs w:val="20"/>
              </w:rPr>
            </w:pP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 xml:space="preserve">1975-1984 </w:t>
            </w:r>
          </w:p>
          <w:p w:rsidR="00EF2BC3" w:rsidRDefault="00EF2BC3">
            <w:pPr>
              <w:jc w:val="center"/>
              <w:rPr>
                <w:rFonts w:eastAsia="Times New Roman"/>
                <w:noProof/>
                <w:color w:val="000000" w:themeColor="text1"/>
                <w:sz w:val="20"/>
                <w:szCs w:val="20"/>
              </w:rPr>
            </w:pP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 xml:space="preserve">2011-2015 </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9 reactors in operation</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1984-1989</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2015 - 2022</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xml:space="preserve">FR </w:t>
            </w:r>
          </w:p>
        </w:tc>
        <w:tc>
          <w:tcPr>
            <w:tcW w:w="1985" w:type="dxa"/>
            <w:shd w:val="clear" w:color="auto" w:fill="auto"/>
            <w:noWrap/>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58 reactors and 9 shutdown reactors and EPR Flamanville</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1977 – 1999 (operating fleet)</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Between 2027 and 2078</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After 2030</w:t>
            </w: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Operating lifetime of 50 years</w:t>
            </w:r>
          </w:p>
        </w:tc>
      </w:tr>
      <w:tr w:rsidR="00EF2BC3">
        <w:trPr>
          <w:trHeight w:val="30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xml:space="preserve">IT </w:t>
            </w:r>
          </w:p>
        </w:tc>
        <w:tc>
          <w:tcPr>
            <w:tcW w:w="1985" w:type="dxa"/>
            <w:shd w:val="clear" w:color="auto" w:fill="auto"/>
            <w:noWrap/>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Caorso</w:t>
            </w:r>
          </w:p>
          <w:p w:rsidR="00EF2BC3" w:rsidRDefault="00EF2BC3">
            <w:pPr>
              <w:rPr>
                <w:rFonts w:eastAsia="Times New Roman"/>
                <w:bCs/>
                <w:noProof/>
                <w:color w:val="000000" w:themeColor="text1"/>
                <w:sz w:val="20"/>
                <w:szCs w:val="20"/>
              </w:rPr>
            </w:pP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1978</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1990</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Enrico Fermi</w:t>
            </w:r>
          </w:p>
          <w:p w:rsidR="00EF2BC3" w:rsidRDefault="00EF2BC3">
            <w:pPr>
              <w:rPr>
                <w:rFonts w:eastAsia="Times New Roman"/>
                <w:bCs/>
                <w:noProof/>
                <w:color w:val="000000" w:themeColor="text1"/>
                <w:sz w:val="20"/>
                <w:szCs w:val="20"/>
              </w:rPr>
            </w:pP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1964</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1990</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Garigliano</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1964</w:t>
            </w:r>
          </w:p>
        </w:tc>
        <w:tc>
          <w:tcPr>
            <w:tcW w:w="1419" w:type="dxa"/>
            <w:shd w:val="clear" w:color="auto" w:fill="auto"/>
            <w:noWrap/>
            <w:vAlign w:val="center"/>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1982</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Latina</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1963</w:t>
            </w:r>
          </w:p>
        </w:tc>
        <w:tc>
          <w:tcPr>
            <w:tcW w:w="1419" w:type="dxa"/>
            <w:shd w:val="clear" w:color="auto" w:fill="auto"/>
            <w:noWrap/>
            <w:vAlign w:val="center"/>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1987</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val="restart"/>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NL</w:t>
            </w:r>
          </w:p>
        </w:tc>
        <w:tc>
          <w:tcPr>
            <w:tcW w:w="1985" w:type="dxa"/>
            <w:shd w:val="clear" w:color="auto" w:fill="auto"/>
            <w:noWrap/>
            <w:vAlign w:val="center"/>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Dodewaard</w:t>
            </w:r>
          </w:p>
        </w:tc>
        <w:tc>
          <w:tcPr>
            <w:tcW w:w="1701" w:type="dxa"/>
            <w:shd w:val="clear" w:color="auto" w:fill="auto"/>
            <w:noWrap/>
            <w:vAlign w:val="center"/>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1968*</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1997*</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After 2045</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center"/>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Borssele</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1973*</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2033</w:t>
            </w:r>
          </w:p>
        </w:tc>
        <w:tc>
          <w:tcPr>
            <w:tcW w:w="1559" w:type="dxa"/>
            <w:shd w:val="clear" w:color="auto" w:fill="auto"/>
            <w:noWrap/>
            <w:vAlign w:val="bottom"/>
            <w:hideMark/>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00"/>
        </w:trPr>
        <w:tc>
          <w:tcPr>
            <w:tcW w:w="959" w:type="dxa"/>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SI</w:t>
            </w:r>
          </w:p>
        </w:tc>
        <w:tc>
          <w:tcPr>
            <w:tcW w:w="1985" w:type="dxa"/>
            <w:shd w:val="clear" w:color="auto" w:fill="auto"/>
            <w:noWrap/>
          </w:tcPr>
          <w:p w:rsidR="00EF2BC3" w:rsidRDefault="00AF3002">
            <w:pPr>
              <w:rPr>
                <w:rFonts w:eastAsia="Times New Roman"/>
                <w:bCs/>
                <w:noProof/>
                <w:color w:val="000000" w:themeColor="text1"/>
                <w:sz w:val="20"/>
                <w:szCs w:val="20"/>
              </w:rPr>
            </w:pPr>
            <w:r>
              <w:rPr>
                <w:rFonts w:eastAsia="Times New Roman"/>
                <w:noProof/>
                <w:color w:val="000000" w:themeColor="text1"/>
                <w:sz w:val="20"/>
                <w:szCs w:val="20"/>
              </w:rPr>
              <w:t xml:space="preserve">Krško </w:t>
            </w:r>
          </w:p>
        </w:tc>
        <w:tc>
          <w:tcPr>
            <w:tcW w:w="1701"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1983</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2023</w:t>
            </w:r>
          </w:p>
        </w:tc>
        <w:tc>
          <w:tcPr>
            <w:tcW w:w="1559" w:type="dxa"/>
            <w:shd w:val="clear" w:color="auto" w:fill="auto"/>
            <w:noWrap/>
            <w:vAlign w:val="bottom"/>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2023</w:t>
            </w: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0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ES*</w:t>
            </w:r>
          </w:p>
        </w:tc>
        <w:tc>
          <w:tcPr>
            <w:tcW w:w="1985" w:type="dxa"/>
            <w:shd w:val="clear" w:color="auto" w:fill="auto"/>
            <w:noWrap/>
            <w:hideMark/>
          </w:tcPr>
          <w:p w:rsidR="00EF2BC3" w:rsidRDefault="00AF3002">
            <w:pPr>
              <w:rPr>
                <w:noProof/>
                <w:sz w:val="20"/>
                <w:szCs w:val="20"/>
              </w:rPr>
            </w:pPr>
            <w:r>
              <w:rPr>
                <w:rFonts w:eastAsia="Times New Roman"/>
                <w:noProof/>
                <w:color w:val="000000" w:themeColor="text1"/>
                <w:sz w:val="20"/>
                <w:szCs w:val="20"/>
              </w:rPr>
              <w:t>2 reactors undergoing decommissioning (</w:t>
            </w:r>
          </w:p>
          <w:p w:rsidR="00EF2BC3" w:rsidRDefault="00AF3002">
            <w:pPr>
              <w:rPr>
                <w:noProof/>
                <w:sz w:val="20"/>
                <w:szCs w:val="20"/>
              </w:rPr>
            </w:pPr>
            <w:r>
              <w:rPr>
                <w:noProof/>
                <w:sz w:val="20"/>
                <w:szCs w:val="20"/>
              </w:rPr>
              <w:t>José Cabrera and Vandellos I)</w:t>
            </w:r>
          </w:p>
          <w:p w:rsidR="00EF2BC3" w:rsidRDefault="00EF2BC3">
            <w:pPr>
              <w:rPr>
                <w:rFonts w:eastAsia="Times New Roman"/>
                <w:noProof/>
                <w:color w:val="000000" w:themeColor="text1"/>
                <w:sz w:val="20"/>
                <w:szCs w:val="20"/>
              </w:rPr>
            </w:pP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1969-1972</w:t>
            </w:r>
          </w:p>
        </w:tc>
        <w:tc>
          <w:tcPr>
            <w:tcW w:w="1419"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2006 and 1989</w:t>
            </w:r>
          </w:p>
        </w:tc>
        <w:tc>
          <w:tcPr>
            <w:tcW w:w="1559" w:type="dxa"/>
            <w:shd w:val="clear" w:color="auto" w:fill="auto"/>
            <w:noWrap/>
            <w:vAlign w:val="bottom"/>
            <w:hideMark/>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32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vAlign w:val="center"/>
          </w:tcPr>
          <w:p w:rsidR="00EF2BC3" w:rsidRDefault="00AF3002">
            <w:pPr>
              <w:rPr>
                <w:noProof/>
                <w:sz w:val="20"/>
                <w:szCs w:val="20"/>
                <w:lang w:val="es-ES_tradnl"/>
              </w:rPr>
            </w:pPr>
            <w:r>
              <w:rPr>
                <w:rFonts w:eastAsia="Times New Roman"/>
                <w:noProof/>
                <w:color w:val="000000" w:themeColor="text1"/>
                <w:sz w:val="20"/>
                <w:szCs w:val="20"/>
                <w:lang w:val="es-ES"/>
              </w:rPr>
              <w:t>1 reactor shutdown (</w:t>
            </w:r>
            <w:r>
              <w:rPr>
                <w:noProof/>
                <w:sz w:val="20"/>
                <w:szCs w:val="20"/>
                <w:lang w:val="es-ES_tradnl"/>
              </w:rPr>
              <w:t>Santa María de Garoña)</w:t>
            </w:r>
          </w:p>
        </w:tc>
        <w:tc>
          <w:tcPr>
            <w:tcW w:w="1701" w:type="dxa"/>
            <w:shd w:val="clear" w:color="auto" w:fill="auto"/>
            <w:noWrap/>
            <w:vAlign w:val="center"/>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1971</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2012</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EF2BC3">
            <w:pPr>
              <w:rPr>
                <w:rFonts w:eastAsia="Times New Roman"/>
                <w:noProof/>
                <w:color w:val="000000" w:themeColor="text1"/>
                <w:sz w:val="20"/>
                <w:szCs w:val="20"/>
              </w:rPr>
            </w:pPr>
          </w:p>
        </w:tc>
      </w:tr>
      <w:tr w:rsidR="00EF2BC3">
        <w:trPr>
          <w:trHeight w:val="320"/>
        </w:trPr>
        <w:tc>
          <w:tcPr>
            <w:tcW w:w="959" w:type="dxa"/>
            <w:vMerge/>
            <w:shd w:val="clear" w:color="auto" w:fill="8DB3E2" w:themeFill="text2" w:themeFillTint="66"/>
            <w:noWrap/>
            <w:vAlign w:val="bottom"/>
          </w:tcPr>
          <w:p w:rsidR="00EF2BC3" w:rsidRDefault="00EF2BC3">
            <w:pPr>
              <w:rPr>
                <w:rFonts w:eastAsia="Times New Roman"/>
                <w:b/>
                <w:bCs/>
                <w:noProof/>
                <w:color w:val="FFFFFF" w:themeColor="background1"/>
                <w:sz w:val="20"/>
                <w:szCs w:val="20"/>
              </w:rPr>
            </w:pPr>
          </w:p>
        </w:tc>
        <w:tc>
          <w:tcPr>
            <w:tcW w:w="1985" w:type="dxa"/>
            <w:shd w:val="clear" w:color="auto" w:fill="auto"/>
            <w:noWrap/>
            <w:vAlign w:val="center"/>
          </w:tcPr>
          <w:p w:rsidR="00EF2BC3" w:rsidRDefault="00AF3002">
            <w:pPr>
              <w:rPr>
                <w:rFonts w:eastAsia="Times New Roman"/>
                <w:bCs/>
                <w:noProof/>
                <w:color w:val="000000" w:themeColor="text1"/>
                <w:sz w:val="20"/>
                <w:szCs w:val="20"/>
              </w:rPr>
            </w:pPr>
            <w:r>
              <w:rPr>
                <w:rFonts w:eastAsia="Times New Roman"/>
                <w:noProof/>
                <w:color w:val="000000" w:themeColor="text1"/>
                <w:sz w:val="20"/>
                <w:szCs w:val="20"/>
              </w:rPr>
              <w:t>7 operating reactors*</w:t>
            </w:r>
          </w:p>
        </w:tc>
        <w:tc>
          <w:tcPr>
            <w:tcW w:w="1701" w:type="dxa"/>
            <w:shd w:val="clear" w:color="auto" w:fill="auto"/>
            <w:noWrap/>
            <w:vAlign w:val="center"/>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1981-1988</w:t>
            </w:r>
          </w:p>
        </w:tc>
        <w:tc>
          <w:tcPr>
            <w:tcW w:w="1419" w:type="dxa"/>
            <w:shd w:val="clear" w:color="auto" w:fill="auto"/>
            <w:noWrap/>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2021-2027</w:t>
            </w:r>
          </w:p>
        </w:tc>
        <w:tc>
          <w:tcPr>
            <w:tcW w:w="1559" w:type="dxa"/>
            <w:shd w:val="clear" w:color="auto" w:fill="auto"/>
            <w:noWrap/>
            <w:vAlign w:val="bottom"/>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Assuming 40 years operation</w:t>
            </w:r>
          </w:p>
        </w:tc>
      </w:tr>
      <w:tr w:rsidR="00EF2BC3">
        <w:trPr>
          <w:trHeight w:val="320"/>
        </w:trPr>
        <w:tc>
          <w:tcPr>
            <w:tcW w:w="959" w:type="dxa"/>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SE</w:t>
            </w:r>
          </w:p>
        </w:tc>
        <w:tc>
          <w:tcPr>
            <w:tcW w:w="1985" w:type="dxa"/>
            <w:shd w:val="clear" w:color="auto" w:fill="auto"/>
            <w:noWrap/>
            <w:vAlign w:val="center"/>
            <w:hideMark/>
          </w:tcPr>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10 operating reactors</w:t>
            </w:r>
          </w:p>
          <w:p w:rsidR="00EF2BC3" w:rsidRDefault="00AF3002">
            <w:pPr>
              <w:rPr>
                <w:rFonts w:eastAsia="Times New Roman"/>
                <w:bCs/>
                <w:noProof/>
                <w:color w:val="000000" w:themeColor="text1"/>
                <w:sz w:val="20"/>
                <w:szCs w:val="20"/>
              </w:rPr>
            </w:pPr>
            <w:r>
              <w:rPr>
                <w:rFonts w:eastAsia="Times New Roman"/>
                <w:bCs/>
                <w:noProof/>
                <w:color w:val="000000" w:themeColor="text1"/>
                <w:sz w:val="20"/>
                <w:szCs w:val="20"/>
              </w:rPr>
              <w:t>2 shutdown</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1972-1985</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2040 - 2045</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After 2040</w:t>
            </w:r>
            <w:r>
              <w:rPr>
                <w:rFonts w:eastAsia="Times New Roman"/>
                <w:noProof/>
                <w:color w:val="000000" w:themeColor="text1"/>
                <w:sz w:val="20"/>
                <w:szCs w:val="20"/>
              </w:rPr>
              <w:t xml:space="preserve"> - 2050</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2020 and 2023</w:t>
            </w: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Early shutdown of Forsmark 1-2, Ringhals 1-2 could be decided between 2018-2020</w:t>
            </w:r>
          </w:p>
        </w:tc>
      </w:tr>
      <w:tr w:rsidR="00EF2BC3">
        <w:trPr>
          <w:trHeight w:val="300"/>
        </w:trPr>
        <w:tc>
          <w:tcPr>
            <w:tcW w:w="959" w:type="dxa"/>
            <w:vMerge w:val="restart"/>
            <w:shd w:val="clear" w:color="auto" w:fill="8DB3E2" w:themeFill="text2" w:themeFillTint="66"/>
            <w:noWrap/>
            <w:vAlign w:val="bottom"/>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UK</w:t>
            </w:r>
            <w:r>
              <w:rPr>
                <w:rFonts w:eastAsia="Times New Roman"/>
                <w:b/>
                <w:bCs/>
                <w:noProof/>
                <w:color w:val="FFFFFF" w:themeColor="background1"/>
                <w:sz w:val="20"/>
                <w:szCs w:val="20"/>
                <w:vertAlign w:val="superscript"/>
              </w:rPr>
              <w:t xml:space="preserve">* </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hideMark/>
          </w:tcPr>
          <w:p w:rsidR="00EF2BC3" w:rsidRDefault="00AF3002">
            <w:pPr>
              <w:rPr>
                <w:rFonts w:eastAsia="Times New Roman"/>
                <w:b/>
                <w:bCs/>
                <w:noProof/>
                <w:color w:val="000000" w:themeColor="text1"/>
                <w:sz w:val="20"/>
                <w:szCs w:val="20"/>
              </w:rPr>
            </w:pPr>
            <w:r>
              <w:rPr>
                <w:rFonts w:eastAsia="Times New Roman"/>
                <w:noProof/>
                <w:color w:val="000000" w:themeColor="text1"/>
                <w:sz w:val="20"/>
                <w:szCs w:val="20"/>
              </w:rPr>
              <w:t>16 (14 AGR, 1 PWR and 1 MAGNOX)</w:t>
            </w:r>
            <w:r>
              <w:rPr>
                <w:rStyle w:val="FootnoteReference"/>
                <w:rFonts w:eastAsia="Times New Roman"/>
                <w:b/>
                <w:bCs/>
                <w:noProof/>
                <w:color w:val="000000" w:themeColor="text1"/>
                <w:sz w:val="20"/>
                <w:szCs w:val="20"/>
              </w:rPr>
              <w:footnoteReference w:id="16"/>
            </w:r>
            <w:r>
              <w:rPr>
                <w:rFonts w:eastAsia="Times New Roman"/>
                <w:b/>
                <w:bCs/>
                <w:noProof/>
                <w:color w:val="000000" w:themeColor="text1"/>
                <w:sz w:val="20"/>
                <w:szCs w:val="20"/>
                <w:vertAlign w:val="superscript"/>
              </w:rPr>
              <w:t xml:space="preserve"> </w:t>
            </w:r>
            <w:r>
              <w:rPr>
                <w:rFonts w:eastAsia="Times New Roman"/>
                <w:noProof/>
                <w:color w:val="000000" w:themeColor="text1"/>
                <w:sz w:val="20"/>
                <w:szCs w:val="20"/>
              </w:rPr>
              <w:t>reactors in operation</w:t>
            </w:r>
          </w:p>
        </w:tc>
        <w:tc>
          <w:tcPr>
            <w:tcW w:w="1701"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1976-1989</w:t>
            </w:r>
          </w:p>
        </w:tc>
        <w:tc>
          <w:tcPr>
            <w:tcW w:w="1419" w:type="dxa"/>
            <w:shd w:val="clear" w:color="auto" w:fill="auto"/>
            <w:noWrap/>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2023-2035 (or 2055)</w:t>
            </w:r>
          </w:p>
        </w:tc>
        <w:tc>
          <w:tcPr>
            <w:tcW w:w="1559" w:type="dxa"/>
            <w:vMerge w:val="restart"/>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2023-2083</w:t>
            </w:r>
          </w:p>
          <w:p w:rsidR="00EF2BC3" w:rsidRDefault="00EF2BC3">
            <w:pPr>
              <w:rPr>
                <w:rFonts w:eastAsia="Times New Roman"/>
                <w:noProof/>
                <w:color w:val="000000" w:themeColor="text1"/>
                <w:sz w:val="20"/>
                <w:szCs w:val="20"/>
              </w:rPr>
            </w:pPr>
          </w:p>
          <w:p w:rsidR="00EF2BC3" w:rsidRDefault="00EF2BC3">
            <w:pPr>
              <w:rPr>
                <w:rFonts w:eastAsia="Times New Roman"/>
                <w:noProof/>
                <w:color w:val="000000" w:themeColor="text1"/>
                <w:sz w:val="20"/>
                <w:szCs w:val="20"/>
              </w:rPr>
            </w:pPr>
          </w:p>
        </w:tc>
        <w:tc>
          <w:tcPr>
            <w:tcW w:w="1557"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Possible PWR LTO to 60 years</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29 reactors </w:t>
            </w:r>
            <w:r>
              <w:rPr>
                <w:rFonts w:eastAsia="Times New Roman"/>
                <w:noProof/>
                <w:color w:val="000000" w:themeColor="text1"/>
                <w:sz w:val="20"/>
                <w:szCs w:val="20"/>
              </w:rPr>
              <w:t>shutdown</w:t>
            </w:r>
          </w:p>
        </w:tc>
        <w:tc>
          <w:tcPr>
            <w:tcW w:w="1701" w:type="dxa"/>
            <w:shd w:val="clear" w:color="auto" w:fill="auto"/>
            <w:noWrap/>
            <w:hideMark/>
          </w:tcPr>
          <w:p w:rsidR="00EF2BC3" w:rsidRDefault="00EF2BC3">
            <w:pPr>
              <w:jc w:val="center"/>
              <w:rPr>
                <w:rFonts w:eastAsia="Times New Roman"/>
                <w:noProof/>
                <w:color w:val="000000" w:themeColor="text1"/>
                <w:sz w:val="20"/>
                <w:szCs w:val="20"/>
                <w:highlight w:val="yellow"/>
              </w:rPr>
            </w:pPr>
          </w:p>
        </w:tc>
        <w:tc>
          <w:tcPr>
            <w:tcW w:w="1419" w:type="dxa"/>
            <w:shd w:val="clear" w:color="auto" w:fill="auto"/>
            <w:noWrap/>
            <w:hideMark/>
          </w:tcPr>
          <w:p w:rsidR="00EF2BC3" w:rsidRDefault="00EF2BC3">
            <w:pPr>
              <w:jc w:val="center"/>
              <w:rPr>
                <w:rFonts w:eastAsia="Times New Roman"/>
                <w:noProof/>
                <w:color w:val="000000" w:themeColor="text1"/>
                <w:sz w:val="20"/>
                <w:szCs w:val="20"/>
                <w:highlight w:val="yellow"/>
              </w:rPr>
            </w:pPr>
          </w:p>
        </w:tc>
        <w:tc>
          <w:tcPr>
            <w:tcW w:w="1559" w:type="dxa"/>
            <w:vMerge/>
            <w:shd w:val="clear" w:color="auto" w:fill="auto"/>
            <w:noWrap/>
            <w:vAlign w:val="bottom"/>
            <w:hideMark/>
          </w:tcPr>
          <w:p w:rsidR="00EF2BC3" w:rsidRDefault="00EF2BC3">
            <w:pPr>
              <w:jc w:val="center"/>
              <w:rPr>
                <w:rFonts w:eastAsia="Times New Roman"/>
                <w:noProof/>
                <w:color w:val="000000" w:themeColor="text1"/>
                <w:sz w:val="20"/>
                <w:szCs w:val="20"/>
                <w:highlight w:val="yellow"/>
              </w:rPr>
            </w:pP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56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LT</w:t>
            </w:r>
          </w:p>
        </w:tc>
        <w:tc>
          <w:tcPr>
            <w:tcW w:w="1985" w:type="dxa"/>
            <w:shd w:val="clear" w:color="auto" w:fill="auto"/>
            <w:vAlign w:val="center"/>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Ignalina unit 1</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1983</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2004</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 until 2038</w:t>
            </w:r>
          </w:p>
        </w:tc>
        <w:tc>
          <w:tcPr>
            <w:tcW w:w="1557" w:type="dxa"/>
            <w:shd w:val="clear" w:color="auto" w:fill="auto"/>
            <w:noWrap/>
            <w:vAlign w:val="bottom"/>
            <w:hideMark/>
          </w:tcPr>
          <w:p w:rsidR="00EF2BC3" w:rsidRDefault="00EF2BC3">
            <w:pPr>
              <w:rPr>
                <w:rFonts w:eastAsia="Times New Roman"/>
                <w:noProof/>
                <w:color w:val="000000" w:themeColor="text1"/>
                <w:sz w:val="20"/>
                <w:szCs w:val="20"/>
              </w:rPr>
            </w:pPr>
          </w:p>
        </w:tc>
      </w:tr>
      <w:tr w:rsidR="00EF2BC3">
        <w:trPr>
          <w:trHeight w:val="58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center"/>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Ignalina unit 2</w:t>
            </w:r>
          </w:p>
        </w:tc>
        <w:tc>
          <w:tcPr>
            <w:tcW w:w="1701" w:type="dxa"/>
            <w:shd w:val="clear" w:color="auto" w:fill="auto"/>
            <w:noWrap/>
            <w:vAlign w:val="center"/>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1987</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2009</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Ongoing until 2038</w:t>
            </w:r>
          </w:p>
        </w:tc>
        <w:tc>
          <w:tcPr>
            <w:tcW w:w="1557" w:type="dxa"/>
            <w:shd w:val="clear" w:color="auto" w:fill="auto"/>
            <w:noWrap/>
            <w:vAlign w:val="bottom"/>
            <w:hideMark/>
          </w:tcPr>
          <w:p w:rsidR="00EF2BC3" w:rsidRDefault="00EF2BC3">
            <w:pPr>
              <w:jc w:val="center"/>
              <w:rPr>
                <w:rFonts w:eastAsia="Times New Roman"/>
                <w:noProof/>
                <w:color w:val="000000" w:themeColor="text1"/>
                <w:sz w:val="20"/>
                <w:szCs w:val="20"/>
              </w:rPr>
            </w:pPr>
          </w:p>
        </w:tc>
      </w:tr>
      <w:tr w:rsidR="00EF2BC3">
        <w:trPr>
          <w:trHeight w:val="540"/>
        </w:trPr>
        <w:tc>
          <w:tcPr>
            <w:tcW w:w="959" w:type="dxa"/>
            <w:vMerge w:val="restart"/>
            <w:shd w:val="clear" w:color="auto" w:fill="8DB3E2" w:themeFill="text2" w:themeFillTint="66"/>
            <w:noWrap/>
            <w:vAlign w:val="bottom"/>
            <w:hideMark/>
          </w:tcPr>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RO</w:t>
            </w:r>
          </w:p>
          <w:p w:rsidR="00EF2BC3" w:rsidRDefault="00AF3002">
            <w:pPr>
              <w:rPr>
                <w:rFonts w:eastAsia="Times New Roman"/>
                <w:b/>
                <w:bCs/>
                <w:noProof/>
                <w:color w:val="FFFFFF" w:themeColor="background1"/>
                <w:sz w:val="20"/>
                <w:szCs w:val="20"/>
              </w:rPr>
            </w:pPr>
            <w:r>
              <w:rPr>
                <w:rFonts w:eastAsia="Times New Roman"/>
                <w:b/>
                <w:bCs/>
                <w:noProof/>
                <w:color w:val="FFFFFF" w:themeColor="background1"/>
                <w:sz w:val="20"/>
                <w:szCs w:val="20"/>
              </w:rPr>
              <w:t> </w:t>
            </w: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Cernavoda unit 1 </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1996</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2026</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2063</w:t>
            </w:r>
          </w:p>
        </w:tc>
        <w:tc>
          <w:tcPr>
            <w:tcW w:w="1557"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Possible LTO to 2046</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Cernavoda unit 2 </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2007</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2037</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2055</w:t>
            </w:r>
          </w:p>
        </w:tc>
        <w:tc>
          <w:tcPr>
            <w:tcW w:w="1557"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Possible LTO to 2057</w:t>
            </w:r>
          </w:p>
        </w:tc>
      </w:tr>
      <w:tr w:rsidR="00EF2BC3">
        <w:trPr>
          <w:trHeight w:val="300"/>
        </w:trPr>
        <w:tc>
          <w:tcPr>
            <w:tcW w:w="959" w:type="dxa"/>
            <w:vMerge/>
            <w:shd w:val="clear" w:color="auto" w:fill="8DB3E2" w:themeFill="text2" w:themeFillTint="66"/>
            <w:noWrap/>
            <w:vAlign w:val="bottom"/>
            <w:hideMark/>
          </w:tcPr>
          <w:p w:rsidR="00EF2BC3" w:rsidRDefault="00EF2BC3">
            <w:pPr>
              <w:rPr>
                <w:rFonts w:eastAsia="Times New Roman"/>
                <w:b/>
                <w:bCs/>
                <w:noProof/>
                <w:color w:val="FFFFFF" w:themeColor="background1"/>
                <w:sz w:val="20"/>
                <w:szCs w:val="20"/>
              </w:rPr>
            </w:pP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noProof/>
                <w:color w:val="000000" w:themeColor="text1"/>
                <w:sz w:val="20"/>
                <w:szCs w:val="20"/>
              </w:rPr>
              <w:t xml:space="preserve">Cernavoda units 3-4 </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 xml:space="preserve">Planned </w:t>
            </w:r>
          </w:p>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2019-2020</w:t>
            </w:r>
          </w:p>
        </w:tc>
        <w:tc>
          <w:tcPr>
            <w:tcW w:w="1419" w:type="dxa"/>
            <w:shd w:val="clear" w:color="auto" w:fill="auto"/>
            <w:noWrap/>
            <w:vAlign w:val="bottom"/>
            <w:hideMark/>
          </w:tcPr>
          <w:p w:rsidR="00EF2BC3" w:rsidRDefault="00AF3002">
            <w:pPr>
              <w:jc w:val="center"/>
              <w:rPr>
                <w:rFonts w:eastAsia="Times New Roman"/>
                <w:b/>
                <w:noProof/>
                <w:color w:val="000000" w:themeColor="text1"/>
                <w:sz w:val="20"/>
                <w:szCs w:val="20"/>
              </w:rPr>
            </w:pPr>
            <w:r>
              <w:rPr>
                <w:rFonts w:eastAsia="Times New Roman"/>
                <w:noProof/>
                <w:color w:val="000000" w:themeColor="text1"/>
                <w:sz w:val="20"/>
                <w:szCs w:val="20"/>
              </w:rPr>
              <w:t>planned</w:t>
            </w:r>
          </w:p>
        </w:tc>
        <w:tc>
          <w:tcPr>
            <w:tcW w:w="155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immediate dismantling</w:t>
            </w:r>
          </w:p>
        </w:tc>
        <w:tc>
          <w:tcPr>
            <w:tcW w:w="1557" w:type="dxa"/>
            <w:shd w:val="clear" w:color="auto" w:fill="auto"/>
            <w:noWrap/>
            <w:vAlign w:val="bottom"/>
            <w:hideMark/>
          </w:tcPr>
          <w:p w:rsidR="00EF2BC3" w:rsidRDefault="00EF2BC3">
            <w:pPr>
              <w:jc w:val="center"/>
              <w:rPr>
                <w:rFonts w:eastAsia="Times New Roman"/>
                <w:noProof/>
                <w:color w:val="000000" w:themeColor="text1"/>
                <w:sz w:val="20"/>
                <w:szCs w:val="20"/>
              </w:rPr>
            </w:pPr>
          </w:p>
        </w:tc>
      </w:tr>
      <w:tr w:rsidR="00EF2BC3">
        <w:trPr>
          <w:trHeight w:val="300"/>
        </w:trPr>
        <w:tc>
          <w:tcPr>
            <w:tcW w:w="959" w:type="dxa"/>
            <w:shd w:val="clear" w:color="auto" w:fill="8DB3E2" w:themeFill="text2" w:themeFillTint="66"/>
            <w:noWrap/>
            <w:vAlign w:val="bottom"/>
            <w:hideMark/>
          </w:tcPr>
          <w:p w:rsidR="00EF2BC3" w:rsidRDefault="00AF3002">
            <w:pPr>
              <w:rPr>
                <w:rFonts w:eastAsia="Times New Roman"/>
                <w:noProof/>
                <w:color w:val="FFFFFF" w:themeColor="background1"/>
                <w:sz w:val="20"/>
                <w:szCs w:val="20"/>
              </w:rPr>
            </w:pPr>
            <w:r>
              <w:rPr>
                <w:rFonts w:eastAsia="Times New Roman"/>
                <w:b/>
                <w:bCs/>
                <w:noProof/>
                <w:color w:val="FFFFFF" w:themeColor="background1"/>
                <w:sz w:val="20"/>
                <w:szCs w:val="20"/>
              </w:rPr>
              <w:t>PL</w:t>
            </w:r>
          </w:p>
        </w:tc>
        <w:tc>
          <w:tcPr>
            <w:tcW w:w="1985" w:type="dxa"/>
            <w:shd w:val="clear" w:color="auto" w:fill="auto"/>
            <w:noWrap/>
            <w:vAlign w:val="bottom"/>
            <w:hideMark/>
          </w:tcPr>
          <w:p w:rsidR="00EF2BC3" w:rsidRDefault="00AF3002">
            <w:pPr>
              <w:rPr>
                <w:rFonts w:eastAsia="Times New Roman"/>
                <w:noProof/>
                <w:color w:val="000000" w:themeColor="text1"/>
                <w:sz w:val="20"/>
                <w:szCs w:val="20"/>
              </w:rPr>
            </w:pPr>
            <w:r>
              <w:rPr>
                <w:rFonts w:eastAsia="Times New Roman"/>
                <w:bCs/>
                <w:noProof/>
                <w:color w:val="000000" w:themeColor="text1"/>
                <w:sz w:val="20"/>
                <w:szCs w:val="20"/>
              </w:rPr>
              <w:t>New build</w:t>
            </w:r>
          </w:p>
        </w:tc>
        <w:tc>
          <w:tcPr>
            <w:tcW w:w="1701"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2024</w:t>
            </w:r>
          </w:p>
        </w:tc>
        <w:tc>
          <w:tcPr>
            <w:tcW w:w="1419" w:type="dxa"/>
            <w:shd w:val="clear" w:color="auto" w:fill="auto"/>
            <w:noWrap/>
            <w:vAlign w:val="bottom"/>
            <w:hideMark/>
          </w:tcPr>
          <w:p w:rsidR="00EF2BC3" w:rsidRDefault="00AF3002">
            <w:pPr>
              <w:jc w:val="center"/>
              <w:rPr>
                <w:rFonts w:eastAsia="Times New Roman"/>
                <w:noProof/>
                <w:color w:val="000000" w:themeColor="text1"/>
                <w:sz w:val="20"/>
                <w:szCs w:val="20"/>
              </w:rPr>
            </w:pPr>
            <w:r>
              <w:rPr>
                <w:rFonts w:eastAsia="Times New Roman"/>
                <w:noProof/>
                <w:color w:val="000000" w:themeColor="text1"/>
                <w:sz w:val="20"/>
                <w:szCs w:val="20"/>
              </w:rPr>
              <w:t>2084</w:t>
            </w:r>
          </w:p>
        </w:tc>
        <w:tc>
          <w:tcPr>
            <w:tcW w:w="1559" w:type="dxa"/>
            <w:shd w:val="clear" w:color="auto" w:fill="auto"/>
            <w:noWrap/>
            <w:vAlign w:val="bottom"/>
            <w:hideMark/>
          </w:tcPr>
          <w:p w:rsidR="00EF2BC3" w:rsidRDefault="00EF2BC3">
            <w:pPr>
              <w:jc w:val="center"/>
              <w:rPr>
                <w:rFonts w:eastAsia="Times New Roman"/>
                <w:noProof/>
                <w:color w:val="000000" w:themeColor="text1"/>
                <w:sz w:val="20"/>
                <w:szCs w:val="20"/>
              </w:rPr>
            </w:pPr>
          </w:p>
        </w:tc>
        <w:tc>
          <w:tcPr>
            <w:tcW w:w="1557" w:type="dxa"/>
            <w:shd w:val="clear" w:color="auto" w:fill="auto"/>
            <w:noWrap/>
            <w:vAlign w:val="bottom"/>
            <w:hideMark/>
          </w:tcPr>
          <w:p w:rsidR="00EF2BC3" w:rsidRDefault="00EF2BC3">
            <w:pPr>
              <w:jc w:val="center"/>
              <w:rPr>
                <w:rFonts w:eastAsia="Times New Roman"/>
                <w:noProof/>
                <w:color w:val="000000" w:themeColor="text1"/>
                <w:sz w:val="20"/>
                <w:szCs w:val="20"/>
              </w:rPr>
            </w:pPr>
          </w:p>
        </w:tc>
      </w:tr>
    </w:tbl>
    <w:p w:rsidR="00EF2BC3" w:rsidRDefault="00AF3002">
      <w:pPr>
        <w:spacing w:before="120"/>
        <w:ind w:left="284" w:hanging="284"/>
        <w:jc w:val="both"/>
        <w:rPr>
          <w:noProof/>
          <w:sz w:val="20"/>
          <w:szCs w:val="20"/>
        </w:rPr>
      </w:pPr>
      <w:r>
        <w:rPr>
          <w:noProof/>
          <w:color w:val="000000" w:themeColor="text1"/>
          <w:sz w:val="20"/>
          <w:szCs w:val="20"/>
        </w:rPr>
        <w:t>*</w:t>
      </w:r>
      <w:r>
        <w:rPr>
          <w:noProof/>
          <w:sz w:val="20"/>
          <w:szCs w:val="20"/>
        </w:rPr>
        <w:t>Information from other sources to the Commission than the national programmes/reports</w:t>
      </w:r>
    </w:p>
    <w:p w:rsidR="00EF2BC3" w:rsidRDefault="00AF3002">
      <w:pPr>
        <w:autoSpaceDE w:val="0"/>
        <w:autoSpaceDN w:val="0"/>
        <w:adjustRightInd w:val="0"/>
        <w:spacing w:before="120"/>
        <w:jc w:val="both"/>
        <w:rPr>
          <w:noProof/>
          <w:color w:val="000000" w:themeColor="text1"/>
        </w:rPr>
      </w:pPr>
      <w:r>
        <w:rPr>
          <w:noProof/>
          <w:color w:val="000000" w:themeColor="text1"/>
        </w:rPr>
        <w:t>In a significant number of cases long term milestones or schedule have not been clearly presented for the whole national programme for spent fuel and radioactive waste management, decision making points are not defined or are postponed for the far future o</w:t>
      </w:r>
      <w:r>
        <w:rPr>
          <w:noProof/>
          <w:color w:val="000000" w:themeColor="text1"/>
        </w:rPr>
        <w:t xml:space="preserve">r the presented schedules are outdated. A number of </w:t>
      </w:r>
      <w:r>
        <w:rPr>
          <w:rFonts w:eastAsia="Times New Roman"/>
          <w:noProof/>
        </w:rPr>
        <w:t>Member States</w:t>
      </w:r>
      <w:r>
        <w:rPr>
          <w:noProof/>
          <w:color w:val="000000" w:themeColor="text1"/>
        </w:rPr>
        <w:t xml:space="preserve"> did not present schedules and timeframes for their national programmes or the one notified are very short term or not clearly fixed. </w:t>
      </w:r>
    </w:p>
    <w:p w:rsidR="00EF2BC3" w:rsidRDefault="00AF3002">
      <w:pPr>
        <w:autoSpaceDE w:val="0"/>
        <w:autoSpaceDN w:val="0"/>
        <w:adjustRightInd w:val="0"/>
        <w:spacing w:before="120"/>
        <w:jc w:val="both"/>
        <w:rPr>
          <w:noProof/>
          <w:color w:val="000000" w:themeColor="text1"/>
        </w:rPr>
      </w:pPr>
      <w:r>
        <w:rPr>
          <w:noProof/>
          <w:color w:val="000000" w:themeColor="text1"/>
        </w:rPr>
        <w:t xml:space="preserve">The commissioning of deep geological facilities is focused in two main periods – 2022-2030 and 2040-2065. Although part of </w:t>
      </w:r>
      <w:r>
        <w:rPr>
          <w:rFonts w:eastAsia="Times New Roman"/>
          <w:noProof/>
        </w:rPr>
        <w:t>Member States</w:t>
      </w:r>
      <w:r>
        <w:rPr>
          <w:noProof/>
          <w:color w:val="000000" w:themeColor="text1"/>
        </w:rPr>
        <w:t xml:space="preserve"> considers shared disposal solutions, there is no decision or site selected for demonstration that this option is feasib</w:t>
      </w:r>
      <w:r>
        <w:rPr>
          <w:noProof/>
          <w:color w:val="000000" w:themeColor="text1"/>
        </w:rPr>
        <w:t>le.</w:t>
      </w:r>
    </w:p>
    <w:p w:rsidR="00EF2BC3" w:rsidRDefault="00AF3002">
      <w:pPr>
        <w:tabs>
          <w:tab w:val="right" w:leader="dot" w:pos="9071"/>
        </w:tabs>
        <w:spacing w:before="120"/>
        <w:jc w:val="both"/>
        <w:rPr>
          <w:noProof/>
        </w:rPr>
      </w:pPr>
      <w:r>
        <w:rPr>
          <w:noProof/>
        </w:rPr>
        <w:t xml:space="preserve">The majority of </w:t>
      </w:r>
      <w:r>
        <w:rPr>
          <w:rFonts w:eastAsia="Times New Roman"/>
          <w:noProof/>
        </w:rPr>
        <w:t>Member States</w:t>
      </w:r>
      <w:r>
        <w:rPr>
          <w:noProof/>
        </w:rPr>
        <w:t xml:space="preserve"> have defined in their legal framework the responsibilities for review, update and implementation of the national programmes. A number of Member States still need to define or/present specific arrangements, deadlines and de</w:t>
      </w:r>
      <w:r>
        <w:rPr>
          <w:noProof/>
        </w:rPr>
        <w:t>tails that are not always detailed in the national programmes/reports (see Table 1).</w:t>
      </w:r>
    </w:p>
    <w:p w:rsidR="00EF2BC3" w:rsidRDefault="00AF3002">
      <w:pPr>
        <w:widowControl w:val="0"/>
        <w:tabs>
          <w:tab w:val="left" w:pos="220"/>
          <w:tab w:val="left" w:pos="720"/>
        </w:tabs>
        <w:autoSpaceDE w:val="0"/>
        <w:autoSpaceDN w:val="0"/>
        <w:adjustRightInd w:val="0"/>
        <w:spacing w:before="120"/>
        <w:jc w:val="both"/>
        <w:rPr>
          <w:noProof/>
          <w:color w:val="000000" w:themeColor="text1"/>
        </w:rPr>
      </w:pPr>
      <w:r>
        <w:rPr>
          <w:rFonts w:eastAsia="Times New Roman"/>
          <w:noProof/>
        </w:rPr>
        <w:t>Member States</w:t>
      </w:r>
      <w:r>
        <w:rPr>
          <w:noProof/>
        </w:rPr>
        <w:t xml:space="preserve"> have to allocate responsibilities for the implementation of their national programmes and the key performance indicators to monitor progress towards implemen</w:t>
      </w:r>
      <w:r>
        <w:rPr>
          <w:noProof/>
        </w:rPr>
        <w:t xml:space="preserve">tation (see Article 12(1)g of the Directive). </w:t>
      </w:r>
      <w:r>
        <w:rPr>
          <w:noProof/>
          <w:color w:val="000000" w:themeColor="text1"/>
        </w:rPr>
        <w:t xml:space="preserve">Most of </w:t>
      </w:r>
      <w:r>
        <w:rPr>
          <w:rFonts w:eastAsia="Times New Roman"/>
          <w:noProof/>
        </w:rPr>
        <w:t>Member States</w:t>
      </w:r>
      <w:r>
        <w:rPr>
          <w:noProof/>
          <w:color w:val="000000" w:themeColor="text1"/>
        </w:rPr>
        <w:t xml:space="preserve"> have reported the organisations responsible for implementation of the national programmes, as well as its monitoring and the main milestones to be followed. However, majority of </w:t>
      </w:r>
      <w:r>
        <w:rPr>
          <w:rFonts w:eastAsia="Times New Roman"/>
          <w:noProof/>
        </w:rPr>
        <w:t>Member Sta</w:t>
      </w:r>
      <w:r>
        <w:rPr>
          <w:rFonts w:eastAsia="Times New Roman"/>
          <w:noProof/>
        </w:rPr>
        <w:t>tes</w:t>
      </w:r>
      <w:r>
        <w:rPr>
          <w:noProof/>
          <w:color w:val="000000" w:themeColor="text1"/>
        </w:rPr>
        <w:t xml:space="preserve"> have not clearly defined in their programmes the key performance indicators that they apply. </w:t>
      </w:r>
    </w:p>
    <w:p w:rsidR="00EF2BC3" w:rsidRDefault="00AF3002">
      <w:pPr>
        <w:pStyle w:val="ManualHeading3"/>
        <w:spacing w:before="2"/>
        <w:rPr>
          <w:noProof/>
        </w:rPr>
      </w:pPr>
      <w:r>
        <w:t>2.1.3.</w:t>
      </w:r>
      <w:r>
        <w:tab/>
      </w:r>
      <w:r>
        <w:rPr>
          <w:noProof/>
        </w:rPr>
        <w:t xml:space="preserve"> </w:t>
      </w:r>
      <w:bookmarkStart w:id="11" w:name="_Toc474832858"/>
      <w:r>
        <w:rPr>
          <w:noProof/>
        </w:rPr>
        <w:t>National legal and organisational frameworks</w:t>
      </w:r>
      <w:bookmarkEnd w:id="11"/>
      <w:r>
        <w:rPr>
          <w:noProof/>
        </w:rPr>
        <w:t xml:space="preserve"> </w:t>
      </w:r>
    </w:p>
    <w:p w:rsidR="00EF2BC3" w:rsidRDefault="00AF3002">
      <w:pPr>
        <w:widowControl w:val="0"/>
        <w:autoSpaceDE w:val="0"/>
        <w:autoSpaceDN w:val="0"/>
        <w:adjustRightInd w:val="0"/>
        <w:spacing w:before="120"/>
        <w:jc w:val="both"/>
        <w:rPr>
          <w:noProof/>
          <w:color w:val="000000" w:themeColor="text1"/>
        </w:rPr>
      </w:pPr>
      <w:r>
        <w:rPr>
          <w:noProof/>
          <w:color w:val="000000" w:themeColor="text1"/>
        </w:rPr>
        <w:t>Member States shall establish and maintain a national legislative, regulatory and organisational framewo</w:t>
      </w:r>
      <w:r>
        <w:rPr>
          <w:noProof/>
          <w:color w:val="000000" w:themeColor="text1"/>
        </w:rPr>
        <w:t xml:space="preserve">rk (‘national framework’) for spent fuel and radioactive waste management that allocates responsibility and provides for coordination between relevant competent bodies (Article 5(1) of the Directive). </w:t>
      </w:r>
      <w:r>
        <w:rPr>
          <w:rFonts w:eastAsia="Times New Roman"/>
          <w:noProof/>
        </w:rPr>
        <w:t>Member States</w:t>
      </w:r>
      <w:r>
        <w:rPr>
          <w:noProof/>
          <w:color w:val="000000" w:themeColor="text1"/>
        </w:rPr>
        <w:t xml:space="preserve"> were required to transpose the Directive </w:t>
      </w:r>
      <w:r>
        <w:rPr>
          <w:noProof/>
          <w:color w:val="000000" w:themeColor="text1"/>
        </w:rPr>
        <w:t xml:space="preserve">by 23 August 2013. This section of the report presents the status of </w:t>
      </w:r>
      <w:r>
        <w:rPr>
          <w:rFonts w:eastAsia="Times New Roman"/>
          <w:noProof/>
        </w:rPr>
        <w:t>Member States'</w:t>
      </w:r>
      <w:r>
        <w:rPr>
          <w:noProof/>
          <w:color w:val="000000" w:themeColor="text1"/>
        </w:rPr>
        <w:t xml:space="preserve"> legal and organizational frameworks, while the regulatory framework is detailed in Section 2.1.4 below.</w:t>
      </w:r>
    </w:p>
    <w:p w:rsidR="00EF2BC3" w:rsidRDefault="00AF3002">
      <w:pPr>
        <w:tabs>
          <w:tab w:val="right" w:leader="dot" w:pos="9071"/>
        </w:tabs>
        <w:spacing w:before="120"/>
        <w:jc w:val="both"/>
        <w:rPr>
          <w:rFonts w:eastAsia="Times New Roman"/>
          <w:noProof/>
          <w:color w:val="000000" w:themeColor="text1"/>
        </w:rPr>
      </w:pPr>
      <w:r>
        <w:rPr>
          <w:rFonts w:eastAsia="Times New Roman"/>
          <w:noProof/>
          <w:color w:val="000000" w:themeColor="text1"/>
        </w:rPr>
        <w:t xml:space="preserve">All </w:t>
      </w:r>
      <w:r>
        <w:rPr>
          <w:rFonts w:eastAsia="Times New Roman"/>
          <w:noProof/>
        </w:rPr>
        <w:t>Member States</w:t>
      </w:r>
      <w:r>
        <w:rPr>
          <w:rFonts w:eastAsia="Times New Roman"/>
          <w:noProof/>
          <w:color w:val="000000" w:themeColor="text1"/>
        </w:rPr>
        <w:t xml:space="preserve"> have communicated to the Commission their transpos</w:t>
      </w:r>
      <w:r>
        <w:rPr>
          <w:rFonts w:eastAsia="Times New Roman"/>
          <w:noProof/>
          <w:color w:val="000000" w:themeColor="text1"/>
        </w:rPr>
        <w:t xml:space="preserve">ition measures and declared full transposition and the Commission is assessing the latest notified legal measures with the view to finalise the conformity assessment. </w:t>
      </w:r>
    </w:p>
    <w:p w:rsidR="00EF2BC3" w:rsidRDefault="00AF3002">
      <w:pPr>
        <w:spacing w:before="120"/>
        <w:jc w:val="both"/>
        <w:rPr>
          <w:noProof/>
        </w:rPr>
      </w:pPr>
      <w:r>
        <w:rPr>
          <w:noProof/>
        </w:rPr>
        <w:t xml:space="preserve">All </w:t>
      </w:r>
      <w:r>
        <w:rPr>
          <w:rFonts w:eastAsia="Times New Roman"/>
          <w:noProof/>
        </w:rPr>
        <w:t>Member States</w:t>
      </w:r>
      <w:r>
        <w:rPr>
          <w:noProof/>
        </w:rPr>
        <w:t xml:space="preserve"> have presented their national framework with different levels of detai</w:t>
      </w:r>
      <w:r>
        <w:rPr>
          <w:noProof/>
        </w:rPr>
        <w:t xml:space="preserve">l provided in the national reports. </w:t>
      </w:r>
      <w:r>
        <w:rPr>
          <w:rFonts w:eastAsia="Times New Roman"/>
          <w:noProof/>
        </w:rPr>
        <w:t>Member States</w:t>
      </w:r>
      <w:r>
        <w:rPr>
          <w:noProof/>
        </w:rPr>
        <w:t xml:space="preserve"> have listed the legal arrangements and the provisions for the national framework, however only in some cases the national reports have provided details on how those legal provisions are implemented in pract</w:t>
      </w:r>
      <w:r>
        <w:rPr>
          <w:noProof/>
        </w:rPr>
        <w:t>ice.</w:t>
      </w:r>
    </w:p>
    <w:p w:rsidR="00EF2BC3" w:rsidRDefault="00AF3002">
      <w:pPr>
        <w:spacing w:before="120"/>
        <w:jc w:val="both"/>
        <w:rPr>
          <w:noProof/>
        </w:rPr>
      </w:pPr>
      <w:r>
        <w:rPr>
          <w:noProof/>
        </w:rPr>
        <w:t xml:space="preserve">The national frameworks in the </w:t>
      </w:r>
      <w:r>
        <w:rPr>
          <w:rFonts w:eastAsia="Times New Roman"/>
          <w:noProof/>
        </w:rPr>
        <w:t>Member States'</w:t>
      </w:r>
      <w:r>
        <w:rPr>
          <w:noProof/>
        </w:rPr>
        <w:t xml:space="preserve"> national reports cover all types of radioactive waste and spent fuel in the scope of the respective national programmes, although only a few </w:t>
      </w:r>
      <w:r>
        <w:rPr>
          <w:rFonts w:eastAsia="Times New Roman"/>
          <w:noProof/>
        </w:rPr>
        <w:t>Member States</w:t>
      </w:r>
      <w:r>
        <w:rPr>
          <w:noProof/>
        </w:rPr>
        <w:t xml:space="preserve"> provide details on ILW and HLW disposal and the po</w:t>
      </w:r>
      <w:r>
        <w:rPr>
          <w:noProof/>
        </w:rPr>
        <w:t>st-closure stage. Also, a few Member States do not plan institutional control after closure of deep geological facilities.</w:t>
      </w:r>
    </w:p>
    <w:p w:rsidR="00EF2BC3" w:rsidRDefault="00AF3002">
      <w:pPr>
        <w:spacing w:before="120"/>
        <w:jc w:val="both"/>
        <w:rPr>
          <w:noProof/>
        </w:rPr>
      </w:pPr>
      <w:r>
        <w:rPr>
          <w:noProof/>
        </w:rPr>
        <w:t xml:space="preserve">Most </w:t>
      </w:r>
      <w:r>
        <w:rPr>
          <w:rFonts w:eastAsia="Times New Roman"/>
          <w:noProof/>
        </w:rPr>
        <w:t>Member States</w:t>
      </w:r>
      <w:r>
        <w:rPr>
          <w:noProof/>
        </w:rPr>
        <w:t xml:space="preserve"> require the update and improvement of the national framework as per Article 5(2) of the Directive, and establish t</w:t>
      </w:r>
      <w:r>
        <w:rPr>
          <w:noProof/>
        </w:rPr>
        <w:t xml:space="preserve">he responsibilities for that. About half of </w:t>
      </w:r>
      <w:r>
        <w:rPr>
          <w:rFonts w:eastAsia="Times New Roman"/>
          <w:noProof/>
        </w:rPr>
        <w:t>Member States</w:t>
      </w:r>
      <w:r>
        <w:rPr>
          <w:noProof/>
        </w:rPr>
        <w:t xml:space="preserve"> have provided information on how in practice the development/review of the national framework takes into account operating experience, insights from the decision-making process, etc. The rest either</w:t>
      </w:r>
      <w:r>
        <w:rPr>
          <w:noProof/>
        </w:rPr>
        <w:t xml:space="preserve"> refer to the requirements established by law or regulations, without providing additional details or do not provide such information. </w:t>
      </w:r>
    </w:p>
    <w:p w:rsidR="00EF2BC3" w:rsidRDefault="00AF3002">
      <w:pPr>
        <w:spacing w:before="120"/>
        <w:jc w:val="both"/>
        <w:rPr>
          <w:noProof/>
        </w:rPr>
      </w:pPr>
      <w:r>
        <w:rPr>
          <w:noProof/>
        </w:rPr>
        <w:t xml:space="preserve">All </w:t>
      </w:r>
      <w:r>
        <w:rPr>
          <w:rFonts w:eastAsia="Times New Roman"/>
          <w:noProof/>
        </w:rPr>
        <w:t>Member States</w:t>
      </w:r>
      <w:r>
        <w:rPr>
          <w:noProof/>
        </w:rPr>
        <w:t xml:space="preserve"> have in place arrangements for safety and licensing systems with various level of complexity to ensure</w:t>
      </w:r>
      <w:r>
        <w:rPr>
          <w:noProof/>
        </w:rPr>
        <w:t xml:space="preserve"> safety of spent fuel and radioactive waste that correspond to the existing and estimated inventories of spent fuel and radioactive waste in the country.</w:t>
      </w:r>
    </w:p>
    <w:p w:rsidR="00EF2BC3" w:rsidRDefault="00AF3002">
      <w:pPr>
        <w:spacing w:before="120"/>
        <w:jc w:val="both"/>
        <w:rPr>
          <w:noProof/>
        </w:rPr>
      </w:pPr>
      <w:r>
        <w:rPr>
          <w:noProof/>
        </w:rPr>
        <w:t xml:space="preserve">All </w:t>
      </w:r>
      <w:r>
        <w:rPr>
          <w:rFonts w:eastAsia="Times New Roman"/>
          <w:noProof/>
        </w:rPr>
        <w:t>Member States</w:t>
      </w:r>
      <w:r>
        <w:rPr>
          <w:noProof/>
        </w:rPr>
        <w:t xml:space="preserve"> without nuclear programmes have implemented a national framework for the management </w:t>
      </w:r>
      <w:r>
        <w:rPr>
          <w:noProof/>
        </w:rPr>
        <w:t xml:space="preserve">of radioactive waste. The national framework contains legal and regulatory provisions mainly for predisposal waste management, which are commensurate with the type and amount of waste that they generate. </w:t>
      </w:r>
    </w:p>
    <w:p w:rsidR="00EF2BC3" w:rsidRDefault="00AF3002">
      <w:pPr>
        <w:spacing w:before="120"/>
        <w:jc w:val="both"/>
        <w:rPr>
          <w:noProof/>
        </w:rPr>
      </w:pPr>
      <w:r>
        <w:rPr>
          <w:noProof/>
        </w:rPr>
        <w:t xml:space="preserve">Most </w:t>
      </w:r>
      <w:r>
        <w:rPr>
          <w:rFonts w:eastAsia="Times New Roman"/>
          <w:noProof/>
        </w:rPr>
        <w:t>Member States</w:t>
      </w:r>
      <w:r>
        <w:rPr>
          <w:noProof/>
        </w:rPr>
        <w:t xml:space="preserve"> have established dedicated radio</w:t>
      </w:r>
      <w:r>
        <w:rPr>
          <w:noProof/>
        </w:rPr>
        <w:t xml:space="preserve">active waste management organisations that operate to date. All nuclear power </w:t>
      </w:r>
      <w:r>
        <w:rPr>
          <w:rFonts w:eastAsia="Times New Roman"/>
          <w:noProof/>
        </w:rPr>
        <w:t>Member States</w:t>
      </w:r>
      <w:r>
        <w:rPr>
          <w:noProof/>
        </w:rPr>
        <w:t xml:space="preserve"> have such organisations. The majority of these organisations are public ones (see Table 3), while a few are established by the nuclear power plant operators. In bot</w:t>
      </w:r>
      <w:r>
        <w:rPr>
          <w:noProof/>
        </w:rPr>
        <w:t>h cases, funding of spent fuel and radioactive waste management activities is based on the principle that the generators of spent fuel and radioactive waste cover the costs associated with the management of this material. In addition to the responsibilitie</w:t>
      </w:r>
      <w:r>
        <w:rPr>
          <w:noProof/>
        </w:rPr>
        <w:t xml:space="preserve">s for spent fuel and radioactive waste management, in a number of cases, these organisations deal also with decommissioning. In some cases, it is foreseen that the responsibilities for the disposal facilities will be transferred from the radioactive waste </w:t>
      </w:r>
      <w:r>
        <w:rPr>
          <w:noProof/>
        </w:rPr>
        <w:t>management organisations to the State after disposal facility's closure.</w:t>
      </w:r>
    </w:p>
    <w:p w:rsidR="00EF2BC3" w:rsidRDefault="00AF3002">
      <w:pPr>
        <w:spacing w:after="200" w:line="276" w:lineRule="auto"/>
        <w:rPr>
          <w:noProof/>
        </w:rPr>
      </w:pPr>
      <w:r>
        <w:rPr>
          <w:noProof/>
        </w:rPr>
        <w:br w:type="page"/>
      </w:r>
    </w:p>
    <w:p w:rsidR="00EF2BC3" w:rsidRDefault="00AF3002">
      <w:pPr>
        <w:spacing w:before="360" w:after="120"/>
        <w:jc w:val="center"/>
        <w:outlineLvl w:val="0"/>
        <w:rPr>
          <w:b/>
          <w:noProof/>
        </w:rPr>
      </w:pPr>
      <w:bookmarkStart w:id="12" w:name="_Toc474832559"/>
      <w:bookmarkStart w:id="13" w:name="_Toc474832859"/>
      <w:r>
        <w:rPr>
          <w:b/>
          <w:noProof/>
        </w:rPr>
        <w:t>Table 3. Radioactive waste management organisations in the EU</w:t>
      </w:r>
      <w:bookmarkEnd w:id="12"/>
      <w:bookmarkEnd w:id="13"/>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364"/>
        <w:gridCol w:w="1180"/>
        <w:gridCol w:w="5245"/>
      </w:tblGrid>
      <w:tr w:rsidR="00EF2BC3">
        <w:tc>
          <w:tcPr>
            <w:tcW w:w="675" w:type="dxa"/>
            <w:shd w:val="clear" w:color="auto" w:fill="E36C0A" w:themeFill="accent6" w:themeFillShade="BF"/>
          </w:tcPr>
          <w:p w:rsidR="00EF2BC3" w:rsidRDefault="00AF3002">
            <w:pPr>
              <w:jc w:val="center"/>
              <w:rPr>
                <w:b/>
                <w:noProof/>
                <w:color w:val="FFFFFF" w:themeColor="background1"/>
                <w:sz w:val="20"/>
                <w:szCs w:val="20"/>
              </w:rPr>
            </w:pPr>
            <w:r>
              <w:rPr>
                <w:rFonts w:eastAsia="Times New Roman"/>
                <w:b/>
                <w:bCs/>
                <w:noProof/>
                <w:color w:val="FFFFFF" w:themeColor="background1"/>
                <w:sz w:val="20"/>
                <w:szCs w:val="20"/>
              </w:rPr>
              <w:t>MS</w:t>
            </w:r>
          </w:p>
        </w:tc>
        <w:tc>
          <w:tcPr>
            <w:tcW w:w="2364" w:type="dxa"/>
            <w:shd w:val="clear" w:color="auto" w:fill="E36C0A" w:themeFill="accent6" w:themeFillShade="BF"/>
          </w:tcPr>
          <w:p w:rsidR="00EF2BC3" w:rsidRDefault="00AF3002">
            <w:pPr>
              <w:jc w:val="center"/>
              <w:rPr>
                <w:b/>
                <w:noProof/>
                <w:color w:val="FFFFFF" w:themeColor="background1"/>
                <w:sz w:val="20"/>
                <w:szCs w:val="20"/>
              </w:rPr>
            </w:pPr>
            <w:r>
              <w:rPr>
                <w:b/>
                <w:noProof/>
                <w:color w:val="FFFFFF" w:themeColor="background1"/>
                <w:sz w:val="20"/>
                <w:szCs w:val="20"/>
              </w:rPr>
              <w:t>Radioactive waste management organisation</w:t>
            </w:r>
          </w:p>
        </w:tc>
        <w:tc>
          <w:tcPr>
            <w:tcW w:w="1180" w:type="dxa"/>
            <w:shd w:val="clear" w:color="auto" w:fill="E36C0A" w:themeFill="accent6" w:themeFillShade="BF"/>
          </w:tcPr>
          <w:p w:rsidR="00EF2BC3" w:rsidRDefault="00AF3002">
            <w:pPr>
              <w:jc w:val="center"/>
              <w:rPr>
                <w:b/>
                <w:noProof/>
                <w:color w:val="FFFFFF" w:themeColor="background1"/>
                <w:sz w:val="20"/>
                <w:szCs w:val="20"/>
              </w:rPr>
            </w:pPr>
            <w:r>
              <w:rPr>
                <w:b/>
                <w:noProof/>
                <w:color w:val="FFFFFF" w:themeColor="background1"/>
                <w:sz w:val="20"/>
                <w:szCs w:val="20"/>
              </w:rPr>
              <w:t>Public/</w:t>
            </w:r>
          </w:p>
          <w:p w:rsidR="00EF2BC3" w:rsidRDefault="00AF3002">
            <w:pPr>
              <w:jc w:val="center"/>
              <w:rPr>
                <w:b/>
                <w:noProof/>
                <w:color w:val="FFFFFF" w:themeColor="background1"/>
                <w:sz w:val="20"/>
                <w:szCs w:val="20"/>
              </w:rPr>
            </w:pPr>
            <w:r>
              <w:rPr>
                <w:b/>
                <w:noProof/>
                <w:color w:val="FFFFFF" w:themeColor="background1"/>
                <w:sz w:val="20"/>
                <w:szCs w:val="20"/>
              </w:rPr>
              <w:t>private</w:t>
            </w:r>
          </w:p>
        </w:tc>
        <w:tc>
          <w:tcPr>
            <w:tcW w:w="5245" w:type="dxa"/>
            <w:shd w:val="clear" w:color="auto" w:fill="E36C0A" w:themeFill="accent6" w:themeFillShade="BF"/>
          </w:tcPr>
          <w:p w:rsidR="00EF2BC3" w:rsidRDefault="00AF3002">
            <w:pPr>
              <w:jc w:val="center"/>
              <w:rPr>
                <w:b/>
                <w:noProof/>
                <w:color w:val="FFFFFF" w:themeColor="background1"/>
                <w:sz w:val="20"/>
                <w:szCs w:val="20"/>
              </w:rPr>
            </w:pPr>
            <w:r>
              <w:rPr>
                <w:b/>
                <w:noProof/>
                <w:color w:val="FFFFFF" w:themeColor="background1"/>
                <w:sz w:val="20"/>
                <w:szCs w:val="20"/>
              </w:rPr>
              <w:t>Responsibilities</w:t>
            </w:r>
          </w:p>
        </w:tc>
      </w:tr>
      <w:tr w:rsidR="00EF2BC3">
        <w:trPr>
          <w:trHeight w:val="865"/>
        </w:trPr>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BE</w:t>
            </w:r>
          </w:p>
        </w:tc>
        <w:tc>
          <w:tcPr>
            <w:tcW w:w="2364" w:type="dxa"/>
          </w:tcPr>
          <w:p w:rsidR="00EF2BC3" w:rsidRDefault="00AF3002">
            <w:pPr>
              <w:rPr>
                <w:noProof/>
                <w:color w:val="000000" w:themeColor="text1"/>
                <w:sz w:val="20"/>
                <w:szCs w:val="20"/>
              </w:rPr>
            </w:pPr>
            <w:r>
              <w:rPr>
                <w:noProof/>
                <w:color w:val="000000" w:themeColor="text1"/>
                <w:sz w:val="20"/>
                <w:szCs w:val="20"/>
              </w:rPr>
              <w:t xml:space="preserve">Organisme national des déchets </w:t>
            </w:r>
            <w:r>
              <w:rPr>
                <w:noProof/>
                <w:color w:val="000000" w:themeColor="text1"/>
                <w:sz w:val="20"/>
                <w:szCs w:val="20"/>
              </w:rPr>
              <w:t>radioactifs</w:t>
            </w:r>
            <w:r>
              <w:rPr>
                <w:noProof/>
                <w:color w:val="000000" w:themeColor="text1"/>
                <w:sz w:val="20"/>
                <w:szCs w:val="20"/>
              </w:rPr>
              <w:br/>
              <w:t>et des matières fissiles enrichies/Nationale instelling voor radioactief afval</w:t>
            </w:r>
            <w:r>
              <w:rPr>
                <w:noProof/>
                <w:color w:val="000000" w:themeColor="text1"/>
                <w:sz w:val="20"/>
                <w:szCs w:val="20"/>
              </w:rPr>
              <w:br/>
              <w:t>en verrijkte splijtstoffen (ONDRAF/NIRAS)</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Managing radioactive waste from all sources, managing spent fuel when declared as radioactive waste, incl. disposal.</w:t>
            </w:r>
            <w:r>
              <w:rPr>
                <w:noProof/>
                <w:sz w:val="20"/>
                <w:szCs w:val="20"/>
              </w:rPr>
              <w:t xml:space="preserve"> </w:t>
            </w:r>
          </w:p>
        </w:tc>
      </w:tr>
      <w:tr w:rsidR="00EF2BC3">
        <w:trPr>
          <w:trHeight w:val="591"/>
        </w:trPr>
        <w:tc>
          <w:tcPr>
            <w:tcW w:w="675" w:type="dxa"/>
            <w:shd w:val="clear" w:color="auto" w:fill="E36C0A" w:themeFill="accent6" w:themeFillShade="BF"/>
          </w:tcPr>
          <w:p w:rsidR="00EF2BC3" w:rsidRDefault="00AF3002">
            <w:pPr>
              <w:rPr>
                <w:noProof/>
                <w:color w:val="FFFFFF" w:themeColor="background1"/>
                <w:sz w:val="20"/>
                <w:szCs w:val="20"/>
              </w:rPr>
            </w:pPr>
            <w:r>
              <w:rPr>
                <w:rFonts w:eastAsia="Times New Roman"/>
                <w:bCs/>
                <w:noProof/>
                <w:color w:val="FFFFFF" w:themeColor="background1"/>
                <w:sz w:val="20"/>
                <w:szCs w:val="20"/>
              </w:rPr>
              <w:t>BG</w:t>
            </w:r>
          </w:p>
        </w:tc>
        <w:tc>
          <w:tcPr>
            <w:tcW w:w="2364" w:type="dxa"/>
          </w:tcPr>
          <w:p w:rsidR="00EF2BC3" w:rsidRDefault="00AF3002">
            <w:pPr>
              <w:rPr>
                <w:noProof/>
                <w:color w:val="000000" w:themeColor="text1"/>
                <w:sz w:val="20"/>
                <w:szCs w:val="20"/>
              </w:rPr>
            </w:pPr>
            <w:r>
              <w:rPr>
                <w:bCs/>
                <w:noProof/>
                <w:color w:val="000000" w:themeColor="text1"/>
                <w:sz w:val="20"/>
                <w:szCs w:val="20"/>
              </w:rPr>
              <w:t>State Enterprise Radioactive Waste (</w:t>
            </w:r>
            <w:r>
              <w:rPr>
                <w:noProof/>
                <w:color w:val="000000" w:themeColor="text1"/>
                <w:sz w:val="20"/>
                <w:szCs w:val="20"/>
              </w:rPr>
              <w:t>SE RAW)</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Radioactive waste and spent fuel management; and de</w:t>
            </w:r>
            <w:r>
              <w:rPr>
                <w:noProof/>
                <w:sz w:val="20"/>
                <w:szCs w:val="20"/>
              </w:rPr>
              <w:softHyphen/>
              <w:t xml:space="preserve">commissioning. </w:t>
            </w:r>
          </w:p>
        </w:tc>
      </w:tr>
      <w:tr w:rsidR="00EF2BC3">
        <w:trPr>
          <w:trHeight w:val="798"/>
        </w:trPr>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CZ</w:t>
            </w:r>
          </w:p>
        </w:tc>
        <w:tc>
          <w:tcPr>
            <w:tcW w:w="2364" w:type="dxa"/>
          </w:tcPr>
          <w:p w:rsidR="00EF2BC3" w:rsidRDefault="00AF3002">
            <w:pPr>
              <w:rPr>
                <w:noProof/>
                <w:color w:val="000000" w:themeColor="text1"/>
                <w:sz w:val="20"/>
                <w:szCs w:val="20"/>
              </w:rPr>
            </w:pPr>
            <w:r>
              <w:rPr>
                <w:noProof/>
                <w:color w:val="000000" w:themeColor="text1"/>
                <w:sz w:val="20"/>
                <w:szCs w:val="20"/>
              </w:rPr>
              <w:t>Radioactive Waste Repository Authority (SURAO)</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Operation of all low and intermediate level waste repositories; </w:t>
            </w:r>
            <w:r>
              <w:rPr>
                <w:noProof/>
                <w:sz w:val="20"/>
                <w:szCs w:val="20"/>
              </w:rPr>
              <w:t>Monitoring of the now closed Hostim repository, Development of deep geological repository for disposal of HLW and spent fuel.</w:t>
            </w:r>
          </w:p>
        </w:tc>
      </w:tr>
      <w:tr w:rsidR="00EF2BC3">
        <w:tc>
          <w:tcPr>
            <w:tcW w:w="675" w:type="dxa"/>
            <w:shd w:val="clear" w:color="auto" w:fill="E36C0A" w:themeFill="accent6" w:themeFillShade="BF"/>
          </w:tcPr>
          <w:p w:rsidR="00EF2BC3" w:rsidRDefault="00AF3002">
            <w:pPr>
              <w:rPr>
                <w:noProof/>
                <w:color w:val="FFFFFF" w:themeColor="background1"/>
                <w:sz w:val="20"/>
                <w:szCs w:val="20"/>
              </w:rPr>
            </w:pPr>
            <w:r>
              <w:rPr>
                <w:rFonts w:eastAsia="Times New Roman"/>
                <w:bCs/>
                <w:noProof/>
                <w:color w:val="FFFFFF" w:themeColor="background1"/>
                <w:sz w:val="20"/>
                <w:szCs w:val="20"/>
              </w:rPr>
              <w:t>FI</w:t>
            </w:r>
          </w:p>
        </w:tc>
        <w:tc>
          <w:tcPr>
            <w:tcW w:w="2364" w:type="dxa"/>
          </w:tcPr>
          <w:p w:rsidR="00EF2BC3" w:rsidRDefault="00AF3002">
            <w:pPr>
              <w:rPr>
                <w:noProof/>
                <w:color w:val="000000" w:themeColor="text1"/>
                <w:sz w:val="20"/>
                <w:szCs w:val="20"/>
              </w:rPr>
            </w:pPr>
            <w:r>
              <w:rPr>
                <w:noProof/>
                <w:color w:val="000000" w:themeColor="text1"/>
                <w:sz w:val="20"/>
                <w:szCs w:val="20"/>
              </w:rPr>
              <w:t>POSIVA</w:t>
            </w:r>
          </w:p>
        </w:tc>
        <w:tc>
          <w:tcPr>
            <w:tcW w:w="1180" w:type="dxa"/>
          </w:tcPr>
          <w:p w:rsidR="00EF2BC3" w:rsidRDefault="00AF3002">
            <w:pPr>
              <w:jc w:val="center"/>
              <w:rPr>
                <w:noProof/>
                <w:sz w:val="20"/>
                <w:szCs w:val="20"/>
              </w:rPr>
            </w:pPr>
            <w:r>
              <w:rPr>
                <w:noProof/>
                <w:sz w:val="20"/>
                <w:szCs w:val="20"/>
              </w:rPr>
              <w:t>Private</w:t>
            </w:r>
            <w:r>
              <w:rPr>
                <w:rStyle w:val="FootnoteReference"/>
                <w:noProof/>
                <w:sz w:val="20"/>
                <w:szCs w:val="20"/>
              </w:rPr>
              <w:footnoteReference w:id="17"/>
            </w:r>
            <w:r>
              <w:rPr>
                <w:noProof/>
                <w:sz w:val="20"/>
                <w:szCs w:val="20"/>
              </w:rPr>
              <w:t xml:space="preserve"> </w:t>
            </w:r>
          </w:p>
        </w:tc>
        <w:tc>
          <w:tcPr>
            <w:tcW w:w="5245" w:type="dxa"/>
          </w:tcPr>
          <w:p w:rsidR="00EF2BC3" w:rsidRDefault="00AF3002">
            <w:pPr>
              <w:jc w:val="both"/>
              <w:rPr>
                <w:noProof/>
                <w:sz w:val="20"/>
                <w:szCs w:val="20"/>
              </w:rPr>
            </w:pPr>
            <w:r>
              <w:rPr>
                <w:noProof/>
                <w:sz w:val="20"/>
                <w:szCs w:val="20"/>
              </w:rPr>
              <w:t xml:space="preserve">Radioactive waste management facilities - site selection, design, construction, commissioning, operation, </w:t>
            </w:r>
            <w:r>
              <w:rPr>
                <w:noProof/>
                <w:sz w:val="20"/>
                <w:szCs w:val="20"/>
              </w:rPr>
              <w:t>rehabilitation and reconstruction, decommissioning and closure/post closure.</w:t>
            </w:r>
          </w:p>
        </w:tc>
      </w:tr>
      <w:tr w:rsidR="00EF2BC3">
        <w:tc>
          <w:tcPr>
            <w:tcW w:w="675" w:type="dxa"/>
            <w:shd w:val="clear" w:color="auto" w:fill="E36C0A" w:themeFill="accent6" w:themeFillShade="BF"/>
          </w:tcPr>
          <w:p w:rsidR="00EF2BC3" w:rsidRDefault="00AF3002">
            <w:pPr>
              <w:rPr>
                <w:noProof/>
                <w:color w:val="FFFFFF" w:themeColor="background1"/>
                <w:sz w:val="20"/>
                <w:szCs w:val="20"/>
              </w:rPr>
            </w:pPr>
            <w:r>
              <w:rPr>
                <w:rFonts w:eastAsia="Times New Roman"/>
                <w:bCs/>
                <w:noProof/>
                <w:color w:val="FFFFFF" w:themeColor="background1"/>
                <w:sz w:val="20"/>
                <w:szCs w:val="20"/>
              </w:rPr>
              <w:t>FR</w:t>
            </w:r>
          </w:p>
        </w:tc>
        <w:tc>
          <w:tcPr>
            <w:tcW w:w="2364" w:type="dxa"/>
          </w:tcPr>
          <w:p w:rsidR="00EF2BC3" w:rsidRDefault="00AF3002">
            <w:pPr>
              <w:ind w:right="345"/>
              <w:rPr>
                <w:noProof/>
                <w:color w:val="000000" w:themeColor="text1"/>
                <w:sz w:val="20"/>
                <w:szCs w:val="20"/>
              </w:rPr>
            </w:pPr>
            <w:r>
              <w:rPr>
                <w:noProof/>
                <w:color w:val="000000" w:themeColor="text1"/>
                <w:sz w:val="20"/>
                <w:szCs w:val="20"/>
              </w:rPr>
              <w:t>National agency for management of radioactive waste (ANDRA)</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Long-term management of radioactive waste.</w:t>
            </w:r>
          </w:p>
        </w:tc>
      </w:tr>
      <w:tr w:rsidR="00EF2BC3">
        <w:tc>
          <w:tcPr>
            <w:tcW w:w="675" w:type="dxa"/>
            <w:shd w:val="clear" w:color="auto" w:fill="E36C0A" w:themeFill="accent6" w:themeFillShade="BF"/>
          </w:tcPr>
          <w:p w:rsidR="00EF2BC3" w:rsidRDefault="00AF3002">
            <w:pPr>
              <w:rPr>
                <w:noProof/>
                <w:color w:val="FFFFFF" w:themeColor="background1"/>
                <w:sz w:val="20"/>
                <w:szCs w:val="20"/>
              </w:rPr>
            </w:pPr>
            <w:r>
              <w:rPr>
                <w:noProof/>
                <w:color w:val="FFFFFF" w:themeColor="background1"/>
                <w:sz w:val="20"/>
                <w:szCs w:val="20"/>
              </w:rPr>
              <w:t>DE</w:t>
            </w:r>
          </w:p>
        </w:tc>
        <w:tc>
          <w:tcPr>
            <w:tcW w:w="2364" w:type="dxa"/>
          </w:tcPr>
          <w:p w:rsidR="00EF2BC3" w:rsidRDefault="00AF3002">
            <w:pPr>
              <w:rPr>
                <w:noProof/>
                <w:color w:val="000000" w:themeColor="text1"/>
                <w:sz w:val="20"/>
                <w:szCs w:val="20"/>
              </w:rPr>
            </w:pPr>
            <w:r>
              <w:rPr>
                <w:noProof/>
                <w:color w:val="000000" w:themeColor="text1"/>
                <w:sz w:val="20"/>
                <w:szCs w:val="20"/>
              </w:rPr>
              <w:t xml:space="preserve">German Service Company for the Construction and Operation of </w:t>
            </w:r>
            <w:r>
              <w:rPr>
                <w:noProof/>
                <w:color w:val="000000" w:themeColor="text1"/>
                <w:sz w:val="20"/>
                <w:szCs w:val="20"/>
              </w:rPr>
              <w:t>Waste Repositories (DBE)</w:t>
            </w:r>
          </w:p>
        </w:tc>
        <w:tc>
          <w:tcPr>
            <w:tcW w:w="1180" w:type="dxa"/>
          </w:tcPr>
          <w:p w:rsidR="00EF2BC3" w:rsidRDefault="00AF3002">
            <w:pPr>
              <w:jc w:val="center"/>
              <w:rPr>
                <w:noProof/>
                <w:color w:val="000000" w:themeColor="text1"/>
                <w:sz w:val="20"/>
                <w:szCs w:val="20"/>
              </w:rPr>
            </w:pPr>
            <w:r>
              <w:rPr>
                <w:noProof/>
                <w:color w:val="000000" w:themeColor="text1"/>
                <w:sz w:val="20"/>
                <w:szCs w:val="20"/>
              </w:rPr>
              <w:t>Public</w:t>
            </w:r>
          </w:p>
        </w:tc>
        <w:tc>
          <w:tcPr>
            <w:tcW w:w="5245" w:type="dxa"/>
          </w:tcPr>
          <w:p w:rsidR="00EF2BC3" w:rsidRDefault="00AF3002">
            <w:pPr>
              <w:jc w:val="both"/>
              <w:rPr>
                <w:noProof/>
                <w:color w:val="000000" w:themeColor="text1"/>
                <w:sz w:val="20"/>
                <w:szCs w:val="20"/>
              </w:rPr>
            </w:pPr>
            <w:r>
              <w:rPr>
                <w:noProof/>
                <w:color w:val="000000" w:themeColor="text1"/>
                <w:sz w:val="20"/>
                <w:szCs w:val="20"/>
              </w:rPr>
              <w:t>Construction and operation of radioactive waste repositories.</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HU</w:t>
            </w:r>
          </w:p>
        </w:tc>
        <w:tc>
          <w:tcPr>
            <w:tcW w:w="2364" w:type="dxa"/>
          </w:tcPr>
          <w:p w:rsidR="00EF2BC3" w:rsidRDefault="00AF3002">
            <w:pPr>
              <w:rPr>
                <w:noProof/>
                <w:color w:val="000000" w:themeColor="text1"/>
                <w:sz w:val="20"/>
                <w:szCs w:val="20"/>
              </w:rPr>
            </w:pPr>
            <w:r>
              <w:rPr>
                <w:noProof/>
                <w:color w:val="000000" w:themeColor="text1"/>
                <w:sz w:val="20"/>
                <w:szCs w:val="20"/>
              </w:rPr>
              <w:t>Public Limited Company for Radioactive Waste Management (PURAM)</w:t>
            </w:r>
          </w:p>
        </w:tc>
        <w:tc>
          <w:tcPr>
            <w:tcW w:w="1180" w:type="dxa"/>
          </w:tcPr>
          <w:p w:rsidR="00EF2BC3" w:rsidRDefault="00AF3002">
            <w:pPr>
              <w:jc w:val="center"/>
              <w:rPr>
                <w:noProof/>
                <w:color w:val="000000" w:themeColor="text1"/>
                <w:sz w:val="20"/>
                <w:szCs w:val="20"/>
              </w:rPr>
            </w:pPr>
            <w:r>
              <w:rPr>
                <w:noProof/>
                <w:color w:val="000000" w:themeColor="text1"/>
                <w:sz w:val="20"/>
                <w:szCs w:val="20"/>
              </w:rPr>
              <w:t>Public</w:t>
            </w:r>
          </w:p>
        </w:tc>
        <w:tc>
          <w:tcPr>
            <w:tcW w:w="5245" w:type="dxa"/>
          </w:tcPr>
          <w:p w:rsidR="00EF2BC3" w:rsidRDefault="00AF3002">
            <w:pPr>
              <w:jc w:val="both"/>
              <w:rPr>
                <w:noProof/>
                <w:color w:val="000000" w:themeColor="text1"/>
                <w:sz w:val="20"/>
                <w:szCs w:val="20"/>
              </w:rPr>
            </w:pPr>
            <w:r>
              <w:rPr>
                <w:noProof/>
                <w:color w:val="000000" w:themeColor="text1"/>
                <w:sz w:val="20"/>
                <w:szCs w:val="20"/>
              </w:rPr>
              <w:t>Management of all types of radioactive waste, decommissioning of nuclear facilities, as</w:t>
            </w:r>
            <w:r>
              <w:rPr>
                <w:noProof/>
                <w:color w:val="000000" w:themeColor="text1"/>
                <w:sz w:val="20"/>
                <w:szCs w:val="20"/>
              </w:rPr>
              <w:t xml:space="preserve"> well as related to research and development.</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IT</w:t>
            </w:r>
          </w:p>
        </w:tc>
        <w:tc>
          <w:tcPr>
            <w:tcW w:w="2364" w:type="dxa"/>
          </w:tcPr>
          <w:p w:rsidR="00EF2BC3" w:rsidRDefault="00AF3002">
            <w:pPr>
              <w:rPr>
                <w:noProof/>
                <w:color w:val="000000" w:themeColor="text1"/>
                <w:sz w:val="20"/>
                <w:szCs w:val="20"/>
              </w:rPr>
            </w:pPr>
            <w:r>
              <w:rPr>
                <w:noProof/>
                <w:color w:val="000000" w:themeColor="text1"/>
                <w:sz w:val="20"/>
                <w:szCs w:val="20"/>
              </w:rPr>
              <w:t xml:space="preserve">Company for management of nuclear power plants (SOGIN) </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Decommissioning of nuclear installations and radioactive waste management including waste produced by industrial, research and nuclear medicine</w:t>
            </w:r>
            <w:r>
              <w:rPr>
                <w:noProof/>
                <w:sz w:val="20"/>
                <w:szCs w:val="20"/>
              </w:rPr>
              <w:t xml:space="preserve"> activities; siting, design and construction of a national repository.</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LT</w:t>
            </w:r>
          </w:p>
        </w:tc>
        <w:tc>
          <w:tcPr>
            <w:tcW w:w="2364" w:type="dxa"/>
          </w:tcPr>
          <w:p w:rsidR="00EF2BC3" w:rsidRDefault="00AF3002">
            <w:pPr>
              <w:rPr>
                <w:noProof/>
                <w:color w:val="000000" w:themeColor="text1"/>
                <w:sz w:val="20"/>
                <w:szCs w:val="20"/>
              </w:rPr>
            </w:pPr>
            <w:r>
              <w:rPr>
                <w:noProof/>
                <w:color w:val="000000" w:themeColor="text1"/>
                <w:sz w:val="20"/>
                <w:szCs w:val="20"/>
              </w:rPr>
              <w:t>State Enterprise Radioactive Waste Management Agency (RATA)</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Management and disposal of radioactive waste generated by the Ignalina nuclear power plant. Construction and </w:t>
            </w:r>
            <w:r>
              <w:rPr>
                <w:noProof/>
                <w:sz w:val="20"/>
                <w:szCs w:val="20"/>
              </w:rPr>
              <w:t>operation of the repositories for radioactive waste.</w:t>
            </w:r>
          </w:p>
        </w:tc>
      </w:tr>
      <w:tr w:rsidR="00EF2BC3">
        <w:trPr>
          <w:trHeight w:val="803"/>
        </w:trPr>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NL</w:t>
            </w:r>
          </w:p>
        </w:tc>
        <w:tc>
          <w:tcPr>
            <w:tcW w:w="2364" w:type="dxa"/>
          </w:tcPr>
          <w:p w:rsidR="00EF2BC3" w:rsidRDefault="00AF3002">
            <w:pPr>
              <w:rPr>
                <w:noProof/>
                <w:color w:val="000000" w:themeColor="text1"/>
                <w:sz w:val="20"/>
                <w:szCs w:val="20"/>
              </w:rPr>
            </w:pPr>
            <w:r>
              <w:rPr>
                <w:noProof/>
                <w:color w:val="000000" w:themeColor="text1"/>
                <w:sz w:val="20"/>
                <w:szCs w:val="20"/>
              </w:rPr>
              <w:t>The Central Organisation For Radioactive Waste (COVRA)</w:t>
            </w:r>
          </w:p>
        </w:tc>
        <w:tc>
          <w:tcPr>
            <w:tcW w:w="1180" w:type="dxa"/>
          </w:tcPr>
          <w:p w:rsidR="00EF2BC3" w:rsidRDefault="00AF3002">
            <w:pPr>
              <w:jc w:val="center"/>
              <w:rPr>
                <w:noProof/>
                <w:sz w:val="20"/>
                <w:szCs w:val="20"/>
                <w:highlight w:val="yellow"/>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Implementing the Dutch policy with regard to radioactive waste in the Netherlands. Treatment and storage of all radioactive waste and </w:t>
            </w:r>
            <w:r>
              <w:rPr>
                <w:noProof/>
                <w:sz w:val="20"/>
                <w:szCs w:val="20"/>
              </w:rPr>
              <w:t>spent fuel.</w:t>
            </w:r>
          </w:p>
          <w:p w:rsidR="00EF2BC3" w:rsidRDefault="00EF2BC3">
            <w:pPr>
              <w:jc w:val="both"/>
              <w:rPr>
                <w:noProof/>
                <w:sz w:val="20"/>
                <w:szCs w:val="20"/>
              </w:rPr>
            </w:pPr>
          </w:p>
          <w:p w:rsidR="00EF2BC3" w:rsidRDefault="00EF2BC3">
            <w:pPr>
              <w:jc w:val="both"/>
              <w:rPr>
                <w:noProof/>
                <w:sz w:val="20"/>
                <w:szCs w:val="20"/>
              </w:rPr>
            </w:pPr>
          </w:p>
          <w:p w:rsidR="00EF2BC3" w:rsidRDefault="00EF2BC3">
            <w:pPr>
              <w:jc w:val="both"/>
              <w:rPr>
                <w:noProof/>
                <w:sz w:val="20"/>
                <w:szCs w:val="20"/>
              </w:rPr>
            </w:pP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RO</w:t>
            </w:r>
          </w:p>
        </w:tc>
        <w:tc>
          <w:tcPr>
            <w:tcW w:w="2364" w:type="dxa"/>
          </w:tcPr>
          <w:p w:rsidR="00EF2BC3" w:rsidRDefault="00AF3002">
            <w:pPr>
              <w:rPr>
                <w:noProof/>
                <w:sz w:val="20"/>
                <w:szCs w:val="20"/>
              </w:rPr>
            </w:pPr>
            <w:r>
              <w:rPr>
                <w:noProof/>
                <w:sz w:val="20"/>
                <w:szCs w:val="20"/>
              </w:rPr>
              <w:t>Nuclear Agency for Radioactive Waste (ANDR)</w:t>
            </w:r>
          </w:p>
          <w:p w:rsidR="00EF2BC3" w:rsidRDefault="00EF2BC3">
            <w:pPr>
              <w:rPr>
                <w:noProof/>
                <w:sz w:val="20"/>
                <w:szCs w:val="20"/>
              </w:rPr>
            </w:pP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Promotion, development and monitoring of the nuclear activities. Coordination of the safe management of radioactive waste and spent nuclear fuel, including final disposal, at national l</w:t>
            </w:r>
            <w:r>
              <w:rPr>
                <w:noProof/>
                <w:sz w:val="20"/>
                <w:szCs w:val="20"/>
              </w:rPr>
              <w:t>evel.</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SK</w:t>
            </w:r>
          </w:p>
        </w:tc>
        <w:tc>
          <w:tcPr>
            <w:tcW w:w="2364" w:type="dxa"/>
          </w:tcPr>
          <w:p w:rsidR="00EF2BC3" w:rsidRDefault="00AF3002">
            <w:pPr>
              <w:rPr>
                <w:noProof/>
                <w:sz w:val="20"/>
                <w:szCs w:val="20"/>
              </w:rPr>
            </w:pPr>
            <w:r>
              <w:rPr>
                <w:noProof/>
                <w:sz w:val="20"/>
                <w:szCs w:val="20"/>
              </w:rPr>
              <w:t>Nuclear and Decommissioning Company (JAVYS)</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Management of spent nuclear fuel and radioactive waste. Decommissioning of the nuclear power plants.</w:t>
            </w:r>
          </w:p>
        </w:tc>
      </w:tr>
      <w:tr w:rsidR="00EF2BC3">
        <w:trPr>
          <w:trHeight w:val="1218"/>
        </w:trPr>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SI</w:t>
            </w:r>
          </w:p>
        </w:tc>
        <w:tc>
          <w:tcPr>
            <w:tcW w:w="2364" w:type="dxa"/>
          </w:tcPr>
          <w:p w:rsidR="00EF2BC3" w:rsidRDefault="00AF3002">
            <w:pPr>
              <w:rPr>
                <w:noProof/>
                <w:sz w:val="20"/>
                <w:szCs w:val="20"/>
              </w:rPr>
            </w:pPr>
            <w:r>
              <w:rPr>
                <w:noProof/>
                <w:sz w:val="20"/>
                <w:szCs w:val="20"/>
              </w:rPr>
              <w:t xml:space="preserve">Agency for Radioactive Waste (ARAO) </w:t>
            </w:r>
          </w:p>
          <w:p w:rsidR="00EF2BC3" w:rsidRDefault="00EF2BC3">
            <w:pPr>
              <w:rPr>
                <w:noProof/>
                <w:sz w:val="20"/>
                <w:szCs w:val="20"/>
              </w:rPr>
            </w:pPr>
          </w:p>
          <w:p w:rsidR="00EF2BC3" w:rsidRDefault="00EF2BC3">
            <w:pPr>
              <w:rPr>
                <w:noProof/>
                <w:sz w:val="20"/>
                <w:szCs w:val="20"/>
              </w:rPr>
            </w:pP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Collecting, transporting, treating, storing </w:t>
            </w:r>
            <w:r>
              <w:rPr>
                <w:noProof/>
                <w:sz w:val="20"/>
                <w:szCs w:val="20"/>
              </w:rPr>
              <w:t>and disposing of low and intermediate level waste and for the disposal of HLW. Management of the closed uranium mine.</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ES</w:t>
            </w:r>
          </w:p>
        </w:tc>
        <w:tc>
          <w:tcPr>
            <w:tcW w:w="2364" w:type="dxa"/>
          </w:tcPr>
          <w:p w:rsidR="00EF2BC3" w:rsidRDefault="00AF3002">
            <w:pPr>
              <w:rPr>
                <w:noProof/>
                <w:sz w:val="20"/>
                <w:szCs w:val="20"/>
              </w:rPr>
            </w:pPr>
            <w:r>
              <w:rPr>
                <w:noProof/>
                <w:sz w:val="20"/>
                <w:szCs w:val="20"/>
              </w:rPr>
              <w:t>National radioactive waste complany (ENRESA)</w:t>
            </w:r>
          </w:p>
        </w:tc>
        <w:tc>
          <w:tcPr>
            <w:tcW w:w="1180" w:type="dxa"/>
          </w:tcPr>
          <w:p w:rsidR="00EF2BC3" w:rsidRDefault="00AF3002">
            <w:pPr>
              <w:jc w:val="center"/>
              <w:rPr>
                <w:noProof/>
                <w:sz w:val="20"/>
                <w:szCs w:val="20"/>
              </w:rPr>
            </w:pPr>
            <w:r>
              <w:rPr>
                <w:noProof/>
                <w:sz w:val="20"/>
                <w:szCs w:val="20"/>
              </w:rPr>
              <w:t>Public</w:t>
            </w:r>
            <w:r>
              <w:rPr>
                <w:rStyle w:val="FootnoteReference"/>
                <w:noProof/>
                <w:sz w:val="20"/>
                <w:szCs w:val="20"/>
              </w:rPr>
              <w:footnoteReference w:id="18"/>
            </w:r>
          </w:p>
        </w:tc>
        <w:tc>
          <w:tcPr>
            <w:tcW w:w="5245" w:type="dxa"/>
          </w:tcPr>
          <w:p w:rsidR="00EF2BC3" w:rsidRDefault="00AF3002">
            <w:pPr>
              <w:jc w:val="both"/>
              <w:rPr>
                <w:noProof/>
                <w:sz w:val="20"/>
                <w:szCs w:val="20"/>
              </w:rPr>
            </w:pPr>
            <w:r>
              <w:rPr>
                <w:noProof/>
                <w:sz w:val="20"/>
                <w:szCs w:val="20"/>
              </w:rPr>
              <w:t xml:space="preserve">Management of radioactive waste and spent fuel. Decommissioning nuclear plants. </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rFonts w:eastAsia="Times New Roman"/>
                <w:bCs/>
                <w:noProof/>
                <w:color w:val="FFFFFF" w:themeColor="background1"/>
                <w:sz w:val="20"/>
                <w:szCs w:val="20"/>
              </w:rPr>
              <w:t>SE</w:t>
            </w:r>
          </w:p>
        </w:tc>
        <w:tc>
          <w:tcPr>
            <w:tcW w:w="2364" w:type="dxa"/>
          </w:tcPr>
          <w:p w:rsidR="00EF2BC3" w:rsidRDefault="00AF3002">
            <w:pPr>
              <w:rPr>
                <w:noProof/>
                <w:sz w:val="20"/>
                <w:szCs w:val="20"/>
              </w:rPr>
            </w:pPr>
            <w:r>
              <w:rPr>
                <w:noProof/>
                <w:sz w:val="20"/>
                <w:szCs w:val="20"/>
              </w:rPr>
              <w:t>Swedish Nuclear Fuel and Waste Management (SKB)</w:t>
            </w:r>
          </w:p>
        </w:tc>
        <w:tc>
          <w:tcPr>
            <w:tcW w:w="1180" w:type="dxa"/>
          </w:tcPr>
          <w:p w:rsidR="00EF2BC3" w:rsidRDefault="00AF3002">
            <w:pPr>
              <w:jc w:val="center"/>
              <w:rPr>
                <w:noProof/>
                <w:sz w:val="20"/>
                <w:szCs w:val="20"/>
              </w:rPr>
            </w:pPr>
            <w:r>
              <w:rPr>
                <w:noProof/>
                <w:sz w:val="20"/>
                <w:szCs w:val="20"/>
              </w:rPr>
              <w:t>Private</w:t>
            </w:r>
            <w:r>
              <w:rPr>
                <w:rStyle w:val="FootnoteReference"/>
                <w:noProof/>
                <w:sz w:val="20"/>
                <w:szCs w:val="20"/>
              </w:rPr>
              <w:footnoteReference w:id="19"/>
            </w:r>
          </w:p>
        </w:tc>
        <w:tc>
          <w:tcPr>
            <w:tcW w:w="5245" w:type="dxa"/>
          </w:tcPr>
          <w:p w:rsidR="00EF2BC3" w:rsidRDefault="00AF3002">
            <w:pPr>
              <w:jc w:val="both"/>
              <w:rPr>
                <w:noProof/>
                <w:sz w:val="20"/>
                <w:szCs w:val="20"/>
              </w:rPr>
            </w:pPr>
            <w:r>
              <w:rPr>
                <w:noProof/>
                <w:sz w:val="20"/>
                <w:szCs w:val="20"/>
              </w:rPr>
              <w:t>Planning and construction of all facilities required for the management of spent nuclear fuel and radioactive wastes as well as for research and development programmes necessary for the provision</w:t>
            </w:r>
            <w:r>
              <w:rPr>
                <w:noProof/>
                <w:sz w:val="20"/>
                <w:szCs w:val="20"/>
              </w:rPr>
              <w:t xml:space="preserve"> of such facilities.</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UK</w:t>
            </w:r>
          </w:p>
        </w:tc>
        <w:tc>
          <w:tcPr>
            <w:tcW w:w="2364" w:type="dxa"/>
          </w:tcPr>
          <w:p w:rsidR="00EF2BC3" w:rsidRDefault="00AF3002">
            <w:pPr>
              <w:rPr>
                <w:noProof/>
                <w:sz w:val="20"/>
                <w:szCs w:val="20"/>
              </w:rPr>
            </w:pPr>
            <w:r>
              <w:rPr>
                <w:noProof/>
                <w:sz w:val="20"/>
                <w:szCs w:val="20"/>
              </w:rPr>
              <w:t>Nuclear Decommissioning Authority (NDA)</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Implementing Government policy on the long-term management of nuclear waste, including the decommissioning and clean-up of the civil public sector nuclear sites.</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HR</w:t>
            </w:r>
          </w:p>
        </w:tc>
        <w:tc>
          <w:tcPr>
            <w:tcW w:w="2364" w:type="dxa"/>
          </w:tcPr>
          <w:p w:rsidR="00EF2BC3" w:rsidRDefault="00AF3002">
            <w:pPr>
              <w:rPr>
                <w:noProof/>
                <w:sz w:val="20"/>
                <w:szCs w:val="20"/>
              </w:rPr>
            </w:pPr>
            <w:r>
              <w:rPr>
                <w:noProof/>
                <w:sz w:val="20"/>
                <w:szCs w:val="20"/>
              </w:rPr>
              <w:t xml:space="preserve">Radioactive Waste </w:t>
            </w:r>
            <w:r>
              <w:rPr>
                <w:noProof/>
                <w:sz w:val="20"/>
                <w:szCs w:val="20"/>
              </w:rPr>
              <w:t xml:space="preserve">Management Centre </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Collecting, safeguarding and increasing the value of funds to finance the development, review and implementation of the Programme for the Decommissioning of the Krško NPP. Disposal of radioactive waste and spent fuel, as well as c</w:t>
            </w:r>
            <w:r>
              <w:rPr>
                <w:noProof/>
                <w:sz w:val="20"/>
                <w:szCs w:val="20"/>
              </w:rPr>
              <w:t>oordinating the preparation and drafting of the National Programme.</w:t>
            </w:r>
          </w:p>
        </w:tc>
      </w:tr>
      <w:tr w:rsidR="00EF2BC3">
        <w:trPr>
          <w:trHeight w:val="292"/>
        </w:trPr>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AT</w:t>
            </w:r>
          </w:p>
        </w:tc>
        <w:tc>
          <w:tcPr>
            <w:tcW w:w="2364" w:type="dxa"/>
          </w:tcPr>
          <w:p w:rsidR="00EF2BC3" w:rsidRDefault="00AF3002">
            <w:pPr>
              <w:widowControl w:val="0"/>
              <w:autoSpaceDE w:val="0"/>
              <w:autoSpaceDN w:val="0"/>
              <w:adjustRightInd w:val="0"/>
              <w:spacing w:line="280" w:lineRule="atLeast"/>
              <w:rPr>
                <w:noProof/>
                <w:sz w:val="20"/>
                <w:szCs w:val="20"/>
              </w:rPr>
            </w:pPr>
            <w:r>
              <w:rPr>
                <w:noProof/>
                <w:sz w:val="20"/>
                <w:szCs w:val="20"/>
              </w:rPr>
              <w:t>Nuclear Engineering Seibersdorf GmbH (NES)</w:t>
            </w:r>
          </w:p>
        </w:tc>
        <w:tc>
          <w:tcPr>
            <w:tcW w:w="1180" w:type="dxa"/>
          </w:tcPr>
          <w:p w:rsidR="00EF2BC3" w:rsidRDefault="00AF3002">
            <w:pPr>
              <w:jc w:val="center"/>
              <w:rPr>
                <w:noProof/>
                <w:sz w:val="20"/>
                <w:szCs w:val="20"/>
              </w:rPr>
            </w:pPr>
            <w:r>
              <w:rPr>
                <w:noProof/>
                <w:sz w:val="20"/>
                <w:szCs w:val="20"/>
              </w:rPr>
              <w:t>Public/</w:t>
            </w:r>
          </w:p>
          <w:p w:rsidR="00EF2BC3" w:rsidRDefault="00AF3002">
            <w:pPr>
              <w:jc w:val="center"/>
              <w:rPr>
                <w:noProof/>
                <w:sz w:val="20"/>
                <w:szCs w:val="20"/>
              </w:rPr>
            </w:pPr>
            <w:r>
              <w:rPr>
                <w:noProof/>
                <w:sz w:val="20"/>
                <w:szCs w:val="20"/>
              </w:rPr>
              <w:t>private</w:t>
            </w:r>
          </w:p>
        </w:tc>
        <w:tc>
          <w:tcPr>
            <w:tcW w:w="5245" w:type="dxa"/>
          </w:tcPr>
          <w:p w:rsidR="00EF2BC3" w:rsidRDefault="00AF3002">
            <w:pPr>
              <w:jc w:val="both"/>
              <w:rPr>
                <w:noProof/>
                <w:sz w:val="20"/>
                <w:szCs w:val="20"/>
              </w:rPr>
            </w:pPr>
            <w:r>
              <w:rPr>
                <w:noProof/>
                <w:sz w:val="20"/>
                <w:szCs w:val="20"/>
              </w:rPr>
              <w:t>Collecting, processing, conditioning and storing radioactive waste, decontaminating installations and laboratories.</w:t>
            </w:r>
          </w:p>
        </w:tc>
      </w:tr>
      <w:tr w:rsidR="00EF2BC3">
        <w:tc>
          <w:tcPr>
            <w:tcW w:w="675" w:type="dxa"/>
            <w:shd w:val="clear" w:color="auto" w:fill="E36C0A" w:themeFill="accent6" w:themeFillShade="BF"/>
          </w:tcPr>
          <w:p w:rsidR="00EF2BC3" w:rsidRDefault="00AF3002">
            <w:pPr>
              <w:rPr>
                <w:rFonts w:eastAsia="Times New Roman"/>
                <w:b/>
                <w:bCs/>
                <w:noProof/>
                <w:color w:val="FFFFFF" w:themeColor="background1"/>
                <w:sz w:val="20"/>
                <w:szCs w:val="20"/>
              </w:rPr>
            </w:pPr>
            <w:r>
              <w:rPr>
                <w:noProof/>
                <w:color w:val="FFFFFF" w:themeColor="background1"/>
                <w:sz w:val="20"/>
                <w:szCs w:val="20"/>
              </w:rPr>
              <w:t>EL</w:t>
            </w:r>
          </w:p>
        </w:tc>
        <w:tc>
          <w:tcPr>
            <w:tcW w:w="2364" w:type="dxa"/>
            <w:shd w:val="clear" w:color="auto" w:fill="auto"/>
          </w:tcPr>
          <w:p w:rsidR="00EF2BC3" w:rsidRDefault="00AF3002">
            <w:pPr>
              <w:rPr>
                <w:noProof/>
                <w:color w:val="000000" w:themeColor="text1"/>
                <w:sz w:val="20"/>
                <w:szCs w:val="20"/>
              </w:rPr>
            </w:pPr>
            <w:r>
              <w:rPr>
                <w:noProof/>
                <w:color w:val="000000" w:themeColor="text1"/>
                <w:sz w:val="20"/>
                <w:szCs w:val="20"/>
              </w:rPr>
              <w:t>National Center for Scientific Research (NCSR) "Demokritos"</w:t>
            </w:r>
          </w:p>
        </w:tc>
        <w:tc>
          <w:tcPr>
            <w:tcW w:w="1180" w:type="dxa"/>
            <w:shd w:val="clear" w:color="auto" w:fill="auto"/>
          </w:tcPr>
          <w:p w:rsidR="00EF2BC3" w:rsidRDefault="00AF3002">
            <w:pPr>
              <w:jc w:val="center"/>
              <w:rPr>
                <w:noProof/>
                <w:color w:val="000000" w:themeColor="text1"/>
                <w:sz w:val="20"/>
                <w:szCs w:val="20"/>
              </w:rPr>
            </w:pPr>
            <w:r>
              <w:rPr>
                <w:noProof/>
                <w:color w:val="000000" w:themeColor="text1"/>
                <w:sz w:val="20"/>
                <w:szCs w:val="20"/>
              </w:rPr>
              <w:t>Public</w:t>
            </w:r>
          </w:p>
        </w:tc>
        <w:tc>
          <w:tcPr>
            <w:tcW w:w="5245" w:type="dxa"/>
            <w:shd w:val="clear" w:color="auto" w:fill="auto"/>
          </w:tcPr>
          <w:p w:rsidR="00EF2BC3" w:rsidRDefault="00AF3002">
            <w:pPr>
              <w:jc w:val="both"/>
              <w:rPr>
                <w:noProof/>
                <w:color w:val="000000" w:themeColor="text1"/>
                <w:sz w:val="20"/>
                <w:szCs w:val="20"/>
              </w:rPr>
            </w:pPr>
            <w:r>
              <w:rPr>
                <w:noProof/>
                <w:color w:val="000000" w:themeColor="text1"/>
                <w:sz w:val="20"/>
                <w:szCs w:val="20"/>
              </w:rPr>
              <w:t>Interim storage facility of radioactive waste at the Institute of Nuclear and Radiological Sciences &amp; Technology, Energy &amp;</w:t>
            </w:r>
            <w:r>
              <w:rPr>
                <w:noProof/>
                <w:color w:val="000000" w:themeColor="text1"/>
                <w:sz w:val="20"/>
                <w:szCs w:val="20"/>
              </w:rPr>
              <w:t xml:space="preserve"> Safety (INRSTES) of the National Center for Scientific Research "Demokritos"). </w:t>
            </w:r>
            <w:r>
              <w:rPr>
                <w:rStyle w:val="Corpsdutexte125"/>
                <w:rFonts w:ascii="Times New Roman" w:hAnsi="Times New Roman" w:cs="Times New Roman"/>
                <w:b w:val="0"/>
                <w:noProof/>
                <w:color w:val="000000" w:themeColor="text1"/>
                <w:sz w:val="20"/>
                <w:szCs w:val="20"/>
              </w:rPr>
              <w:t>A National Radioactive Waste Management Committee is planned to be established.</w:t>
            </w:r>
          </w:p>
        </w:tc>
      </w:tr>
      <w:tr w:rsidR="00EF2BC3">
        <w:tc>
          <w:tcPr>
            <w:tcW w:w="675" w:type="dxa"/>
            <w:shd w:val="clear" w:color="auto" w:fill="E36C0A" w:themeFill="accent6" w:themeFillShade="BF"/>
          </w:tcPr>
          <w:p w:rsidR="00EF2BC3" w:rsidRDefault="00AF3002">
            <w:pPr>
              <w:rPr>
                <w:rFonts w:eastAsia="Times New Roman"/>
                <w:b/>
                <w:bCs/>
                <w:noProof/>
                <w:color w:val="FFFFFF" w:themeColor="background1"/>
                <w:sz w:val="20"/>
                <w:szCs w:val="20"/>
              </w:rPr>
            </w:pPr>
            <w:r>
              <w:rPr>
                <w:noProof/>
                <w:color w:val="FFFFFF" w:themeColor="background1"/>
                <w:sz w:val="20"/>
                <w:szCs w:val="20"/>
              </w:rPr>
              <w:t>DK</w:t>
            </w:r>
          </w:p>
        </w:tc>
        <w:tc>
          <w:tcPr>
            <w:tcW w:w="2364" w:type="dxa"/>
          </w:tcPr>
          <w:p w:rsidR="00EF2BC3" w:rsidRDefault="00AF3002">
            <w:pPr>
              <w:widowControl w:val="0"/>
              <w:autoSpaceDE w:val="0"/>
              <w:autoSpaceDN w:val="0"/>
              <w:adjustRightInd w:val="0"/>
              <w:spacing w:line="280" w:lineRule="atLeast"/>
              <w:rPr>
                <w:noProof/>
                <w:sz w:val="20"/>
                <w:szCs w:val="20"/>
              </w:rPr>
            </w:pPr>
            <w:r>
              <w:rPr>
                <w:noProof/>
                <w:sz w:val="20"/>
                <w:szCs w:val="20"/>
              </w:rPr>
              <w:t>Danish Decommissioning (DD)</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Decommissioning and receiving, handling and storage of </w:t>
            </w:r>
            <w:r>
              <w:rPr>
                <w:noProof/>
                <w:sz w:val="20"/>
                <w:szCs w:val="20"/>
              </w:rPr>
              <w:t>radioactive waste. Also licensed operator for all radioactive waste.</w:t>
            </w:r>
          </w:p>
        </w:tc>
      </w:tr>
      <w:tr w:rsidR="00EF2BC3">
        <w:tc>
          <w:tcPr>
            <w:tcW w:w="675" w:type="dxa"/>
            <w:shd w:val="clear" w:color="auto" w:fill="E36C0A" w:themeFill="accent6" w:themeFillShade="BF"/>
          </w:tcPr>
          <w:p w:rsidR="00EF2BC3" w:rsidRDefault="00AF3002">
            <w:pPr>
              <w:rPr>
                <w:rFonts w:eastAsia="Times New Roman"/>
                <w:b/>
                <w:bCs/>
                <w:noProof/>
                <w:color w:val="FFFFFF" w:themeColor="background1"/>
                <w:sz w:val="20"/>
                <w:szCs w:val="20"/>
              </w:rPr>
            </w:pPr>
            <w:r>
              <w:rPr>
                <w:noProof/>
                <w:color w:val="FFFFFF" w:themeColor="background1"/>
                <w:sz w:val="20"/>
                <w:szCs w:val="20"/>
              </w:rPr>
              <w:t>PL</w:t>
            </w:r>
          </w:p>
        </w:tc>
        <w:tc>
          <w:tcPr>
            <w:tcW w:w="2364" w:type="dxa"/>
          </w:tcPr>
          <w:p w:rsidR="00EF2BC3" w:rsidRDefault="00AF3002">
            <w:pPr>
              <w:widowControl w:val="0"/>
              <w:autoSpaceDE w:val="0"/>
              <w:autoSpaceDN w:val="0"/>
              <w:adjustRightInd w:val="0"/>
              <w:spacing w:line="280" w:lineRule="atLeast"/>
              <w:rPr>
                <w:noProof/>
                <w:sz w:val="20"/>
                <w:szCs w:val="20"/>
              </w:rPr>
            </w:pPr>
            <w:r>
              <w:rPr>
                <w:noProof/>
                <w:sz w:val="20"/>
                <w:szCs w:val="20"/>
              </w:rPr>
              <w:t>Radioactive Waste Management Plant (RWMP)</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Collection, segregation, and treatment, conditioning and interim storage/final disposal of all radioactive waste arising in the </w:t>
            </w:r>
            <w:r>
              <w:rPr>
                <w:noProof/>
                <w:sz w:val="20"/>
                <w:szCs w:val="20"/>
              </w:rPr>
              <w:t>country. Operating the National Radioactive Waste Repository in Rozan.</w:t>
            </w:r>
          </w:p>
        </w:tc>
      </w:tr>
      <w:tr w:rsidR="00EF2BC3">
        <w:tc>
          <w:tcPr>
            <w:tcW w:w="675" w:type="dxa"/>
            <w:shd w:val="clear" w:color="auto" w:fill="E36C0A" w:themeFill="accent6" w:themeFillShade="BF"/>
          </w:tcPr>
          <w:p w:rsidR="00EF2BC3" w:rsidRDefault="00AF3002">
            <w:pPr>
              <w:rPr>
                <w:rFonts w:eastAsia="Times New Roman"/>
                <w:bCs/>
                <w:noProof/>
                <w:color w:val="FFFFFF" w:themeColor="background1"/>
                <w:sz w:val="20"/>
                <w:szCs w:val="20"/>
              </w:rPr>
            </w:pPr>
            <w:r>
              <w:rPr>
                <w:noProof/>
                <w:color w:val="FFFFFF" w:themeColor="background1"/>
                <w:sz w:val="20"/>
                <w:szCs w:val="20"/>
              </w:rPr>
              <w:t>PT</w:t>
            </w:r>
          </w:p>
        </w:tc>
        <w:tc>
          <w:tcPr>
            <w:tcW w:w="2364" w:type="dxa"/>
          </w:tcPr>
          <w:p w:rsidR="00EF2BC3" w:rsidRDefault="00AF3002">
            <w:pPr>
              <w:rPr>
                <w:noProof/>
                <w:color w:val="000000" w:themeColor="text1"/>
                <w:sz w:val="20"/>
                <w:szCs w:val="20"/>
              </w:rPr>
            </w:pPr>
            <w:r>
              <w:rPr>
                <w:noProof/>
                <w:color w:val="000000" w:themeColor="text1"/>
                <w:sz w:val="20"/>
                <w:szCs w:val="20"/>
              </w:rPr>
              <w:t xml:space="preserve">Higher Technical Institute (ITN) </w:t>
            </w:r>
          </w:p>
        </w:tc>
        <w:tc>
          <w:tcPr>
            <w:tcW w:w="1180" w:type="dxa"/>
          </w:tcPr>
          <w:p w:rsidR="00EF2BC3" w:rsidRDefault="00AF3002">
            <w:pPr>
              <w:jc w:val="center"/>
              <w:rPr>
                <w:noProof/>
                <w:color w:val="000000" w:themeColor="text1"/>
                <w:sz w:val="20"/>
                <w:szCs w:val="20"/>
              </w:rPr>
            </w:pPr>
            <w:r>
              <w:rPr>
                <w:noProof/>
                <w:color w:val="000000" w:themeColor="text1"/>
                <w:sz w:val="20"/>
                <w:szCs w:val="20"/>
              </w:rPr>
              <w:t>Public</w:t>
            </w:r>
          </w:p>
        </w:tc>
        <w:tc>
          <w:tcPr>
            <w:tcW w:w="5245" w:type="dxa"/>
          </w:tcPr>
          <w:p w:rsidR="00EF2BC3" w:rsidRDefault="00AF3002">
            <w:pPr>
              <w:jc w:val="both"/>
              <w:rPr>
                <w:noProof/>
                <w:color w:val="000000" w:themeColor="text1"/>
                <w:sz w:val="20"/>
                <w:szCs w:val="20"/>
              </w:rPr>
            </w:pPr>
            <w:r>
              <w:rPr>
                <w:noProof/>
                <w:color w:val="000000" w:themeColor="text1"/>
                <w:sz w:val="20"/>
                <w:szCs w:val="20"/>
              </w:rPr>
              <w:t>Collecting, segregating, conditioning and storing solid and liquid radioactive waste.</w:t>
            </w:r>
          </w:p>
        </w:tc>
      </w:tr>
      <w:tr w:rsidR="00EF2BC3">
        <w:tc>
          <w:tcPr>
            <w:tcW w:w="675" w:type="dxa"/>
            <w:shd w:val="clear" w:color="auto" w:fill="E36C0A" w:themeFill="accent6" w:themeFillShade="BF"/>
          </w:tcPr>
          <w:p w:rsidR="00EF2BC3" w:rsidRDefault="00AF3002">
            <w:pPr>
              <w:rPr>
                <w:noProof/>
                <w:color w:val="FFFFFF" w:themeColor="background1"/>
                <w:sz w:val="20"/>
                <w:szCs w:val="20"/>
              </w:rPr>
            </w:pPr>
            <w:r>
              <w:rPr>
                <w:noProof/>
                <w:color w:val="FFFFFF" w:themeColor="background1"/>
                <w:sz w:val="20"/>
                <w:szCs w:val="20"/>
              </w:rPr>
              <w:t>EE</w:t>
            </w:r>
          </w:p>
        </w:tc>
        <w:tc>
          <w:tcPr>
            <w:tcW w:w="2364" w:type="dxa"/>
          </w:tcPr>
          <w:p w:rsidR="00EF2BC3" w:rsidRDefault="00AF3002">
            <w:pPr>
              <w:widowControl w:val="0"/>
              <w:autoSpaceDE w:val="0"/>
              <w:autoSpaceDN w:val="0"/>
              <w:adjustRightInd w:val="0"/>
              <w:spacing w:line="280" w:lineRule="atLeast"/>
              <w:rPr>
                <w:noProof/>
                <w:sz w:val="20"/>
                <w:szCs w:val="20"/>
              </w:rPr>
            </w:pPr>
            <w:r>
              <w:rPr>
                <w:noProof/>
                <w:sz w:val="20"/>
                <w:szCs w:val="20"/>
              </w:rPr>
              <w:t>A.L.A.R.A. AS</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 xml:space="preserve">Former Paldiski nuclear site </w:t>
            </w:r>
            <w:r>
              <w:rPr>
                <w:noProof/>
                <w:sz w:val="20"/>
                <w:szCs w:val="20"/>
              </w:rPr>
              <w:t>and Tammiku radioactive waste repository management and decontamination.</w:t>
            </w:r>
          </w:p>
        </w:tc>
      </w:tr>
      <w:tr w:rsidR="00EF2BC3">
        <w:tc>
          <w:tcPr>
            <w:tcW w:w="675" w:type="dxa"/>
            <w:shd w:val="clear" w:color="auto" w:fill="E36C0A" w:themeFill="accent6" w:themeFillShade="BF"/>
          </w:tcPr>
          <w:p w:rsidR="00EF2BC3" w:rsidRDefault="00AF3002">
            <w:pPr>
              <w:rPr>
                <w:noProof/>
                <w:color w:val="FFFFFF" w:themeColor="background1"/>
                <w:sz w:val="20"/>
                <w:szCs w:val="20"/>
              </w:rPr>
            </w:pPr>
            <w:r>
              <w:rPr>
                <w:noProof/>
                <w:color w:val="FFFFFF" w:themeColor="background1"/>
                <w:sz w:val="20"/>
                <w:szCs w:val="20"/>
              </w:rPr>
              <w:t>LV</w:t>
            </w:r>
          </w:p>
        </w:tc>
        <w:tc>
          <w:tcPr>
            <w:tcW w:w="2364" w:type="dxa"/>
          </w:tcPr>
          <w:p w:rsidR="00EF2BC3" w:rsidRDefault="00AF3002">
            <w:pPr>
              <w:widowControl w:val="0"/>
              <w:autoSpaceDE w:val="0"/>
              <w:autoSpaceDN w:val="0"/>
              <w:adjustRightInd w:val="0"/>
              <w:spacing w:line="280" w:lineRule="atLeast"/>
              <w:rPr>
                <w:noProof/>
                <w:sz w:val="20"/>
                <w:szCs w:val="20"/>
              </w:rPr>
            </w:pPr>
            <w:r>
              <w:rPr>
                <w:noProof/>
                <w:sz w:val="20"/>
                <w:szCs w:val="20"/>
              </w:rPr>
              <w:t>Latvian Environment, Geology and Meteorology Centre (LVGMC)</w:t>
            </w:r>
          </w:p>
        </w:tc>
        <w:tc>
          <w:tcPr>
            <w:tcW w:w="1180" w:type="dxa"/>
          </w:tcPr>
          <w:p w:rsidR="00EF2BC3" w:rsidRDefault="00AF3002">
            <w:pPr>
              <w:jc w:val="center"/>
              <w:rPr>
                <w:noProof/>
                <w:sz w:val="20"/>
                <w:szCs w:val="20"/>
              </w:rPr>
            </w:pPr>
            <w:r>
              <w:rPr>
                <w:noProof/>
                <w:sz w:val="20"/>
                <w:szCs w:val="20"/>
              </w:rPr>
              <w:t>Public</w:t>
            </w:r>
          </w:p>
        </w:tc>
        <w:tc>
          <w:tcPr>
            <w:tcW w:w="5245" w:type="dxa"/>
          </w:tcPr>
          <w:p w:rsidR="00EF2BC3" w:rsidRDefault="00AF3002">
            <w:pPr>
              <w:jc w:val="both"/>
              <w:rPr>
                <w:noProof/>
                <w:sz w:val="20"/>
                <w:szCs w:val="20"/>
              </w:rPr>
            </w:pPr>
            <w:r>
              <w:rPr>
                <w:noProof/>
                <w:sz w:val="20"/>
                <w:szCs w:val="20"/>
              </w:rPr>
              <w:t>Processing, reprocessing, storage for an extended period of time (long-term storage) and disposal of radioactive</w:t>
            </w:r>
            <w:r>
              <w:rPr>
                <w:noProof/>
                <w:sz w:val="20"/>
                <w:szCs w:val="20"/>
              </w:rPr>
              <w:t xml:space="preserve"> waste.</w:t>
            </w:r>
          </w:p>
        </w:tc>
      </w:tr>
    </w:tbl>
    <w:p w:rsidR="00EF2BC3" w:rsidRDefault="00AF3002">
      <w:pPr>
        <w:pStyle w:val="ManualHeading3"/>
        <w:spacing w:before="2"/>
        <w:rPr>
          <w:noProof/>
        </w:rPr>
      </w:pPr>
      <w:bookmarkStart w:id="14" w:name="_Toc474832860"/>
      <w:r>
        <w:t>2.1.4.</w:t>
      </w:r>
      <w:r>
        <w:tab/>
      </w:r>
      <w:r>
        <w:rPr>
          <w:noProof/>
        </w:rPr>
        <w:t>Regulatory framework and competent regulatory authorities</w:t>
      </w:r>
      <w:bookmarkEnd w:id="14"/>
      <w:r>
        <w:rPr>
          <w:noProof/>
        </w:rPr>
        <w:t xml:space="preserve"> </w:t>
      </w:r>
    </w:p>
    <w:p w:rsidR="00EF2BC3" w:rsidRDefault="00AF3002">
      <w:pPr>
        <w:widowControl w:val="0"/>
        <w:autoSpaceDE w:val="0"/>
        <w:autoSpaceDN w:val="0"/>
        <w:adjustRightInd w:val="0"/>
        <w:spacing w:before="120"/>
        <w:jc w:val="both"/>
        <w:rPr>
          <w:noProof/>
          <w:color w:val="000000" w:themeColor="text1"/>
        </w:rPr>
      </w:pPr>
      <w:r>
        <w:rPr>
          <w:rFonts w:eastAsia="Times New Roman"/>
          <w:noProof/>
        </w:rPr>
        <w:t>Member States</w:t>
      </w:r>
      <w:r>
        <w:rPr>
          <w:noProof/>
          <w:color w:val="000000" w:themeColor="text1"/>
        </w:rPr>
        <w:t xml:space="preserve"> are required to establish and maintain a competent regulatory authority in the field of safety of spent fuel and radioactive waste management. This authority shall be </w:t>
      </w:r>
      <w:r>
        <w:rPr>
          <w:noProof/>
          <w:color w:val="000000" w:themeColor="text1"/>
        </w:rPr>
        <w:t xml:space="preserve">independent and be given the legal powers, as well as human and financial resources necessary to fulfil its obligations (Article 6 of the Directive). </w:t>
      </w:r>
    </w:p>
    <w:p w:rsidR="00EF2BC3" w:rsidRDefault="00AF3002">
      <w:pPr>
        <w:widowControl w:val="0"/>
        <w:autoSpaceDE w:val="0"/>
        <w:autoSpaceDN w:val="0"/>
        <w:adjustRightInd w:val="0"/>
        <w:spacing w:before="120"/>
        <w:jc w:val="both"/>
        <w:rPr>
          <w:noProof/>
        </w:rPr>
      </w:pPr>
      <w:r>
        <w:rPr>
          <w:noProof/>
          <w:color w:val="000000" w:themeColor="text1"/>
        </w:rPr>
        <w:t>To date all</w:t>
      </w:r>
      <w:r>
        <w:rPr>
          <w:rFonts w:eastAsia="Times New Roman"/>
          <w:noProof/>
          <w:color w:val="000000" w:themeColor="text1"/>
        </w:rPr>
        <w:t xml:space="preserve"> EU </w:t>
      </w:r>
      <w:r>
        <w:rPr>
          <w:rFonts w:eastAsia="Times New Roman"/>
          <w:noProof/>
        </w:rPr>
        <w:t>Member States</w:t>
      </w:r>
      <w:r>
        <w:rPr>
          <w:rFonts w:eastAsia="Times New Roman"/>
          <w:noProof/>
          <w:color w:val="000000" w:themeColor="text1"/>
        </w:rPr>
        <w:t xml:space="preserve"> have established national competent authorities with defined responsibilitie</w:t>
      </w:r>
      <w:r>
        <w:rPr>
          <w:rFonts w:eastAsia="Times New Roman"/>
          <w:noProof/>
          <w:color w:val="000000" w:themeColor="text1"/>
        </w:rPr>
        <w:t xml:space="preserve">s and legal powers in the area of spent fuel and radioactive waste management (see Table 4). In general, the regulatory authorities also cover nuclear and radiation safety. The majority of </w:t>
      </w:r>
      <w:r>
        <w:rPr>
          <w:rFonts w:eastAsia="Times New Roman"/>
          <w:noProof/>
        </w:rPr>
        <w:t>Member States</w:t>
      </w:r>
      <w:r>
        <w:rPr>
          <w:rFonts w:eastAsia="Times New Roman"/>
          <w:noProof/>
          <w:color w:val="000000" w:themeColor="text1"/>
        </w:rPr>
        <w:t xml:space="preserve"> have only one competent authority, while in others; t</w:t>
      </w:r>
      <w:r>
        <w:rPr>
          <w:rFonts w:eastAsia="Times New Roman"/>
          <w:noProof/>
          <w:color w:val="000000" w:themeColor="text1"/>
        </w:rPr>
        <w:t>wo or more organisations have competence and regulatory functions in different aspects of spent fuel and radioactive waste management. In these cases, one of the authorities is competent for regulation and oversight of the management of spent fuel and radi</w:t>
      </w:r>
      <w:r>
        <w:rPr>
          <w:rFonts w:eastAsia="Times New Roman"/>
          <w:noProof/>
          <w:color w:val="000000" w:themeColor="text1"/>
        </w:rPr>
        <w:t>oactive waste originating from nuclear facilities, while another one is responsible for the safe management of institutional radioactive waste.</w:t>
      </w:r>
      <w:r>
        <w:rPr>
          <w:noProof/>
        </w:rPr>
        <w:t xml:space="preserve"> </w:t>
      </w:r>
    </w:p>
    <w:p w:rsidR="00EF2BC3" w:rsidRDefault="00AF3002">
      <w:pPr>
        <w:widowControl w:val="0"/>
        <w:autoSpaceDE w:val="0"/>
        <w:autoSpaceDN w:val="0"/>
        <w:adjustRightInd w:val="0"/>
        <w:spacing w:before="120"/>
        <w:jc w:val="both"/>
        <w:rPr>
          <w:rFonts w:eastAsia="Times New Roman"/>
          <w:noProof/>
          <w:color w:val="000000" w:themeColor="text1"/>
        </w:rPr>
      </w:pPr>
      <w:r>
        <w:rPr>
          <w:noProof/>
        </w:rPr>
        <w:t xml:space="preserve">In other Member States, there are regional regulatory authorities (such is the case of the United Kingdom and Germany), along with federal or national ones. As a general trend, </w:t>
      </w:r>
      <w:r>
        <w:rPr>
          <w:rFonts w:eastAsia="Times New Roman"/>
          <w:noProof/>
        </w:rPr>
        <w:t>Member States</w:t>
      </w:r>
      <w:r>
        <w:rPr>
          <w:noProof/>
        </w:rPr>
        <w:t xml:space="preserve"> with nuclear programmes have provided more information and detail</w:t>
      </w:r>
      <w:r>
        <w:rPr>
          <w:noProof/>
        </w:rPr>
        <w:t xml:space="preserve">s on the authority that regulates nuclear energy than on the ones responsible for the regulation of the institutional waste. </w:t>
      </w:r>
    </w:p>
    <w:p w:rsidR="00EF2BC3" w:rsidRDefault="00AF3002">
      <w:pPr>
        <w:spacing w:before="120"/>
        <w:jc w:val="both"/>
        <w:rPr>
          <w:noProof/>
        </w:rPr>
      </w:pPr>
      <w:r>
        <w:rPr>
          <w:noProof/>
        </w:rPr>
        <w:t xml:space="preserve">All </w:t>
      </w:r>
      <w:r>
        <w:rPr>
          <w:rFonts w:eastAsia="Times New Roman"/>
          <w:noProof/>
        </w:rPr>
        <w:t>Member States</w:t>
      </w:r>
      <w:r>
        <w:rPr>
          <w:noProof/>
        </w:rPr>
        <w:t xml:space="preserve"> declare the independence of their regulatory authorities from any other organisation or body (i) promoting or us</w:t>
      </w:r>
      <w:r>
        <w:rPr>
          <w:noProof/>
        </w:rPr>
        <w:t>ing nuclear energy or (ii) managing spent fuel and radioactive waste. In most cases, functional or administrative independency is established in the relevant national law. The regulatory authority is in some cases embedded in a Ministry, and in others it i</w:t>
      </w:r>
      <w:r>
        <w:rPr>
          <w:noProof/>
        </w:rPr>
        <w:t xml:space="preserve">s an autonomous body which reports to the national Parliament, the Council of Ministries, or the Government. </w:t>
      </w:r>
    </w:p>
    <w:p w:rsidR="00EF2BC3" w:rsidRDefault="00AF3002">
      <w:pPr>
        <w:spacing w:before="120"/>
        <w:jc w:val="both"/>
        <w:rPr>
          <w:noProof/>
        </w:rPr>
      </w:pPr>
      <w:r>
        <w:rPr>
          <w:noProof/>
        </w:rPr>
        <w:t>In general terms, regulatory authorities from countries without nuclear power programmes are usually small, corresponding to the radioactive waste</w:t>
      </w:r>
      <w:r>
        <w:rPr>
          <w:noProof/>
        </w:rPr>
        <w:t xml:space="preserve"> inventories to be managed, and often form part of the administrative structure of the State. In one particular case, the national regulatory authority does not have staff, or budget, and carries out its regulatory function through staff of other governmen</w:t>
      </w:r>
      <w:r>
        <w:rPr>
          <w:noProof/>
        </w:rPr>
        <w:t xml:space="preserve">tal bodies. The regulatory authorities of two EU </w:t>
      </w:r>
      <w:r>
        <w:rPr>
          <w:rFonts w:eastAsia="Times New Roman"/>
          <w:noProof/>
        </w:rPr>
        <w:t>Member States</w:t>
      </w:r>
      <w:r>
        <w:rPr>
          <w:noProof/>
        </w:rPr>
        <w:t xml:space="preserve"> (Italy and Portugal) are being reorganised with the objective of reinforcing their functional independence, while the regulatory body of the Netherlands has been reorganised recently.</w:t>
      </w:r>
    </w:p>
    <w:p w:rsidR="00EF2BC3" w:rsidRDefault="00AF3002">
      <w:pPr>
        <w:spacing w:before="120"/>
        <w:jc w:val="both"/>
        <w:rPr>
          <w:noProof/>
        </w:rPr>
      </w:pPr>
      <w:r>
        <w:rPr>
          <w:noProof/>
        </w:rPr>
        <w:t>In additi</w:t>
      </w:r>
      <w:r>
        <w:rPr>
          <w:noProof/>
        </w:rPr>
        <w:t>on to the functional and administrative independence, technical and financial capacity are also necessary elements for an effectively independent regulatory authority capable of implementing its responsibilities within the licensing system put in place for</w:t>
      </w:r>
      <w:r>
        <w:rPr>
          <w:noProof/>
        </w:rPr>
        <w:t xml:space="preserve"> the safety of radioactive waste and spent fuel. The national reports of most of the </w:t>
      </w:r>
      <w:r>
        <w:rPr>
          <w:rFonts w:eastAsia="Times New Roman"/>
          <w:noProof/>
        </w:rPr>
        <w:t>Member States</w:t>
      </w:r>
      <w:r>
        <w:rPr>
          <w:noProof/>
        </w:rPr>
        <w:t xml:space="preserve"> have provided information on measures for ensuring technical and financial independency. Examples of such measures include, for instance, ensuring adequate h</w:t>
      </w:r>
      <w:r>
        <w:rPr>
          <w:noProof/>
        </w:rPr>
        <w:t xml:space="preserve">uman resources and sufficient funding by law, establishing fees to the licensees, negotiation of the budget, etc. Over half of the Member States have informed on the current status of staff and budget (see Table 4). A few </w:t>
      </w:r>
      <w:r>
        <w:rPr>
          <w:rFonts w:eastAsia="Times New Roman"/>
          <w:noProof/>
        </w:rPr>
        <w:t>Member States</w:t>
      </w:r>
      <w:r>
        <w:rPr>
          <w:noProof/>
        </w:rPr>
        <w:t xml:space="preserve"> provided information</w:t>
      </w:r>
      <w:r>
        <w:rPr>
          <w:noProof/>
        </w:rPr>
        <w:t xml:space="preserve"> on how the management of the regulatory authority is appointed or dismissed, to show that management is not subject to undue influence in its regulatory mission. </w:t>
      </w:r>
    </w:p>
    <w:p w:rsidR="00EF2BC3" w:rsidRDefault="00AF3002">
      <w:pPr>
        <w:spacing w:before="120"/>
        <w:jc w:val="both"/>
        <w:rPr>
          <w:noProof/>
        </w:rPr>
      </w:pPr>
      <w:r>
        <w:rPr>
          <w:rFonts w:eastAsia="Times New Roman"/>
          <w:noProof/>
        </w:rPr>
        <w:t>Member States (and in particular those without nuclear energy programmes) face challenges wi</w:t>
      </w:r>
      <w:r>
        <w:rPr>
          <w:rFonts w:eastAsia="Times New Roman"/>
          <w:noProof/>
        </w:rPr>
        <w:t>th respect to maintaining adequate human resources in the long term. A few Member States have clearly indicated the available limited budget and/or human resources to perform the regulatory functions of the national competent authorities.</w:t>
      </w:r>
    </w:p>
    <w:p w:rsidR="00EF2BC3" w:rsidRDefault="00AF3002">
      <w:pPr>
        <w:spacing w:before="120"/>
        <w:jc w:val="both"/>
        <w:rPr>
          <w:noProof/>
        </w:rPr>
      </w:pPr>
      <w:r>
        <w:rPr>
          <w:noProof/>
        </w:rPr>
        <w:t>A few Member Stat</w:t>
      </w:r>
      <w:r>
        <w:rPr>
          <w:noProof/>
        </w:rPr>
        <w:t xml:space="preserve">es have reported that their regulatory authorities were responsible for storage of disused sources. </w:t>
      </w:r>
    </w:p>
    <w:p w:rsidR="00EF2BC3" w:rsidRDefault="00EF2BC3">
      <w:pPr>
        <w:spacing w:before="120"/>
        <w:jc w:val="both"/>
        <w:rPr>
          <w:noProof/>
        </w:rPr>
      </w:pPr>
    </w:p>
    <w:p w:rsidR="00EF2BC3" w:rsidRDefault="00EF2BC3">
      <w:pPr>
        <w:spacing w:before="120"/>
        <w:jc w:val="both"/>
        <w:rPr>
          <w:noProof/>
        </w:rPr>
      </w:pPr>
    </w:p>
    <w:p w:rsidR="00EF2BC3" w:rsidRDefault="00EF2BC3">
      <w:pPr>
        <w:spacing w:before="120"/>
        <w:jc w:val="both"/>
        <w:rPr>
          <w:noProof/>
        </w:rPr>
      </w:pPr>
    </w:p>
    <w:p w:rsidR="00EF2BC3" w:rsidRDefault="00EF2BC3">
      <w:pPr>
        <w:spacing w:before="120"/>
        <w:jc w:val="both"/>
        <w:rPr>
          <w:noProof/>
        </w:rPr>
      </w:pPr>
    </w:p>
    <w:p w:rsidR="00EF2BC3" w:rsidRDefault="00EF2BC3">
      <w:pPr>
        <w:spacing w:before="120"/>
        <w:jc w:val="both"/>
        <w:rPr>
          <w:noProof/>
        </w:rPr>
      </w:pPr>
    </w:p>
    <w:p w:rsidR="00EF2BC3" w:rsidRDefault="00AF3002">
      <w:pPr>
        <w:spacing w:before="240" w:after="120"/>
        <w:jc w:val="center"/>
        <w:outlineLvl w:val="0"/>
        <w:rPr>
          <w:rFonts w:eastAsia="Times New Roman"/>
          <w:b/>
          <w:noProof/>
        </w:rPr>
      </w:pPr>
      <w:bookmarkStart w:id="15" w:name="_Toc474832561"/>
      <w:bookmarkStart w:id="16" w:name="_Toc474832861"/>
      <w:r>
        <w:rPr>
          <w:rFonts w:eastAsia="Times New Roman"/>
          <w:b/>
          <w:noProof/>
        </w:rPr>
        <w:t>Table 4. National Competent Authorities for spent fuel and radioactive waste management</w:t>
      </w:r>
      <w:r>
        <w:rPr>
          <w:rStyle w:val="FootnoteReference"/>
          <w:rFonts w:eastAsia="Times New Roman"/>
          <w:b/>
          <w:noProof/>
        </w:rPr>
        <w:footnoteReference w:id="20"/>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63"/>
        <w:gridCol w:w="3686"/>
        <w:gridCol w:w="1701"/>
        <w:gridCol w:w="1134"/>
      </w:tblGrid>
      <w:tr w:rsidR="00EF2BC3">
        <w:trPr>
          <w:trHeight w:val="597"/>
        </w:trPr>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b/>
                <w:bCs/>
                <w:noProof/>
                <w:color w:val="FFFFFF" w:themeColor="background1"/>
                <w:sz w:val="20"/>
                <w:szCs w:val="20"/>
              </w:rPr>
            </w:pPr>
            <w:r>
              <w:rPr>
                <w:b/>
                <w:bCs/>
                <w:noProof/>
                <w:color w:val="FFFFFF" w:themeColor="background1"/>
                <w:sz w:val="20"/>
                <w:szCs w:val="20"/>
              </w:rPr>
              <w:t>MS</w:t>
            </w:r>
          </w:p>
        </w:tc>
        <w:tc>
          <w:tcPr>
            <w:tcW w:w="2263" w:type="dxa"/>
            <w:shd w:val="clear" w:color="auto" w:fill="548DD4" w:themeFill="text2" w:themeFillTint="99"/>
            <w:tcMar>
              <w:top w:w="100" w:type="nil"/>
              <w:left w:w="100" w:type="nil"/>
              <w:bottom w:w="100" w:type="nil"/>
              <w:right w:w="100" w:type="nil"/>
            </w:tcMar>
          </w:tcPr>
          <w:p w:rsidR="00EF2BC3" w:rsidRDefault="00AF3002">
            <w:pPr>
              <w:widowControl w:val="0"/>
              <w:tabs>
                <w:tab w:val="left" w:pos="459"/>
                <w:tab w:val="left" w:pos="742"/>
                <w:tab w:val="left" w:pos="9389"/>
              </w:tabs>
              <w:autoSpaceDE w:val="0"/>
              <w:autoSpaceDN w:val="0"/>
              <w:adjustRightInd w:val="0"/>
              <w:ind w:left="360"/>
              <w:jc w:val="center"/>
              <w:rPr>
                <w:b/>
                <w:noProof/>
                <w:color w:val="FFFFFF" w:themeColor="background1"/>
                <w:sz w:val="20"/>
                <w:szCs w:val="20"/>
              </w:rPr>
            </w:pPr>
            <w:r>
              <w:rPr>
                <w:b/>
                <w:noProof/>
                <w:color w:val="FFFFFF" w:themeColor="background1"/>
                <w:sz w:val="20"/>
                <w:szCs w:val="20"/>
              </w:rPr>
              <w:t>Competent authority</w:t>
            </w:r>
          </w:p>
        </w:tc>
        <w:tc>
          <w:tcPr>
            <w:tcW w:w="3686" w:type="dxa"/>
            <w:shd w:val="clear" w:color="auto" w:fill="548DD4" w:themeFill="text2" w:themeFillTint="99"/>
          </w:tcPr>
          <w:p w:rsidR="00EF2BC3" w:rsidRDefault="00AF3002">
            <w:pPr>
              <w:widowControl w:val="0"/>
              <w:tabs>
                <w:tab w:val="left" w:pos="12"/>
                <w:tab w:val="left" w:pos="9389"/>
              </w:tabs>
              <w:autoSpaceDE w:val="0"/>
              <w:autoSpaceDN w:val="0"/>
              <w:adjustRightInd w:val="0"/>
              <w:ind w:left="12"/>
              <w:jc w:val="center"/>
              <w:rPr>
                <w:b/>
                <w:noProof/>
                <w:color w:val="FFFFFF" w:themeColor="background1"/>
                <w:sz w:val="20"/>
                <w:szCs w:val="20"/>
              </w:rPr>
            </w:pPr>
            <w:r>
              <w:rPr>
                <w:b/>
                <w:noProof/>
                <w:color w:val="FFFFFF" w:themeColor="background1"/>
                <w:sz w:val="20"/>
                <w:szCs w:val="20"/>
              </w:rPr>
              <w:t xml:space="preserve">Responsibilities for spent fuel and </w:t>
            </w:r>
            <w:r>
              <w:rPr>
                <w:b/>
                <w:noProof/>
                <w:color w:val="FFFFFF" w:themeColor="background1"/>
                <w:sz w:val="20"/>
                <w:szCs w:val="20"/>
              </w:rPr>
              <w:t>radioactive waste</w:t>
            </w:r>
          </w:p>
        </w:tc>
        <w:tc>
          <w:tcPr>
            <w:tcW w:w="1701" w:type="dxa"/>
            <w:shd w:val="clear" w:color="auto" w:fill="548DD4" w:themeFill="text2" w:themeFillTint="99"/>
          </w:tcPr>
          <w:p w:rsidR="00EF2BC3" w:rsidRDefault="00AF3002">
            <w:pPr>
              <w:widowControl w:val="0"/>
              <w:tabs>
                <w:tab w:val="left" w:pos="459"/>
                <w:tab w:val="left" w:pos="742"/>
                <w:tab w:val="left" w:pos="9389"/>
              </w:tabs>
              <w:autoSpaceDE w:val="0"/>
              <w:autoSpaceDN w:val="0"/>
              <w:adjustRightInd w:val="0"/>
              <w:jc w:val="center"/>
              <w:rPr>
                <w:b/>
                <w:noProof/>
                <w:color w:val="FFFFFF" w:themeColor="background1"/>
                <w:sz w:val="20"/>
                <w:szCs w:val="20"/>
              </w:rPr>
            </w:pPr>
            <w:r>
              <w:rPr>
                <w:b/>
                <w:noProof/>
                <w:color w:val="FFFFFF" w:themeColor="background1"/>
                <w:sz w:val="20"/>
                <w:szCs w:val="20"/>
              </w:rPr>
              <w:t>Reporting to</w:t>
            </w:r>
          </w:p>
        </w:tc>
        <w:tc>
          <w:tcPr>
            <w:tcW w:w="1134" w:type="dxa"/>
            <w:shd w:val="clear" w:color="auto" w:fill="548DD4" w:themeFill="text2" w:themeFillTint="99"/>
          </w:tcPr>
          <w:p w:rsidR="00EF2BC3" w:rsidRDefault="00AF3002">
            <w:pPr>
              <w:widowControl w:val="0"/>
              <w:tabs>
                <w:tab w:val="left" w:pos="0"/>
                <w:tab w:val="left" w:pos="742"/>
                <w:tab w:val="left" w:pos="9389"/>
              </w:tabs>
              <w:autoSpaceDE w:val="0"/>
              <w:autoSpaceDN w:val="0"/>
              <w:adjustRightInd w:val="0"/>
              <w:ind w:left="118"/>
              <w:jc w:val="center"/>
              <w:rPr>
                <w:b/>
                <w:noProof/>
                <w:color w:val="FFFFFF" w:themeColor="background1"/>
                <w:sz w:val="20"/>
                <w:szCs w:val="20"/>
              </w:rPr>
            </w:pPr>
            <w:r>
              <w:rPr>
                <w:b/>
                <w:noProof/>
                <w:color w:val="FFFFFF" w:themeColor="background1"/>
                <w:sz w:val="20"/>
                <w:szCs w:val="20"/>
              </w:rPr>
              <w:t>Staff (year)</w:t>
            </w:r>
          </w:p>
        </w:tc>
      </w:tr>
      <w:tr w:rsidR="00EF2BC3">
        <w:trPr>
          <w:trHeight w:val="781"/>
        </w:trPr>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AT</w:t>
            </w:r>
          </w:p>
        </w:tc>
        <w:tc>
          <w:tcPr>
            <w:tcW w:w="2263" w:type="dxa"/>
            <w:tcMar>
              <w:top w:w="100" w:type="nil"/>
              <w:left w:w="100" w:type="nil"/>
              <w:bottom w:w="100" w:type="nil"/>
              <w:right w:w="100" w:type="nil"/>
            </w:tcMar>
          </w:tcPr>
          <w:p w:rsidR="00EF2BC3" w:rsidRDefault="00AF3002">
            <w:pPr>
              <w:widowControl w:val="0"/>
              <w:tabs>
                <w:tab w:val="left" w:pos="459"/>
                <w:tab w:val="left" w:pos="742"/>
                <w:tab w:val="left" w:pos="9389"/>
              </w:tabs>
              <w:autoSpaceDE w:val="0"/>
              <w:autoSpaceDN w:val="0"/>
              <w:adjustRightInd w:val="0"/>
              <w:ind w:left="37"/>
              <w:rPr>
                <w:noProof/>
                <w:color w:val="000000" w:themeColor="text1"/>
                <w:sz w:val="20"/>
                <w:szCs w:val="20"/>
              </w:rPr>
            </w:pPr>
            <w:hyperlink r:id="rId16" w:history="1">
              <w:r>
                <w:rPr>
                  <w:noProof/>
                  <w:color w:val="000000" w:themeColor="text1"/>
                  <w:sz w:val="20"/>
                  <w:szCs w:val="20"/>
                </w:rPr>
                <w:t>Federal Ministry of Agriculture, Forestry, Environment and Water Management</w:t>
              </w:r>
            </w:hyperlink>
            <w:r>
              <w:rPr>
                <w:noProof/>
                <w:color w:val="000000" w:themeColor="text1"/>
                <w:sz w:val="20"/>
                <w:szCs w:val="20"/>
              </w:rPr>
              <w:t xml:space="preserve"> (BMLFUW)</w:t>
            </w:r>
          </w:p>
        </w:tc>
        <w:tc>
          <w:tcPr>
            <w:tcW w:w="3686" w:type="dxa"/>
          </w:tcPr>
          <w:p w:rsidR="00EF2BC3" w:rsidRDefault="00AF3002">
            <w:pPr>
              <w:widowControl w:val="0"/>
              <w:tabs>
                <w:tab w:val="left" w:pos="459"/>
                <w:tab w:val="left" w:pos="742"/>
                <w:tab w:val="left" w:pos="9389"/>
              </w:tabs>
              <w:autoSpaceDE w:val="0"/>
              <w:autoSpaceDN w:val="0"/>
              <w:adjustRightInd w:val="0"/>
              <w:ind w:left="37"/>
              <w:rPr>
                <w:noProof/>
                <w:color w:val="000000" w:themeColor="text1"/>
                <w:sz w:val="20"/>
                <w:szCs w:val="20"/>
              </w:rPr>
            </w:pPr>
            <w:r>
              <w:rPr>
                <w:noProof/>
                <w:color w:val="000000" w:themeColor="text1"/>
                <w:sz w:val="20"/>
                <w:szCs w:val="20"/>
              </w:rPr>
              <w:t xml:space="preserve">BMLFUW is the </w:t>
            </w:r>
            <w:r>
              <w:rPr>
                <w:noProof/>
                <w:sz w:val="20"/>
                <w:szCs w:val="20"/>
              </w:rPr>
              <w:t xml:space="preserve">licensing and regulatory authority for the construction and </w:t>
            </w:r>
            <w:r>
              <w:rPr>
                <w:noProof/>
                <w:sz w:val="20"/>
                <w:szCs w:val="20"/>
              </w:rPr>
              <w:t>operation of radioactive waste management facilities.</w:t>
            </w:r>
          </w:p>
        </w:tc>
        <w:tc>
          <w:tcPr>
            <w:tcW w:w="1701" w:type="dxa"/>
          </w:tcPr>
          <w:p w:rsidR="00EF2BC3" w:rsidRDefault="00AF3002">
            <w:pPr>
              <w:widowControl w:val="0"/>
              <w:tabs>
                <w:tab w:val="left" w:pos="-108"/>
                <w:tab w:val="left" w:pos="9389"/>
              </w:tabs>
              <w:autoSpaceDE w:val="0"/>
              <w:autoSpaceDN w:val="0"/>
              <w:adjustRightInd w:val="0"/>
              <w:ind w:left="34"/>
              <w:rPr>
                <w:noProof/>
                <w:color w:val="000000" w:themeColor="text1"/>
                <w:sz w:val="20"/>
                <w:szCs w:val="20"/>
              </w:rPr>
            </w:pPr>
            <w:r>
              <w:rPr>
                <w:noProof/>
                <w:color w:val="000000" w:themeColor="text1"/>
                <w:sz w:val="20"/>
                <w:szCs w:val="20"/>
              </w:rPr>
              <w:t>Federal Government</w:t>
            </w:r>
          </w:p>
        </w:tc>
        <w:tc>
          <w:tcPr>
            <w:tcW w:w="1134" w:type="dxa"/>
          </w:tcPr>
          <w:p w:rsidR="00EF2BC3" w:rsidRDefault="00AF3002">
            <w:pPr>
              <w:widowControl w:val="0"/>
              <w:tabs>
                <w:tab w:val="left" w:pos="0"/>
                <w:tab w:val="left" w:pos="742"/>
                <w:tab w:val="left" w:pos="9389"/>
              </w:tabs>
              <w:autoSpaceDE w:val="0"/>
              <w:autoSpaceDN w:val="0"/>
              <w:adjustRightInd w:val="0"/>
              <w:ind w:left="34"/>
              <w:jc w:val="center"/>
              <w:rPr>
                <w:noProof/>
                <w:color w:val="000000" w:themeColor="text1"/>
                <w:sz w:val="20"/>
                <w:szCs w:val="20"/>
              </w:rPr>
            </w:pPr>
            <w:r>
              <w:rPr>
                <w:noProof/>
                <w:color w:val="000000" w:themeColor="text1"/>
                <w:sz w:val="20"/>
                <w:szCs w:val="20"/>
              </w:rPr>
              <w:t>Data not available</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BE</w:t>
            </w:r>
          </w:p>
        </w:tc>
        <w:tc>
          <w:tcPr>
            <w:tcW w:w="2263" w:type="dxa"/>
            <w:tcMar>
              <w:top w:w="100" w:type="nil"/>
              <w:left w:w="100" w:type="nil"/>
              <w:bottom w:w="100" w:type="nil"/>
              <w:right w:w="100" w:type="nil"/>
            </w:tcMar>
          </w:tcPr>
          <w:p w:rsidR="00EF2BC3" w:rsidRDefault="00AF3002">
            <w:pPr>
              <w:widowControl w:val="0"/>
              <w:tabs>
                <w:tab w:val="left" w:pos="459"/>
                <w:tab w:val="left" w:pos="720"/>
                <w:tab w:val="left" w:pos="9389"/>
              </w:tabs>
              <w:autoSpaceDE w:val="0"/>
              <w:autoSpaceDN w:val="0"/>
              <w:adjustRightInd w:val="0"/>
              <w:ind w:left="37"/>
              <w:rPr>
                <w:noProof/>
                <w:color w:val="000000" w:themeColor="text1"/>
                <w:sz w:val="20"/>
                <w:szCs w:val="20"/>
              </w:rPr>
            </w:pPr>
            <w:r>
              <w:rPr>
                <w:noProof/>
                <w:color w:val="000000" w:themeColor="text1"/>
                <w:sz w:val="20"/>
                <w:szCs w:val="20"/>
              </w:rPr>
              <w:t>Federal Agency for Nuclear Control (FANC)</w:t>
            </w: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With regard to the safety of disposal facilities, the competent regulatory authority, i.e. the AFCN/FANC, retains all </w:t>
            </w:r>
            <w:r>
              <w:rPr>
                <w:noProof/>
                <w:color w:val="000000" w:themeColor="text1"/>
                <w:sz w:val="20"/>
                <w:szCs w:val="20"/>
              </w:rPr>
              <w:t>of its prerogatives</w:t>
            </w:r>
          </w:p>
        </w:tc>
        <w:tc>
          <w:tcPr>
            <w:tcW w:w="1701" w:type="dxa"/>
          </w:tcPr>
          <w:p w:rsidR="00EF2BC3" w:rsidRDefault="00AF3002">
            <w:pPr>
              <w:widowControl w:val="0"/>
              <w:tabs>
                <w:tab w:val="left" w:pos="-108"/>
                <w:tab w:val="left" w:pos="9389"/>
              </w:tabs>
              <w:autoSpaceDE w:val="0"/>
              <w:autoSpaceDN w:val="0"/>
              <w:adjustRightInd w:val="0"/>
              <w:ind w:left="34"/>
              <w:rPr>
                <w:noProof/>
                <w:color w:val="000000" w:themeColor="text1"/>
                <w:sz w:val="20"/>
                <w:szCs w:val="20"/>
              </w:rPr>
            </w:pPr>
            <w:r>
              <w:rPr>
                <w:noProof/>
                <w:color w:val="000000" w:themeColor="text1"/>
                <w:sz w:val="20"/>
                <w:szCs w:val="20"/>
              </w:rPr>
              <w:t>Federal Minister of the Interior</w:t>
            </w:r>
          </w:p>
        </w:tc>
        <w:tc>
          <w:tcPr>
            <w:tcW w:w="1134" w:type="dxa"/>
          </w:tcPr>
          <w:p w:rsidR="00EF2BC3" w:rsidRDefault="00AF3002">
            <w:pPr>
              <w:widowControl w:val="0"/>
              <w:tabs>
                <w:tab w:val="left" w:pos="0"/>
                <w:tab w:val="left" w:pos="720"/>
                <w:tab w:val="left" w:pos="9389"/>
              </w:tabs>
              <w:autoSpaceDE w:val="0"/>
              <w:autoSpaceDN w:val="0"/>
              <w:adjustRightInd w:val="0"/>
              <w:ind w:left="34"/>
              <w:jc w:val="center"/>
              <w:rPr>
                <w:noProof/>
                <w:color w:val="000000" w:themeColor="text1"/>
                <w:sz w:val="20"/>
                <w:szCs w:val="20"/>
              </w:rPr>
            </w:pPr>
            <w:r>
              <w:rPr>
                <w:noProof/>
                <w:color w:val="000000" w:themeColor="text1"/>
                <w:sz w:val="20"/>
                <w:szCs w:val="20"/>
              </w:rPr>
              <w:t>Data not available</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BG</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Nuclear Regulatory Agency of the Republic of Bulgaria (BNRA)</w:t>
            </w: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BNRA has been assigned responsibility for all regulatory matters concerning radioactive waste and spent fuel management</w:t>
            </w:r>
            <w:r>
              <w:rPr>
                <w:noProof/>
                <w:color w:val="000000" w:themeColor="text1"/>
                <w:sz w:val="20"/>
                <w:szCs w:val="20"/>
              </w:rPr>
              <w:t xml:space="preserve"> facilities</w:t>
            </w:r>
          </w:p>
        </w:tc>
        <w:tc>
          <w:tcPr>
            <w:tcW w:w="1701"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Council of Ministers</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103</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HR</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State Office for Radiological and Nuclear Safety (SORNS)</w:t>
            </w:r>
          </w:p>
        </w:tc>
        <w:tc>
          <w:tcPr>
            <w:tcW w:w="3686" w:type="dxa"/>
          </w:tcPr>
          <w:p w:rsidR="00EF2BC3" w:rsidRDefault="00AF3002">
            <w:pPr>
              <w:widowControl w:val="0"/>
              <w:autoSpaceDE w:val="0"/>
              <w:autoSpaceDN w:val="0"/>
              <w:adjustRightInd w:val="0"/>
              <w:ind w:left="97" w:hanging="97"/>
              <w:rPr>
                <w:bCs/>
                <w:noProof/>
                <w:color w:val="000000" w:themeColor="text1"/>
                <w:sz w:val="20"/>
                <w:szCs w:val="20"/>
              </w:rPr>
            </w:pPr>
            <w:r>
              <w:rPr>
                <w:bCs/>
                <w:noProof/>
                <w:color w:val="000000" w:themeColor="text1"/>
                <w:sz w:val="20"/>
                <w:szCs w:val="20"/>
              </w:rPr>
              <w:t>- Establishes the legislative framework in the area of radiological, nuclear and physical safety;</w:t>
            </w:r>
          </w:p>
          <w:p w:rsidR="00EF2BC3" w:rsidRDefault="00AF3002">
            <w:pPr>
              <w:widowControl w:val="0"/>
              <w:autoSpaceDE w:val="0"/>
              <w:autoSpaceDN w:val="0"/>
              <w:adjustRightInd w:val="0"/>
              <w:ind w:left="97" w:hanging="97"/>
              <w:rPr>
                <w:bCs/>
                <w:noProof/>
                <w:color w:val="000000" w:themeColor="text1"/>
                <w:sz w:val="20"/>
                <w:szCs w:val="20"/>
              </w:rPr>
            </w:pPr>
            <w:r>
              <w:rPr>
                <w:bCs/>
                <w:noProof/>
                <w:color w:val="000000" w:themeColor="text1"/>
                <w:sz w:val="20"/>
                <w:szCs w:val="20"/>
              </w:rPr>
              <w:t>- Coordinates the drafting of the Strategy;</w:t>
            </w:r>
          </w:p>
          <w:p w:rsidR="00EF2BC3" w:rsidRDefault="00AF3002">
            <w:pPr>
              <w:widowControl w:val="0"/>
              <w:autoSpaceDE w:val="0"/>
              <w:autoSpaceDN w:val="0"/>
              <w:adjustRightInd w:val="0"/>
              <w:ind w:left="97" w:hanging="97"/>
              <w:rPr>
                <w:bCs/>
                <w:noProof/>
                <w:color w:val="000000" w:themeColor="text1"/>
                <w:sz w:val="20"/>
                <w:szCs w:val="20"/>
              </w:rPr>
            </w:pPr>
            <w:r>
              <w:rPr>
                <w:bCs/>
                <w:noProof/>
                <w:color w:val="000000" w:themeColor="text1"/>
                <w:sz w:val="20"/>
                <w:szCs w:val="20"/>
              </w:rPr>
              <w:t xml:space="preserve">- </w:t>
            </w:r>
            <w:r>
              <w:rPr>
                <w:bCs/>
                <w:noProof/>
                <w:color w:val="000000" w:themeColor="text1"/>
                <w:sz w:val="20"/>
                <w:szCs w:val="20"/>
              </w:rPr>
              <w:t>Regulates spent fuel and radioactive waste management;</w:t>
            </w:r>
          </w:p>
          <w:p w:rsidR="00EF2BC3" w:rsidRDefault="00AF3002">
            <w:pPr>
              <w:widowControl w:val="0"/>
              <w:autoSpaceDE w:val="0"/>
              <w:autoSpaceDN w:val="0"/>
              <w:adjustRightInd w:val="0"/>
              <w:ind w:left="97" w:hanging="97"/>
              <w:rPr>
                <w:bCs/>
                <w:noProof/>
                <w:color w:val="000000" w:themeColor="text1"/>
                <w:sz w:val="20"/>
                <w:szCs w:val="20"/>
              </w:rPr>
            </w:pPr>
            <w:r>
              <w:rPr>
                <w:bCs/>
                <w:noProof/>
                <w:color w:val="000000" w:themeColor="text1"/>
                <w:sz w:val="20"/>
                <w:szCs w:val="20"/>
              </w:rPr>
              <w:t>- Coordinates the drafting of the National programme for implementation of the Strategy;</w:t>
            </w:r>
          </w:p>
          <w:p w:rsidR="00EF2BC3" w:rsidRDefault="00AF3002">
            <w:pPr>
              <w:widowControl w:val="0"/>
              <w:autoSpaceDE w:val="0"/>
              <w:autoSpaceDN w:val="0"/>
              <w:adjustRightInd w:val="0"/>
              <w:ind w:left="97" w:hanging="97"/>
              <w:rPr>
                <w:bCs/>
                <w:noProof/>
                <w:color w:val="000000" w:themeColor="text1"/>
                <w:sz w:val="20"/>
                <w:szCs w:val="20"/>
              </w:rPr>
            </w:pPr>
            <w:r>
              <w:rPr>
                <w:bCs/>
                <w:noProof/>
                <w:color w:val="000000" w:themeColor="text1"/>
                <w:sz w:val="20"/>
                <w:szCs w:val="20"/>
              </w:rPr>
              <w:t>- Participates in administrative procedures for obtaining permits and authorisations for management facilities i</w:t>
            </w:r>
            <w:r>
              <w:rPr>
                <w:bCs/>
                <w:noProof/>
                <w:color w:val="000000" w:themeColor="text1"/>
                <w:sz w:val="20"/>
                <w:szCs w:val="20"/>
              </w:rPr>
              <w:t>ncluded under the Strategy;</w:t>
            </w:r>
          </w:p>
          <w:p w:rsidR="00EF2BC3" w:rsidRDefault="00AF3002">
            <w:pPr>
              <w:widowControl w:val="0"/>
              <w:autoSpaceDE w:val="0"/>
              <w:autoSpaceDN w:val="0"/>
              <w:adjustRightInd w:val="0"/>
              <w:ind w:left="97" w:hanging="97"/>
              <w:rPr>
                <w:noProof/>
                <w:color w:val="000000" w:themeColor="text1"/>
                <w:sz w:val="20"/>
                <w:szCs w:val="20"/>
              </w:rPr>
            </w:pPr>
            <w:r>
              <w:rPr>
                <w:bCs/>
                <w:noProof/>
                <w:color w:val="000000" w:themeColor="text1"/>
                <w:sz w:val="20"/>
                <w:szCs w:val="20"/>
              </w:rPr>
              <w:t>- Reporting and public information on the management of radioactive waste and spent fuel</w:t>
            </w:r>
            <w:r>
              <w:rPr>
                <w:noProof/>
                <w:color w:val="000000" w:themeColor="text1"/>
                <w:sz w:val="20"/>
                <w:szCs w:val="20"/>
              </w:rPr>
              <w:t xml:space="preserve"> </w:t>
            </w:r>
          </w:p>
        </w:tc>
        <w:tc>
          <w:tcPr>
            <w:tcW w:w="1701"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The Government of the Republic of Croatia</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22</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CY</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 xml:space="preserve">Radiation Inspection and Control Service – Department of Labour Inspection </w:t>
            </w:r>
            <w:r>
              <w:rPr>
                <w:noProof/>
                <w:color w:val="000000" w:themeColor="text1"/>
                <w:sz w:val="20"/>
                <w:szCs w:val="20"/>
              </w:rPr>
              <w:t>(RICS/DLI)</w:t>
            </w: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The MLWSI, acting through the RICS/DLI, is the regulatory authority for radiation protection and nuclear safety and has the responsibility for the administration of the relevant legislation and authorisation of all sources and practices involvin</w:t>
            </w:r>
            <w:r>
              <w:rPr>
                <w:noProof/>
                <w:color w:val="000000" w:themeColor="text1"/>
                <w:sz w:val="20"/>
                <w:szCs w:val="20"/>
              </w:rPr>
              <w:t>g risks of exposure to ionising radiation or release of radioactive materials in the environment.</w:t>
            </w:r>
          </w:p>
        </w:tc>
        <w:tc>
          <w:tcPr>
            <w:tcW w:w="1701" w:type="dxa"/>
          </w:tcPr>
          <w:p w:rsidR="00EF2BC3" w:rsidRDefault="00AF3002">
            <w:pPr>
              <w:widowControl w:val="0"/>
              <w:tabs>
                <w:tab w:val="left" w:pos="0"/>
              </w:tabs>
              <w:autoSpaceDE w:val="0"/>
              <w:autoSpaceDN w:val="0"/>
              <w:adjustRightInd w:val="0"/>
              <w:ind w:left="97"/>
              <w:rPr>
                <w:noProof/>
                <w:color w:val="000000" w:themeColor="text1"/>
                <w:sz w:val="20"/>
                <w:szCs w:val="20"/>
              </w:rPr>
            </w:pPr>
            <w:r>
              <w:rPr>
                <w:noProof/>
                <w:color w:val="000000" w:themeColor="text1"/>
                <w:sz w:val="20"/>
                <w:szCs w:val="20"/>
              </w:rPr>
              <w:t>Ministry of Labour, Welfare and Social Insurance (MLWSI)</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5</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CZ</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State Office for Nuclear Safety (SUJB)</w:t>
            </w: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State administration and supervision of the </w:t>
            </w:r>
            <w:r>
              <w:rPr>
                <w:noProof/>
                <w:color w:val="000000" w:themeColor="text1"/>
                <w:sz w:val="20"/>
                <w:szCs w:val="20"/>
              </w:rPr>
              <w:t>utilization of nuclear energy and ionizing</w:t>
            </w:r>
          </w:p>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radiation and in the field of radiation protection</w:t>
            </w:r>
          </w:p>
        </w:tc>
        <w:tc>
          <w:tcPr>
            <w:tcW w:w="1701" w:type="dxa"/>
          </w:tcPr>
          <w:p w:rsidR="00EF2BC3" w:rsidRDefault="00AF3002">
            <w:pPr>
              <w:widowControl w:val="0"/>
              <w:tabs>
                <w:tab w:val="left" w:pos="0"/>
              </w:tabs>
              <w:autoSpaceDE w:val="0"/>
              <w:autoSpaceDN w:val="0"/>
              <w:adjustRightInd w:val="0"/>
              <w:rPr>
                <w:noProof/>
                <w:color w:val="000000" w:themeColor="text1"/>
                <w:sz w:val="20"/>
                <w:szCs w:val="20"/>
              </w:rPr>
            </w:pPr>
            <w:r>
              <w:rPr>
                <w:noProof/>
                <w:color w:val="000000" w:themeColor="text1"/>
                <w:sz w:val="20"/>
                <w:szCs w:val="20"/>
              </w:rPr>
              <w:t>Prime Minister</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209</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(2014)</w:t>
            </w:r>
          </w:p>
        </w:tc>
      </w:tr>
      <w:tr w:rsidR="00EF2BC3">
        <w:trPr>
          <w:trHeight w:val="876"/>
        </w:trPr>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DK</w:t>
            </w: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rPr>
            </w:pPr>
            <w:r>
              <w:rPr>
                <w:noProof/>
                <w:color w:val="000000" w:themeColor="text1"/>
                <w:sz w:val="20"/>
                <w:szCs w:val="20"/>
              </w:rPr>
              <w:t>National Institute of Radiation Protection</w:t>
            </w:r>
          </w:p>
          <w:p w:rsidR="00EF2BC3" w:rsidRDefault="00EF2BC3">
            <w:pPr>
              <w:widowControl w:val="0"/>
              <w:tabs>
                <w:tab w:val="left" w:pos="220"/>
                <w:tab w:val="left" w:pos="720"/>
              </w:tabs>
              <w:autoSpaceDE w:val="0"/>
              <w:autoSpaceDN w:val="0"/>
              <w:adjustRightInd w:val="0"/>
              <w:ind w:left="37"/>
              <w:rPr>
                <w:noProof/>
                <w:color w:val="000000" w:themeColor="text1"/>
                <w:sz w:val="20"/>
                <w:szCs w:val="20"/>
              </w:rPr>
            </w:pPr>
          </w:p>
          <w:p w:rsidR="00EF2BC3" w:rsidRDefault="00EF2BC3">
            <w:pPr>
              <w:widowControl w:val="0"/>
              <w:tabs>
                <w:tab w:val="left" w:pos="220"/>
                <w:tab w:val="left" w:pos="720"/>
              </w:tabs>
              <w:autoSpaceDE w:val="0"/>
              <w:autoSpaceDN w:val="0"/>
              <w:adjustRightInd w:val="0"/>
              <w:ind w:left="37"/>
              <w:rPr>
                <w:noProof/>
                <w:color w:val="000000" w:themeColor="text1"/>
                <w:sz w:val="20"/>
                <w:szCs w:val="20"/>
              </w:rPr>
            </w:pP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As the radiation protection authority, performs duties relating to the use, etc. of </w:t>
            </w:r>
            <w:r>
              <w:rPr>
                <w:noProof/>
                <w:color w:val="000000" w:themeColor="text1"/>
                <w:sz w:val="20"/>
                <w:szCs w:val="20"/>
              </w:rPr>
              <w:t>radioactive substances, including the management and disposal of radioactive waste</w:t>
            </w:r>
          </w:p>
        </w:tc>
        <w:tc>
          <w:tcPr>
            <w:tcW w:w="1701"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Danish Health and Medicines Authority</w:t>
            </w:r>
          </w:p>
          <w:p w:rsidR="00EF2BC3" w:rsidRDefault="00EF2BC3">
            <w:pPr>
              <w:widowControl w:val="0"/>
              <w:tabs>
                <w:tab w:val="left" w:pos="0"/>
                <w:tab w:val="left" w:pos="720"/>
                <w:tab w:val="left" w:pos="9389"/>
              </w:tabs>
              <w:autoSpaceDE w:val="0"/>
              <w:autoSpaceDN w:val="0"/>
              <w:adjustRightInd w:val="0"/>
              <w:rPr>
                <w:noProof/>
                <w:color w:val="000000" w:themeColor="text1"/>
                <w:sz w:val="20"/>
                <w:szCs w:val="20"/>
              </w:rPr>
            </w:pPr>
          </w:p>
          <w:p w:rsidR="00EF2BC3" w:rsidRDefault="00EF2BC3">
            <w:pPr>
              <w:widowControl w:val="0"/>
              <w:tabs>
                <w:tab w:val="left" w:pos="0"/>
                <w:tab w:val="left" w:pos="720"/>
                <w:tab w:val="left" w:pos="9389"/>
              </w:tabs>
              <w:autoSpaceDE w:val="0"/>
              <w:autoSpaceDN w:val="0"/>
              <w:adjustRightInd w:val="0"/>
              <w:rPr>
                <w:noProof/>
                <w:color w:val="000000" w:themeColor="text1"/>
                <w:sz w:val="20"/>
                <w:szCs w:val="20"/>
              </w:rPr>
            </w:pPr>
          </w:p>
        </w:tc>
        <w:tc>
          <w:tcPr>
            <w:tcW w:w="1134" w:type="dxa"/>
          </w:tcPr>
          <w:p w:rsidR="00EF2BC3" w:rsidRDefault="00AF3002">
            <w:pPr>
              <w:widowControl w:val="0"/>
              <w:tabs>
                <w:tab w:val="left" w:pos="-108"/>
                <w:tab w:val="left" w:pos="0"/>
                <w:tab w:val="left" w:pos="720"/>
              </w:tabs>
              <w:autoSpaceDE w:val="0"/>
              <w:autoSpaceDN w:val="0"/>
              <w:adjustRightInd w:val="0"/>
              <w:ind w:left="34"/>
              <w:jc w:val="center"/>
              <w:rPr>
                <w:noProof/>
                <w:color w:val="000000" w:themeColor="text1"/>
                <w:sz w:val="20"/>
                <w:szCs w:val="20"/>
              </w:rPr>
            </w:pPr>
            <w:r>
              <w:rPr>
                <w:noProof/>
                <w:color w:val="000000" w:themeColor="text1"/>
                <w:sz w:val="20"/>
                <w:szCs w:val="20"/>
              </w:rPr>
              <w:t>No data</w:t>
            </w:r>
          </w:p>
        </w:tc>
      </w:tr>
      <w:tr w:rsidR="00EF2BC3">
        <w:trPr>
          <w:trHeight w:val="875"/>
        </w:trPr>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sz w:val="20"/>
                <w:szCs w:val="20"/>
              </w:rPr>
            </w:pP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rPr>
            </w:pPr>
            <w:r>
              <w:rPr>
                <w:noProof/>
                <w:color w:val="000000" w:themeColor="text1"/>
                <w:sz w:val="20"/>
                <w:szCs w:val="20"/>
              </w:rPr>
              <w:t xml:space="preserve">Danish Emergency Management Agency </w:t>
            </w:r>
          </w:p>
          <w:p w:rsidR="00EF2BC3" w:rsidRDefault="00EF2BC3">
            <w:pPr>
              <w:widowControl w:val="0"/>
              <w:tabs>
                <w:tab w:val="left" w:pos="220"/>
                <w:tab w:val="left" w:pos="720"/>
              </w:tabs>
              <w:autoSpaceDE w:val="0"/>
              <w:autoSpaceDN w:val="0"/>
              <w:adjustRightInd w:val="0"/>
              <w:ind w:left="37"/>
              <w:rPr>
                <w:noProof/>
                <w:color w:val="000000" w:themeColor="text1"/>
                <w:sz w:val="20"/>
                <w:szCs w:val="20"/>
              </w:rPr>
            </w:pP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International cooperation in the area of nuclear safety</w:t>
            </w:r>
          </w:p>
        </w:tc>
        <w:tc>
          <w:tcPr>
            <w:tcW w:w="1701"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Nuclear Division of the Danish</w:t>
            </w:r>
            <w:r>
              <w:rPr>
                <w:noProof/>
                <w:color w:val="000000" w:themeColor="text1"/>
                <w:sz w:val="20"/>
                <w:szCs w:val="20"/>
              </w:rPr>
              <w:t xml:space="preserve"> Emergency Management Agency</w:t>
            </w:r>
          </w:p>
        </w:tc>
        <w:tc>
          <w:tcPr>
            <w:tcW w:w="1134" w:type="dxa"/>
          </w:tcPr>
          <w:p w:rsidR="00EF2BC3" w:rsidRDefault="00AF3002">
            <w:pPr>
              <w:widowControl w:val="0"/>
              <w:tabs>
                <w:tab w:val="left" w:pos="-108"/>
                <w:tab w:val="left" w:pos="0"/>
                <w:tab w:val="left" w:pos="720"/>
              </w:tabs>
              <w:autoSpaceDE w:val="0"/>
              <w:autoSpaceDN w:val="0"/>
              <w:adjustRightInd w:val="0"/>
              <w:ind w:left="34"/>
              <w:jc w:val="center"/>
              <w:rPr>
                <w:noProof/>
                <w:color w:val="000000" w:themeColor="text1"/>
                <w:sz w:val="20"/>
                <w:szCs w:val="20"/>
              </w:rPr>
            </w:pPr>
            <w:r>
              <w:rPr>
                <w:noProof/>
                <w:color w:val="000000" w:themeColor="text1"/>
                <w:sz w:val="20"/>
                <w:szCs w:val="20"/>
              </w:rPr>
              <w:t>No data</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EE</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hyperlink r:id="rId17" w:history="1">
              <w:r>
                <w:rPr>
                  <w:noProof/>
                  <w:color w:val="000000" w:themeColor="text1"/>
                  <w:sz w:val="20"/>
                  <w:szCs w:val="20"/>
                </w:rPr>
                <w:t>Environmental Board</w:t>
              </w:r>
            </w:hyperlink>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(i) Reviews the applications of the radiation practice licences and the qualified expert licences, provides services ensuring radiation safety; (ii) </w:t>
            </w:r>
            <w:r>
              <w:rPr>
                <w:noProof/>
                <w:color w:val="000000" w:themeColor="text1"/>
                <w:sz w:val="20"/>
                <w:szCs w:val="20"/>
              </w:rPr>
              <w:t>advises the Environmental Inspectorate, which carries out monitoring and (iii) coordinates and controls the use of the environment and natural resources by applying the coercive measures of the state in the cases determined by law.</w:t>
            </w:r>
          </w:p>
        </w:tc>
        <w:tc>
          <w:tcPr>
            <w:tcW w:w="1701" w:type="dxa"/>
          </w:tcPr>
          <w:p w:rsidR="00EF2BC3" w:rsidRDefault="00AF3002">
            <w:pPr>
              <w:widowControl w:val="0"/>
              <w:tabs>
                <w:tab w:val="left" w:pos="0"/>
                <w:tab w:val="left" w:pos="720"/>
                <w:tab w:val="left" w:pos="9389"/>
              </w:tabs>
              <w:autoSpaceDE w:val="0"/>
              <w:autoSpaceDN w:val="0"/>
              <w:adjustRightInd w:val="0"/>
              <w:ind w:left="97"/>
              <w:rPr>
                <w:noProof/>
                <w:color w:val="000000" w:themeColor="text1"/>
                <w:sz w:val="20"/>
                <w:szCs w:val="20"/>
              </w:rPr>
            </w:pPr>
            <w:r>
              <w:rPr>
                <w:noProof/>
                <w:color w:val="000000" w:themeColor="text1"/>
                <w:sz w:val="20"/>
                <w:szCs w:val="20"/>
              </w:rPr>
              <w:t>Ministry of the Environm</w:t>
            </w:r>
            <w:r>
              <w:rPr>
                <w:noProof/>
                <w:color w:val="000000" w:themeColor="text1"/>
                <w:sz w:val="20"/>
                <w:szCs w:val="20"/>
              </w:rPr>
              <w:t>ent</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17</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(2014)</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FI</w:t>
            </w: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rPr>
            </w:pPr>
            <w:r>
              <w:rPr>
                <w:noProof/>
                <w:color w:val="000000" w:themeColor="text1"/>
                <w:sz w:val="20"/>
                <w:szCs w:val="20"/>
              </w:rPr>
              <w:t>Radiation and Nuclear Safety Authority (STUK)</w:t>
            </w:r>
          </w:p>
          <w:p w:rsidR="00EF2BC3" w:rsidRDefault="00EF2BC3">
            <w:pPr>
              <w:widowControl w:val="0"/>
              <w:tabs>
                <w:tab w:val="left" w:pos="220"/>
                <w:tab w:val="left" w:pos="720"/>
              </w:tabs>
              <w:autoSpaceDE w:val="0"/>
              <w:autoSpaceDN w:val="0"/>
              <w:adjustRightInd w:val="0"/>
              <w:ind w:left="37"/>
              <w:rPr>
                <w:noProof/>
                <w:color w:val="000000" w:themeColor="text1"/>
                <w:sz w:val="20"/>
                <w:szCs w:val="20"/>
              </w:rPr>
            </w:pP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STUK is responsible for controlling that the Radiation Act and other regulations based on the Act are followed. STUK grants safety licences for the use of radiation. The regulatory rights of </w:t>
            </w:r>
            <w:r>
              <w:rPr>
                <w:noProof/>
                <w:color w:val="000000" w:themeColor="text1"/>
                <w:sz w:val="20"/>
                <w:szCs w:val="20"/>
              </w:rPr>
              <w:t>STUK are described in the Radiation Act</w:t>
            </w:r>
          </w:p>
        </w:tc>
        <w:tc>
          <w:tcPr>
            <w:tcW w:w="1701" w:type="dxa"/>
          </w:tcPr>
          <w:p w:rsidR="00EF2BC3" w:rsidRDefault="00AF3002">
            <w:pPr>
              <w:widowControl w:val="0"/>
              <w:tabs>
                <w:tab w:val="left" w:pos="0"/>
              </w:tabs>
              <w:autoSpaceDE w:val="0"/>
              <w:autoSpaceDN w:val="0"/>
              <w:adjustRightInd w:val="0"/>
              <w:rPr>
                <w:noProof/>
                <w:color w:val="000000" w:themeColor="text1"/>
                <w:sz w:val="20"/>
                <w:szCs w:val="20"/>
              </w:rPr>
            </w:pPr>
            <w:r>
              <w:rPr>
                <w:noProof/>
                <w:color w:val="000000" w:themeColor="text1"/>
                <w:sz w:val="20"/>
                <w:szCs w:val="20"/>
              </w:rPr>
              <w:t>Ministry of Employment and the Economy</w:t>
            </w:r>
          </w:p>
          <w:p w:rsidR="00EF2BC3" w:rsidRDefault="00AF3002">
            <w:pPr>
              <w:widowControl w:val="0"/>
              <w:tabs>
                <w:tab w:val="left" w:pos="0"/>
              </w:tabs>
              <w:autoSpaceDE w:val="0"/>
              <w:autoSpaceDN w:val="0"/>
              <w:adjustRightInd w:val="0"/>
              <w:rPr>
                <w:noProof/>
                <w:color w:val="000000" w:themeColor="text1"/>
                <w:sz w:val="20"/>
                <w:szCs w:val="20"/>
              </w:rPr>
            </w:pPr>
            <w:r>
              <w:rPr>
                <w:noProof/>
                <w:color w:val="000000" w:themeColor="text1"/>
                <w:sz w:val="20"/>
                <w:szCs w:val="20"/>
              </w:rPr>
              <w:t>Ministry of Social Affairs and Health</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342</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(2014)</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FR</w:t>
            </w: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rPr>
            </w:pPr>
            <w:r>
              <w:rPr>
                <w:noProof/>
                <w:color w:val="000000" w:themeColor="text1"/>
                <w:sz w:val="20"/>
                <w:szCs w:val="20"/>
              </w:rPr>
              <w:t xml:space="preserve">The Parliament, the Government and </w:t>
            </w:r>
            <w:hyperlink r:id="rId18" w:history="1">
              <w:r>
                <w:rPr>
                  <w:noProof/>
                  <w:color w:val="000000" w:themeColor="text1"/>
                  <w:sz w:val="20"/>
                  <w:szCs w:val="20"/>
                </w:rPr>
                <w:t>Nuclear Safety Authority (ASN)</w:t>
              </w:r>
            </w:hyperlink>
            <w:r>
              <w:rPr>
                <w:noProof/>
                <w:color w:val="000000" w:themeColor="text1"/>
                <w:sz w:val="20"/>
                <w:szCs w:val="20"/>
              </w:rPr>
              <w:t xml:space="preserve"> </w:t>
            </w:r>
          </w:p>
          <w:p w:rsidR="00EF2BC3" w:rsidRDefault="00EF2BC3">
            <w:pPr>
              <w:widowControl w:val="0"/>
              <w:tabs>
                <w:tab w:val="left" w:pos="220"/>
                <w:tab w:val="left" w:pos="720"/>
              </w:tabs>
              <w:autoSpaceDE w:val="0"/>
              <w:autoSpaceDN w:val="0"/>
              <w:adjustRightInd w:val="0"/>
              <w:rPr>
                <w:noProof/>
                <w:color w:val="000000" w:themeColor="text1"/>
                <w:sz w:val="20"/>
                <w:szCs w:val="20"/>
              </w:rPr>
            </w:pPr>
          </w:p>
        </w:tc>
        <w:tc>
          <w:tcPr>
            <w:tcW w:w="3686" w:type="dxa"/>
          </w:tcPr>
          <w:p w:rsidR="00EF2BC3" w:rsidRDefault="00AF3002">
            <w:pPr>
              <w:widowControl w:val="0"/>
              <w:tabs>
                <w:tab w:val="left" w:pos="0"/>
                <w:tab w:val="left" w:pos="720"/>
                <w:tab w:val="left" w:pos="9389"/>
              </w:tabs>
              <w:autoSpaceDE w:val="0"/>
              <w:autoSpaceDN w:val="0"/>
              <w:adjustRightInd w:val="0"/>
              <w:rPr>
                <w:noProof/>
                <w:color w:val="000000" w:themeColor="text1"/>
                <w:sz w:val="20"/>
                <w:szCs w:val="20"/>
              </w:rPr>
            </w:pPr>
            <w:r>
              <w:rPr>
                <w:noProof/>
                <w:color w:val="000000" w:themeColor="text1"/>
                <w:sz w:val="20"/>
                <w:szCs w:val="20"/>
              </w:rPr>
              <w:t xml:space="preserve">Regulates, authorises, </w:t>
            </w:r>
            <w:r>
              <w:rPr>
                <w:noProof/>
                <w:color w:val="000000" w:themeColor="text1"/>
                <w:sz w:val="20"/>
                <w:szCs w:val="20"/>
              </w:rPr>
              <w:t>controls and helps the public authorities to manage emergencies, participate in the public information</w:t>
            </w:r>
          </w:p>
        </w:tc>
        <w:tc>
          <w:tcPr>
            <w:tcW w:w="1701" w:type="dxa"/>
          </w:tcPr>
          <w:p w:rsidR="00EF2BC3" w:rsidRDefault="00AF3002">
            <w:pPr>
              <w:widowControl w:val="0"/>
              <w:tabs>
                <w:tab w:val="left" w:pos="0"/>
              </w:tabs>
              <w:autoSpaceDE w:val="0"/>
              <w:autoSpaceDN w:val="0"/>
              <w:adjustRightInd w:val="0"/>
              <w:rPr>
                <w:noProof/>
                <w:color w:val="000000" w:themeColor="text1"/>
                <w:sz w:val="20"/>
                <w:szCs w:val="20"/>
              </w:rPr>
            </w:pPr>
            <w:r>
              <w:rPr>
                <w:noProof/>
                <w:color w:val="000000" w:themeColor="text1"/>
                <w:sz w:val="20"/>
                <w:szCs w:val="20"/>
              </w:rPr>
              <w:t>The ASN submits regular reports on its activities to Parliament and in particular to the Parliamentary Office for the Evaluation of Scientific and Techno</w:t>
            </w:r>
            <w:r>
              <w:rPr>
                <w:noProof/>
                <w:color w:val="000000" w:themeColor="text1"/>
                <w:sz w:val="20"/>
                <w:szCs w:val="20"/>
              </w:rPr>
              <w:t>logical Choices (OPECST) and parliamentary committees</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470</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(2013)</w:t>
            </w:r>
          </w:p>
        </w:tc>
      </w:tr>
      <w:tr w:rsidR="00EF2BC3">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DE</w:t>
            </w:r>
            <w:r>
              <w:rPr>
                <w:rStyle w:val="FootnoteReference"/>
                <w:b/>
                <w:bCs/>
                <w:noProof/>
                <w:color w:val="FFFFFF" w:themeColor="background1"/>
                <w:sz w:val="20"/>
                <w:szCs w:val="20"/>
              </w:rPr>
              <w:footnoteReference w:id="21"/>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The Federal Office for Radiation Protection (BfS)</w:t>
            </w:r>
          </w:p>
        </w:tc>
        <w:tc>
          <w:tcPr>
            <w:tcW w:w="3686" w:type="dxa"/>
          </w:tcPr>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Approval of interim storage facilities for nuclear fuels;</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Planning, construction, operation and decommissioning of repositories;</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xml:space="preserve">- </w:t>
            </w:r>
            <w:r>
              <w:rPr>
                <w:bCs/>
                <w:noProof/>
                <w:color w:val="000000" w:themeColor="text1"/>
                <w:sz w:val="20"/>
                <w:szCs w:val="20"/>
              </w:rPr>
              <w:t>Repository surveillance</w:t>
            </w:r>
          </w:p>
        </w:tc>
        <w:tc>
          <w:tcPr>
            <w:tcW w:w="1701" w:type="dxa"/>
            <w:vMerge w:val="restart"/>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Federal Ministry for the Environment, Nature Conservation, Building and Nuclear Safety (BMUB)</w:t>
            </w:r>
            <w:r>
              <w:rPr>
                <w:rStyle w:val="FootnoteReference"/>
                <w:noProof/>
                <w:color w:val="000000" w:themeColor="text1"/>
                <w:sz w:val="20"/>
                <w:szCs w:val="20"/>
              </w:rPr>
              <w:t xml:space="preserve"> </w:t>
            </w:r>
          </w:p>
        </w:tc>
        <w:tc>
          <w:tcPr>
            <w:tcW w:w="1134" w:type="dxa"/>
          </w:tcPr>
          <w:p w:rsidR="00EF2BC3" w:rsidRDefault="00AF3002">
            <w:pPr>
              <w:widowControl w:val="0"/>
              <w:tabs>
                <w:tab w:val="left" w:pos="0"/>
              </w:tabs>
              <w:autoSpaceDE w:val="0"/>
              <w:autoSpaceDN w:val="0"/>
              <w:adjustRightInd w:val="0"/>
              <w:ind w:left="34"/>
              <w:rPr>
                <w:noProof/>
                <w:color w:val="000000" w:themeColor="text1"/>
                <w:sz w:val="20"/>
                <w:szCs w:val="20"/>
              </w:rPr>
            </w:pPr>
            <w:r>
              <w:rPr>
                <w:noProof/>
                <w:color w:val="000000" w:themeColor="text1"/>
                <w:sz w:val="20"/>
                <w:szCs w:val="20"/>
              </w:rPr>
              <w:t>188 (2014</w:t>
            </w:r>
            <w:r>
              <w:rPr>
                <w:rStyle w:val="FootnoteReference"/>
                <w:noProof/>
                <w:color w:val="000000" w:themeColor="text1"/>
                <w:sz w:val="20"/>
                <w:szCs w:val="20"/>
              </w:rPr>
              <w:footnoteReference w:id="22"/>
            </w:r>
            <w:r>
              <w:rPr>
                <w:noProof/>
                <w:sz w:val="20"/>
                <w:szCs w:val="20"/>
              </w:rPr>
              <w:t>)</w:t>
            </w:r>
          </w:p>
        </w:tc>
      </w:tr>
      <w:tr w:rsidR="00EF2BC3">
        <w:trPr>
          <w:trHeight w:val="264"/>
        </w:trPr>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bCs/>
                <w:noProof/>
                <w:color w:val="000000" w:themeColor="text1"/>
                <w:sz w:val="20"/>
                <w:szCs w:val="20"/>
              </w:rPr>
              <w:t>Federal Office for the Regulation of Nuclear Waste Management (BfE)</w:t>
            </w:r>
          </w:p>
        </w:tc>
        <w:tc>
          <w:tcPr>
            <w:tcW w:w="3686" w:type="dxa"/>
          </w:tcPr>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Planning approval and licensing of repositories;</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xml:space="preserve">- </w:t>
            </w:r>
            <w:r>
              <w:rPr>
                <w:bCs/>
                <w:noProof/>
                <w:color w:val="000000" w:themeColor="text1"/>
                <w:sz w:val="20"/>
                <w:szCs w:val="20"/>
              </w:rPr>
              <w:t>Granting of licences in accordance with mining law;</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Mining supervision pursuant to Sections 69 to 74 of the Federal Mining Act;</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Granting of permits in accordance with water legislation</w:t>
            </w:r>
          </w:p>
        </w:tc>
        <w:tc>
          <w:tcPr>
            <w:tcW w:w="1701" w:type="dxa"/>
            <w:vMerge/>
          </w:tcPr>
          <w:p w:rsidR="00EF2BC3" w:rsidRDefault="00EF2BC3">
            <w:pPr>
              <w:widowControl w:val="0"/>
              <w:autoSpaceDE w:val="0"/>
              <w:autoSpaceDN w:val="0"/>
              <w:adjustRightInd w:val="0"/>
              <w:ind w:left="360"/>
              <w:rPr>
                <w:noProof/>
                <w:color w:val="000000" w:themeColor="text1"/>
                <w:sz w:val="20"/>
                <w:szCs w:val="20"/>
              </w:rPr>
            </w:pPr>
          </w:p>
        </w:tc>
        <w:tc>
          <w:tcPr>
            <w:tcW w:w="1134" w:type="dxa"/>
          </w:tcPr>
          <w:p w:rsidR="00EF2BC3" w:rsidRDefault="00AF3002">
            <w:pPr>
              <w:widowControl w:val="0"/>
              <w:tabs>
                <w:tab w:val="left" w:pos="0"/>
              </w:tabs>
              <w:autoSpaceDE w:val="0"/>
              <w:autoSpaceDN w:val="0"/>
              <w:adjustRightInd w:val="0"/>
              <w:ind w:left="34"/>
              <w:rPr>
                <w:noProof/>
                <w:color w:val="000000" w:themeColor="text1"/>
                <w:sz w:val="20"/>
                <w:szCs w:val="20"/>
              </w:rPr>
            </w:pPr>
            <w:r>
              <w:rPr>
                <w:noProof/>
                <w:color w:val="000000" w:themeColor="text1"/>
                <w:sz w:val="20"/>
                <w:szCs w:val="20"/>
              </w:rPr>
              <w:t>planned</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BMUB, </w:t>
            </w:r>
            <w:r>
              <w:rPr>
                <w:noProof/>
                <w:sz w:val="20"/>
                <w:szCs w:val="20"/>
              </w:rPr>
              <w:t>the Directorate-General Reactor Safety (RS)</w:t>
            </w:r>
          </w:p>
        </w:tc>
        <w:tc>
          <w:tcPr>
            <w:tcW w:w="3686" w:type="dxa"/>
          </w:tcPr>
          <w:p w:rsidR="00EF2BC3" w:rsidRDefault="00AF3002">
            <w:pPr>
              <w:widowControl w:val="0"/>
              <w:autoSpaceDE w:val="0"/>
              <w:autoSpaceDN w:val="0"/>
              <w:adjustRightInd w:val="0"/>
              <w:ind w:left="97" w:hanging="58"/>
              <w:rPr>
                <w:bCs/>
                <w:noProof/>
                <w:color w:val="000000" w:themeColor="text1"/>
                <w:sz w:val="20"/>
                <w:szCs w:val="20"/>
              </w:rPr>
            </w:pPr>
            <w:r>
              <w:rPr>
                <w:bCs/>
                <w:noProof/>
                <w:color w:val="000000" w:themeColor="text1"/>
                <w:sz w:val="20"/>
                <w:szCs w:val="20"/>
              </w:rPr>
              <w:t xml:space="preserve">- Competent authority for nuclear safety and radiation protection;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Legal and technical supervision of the Federal Office for Radiation Protection and of the Federal Office for the Regulation of Nuclear Waste Management;</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Responsible for the obligations</w:t>
            </w:r>
            <w:r>
              <w:rPr>
                <w:bCs/>
                <w:noProof/>
                <w:color w:val="000000" w:themeColor="text1"/>
                <w:sz w:val="20"/>
                <w:szCs w:val="20"/>
              </w:rPr>
              <w:t xml:space="preserve"> under the Joint Convention on the Safety of Spent Fuel Management and on the Safety of Radioactive Waste Management</w:t>
            </w:r>
          </w:p>
        </w:tc>
        <w:tc>
          <w:tcPr>
            <w:tcW w:w="1701" w:type="dxa"/>
          </w:tcPr>
          <w:p w:rsidR="00EF2BC3" w:rsidRDefault="00EF2BC3">
            <w:pPr>
              <w:widowControl w:val="0"/>
              <w:autoSpaceDE w:val="0"/>
              <w:autoSpaceDN w:val="0"/>
              <w:adjustRightInd w:val="0"/>
              <w:rPr>
                <w:noProof/>
                <w:color w:val="000000" w:themeColor="text1"/>
                <w:sz w:val="20"/>
                <w:szCs w:val="20"/>
              </w:rPr>
            </w:pP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 xml:space="preserve">36 </w:t>
            </w:r>
            <w:r>
              <w:rPr>
                <w:rStyle w:val="FootnoteReference"/>
                <w:noProof/>
                <w:color w:val="000000" w:themeColor="text1"/>
                <w:sz w:val="20"/>
                <w:szCs w:val="20"/>
              </w:rPr>
              <w:footnoteReference w:id="23"/>
            </w:r>
            <w:r>
              <w:rPr>
                <w:noProof/>
                <w:color w:val="000000" w:themeColor="text1"/>
                <w:sz w:val="20"/>
                <w:szCs w:val="20"/>
              </w:rPr>
              <w:t xml:space="preserve"> (2014)</w:t>
            </w:r>
          </w:p>
          <w:p w:rsidR="00EF2BC3" w:rsidRDefault="00EF2BC3">
            <w:pPr>
              <w:widowControl w:val="0"/>
              <w:tabs>
                <w:tab w:val="left" w:pos="0"/>
              </w:tabs>
              <w:autoSpaceDE w:val="0"/>
              <w:autoSpaceDN w:val="0"/>
              <w:adjustRightInd w:val="0"/>
              <w:ind w:left="34"/>
              <w:jc w:val="center"/>
              <w:rPr>
                <w:noProof/>
                <w:color w:val="000000" w:themeColor="text1"/>
                <w:sz w:val="20"/>
                <w:szCs w:val="20"/>
              </w:rPr>
            </w:pPr>
          </w:p>
        </w:tc>
      </w:tr>
      <w:tr w:rsidR="00EF2BC3">
        <w:tc>
          <w:tcPr>
            <w:tcW w:w="680" w:type="dxa"/>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spacing w:after="240" w:line="340" w:lineRule="atLeast"/>
              <w:rPr>
                <w:noProof/>
                <w:sz w:val="20"/>
                <w:szCs w:val="20"/>
              </w:rPr>
            </w:pPr>
            <w:r>
              <w:rPr>
                <w:noProof/>
                <w:sz w:val="20"/>
                <w:szCs w:val="20"/>
              </w:rPr>
              <w:t>16 Länder</w:t>
            </w:r>
          </w:p>
        </w:tc>
        <w:tc>
          <w:tcPr>
            <w:tcW w:w="3686" w:type="dxa"/>
          </w:tcPr>
          <w:p w:rsidR="00EF2BC3" w:rsidRDefault="00AF3002">
            <w:pPr>
              <w:widowControl w:val="0"/>
              <w:autoSpaceDE w:val="0"/>
              <w:autoSpaceDN w:val="0"/>
              <w:adjustRightInd w:val="0"/>
              <w:jc w:val="both"/>
              <w:rPr>
                <w:noProof/>
                <w:sz w:val="20"/>
                <w:szCs w:val="20"/>
              </w:rPr>
            </w:pPr>
            <w:r>
              <w:rPr>
                <w:noProof/>
                <w:sz w:val="20"/>
                <w:szCs w:val="20"/>
              </w:rPr>
              <w:t>Land Ministry is responsible for licensing and supervision of spent fuel treatment facilities</w:t>
            </w:r>
          </w:p>
        </w:tc>
        <w:tc>
          <w:tcPr>
            <w:tcW w:w="1701" w:type="dxa"/>
          </w:tcPr>
          <w:p w:rsidR="00EF2BC3" w:rsidRDefault="00AF3002">
            <w:pPr>
              <w:widowControl w:val="0"/>
              <w:autoSpaceDE w:val="0"/>
              <w:autoSpaceDN w:val="0"/>
              <w:adjustRightInd w:val="0"/>
              <w:jc w:val="center"/>
              <w:rPr>
                <w:noProof/>
                <w:color w:val="000000" w:themeColor="text1"/>
                <w:sz w:val="20"/>
                <w:szCs w:val="20"/>
              </w:rPr>
            </w:pPr>
            <w:r>
              <w:rPr>
                <w:noProof/>
                <w:color w:val="000000" w:themeColor="text1"/>
                <w:sz w:val="20"/>
                <w:szCs w:val="20"/>
              </w:rPr>
              <w:t>Federal government</w:t>
            </w:r>
          </w:p>
        </w:tc>
        <w:tc>
          <w:tcPr>
            <w:tcW w:w="1134" w:type="dxa"/>
          </w:tcPr>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270</w:t>
            </w:r>
            <w:r>
              <w:rPr>
                <w:rStyle w:val="FootnoteReference"/>
                <w:noProof/>
                <w:color w:val="000000" w:themeColor="text1"/>
                <w:sz w:val="20"/>
                <w:szCs w:val="20"/>
              </w:rPr>
              <w:footnoteReference w:id="24"/>
            </w:r>
            <w:r>
              <w:rPr>
                <w:noProof/>
                <w:color w:val="000000" w:themeColor="text1"/>
                <w:sz w:val="20"/>
                <w:szCs w:val="20"/>
              </w:rPr>
              <w:t xml:space="preserve"> (2014)</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EL</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Greek Atomic Energy Commission (EEAE)</w:t>
            </w:r>
          </w:p>
        </w:tc>
        <w:tc>
          <w:tcPr>
            <w:tcW w:w="3686" w:type="dxa"/>
          </w:tcPr>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Control, regulation and supervision in the fields of nuclear energy, nuclear technology, radiological, nuclear safety and radiation protection.</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According to its statutory role EEAE has the legal power t</w:t>
            </w:r>
            <w:r>
              <w:rPr>
                <w:bCs/>
                <w:noProof/>
                <w:color w:val="000000" w:themeColor="text1"/>
                <w:sz w:val="20"/>
                <w:szCs w:val="20"/>
              </w:rPr>
              <w:t xml:space="preserve">o exercise the regulatory control of facilities and activities in the fields of radiation protection and radiation and nuclear safety. As described in detail in Article 43, par. 4 of the new Law 4310/2014 the competencies (legal powers) of EEAE include: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w:t>
            </w:r>
            <w:r>
              <w:rPr>
                <w:bCs/>
                <w:noProof/>
                <w:color w:val="000000" w:themeColor="text1"/>
                <w:sz w:val="20"/>
                <w:szCs w:val="20"/>
              </w:rPr>
              <w:t xml:space="preserve"> development of safety procedures, regulations and legislation;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licensing and inspection procedures;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environmental radioactivity monitoring;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radiological surveillance;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emergency preparedness;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research in the fields of its competence;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public information;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international cooperation and national representations; </w:t>
            </w:r>
          </w:p>
          <w:p w:rsidR="00EF2BC3" w:rsidRDefault="00AF3002">
            <w:pPr>
              <w:widowControl w:val="0"/>
              <w:autoSpaceDE w:val="0"/>
              <w:autoSpaceDN w:val="0"/>
              <w:adjustRightInd w:val="0"/>
              <w:ind w:left="97"/>
              <w:rPr>
                <w:bCs/>
                <w:noProof/>
                <w:color w:val="000000" w:themeColor="text1"/>
                <w:sz w:val="20"/>
                <w:szCs w:val="20"/>
              </w:rPr>
            </w:pPr>
            <w:r>
              <w:rPr>
                <w:bCs/>
                <w:noProof/>
                <w:color w:val="000000" w:themeColor="text1"/>
                <w:sz w:val="20"/>
                <w:szCs w:val="20"/>
              </w:rPr>
              <w:t xml:space="preserve">- education and training; </w:t>
            </w:r>
          </w:p>
          <w:p w:rsidR="00EF2BC3" w:rsidRDefault="00AF3002">
            <w:pPr>
              <w:widowControl w:val="0"/>
              <w:autoSpaceDE w:val="0"/>
              <w:autoSpaceDN w:val="0"/>
              <w:adjustRightInd w:val="0"/>
              <w:ind w:left="97"/>
              <w:rPr>
                <w:noProof/>
                <w:color w:val="000000" w:themeColor="text1"/>
                <w:sz w:val="20"/>
                <w:szCs w:val="20"/>
              </w:rPr>
            </w:pPr>
            <w:r>
              <w:rPr>
                <w:bCs/>
                <w:noProof/>
                <w:color w:val="000000" w:themeColor="text1"/>
                <w:sz w:val="20"/>
                <w:szCs w:val="20"/>
              </w:rPr>
              <w:t>- personal dosimetry and calibration services</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Minister of Education, Research and Religious Affairs</w:t>
            </w:r>
          </w:p>
        </w:tc>
        <w:tc>
          <w:tcPr>
            <w:tcW w:w="1134" w:type="dxa"/>
          </w:tcPr>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74</w:t>
            </w:r>
          </w:p>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(2014)*</w:t>
            </w:r>
          </w:p>
        </w:tc>
      </w:tr>
      <w:tr w:rsidR="00EF2BC3">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HU</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Hungarian Atomic Energy </w:t>
            </w:r>
            <w:r>
              <w:rPr>
                <w:noProof/>
                <w:color w:val="000000" w:themeColor="text1"/>
                <w:sz w:val="20"/>
                <w:szCs w:val="20"/>
              </w:rPr>
              <w:t>Authority (HAEA)</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The supervisory and administrative regulatory competence relating to nuclear safety and physical protection regarding nuclear installations, radioactive waste disposal facilities as well as nuclear and radioactive materials lies with the H</w:t>
            </w:r>
            <w:r>
              <w:rPr>
                <w:noProof/>
                <w:color w:val="000000" w:themeColor="text1"/>
                <w:sz w:val="20"/>
                <w:szCs w:val="20"/>
              </w:rPr>
              <w:t>AEA in Hungary. The Atomic Energy Act authorises the HAEA to perform is supervisory activity.</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The Minister appointed by the Prime Minister, currently by the Minister for National Development.</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rPr>
            </w:pPr>
            <w:r>
              <w:rPr>
                <w:noProof/>
                <w:color w:val="000000" w:themeColor="text1"/>
              </w:rPr>
              <w:t>80</w:t>
            </w:r>
          </w:p>
          <w:p w:rsidR="00EF2BC3" w:rsidRDefault="00AF3002">
            <w:pPr>
              <w:widowControl w:val="0"/>
              <w:tabs>
                <w:tab w:val="left" w:pos="0"/>
              </w:tabs>
              <w:autoSpaceDE w:val="0"/>
              <w:autoSpaceDN w:val="0"/>
              <w:adjustRightInd w:val="0"/>
              <w:ind w:left="118"/>
              <w:jc w:val="center"/>
              <w:rPr>
                <w:noProof/>
                <w:color w:val="000000" w:themeColor="text1"/>
              </w:rPr>
            </w:pPr>
            <w:r>
              <w:rPr>
                <w:noProof/>
                <w:color w:val="000000" w:themeColor="text1"/>
              </w:rPr>
              <w:t>(2014)</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National Public Health and Medical Officer Service, </w:t>
            </w:r>
            <w:r>
              <w:rPr>
                <w:noProof/>
                <w:color w:val="000000" w:themeColor="text1"/>
                <w:sz w:val="20"/>
                <w:szCs w:val="20"/>
              </w:rPr>
              <w:t>Office of the Chief Medical Officer (NPHMOS-OCMO)</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The national professional and regulatory body is the granting authority for regulations on radiation protection and the radiohygiene units of priority facilities, also participating in the nuclear safety li</w:t>
            </w:r>
            <w:r>
              <w:rPr>
                <w:noProof/>
                <w:color w:val="000000" w:themeColor="text1"/>
                <w:sz w:val="20"/>
                <w:szCs w:val="20"/>
              </w:rPr>
              <w:t>censing process as the competent authority for radiohygiene health issues.</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Minister for Health</w:t>
            </w:r>
          </w:p>
        </w:tc>
        <w:tc>
          <w:tcPr>
            <w:tcW w:w="1134" w:type="dxa"/>
          </w:tcPr>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49</w:t>
            </w:r>
          </w:p>
          <w:p w:rsidR="00EF2BC3" w:rsidRDefault="00AF3002">
            <w:pPr>
              <w:widowControl w:val="0"/>
              <w:tabs>
                <w:tab w:val="left" w:pos="0"/>
              </w:tabs>
              <w:autoSpaceDE w:val="0"/>
              <w:autoSpaceDN w:val="0"/>
              <w:adjustRightInd w:val="0"/>
              <w:ind w:left="118"/>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IE</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Environmental Protection Agency (EPA)</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Regulates radioactive material including practices involving radioactive waste, and radiation sources through</w:t>
            </w:r>
            <w:r>
              <w:rPr>
                <w:noProof/>
                <w:color w:val="000000" w:themeColor="text1"/>
                <w:sz w:val="20"/>
                <w:szCs w:val="20"/>
              </w:rPr>
              <w:t xml:space="preserve"> a licensing system</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Department of Environment, Community and Local Government (DECLG)</w:t>
            </w: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34 in the Office for Radiological Protection</w:t>
            </w:r>
          </w:p>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b/>
                <w:bCs/>
                <w:noProof/>
                <w:color w:val="FFFFFF" w:themeColor="background1"/>
                <w:sz w:val="20"/>
                <w:szCs w:val="20"/>
              </w:rPr>
            </w:pPr>
            <w:r>
              <w:rPr>
                <w:b/>
                <w:bCs/>
                <w:noProof/>
                <w:color w:val="FFFFFF" w:themeColor="background1"/>
                <w:sz w:val="20"/>
                <w:szCs w:val="20"/>
              </w:rPr>
              <w:t>IT</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National Inspectorate for Nuclear Safety and Radiation Protection (ISIN) – new competent regulatory authority </w:t>
            </w:r>
            <w:r>
              <w:rPr>
                <w:noProof/>
                <w:color w:val="000000" w:themeColor="text1"/>
                <w:sz w:val="20"/>
                <w:szCs w:val="20"/>
              </w:rPr>
              <w:t>established by the Legislative Decree n° 45/2014</w:t>
            </w:r>
          </w:p>
          <w:p w:rsidR="00EF2BC3" w:rsidRDefault="00EF2BC3">
            <w:pPr>
              <w:widowControl w:val="0"/>
              <w:autoSpaceDE w:val="0"/>
              <w:autoSpaceDN w:val="0"/>
              <w:adjustRightInd w:val="0"/>
              <w:rPr>
                <w:noProof/>
                <w:color w:val="000000" w:themeColor="text1"/>
                <w:sz w:val="20"/>
                <w:szCs w:val="20"/>
              </w:rPr>
            </w:pP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Nuclear, Technological and Industrial Risk Department of Institute for Environmental Protection and Research (ISPRA) – until ISIN becomes operational</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The assessment and the inspection activities on nuclear </w:t>
            </w:r>
            <w:r>
              <w:rPr>
                <w:noProof/>
                <w:color w:val="000000" w:themeColor="text1"/>
                <w:sz w:val="20"/>
                <w:szCs w:val="20"/>
              </w:rPr>
              <w:t xml:space="preserve">installations, as well as for approving detailed designs or activities related to the construction of nuclear facilities, which are part of the general construction licence granted by the Minister of Economic Development </w:t>
            </w:r>
          </w:p>
          <w:p w:rsidR="00EF2BC3" w:rsidRDefault="00EF2BC3">
            <w:pPr>
              <w:widowControl w:val="0"/>
              <w:tabs>
                <w:tab w:val="left" w:pos="220"/>
                <w:tab w:val="left" w:pos="720"/>
              </w:tabs>
              <w:autoSpaceDE w:val="0"/>
              <w:autoSpaceDN w:val="0"/>
              <w:adjustRightInd w:val="0"/>
              <w:ind w:left="360"/>
              <w:rPr>
                <w:noProof/>
                <w:color w:val="000000" w:themeColor="text1"/>
                <w:sz w:val="20"/>
                <w:szCs w:val="20"/>
              </w:rPr>
            </w:pPr>
          </w:p>
        </w:tc>
        <w:tc>
          <w:tcPr>
            <w:tcW w:w="1701" w:type="dxa"/>
          </w:tcPr>
          <w:p w:rsidR="00EF2BC3" w:rsidRDefault="00EF2BC3">
            <w:pPr>
              <w:widowControl w:val="0"/>
              <w:tabs>
                <w:tab w:val="left" w:pos="220"/>
                <w:tab w:val="left" w:pos="720"/>
              </w:tabs>
              <w:autoSpaceDE w:val="0"/>
              <w:autoSpaceDN w:val="0"/>
              <w:adjustRightInd w:val="0"/>
              <w:ind w:left="34"/>
              <w:rPr>
                <w:noProof/>
                <w:color w:val="000000" w:themeColor="text1"/>
                <w:sz w:val="20"/>
                <w:szCs w:val="20"/>
              </w:rPr>
            </w:pPr>
          </w:p>
          <w:p w:rsidR="00EF2BC3" w:rsidRDefault="00EF2BC3">
            <w:pPr>
              <w:widowControl w:val="0"/>
              <w:tabs>
                <w:tab w:val="left" w:pos="220"/>
                <w:tab w:val="left" w:pos="720"/>
              </w:tabs>
              <w:autoSpaceDE w:val="0"/>
              <w:autoSpaceDN w:val="0"/>
              <w:adjustRightInd w:val="0"/>
              <w:ind w:left="34"/>
              <w:rPr>
                <w:noProof/>
                <w:color w:val="000000" w:themeColor="text1"/>
                <w:sz w:val="20"/>
                <w:szCs w:val="20"/>
              </w:rPr>
            </w:pPr>
          </w:p>
          <w:p w:rsidR="00EF2BC3" w:rsidRDefault="00AF3002">
            <w:pPr>
              <w:widowControl w:val="0"/>
              <w:tabs>
                <w:tab w:val="left" w:pos="220"/>
                <w:tab w:val="left" w:pos="720"/>
              </w:tabs>
              <w:autoSpaceDE w:val="0"/>
              <w:autoSpaceDN w:val="0"/>
              <w:adjustRightInd w:val="0"/>
              <w:ind w:left="34"/>
              <w:rPr>
                <w:noProof/>
                <w:color w:val="000000" w:themeColor="text1"/>
                <w:sz w:val="20"/>
                <w:szCs w:val="20"/>
              </w:rPr>
            </w:pPr>
            <w:r>
              <w:rPr>
                <w:noProof/>
                <w:color w:val="000000" w:themeColor="text1"/>
                <w:sz w:val="20"/>
                <w:szCs w:val="20"/>
              </w:rPr>
              <w:t xml:space="preserve">Ministry of Economic </w:t>
            </w:r>
            <w:r>
              <w:rPr>
                <w:noProof/>
                <w:color w:val="000000" w:themeColor="text1"/>
                <w:sz w:val="20"/>
                <w:szCs w:val="20"/>
              </w:rPr>
              <w:t>Development</w:t>
            </w:r>
          </w:p>
        </w:tc>
        <w:tc>
          <w:tcPr>
            <w:tcW w:w="1134" w:type="dxa"/>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 w:val="left" w:pos="220"/>
                <w:tab w:val="left" w:pos="720"/>
              </w:tabs>
              <w:autoSpaceDE w:val="0"/>
              <w:autoSpaceDN w:val="0"/>
              <w:adjustRightInd w:val="0"/>
              <w:ind w:left="29"/>
              <w:jc w:val="center"/>
              <w:rPr>
                <w:noProof/>
                <w:color w:val="000000" w:themeColor="text1"/>
                <w:sz w:val="20"/>
                <w:szCs w:val="20"/>
              </w:rPr>
            </w:pPr>
            <w:r>
              <w:rPr>
                <w:noProof/>
                <w:color w:val="000000" w:themeColor="text1"/>
                <w:sz w:val="20"/>
                <w:szCs w:val="20"/>
              </w:rPr>
              <w:t>No available data</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LV</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Radiation Safety Centre of the State Environmental Service (SES RSC)</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The SES RSC ensures national supervision and control in the area of radiation and nuclear safety, and also organises and coordinates training of the </w:t>
            </w:r>
            <w:r>
              <w:rPr>
                <w:noProof/>
                <w:color w:val="000000" w:themeColor="text1"/>
                <w:sz w:val="20"/>
                <w:szCs w:val="20"/>
              </w:rPr>
              <w:t>personnel whose work is related to radiation safety in order to increase the level of radiation safety in the country.</w:t>
            </w:r>
          </w:p>
        </w:tc>
        <w:tc>
          <w:tcPr>
            <w:tcW w:w="1701" w:type="dxa"/>
          </w:tcPr>
          <w:p w:rsidR="00EF2BC3" w:rsidRDefault="00AF3002">
            <w:pPr>
              <w:widowControl w:val="0"/>
              <w:tabs>
                <w:tab w:val="left" w:pos="220"/>
                <w:tab w:val="left" w:pos="720"/>
              </w:tabs>
              <w:autoSpaceDE w:val="0"/>
              <w:autoSpaceDN w:val="0"/>
              <w:adjustRightInd w:val="0"/>
              <w:ind w:left="34"/>
              <w:rPr>
                <w:noProof/>
                <w:color w:val="000000" w:themeColor="text1"/>
                <w:sz w:val="20"/>
                <w:szCs w:val="20"/>
              </w:rPr>
            </w:pPr>
            <w:r>
              <w:rPr>
                <w:noProof/>
                <w:color w:val="000000" w:themeColor="text1"/>
                <w:sz w:val="20"/>
                <w:szCs w:val="20"/>
              </w:rPr>
              <w:t>Ministry of Environmental Protection and Regional Development</w:t>
            </w:r>
          </w:p>
        </w:tc>
        <w:tc>
          <w:tcPr>
            <w:tcW w:w="1134" w:type="dxa"/>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 w:val="left" w:pos="220"/>
                <w:tab w:val="left" w:pos="720"/>
              </w:tabs>
              <w:autoSpaceDE w:val="0"/>
              <w:autoSpaceDN w:val="0"/>
              <w:adjustRightInd w:val="0"/>
              <w:ind w:left="29"/>
              <w:jc w:val="center"/>
              <w:rPr>
                <w:noProof/>
                <w:color w:val="000000" w:themeColor="text1"/>
                <w:sz w:val="20"/>
                <w:szCs w:val="20"/>
              </w:rPr>
            </w:pPr>
            <w:r>
              <w:rPr>
                <w:noProof/>
                <w:color w:val="000000" w:themeColor="text1"/>
                <w:sz w:val="20"/>
                <w:szCs w:val="20"/>
              </w:rPr>
              <w:t>No available data</w:t>
            </w:r>
          </w:p>
        </w:tc>
      </w:tr>
      <w:tr w:rsidR="00EF2BC3">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LT</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State Nuclear Power Safety Inspectorate (VATESI)</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Regulation and supervision of nuclear safety, radiation safety of nuclear energy activities involving sources of ionizing radiation, physical security of nuclear installations, nuclear materials and/or nuclear fuel cycle materials and accountancy and contr</w:t>
            </w:r>
            <w:r>
              <w:rPr>
                <w:noProof/>
                <w:color w:val="000000" w:themeColor="text1"/>
                <w:sz w:val="20"/>
                <w:szCs w:val="20"/>
              </w:rPr>
              <w:t>ol of nuclear materials as well as supervision of requirements arising from international nuclear weapon non-proliferation obligations of Republic of Lithuania.</w:t>
            </w:r>
          </w:p>
        </w:tc>
        <w:tc>
          <w:tcPr>
            <w:tcW w:w="1701" w:type="dxa"/>
          </w:tcPr>
          <w:p w:rsidR="00EF2BC3" w:rsidRDefault="00AF3002">
            <w:pPr>
              <w:widowControl w:val="0"/>
              <w:tabs>
                <w:tab w:val="left" w:pos="220"/>
                <w:tab w:val="left" w:pos="720"/>
              </w:tabs>
              <w:autoSpaceDE w:val="0"/>
              <w:autoSpaceDN w:val="0"/>
              <w:adjustRightInd w:val="0"/>
              <w:ind w:left="34"/>
              <w:rPr>
                <w:noProof/>
                <w:color w:val="000000" w:themeColor="text1"/>
                <w:sz w:val="20"/>
                <w:szCs w:val="20"/>
              </w:rPr>
            </w:pPr>
            <w:r>
              <w:rPr>
                <w:noProof/>
                <w:color w:val="000000" w:themeColor="text1"/>
                <w:sz w:val="20"/>
                <w:szCs w:val="20"/>
              </w:rPr>
              <w:t>The Cabinet of Government and the President</w:t>
            </w: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75</w:t>
            </w:r>
          </w:p>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(2015)</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FFFFFF" w:themeColor="background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Radiation Protection Centre (RPC)</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Regulation of radiation protection</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Ministry of Health</w:t>
            </w:r>
          </w:p>
        </w:tc>
        <w:tc>
          <w:tcPr>
            <w:tcW w:w="1134" w:type="dxa"/>
          </w:tcPr>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59 (2015)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LU</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Radiation Protection Division (RDP)</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The RPD is in charge of a) preparing the technical aspects of draft laws, regulations and orders b) lays down the conditions for licences. It has also </w:t>
            </w:r>
            <w:r>
              <w:rPr>
                <w:noProof/>
                <w:color w:val="000000" w:themeColor="text1"/>
                <w:sz w:val="20"/>
                <w:szCs w:val="20"/>
              </w:rPr>
              <w:t>published several guidelines.</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Minister for Health</w:t>
            </w:r>
          </w:p>
        </w:tc>
        <w:tc>
          <w:tcPr>
            <w:tcW w:w="1134" w:type="dxa"/>
          </w:tcPr>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9</w:t>
            </w:r>
          </w:p>
          <w:p w:rsidR="00EF2BC3" w:rsidRDefault="00AF3002">
            <w:pPr>
              <w:widowControl w:val="0"/>
              <w:tabs>
                <w:tab w:val="left" w:pos="0"/>
              </w:tabs>
              <w:autoSpaceDE w:val="0"/>
              <w:autoSpaceDN w:val="0"/>
              <w:adjustRightInd w:val="0"/>
              <w:ind w:left="176"/>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MT</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Radiation Protection Board (RPB)</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The functions of the RPB cover all waste activities (and the facilities when they are commissioned). </w:t>
            </w:r>
          </w:p>
          <w:p w:rsidR="00EF2BC3" w:rsidRDefault="00EF2BC3">
            <w:pPr>
              <w:widowControl w:val="0"/>
              <w:autoSpaceDE w:val="0"/>
              <w:autoSpaceDN w:val="0"/>
              <w:adjustRightInd w:val="0"/>
              <w:ind w:left="360"/>
              <w:rPr>
                <w:noProof/>
                <w:color w:val="000000" w:themeColor="text1"/>
                <w:sz w:val="20"/>
                <w:szCs w:val="20"/>
              </w:rPr>
            </w:pP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 xml:space="preserve">Ministry of Social Dialogue, Consumer Affairs and Civil </w:t>
            </w:r>
            <w:r>
              <w:rPr>
                <w:noProof/>
                <w:color w:val="000000" w:themeColor="text1"/>
                <w:sz w:val="20"/>
                <w:szCs w:val="20"/>
              </w:rPr>
              <w:t>Liberties (MSDC)</w:t>
            </w:r>
          </w:p>
        </w:tc>
        <w:tc>
          <w:tcPr>
            <w:tcW w:w="1134" w:type="dxa"/>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 w:val="left" w:pos="220"/>
                <w:tab w:val="left" w:pos="720"/>
              </w:tabs>
              <w:autoSpaceDE w:val="0"/>
              <w:autoSpaceDN w:val="0"/>
              <w:adjustRightInd w:val="0"/>
              <w:ind w:left="29"/>
              <w:jc w:val="center"/>
              <w:rPr>
                <w:noProof/>
                <w:color w:val="000000" w:themeColor="text1"/>
                <w:sz w:val="20"/>
                <w:szCs w:val="20"/>
              </w:rPr>
            </w:pPr>
            <w:r>
              <w:rPr>
                <w:noProof/>
                <w:color w:val="000000" w:themeColor="text1"/>
                <w:sz w:val="20"/>
                <w:szCs w:val="20"/>
              </w:rPr>
              <w:t>No available data</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NL</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Authority for Nuclear Safety and Radiation Protection (ANVS)</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preparing legislation and regulations and policy (including the national</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programme);</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awarding licences and the accompanying review &amp; assessment and </w:t>
            </w:r>
            <w:r>
              <w:rPr>
                <w:noProof/>
                <w:color w:val="000000" w:themeColor="text1"/>
                <w:sz w:val="20"/>
                <w:szCs w:val="20"/>
              </w:rPr>
              <w:t>evaluation</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tasks;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supervision and enforcement; informing interested parties and the public;</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participating in activities of international organisations;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maintaining relationships with comparable foreign authorities and national and</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international organis</w:t>
            </w:r>
            <w:r>
              <w:rPr>
                <w:noProof/>
                <w:color w:val="000000" w:themeColor="text1"/>
                <w:sz w:val="20"/>
                <w:szCs w:val="20"/>
              </w:rPr>
              <w:t>ations;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supporting national organisations with the provision of knowledge;</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having research in support of the implementation of its tasks.</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Ministry of Infrastructure and the Environment (I&amp;M)</w:t>
            </w: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122</w:t>
            </w:r>
          </w:p>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(2016)</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PL</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National Atomic Energy Agency (NAEA)</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Tasks </w:t>
            </w:r>
            <w:r>
              <w:rPr>
                <w:noProof/>
                <w:color w:val="000000" w:themeColor="text1"/>
                <w:sz w:val="20"/>
                <w:szCs w:val="20"/>
              </w:rPr>
              <w:t>that involve ensuring national nuclear safety and radiological protection, in particular:</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supervision over activities;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promulgation of technical and organisational recommendations concerning nuclear safety and radiological protection;</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performing the </w:t>
            </w:r>
            <w:r>
              <w:rPr>
                <w:noProof/>
                <w:color w:val="000000" w:themeColor="text1"/>
                <w:sz w:val="20"/>
                <w:szCs w:val="20"/>
              </w:rPr>
              <w:t>tasks involving the assessment of national radiation situation in normal conditions and in radiation emergency situations, and the transmission of relevant information to appropriate authorities and to the general public;</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performing the tasks resulting f</w:t>
            </w:r>
            <w:r>
              <w:rPr>
                <w:noProof/>
                <w:color w:val="000000" w:themeColor="text1"/>
                <w:sz w:val="20"/>
                <w:szCs w:val="20"/>
              </w:rPr>
              <w:t>rom the obligations of the Republic of Poland</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activities involving public communication, education and popularisation;</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cooperation with governmental and local administration authorities in matters involving nuclear safety and radiological protection;</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w:t>
            </w:r>
            <w:r>
              <w:rPr>
                <w:noProof/>
                <w:color w:val="000000" w:themeColor="text1"/>
                <w:sz w:val="20"/>
                <w:szCs w:val="20"/>
              </w:rPr>
              <w:t xml:space="preserve"> preparing opinions;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cooperation with appropriate foreign national entities and international organisations;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developing the drafts of legal acts;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giving opinions on the draft legal acts developed by authorised bodies</w:t>
            </w:r>
          </w:p>
          <w:p w:rsidR="00EF2BC3" w:rsidRDefault="00EF2BC3">
            <w:pPr>
              <w:widowControl w:val="0"/>
              <w:autoSpaceDE w:val="0"/>
              <w:autoSpaceDN w:val="0"/>
              <w:adjustRightInd w:val="0"/>
              <w:ind w:left="360"/>
              <w:rPr>
                <w:noProof/>
                <w:color w:val="000000" w:themeColor="text1"/>
                <w:sz w:val="20"/>
                <w:szCs w:val="20"/>
              </w:rPr>
            </w:pP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 xml:space="preserve">Minister competent for </w:t>
            </w:r>
            <w:r>
              <w:rPr>
                <w:noProof/>
                <w:color w:val="000000" w:themeColor="text1"/>
                <w:sz w:val="20"/>
                <w:szCs w:val="20"/>
              </w:rPr>
              <w:t>environmental matters</w:t>
            </w:r>
          </w:p>
        </w:tc>
        <w:tc>
          <w:tcPr>
            <w:tcW w:w="1134" w:type="dxa"/>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s>
              <w:autoSpaceDE w:val="0"/>
              <w:autoSpaceDN w:val="0"/>
              <w:adjustRightInd w:val="0"/>
              <w:ind w:left="29"/>
              <w:jc w:val="center"/>
              <w:rPr>
                <w:noProof/>
                <w:color w:val="000000" w:themeColor="text1"/>
                <w:sz w:val="20"/>
                <w:szCs w:val="20"/>
              </w:rPr>
            </w:pPr>
            <w:r>
              <w:rPr>
                <w:noProof/>
                <w:color w:val="000000" w:themeColor="text1"/>
                <w:sz w:val="20"/>
                <w:szCs w:val="20"/>
              </w:rPr>
              <w:t>No available data</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PT</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Regulatory Commission for the Safety of Nuclear Installations (COMRSIN)</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Licensing, evaluating, monitoring and inspecting facilities and activities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relating to the management of spent fuel and radioactive </w:t>
            </w:r>
            <w:r>
              <w:rPr>
                <w:noProof/>
                <w:color w:val="000000" w:themeColor="text1"/>
                <w:sz w:val="20"/>
                <w:szCs w:val="20"/>
              </w:rPr>
              <w:t>waste</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(encompassing all phases, from initial choice of siting to</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decommissioning)</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COMRSIN is governed by three Commissioners, appointed by the Prime Minister for</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five year renewable terms, chosen on the basis of academic, scientific and technical merit.</w:t>
            </w: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4</w:t>
            </w:r>
          </w:p>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(2015)</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RO</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National Commission for Nuclear Activities Control (CNCAN)</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Regulation, licensing, and control of nuclear activities</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Prime Minister, through the General Secretariat of the Government</w:t>
            </w:r>
          </w:p>
        </w:tc>
        <w:tc>
          <w:tcPr>
            <w:tcW w:w="1134" w:type="dxa"/>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 w:val="left" w:pos="220"/>
                <w:tab w:val="left" w:pos="720"/>
              </w:tabs>
              <w:autoSpaceDE w:val="0"/>
              <w:autoSpaceDN w:val="0"/>
              <w:adjustRightInd w:val="0"/>
              <w:ind w:left="29"/>
              <w:jc w:val="center"/>
              <w:rPr>
                <w:b/>
                <w:noProof/>
                <w:color w:val="000000" w:themeColor="text1"/>
                <w:sz w:val="20"/>
                <w:szCs w:val="20"/>
              </w:rPr>
            </w:pPr>
            <w:r>
              <w:rPr>
                <w:noProof/>
                <w:color w:val="000000" w:themeColor="text1"/>
                <w:sz w:val="20"/>
                <w:szCs w:val="20"/>
              </w:rPr>
              <w:t>No available data</w:t>
            </w:r>
          </w:p>
        </w:tc>
      </w:tr>
      <w:tr w:rsidR="00EF2BC3">
        <w:trPr>
          <w:trHeight w:val="487"/>
        </w:trPr>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SK</w:t>
            </w:r>
          </w:p>
        </w:tc>
        <w:tc>
          <w:tcPr>
            <w:tcW w:w="2263" w:type="dxa"/>
            <w:tcMar>
              <w:top w:w="100" w:type="nil"/>
              <w:left w:w="100" w:type="nil"/>
              <w:bottom w:w="100" w:type="nil"/>
              <w:right w:w="100" w:type="nil"/>
            </w:tcMar>
          </w:tcPr>
          <w:p w:rsidR="00EF2BC3" w:rsidRDefault="00AF3002">
            <w:pPr>
              <w:widowControl w:val="0"/>
              <w:autoSpaceDE w:val="0"/>
              <w:autoSpaceDN w:val="0"/>
              <w:adjustRightInd w:val="0"/>
              <w:spacing w:line="180" w:lineRule="atLeast"/>
              <w:rPr>
                <w:noProof/>
                <w:color w:val="000000" w:themeColor="text1"/>
                <w:sz w:val="20"/>
                <w:szCs w:val="20"/>
              </w:rPr>
            </w:pPr>
            <w:r>
              <w:rPr>
                <w:noProof/>
                <w:color w:val="000000" w:themeColor="text1"/>
                <w:sz w:val="20"/>
                <w:szCs w:val="20"/>
              </w:rPr>
              <w:t xml:space="preserve">Nuclear Regulatory Authority of the Slovak Republic (ÚJD SR) </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State regulatory activities in the field of nuclear safety of nuclear installations, including management of radioactive waste, spent fuel and other parts of the fuel cycle, as well as transport</w:t>
            </w:r>
            <w:r>
              <w:rPr>
                <w:noProof/>
                <w:color w:val="000000" w:themeColor="text1"/>
                <w:sz w:val="20"/>
                <w:szCs w:val="20"/>
              </w:rPr>
              <w:t xml:space="preserve"> and management of nuclear materials including their control and record keeping system. It is responsible for the assessment of goals of nuclear energy programme and of quality of the classified equipment, as well as for commitments of the Slovak Republic </w:t>
            </w:r>
            <w:r>
              <w:rPr>
                <w:noProof/>
                <w:color w:val="000000" w:themeColor="text1"/>
                <w:sz w:val="20"/>
                <w:szCs w:val="20"/>
              </w:rPr>
              <w:t>under international agreements and treaties in the said field.</w:t>
            </w:r>
          </w:p>
        </w:tc>
        <w:tc>
          <w:tcPr>
            <w:tcW w:w="1701"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The Government and subsequently to the National Council</w:t>
            </w:r>
          </w:p>
        </w:tc>
        <w:tc>
          <w:tcPr>
            <w:tcW w:w="1134" w:type="dxa"/>
          </w:tcPr>
          <w:p w:rsidR="00EF2BC3" w:rsidRDefault="00AF3002">
            <w:pPr>
              <w:widowControl w:val="0"/>
              <w:tabs>
                <w:tab w:val="left" w:pos="0"/>
              </w:tabs>
              <w:autoSpaceDE w:val="0"/>
              <w:autoSpaceDN w:val="0"/>
              <w:adjustRightInd w:val="0"/>
              <w:ind w:left="34"/>
              <w:jc w:val="center"/>
              <w:rPr>
                <w:noProof/>
                <w:color w:val="000000" w:themeColor="text1"/>
                <w:sz w:val="20"/>
                <w:szCs w:val="20"/>
              </w:rPr>
            </w:pPr>
            <w:r>
              <w:rPr>
                <w:noProof/>
                <w:color w:val="000000" w:themeColor="text1"/>
                <w:sz w:val="20"/>
                <w:szCs w:val="20"/>
              </w:rPr>
              <w:t>108 (2014)</w:t>
            </w:r>
          </w:p>
        </w:tc>
      </w:tr>
      <w:tr w:rsidR="00EF2BC3">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SI</w:t>
            </w:r>
          </w:p>
        </w:tc>
        <w:tc>
          <w:tcPr>
            <w:tcW w:w="2263" w:type="dxa"/>
            <w:tcMar>
              <w:top w:w="100" w:type="nil"/>
              <w:left w:w="100" w:type="nil"/>
              <w:bottom w:w="100" w:type="nil"/>
              <w:right w:w="100" w:type="nil"/>
            </w:tcMar>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Slovenian Nuclear Safety Administration (SNSA)</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Nuclear safety of facilities and the safety of industrial radiation sources</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Ministry of Environment and Spatial Planning</w:t>
            </w:r>
          </w:p>
        </w:tc>
        <w:tc>
          <w:tcPr>
            <w:tcW w:w="1134" w:type="dxa"/>
          </w:tcPr>
          <w:p w:rsidR="00EF2BC3" w:rsidRDefault="00AF3002">
            <w:pPr>
              <w:widowControl w:val="0"/>
              <w:tabs>
                <w:tab w:val="left" w:pos="34"/>
              </w:tabs>
              <w:autoSpaceDE w:val="0"/>
              <w:autoSpaceDN w:val="0"/>
              <w:adjustRightInd w:val="0"/>
              <w:ind w:left="34"/>
              <w:jc w:val="center"/>
              <w:rPr>
                <w:noProof/>
                <w:color w:val="000000" w:themeColor="text1"/>
                <w:sz w:val="20"/>
                <w:szCs w:val="20"/>
              </w:rPr>
            </w:pPr>
            <w:r>
              <w:rPr>
                <w:noProof/>
                <w:color w:val="000000" w:themeColor="text1"/>
                <w:sz w:val="20"/>
                <w:szCs w:val="20"/>
              </w:rPr>
              <w:t>41</w:t>
            </w:r>
          </w:p>
          <w:p w:rsidR="00EF2BC3" w:rsidRDefault="00AF3002">
            <w:pPr>
              <w:widowControl w:val="0"/>
              <w:tabs>
                <w:tab w:val="left" w:pos="34"/>
              </w:tabs>
              <w:autoSpaceDE w:val="0"/>
              <w:autoSpaceDN w:val="0"/>
              <w:adjustRightInd w:val="0"/>
              <w:ind w:left="34"/>
              <w:jc w:val="center"/>
              <w:rPr>
                <w:noProof/>
                <w:color w:val="000000" w:themeColor="text1"/>
                <w:sz w:val="20"/>
                <w:szCs w:val="20"/>
              </w:rPr>
            </w:pPr>
            <w:r>
              <w:rPr>
                <w:noProof/>
                <w:color w:val="000000" w:themeColor="text1"/>
                <w:sz w:val="20"/>
                <w:szCs w:val="20"/>
              </w:rPr>
              <w:t>(2014)</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jc w:val="center"/>
              <w:rPr>
                <w:b/>
                <w:bCs/>
                <w:noProof/>
                <w:color w:val="000000" w:themeColor="text1"/>
                <w:sz w:val="20"/>
                <w:szCs w:val="20"/>
              </w:rPr>
            </w:pP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lang w:val="fr-BE"/>
              </w:rPr>
            </w:pPr>
            <w:r>
              <w:rPr>
                <w:noProof/>
                <w:color w:val="000000" w:themeColor="text1"/>
                <w:sz w:val="20"/>
                <w:szCs w:val="20"/>
                <w:lang w:val="fr-BE"/>
              </w:rPr>
              <w:t>Slovenian Radiation Protection Administration (SRPA)</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Radiation protection in medicine and veterinary practice, medical surveillance of exposed workers, surveillance of workplaces, dosimetry and dose</w:t>
            </w:r>
            <w:r>
              <w:rPr>
                <w:noProof/>
                <w:color w:val="000000" w:themeColor="text1"/>
                <w:sz w:val="20"/>
                <w:szCs w:val="20"/>
              </w:rPr>
              <w:t xml:space="preserve"> registers and education in the area of radiation protection</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Ministry of Health</w:t>
            </w:r>
          </w:p>
        </w:tc>
        <w:tc>
          <w:tcPr>
            <w:tcW w:w="1134" w:type="dxa"/>
          </w:tcPr>
          <w:p w:rsidR="00EF2BC3" w:rsidRDefault="00AF3002">
            <w:pPr>
              <w:widowControl w:val="0"/>
              <w:tabs>
                <w:tab w:val="left" w:pos="34"/>
                <w:tab w:val="left" w:pos="220"/>
                <w:tab w:val="left" w:pos="720"/>
              </w:tabs>
              <w:autoSpaceDE w:val="0"/>
              <w:autoSpaceDN w:val="0"/>
              <w:adjustRightInd w:val="0"/>
              <w:ind w:left="131"/>
              <w:jc w:val="center"/>
              <w:rPr>
                <w:noProof/>
                <w:color w:val="000000" w:themeColor="text1"/>
                <w:sz w:val="20"/>
                <w:szCs w:val="20"/>
              </w:rPr>
            </w:pPr>
            <w:r>
              <w:rPr>
                <w:noProof/>
                <w:color w:val="000000" w:themeColor="text1"/>
                <w:sz w:val="20"/>
                <w:szCs w:val="20"/>
              </w:rPr>
              <w:t>No data</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ES</w:t>
            </w:r>
          </w:p>
        </w:tc>
        <w:tc>
          <w:tcPr>
            <w:tcW w:w="2263" w:type="dxa"/>
            <w:tcMar>
              <w:top w:w="100" w:type="nil"/>
              <w:left w:w="100" w:type="nil"/>
              <w:bottom w:w="100" w:type="nil"/>
              <w:right w:w="100" w:type="nil"/>
            </w:tcMar>
          </w:tcPr>
          <w:p w:rsidR="00EF2BC3" w:rsidRDefault="00AF3002">
            <w:pPr>
              <w:widowControl w:val="0"/>
              <w:tabs>
                <w:tab w:val="left" w:pos="220"/>
                <w:tab w:val="left" w:pos="720"/>
              </w:tabs>
              <w:autoSpaceDE w:val="0"/>
              <w:autoSpaceDN w:val="0"/>
              <w:adjustRightInd w:val="0"/>
              <w:ind w:left="37"/>
              <w:rPr>
                <w:noProof/>
                <w:color w:val="000000" w:themeColor="text1"/>
                <w:sz w:val="20"/>
                <w:szCs w:val="20"/>
              </w:rPr>
            </w:pPr>
            <w:r>
              <w:rPr>
                <w:noProof/>
                <w:color w:val="000000" w:themeColor="text1"/>
                <w:sz w:val="20"/>
                <w:szCs w:val="20"/>
              </w:rPr>
              <w:t>Nuclear Safety Council (CSN)</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Reporting on nuclear safety and radiological protection and authorisations to nuclear and radioactive installations as well as carrying</w:t>
            </w:r>
            <w:r>
              <w:rPr>
                <w:noProof/>
                <w:color w:val="000000" w:themeColor="text1"/>
                <w:sz w:val="20"/>
                <w:szCs w:val="20"/>
              </w:rPr>
              <w:t xml:space="preserve"> out inspection and control and issuing Instructions, which take the form of mandatory rules</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Parliament</w:t>
            </w:r>
          </w:p>
        </w:tc>
        <w:tc>
          <w:tcPr>
            <w:tcW w:w="1134" w:type="dxa"/>
          </w:tcPr>
          <w:p w:rsidR="00EF2BC3" w:rsidRDefault="00AF3002">
            <w:pPr>
              <w:widowControl w:val="0"/>
              <w:tabs>
                <w:tab w:val="left" w:pos="34"/>
              </w:tabs>
              <w:autoSpaceDE w:val="0"/>
              <w:autoSpaceDN w:val="0"/>
              <w:adjustRightInd w:val="0"/>
              <w:ind w:left="131"/>
              <w:jc w:val="center"/>
              <w:rPr>
                <w:noProof/>
                <w:color w:val="000000" w:themeColor="text1"/>
                <w:sz w:val="20"/>
                <w:szCs w:val="20"/>
              </w:rPr>
            </w:pPr>
            <w:r>
              <w:rPr>
                <w:noProof/>
                <w:color w:val="000000" w:themeColor="text1"/>
                <w:sz w:val="20"/>
                <w:szCs w:val="20"/>
              </w:rPr>
              <w:t>205</w:t>
            </w:r>
          </w:p>
          <w:p w:rsidR="00EF2BC3" w:rsidRDefault="00AF3002">
            <w:pPr>
              <w:widowControl w:val="0"/>
              <w:tabs>
                <w:tab w:val="left" w:pos="34"/>
              </w:tabs>
              <w:autoSpaceDE w:val="0"/>
              <w:autoSpaceDN w:val="0"/>
              <w:adjustRightInd w:val="0"/>
              <w:ind w:left="131"/>
              <w:jc w:val="center"/>
              <w:rPr>
                <w:noProof/>
                <w:color w:val="000000" w:themeColor="text1"/>
                <w:sz w:val="20"/>
                <w:szCs w:val="20"/>
              </w:rPr>
            </w:pPr>
            <w:r>
              <w:rPr>
                <w:noProof/>
                <w:color w:val="000000" w:themeColor="text1"/>
                <w:sz w:val="20"/>
                <w:szCs w:val="20"/>
              </w:rPr>
              <w:t>(2014)</w:t>
            </w:r>
          </w:p>
        </w:tc>
      </w:tr>
      <w:tr w:rsidR="00EF2BC3">
        <w:tc>
          <w:tcPr>
            <w:tcW w:w="680" w:type="dxa"/>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SE</w:t>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Swedish Radiation Safety Authority (SSM)</w:t>
            </w:r>
          </w:p>
          <w:p w:rsidR="00EF2BC3" w:rsidRDefault="00EF2BC3">
            <w:pPr>
              <w:widowControl w:val="0"/>
              <w:autoSpaceDE w:val="0"/>
              <w:autoSpaceDN w:val="0"/>
              <w:adjustRightInd w:val="0"/>
              <w:rPr>
                <w:noProof/>
                <w:color w:val="000000" w:themeColor="text1"/>
                <w:sz w:val="20"/>
                <w:szCs w:val="20"/>
              </w:rPr>
            </w:pP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SSM supervises the Swedish Nuclear Fuel and Waste Management Co (SKB), the power plant </w:t>
            </w:r>
            <w:r>
              <w:rPr>
                <w:noProof/>
                <w:color w:val="000000" w:themeColor="text1"/>
                <w:sz w:val="20"/>
                <w:szCs w:val="20"/>
              </w:rPr>
              <w:t>operators and other licensees of nuclear activities in fulfilling their responsibilities for safe operation of facilities and transports as well as in planning for decommissioning and disposal.</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Ministry of the Environment</w:t>
            </w:r>
          </w:p>
        </w:tc>
        <w:tc>
          <w:tcPr>
            <w:tcW w:w="1134" w:type="dxa"/>
          </w:tcPr>
          <w:p w:rsidR="00EF2BC3" w:rsidRDefault="00AF3002">
            <w:pPr>
              <w:widowControl w:val="0"/>
              <w:tabs>
                <w:tab w:val="left" w:pos="34"/>
              </w:tabs>
              <w:autoSpaceDE w:val="0"/>
              <w:autoSpaceDN w:val="0"/>
              <w:adjustRightInd w:val="0"/>
              <w:ind w:left="131"/>
              <w:jc w:val="center"/>
              <w:rPr>
                <w:noProof/>
                <w:color w:val="000000" w:themeColor="text1"/>
                <w:sz w:val="20"/>
                <w:szCs w:val="20"/>
              </w:rPr>
            </w:pPr>
            <w:r>
              <w:rPr>
                <w:noProof/>
                <w:color w:val="000000" w:themeColor="text1"/>
                <w:sz w:val="20"/>
                <w:szCs w:val="20"/>
              </w:rPr>
              <w:t>321</w:t>
            </w:r>
          </w:p>
          <w:p w:rsidR="00EF2BC3" w:rsidRDefault="00AF3002">
            <w:pPr>
              <w:widowControl w:val="0"/>
              <w:tabs>
                <w:tab w:val="left" w:pos="34"/>
              </w:tabs>
              <w:autoSpaceDE w:val="0"/>
              <w:autoSpaceDN w:val="0"/>
              <w:adjustRightInd w:val="0"/>
              <w:ind w:left="131"/>
              <w:jc w:val="center"/>
              <w:rPr>
                <w:noProof/>
                <w:color w:val="000000" w:themeColor="text1"/>
                <w:sz w:val="20"/>
                <w:szCs w:val="20"/>
              </w:rPr>
            </w:pPr>
            <w:r>
              <w:rPr>
                <w:noProof/>
                <w:color w:val="000000" w:themeColor="text1"/>
                <w:sz w:val="20"/>
                <w:szCs w:val="20"/>
              </w:rPr>
              <w:t>(2015)</w:t>
            </w:r>
          </w:p>
        </w:tc>
      </w:tr>
      <w:tr w:rsidR="00EF2BC3">
        <w:tc>
          <w:tcPr>
            <w:tcW w:w="680" w:type="dxa"/>
            <w:vMerge w:val="restart"/>
            <w:shd w:val="clear" w:color="auto" w:fill="548DD4" w:themeFill="text2" w:themeFillTint="99"/>
            <w:tcMar>
              <w:top w:w="100" w:type="nil"/>
              <w:left w:w="100" w:type="nil"/>
              <w:bottom w:w="100" w:type="nil"/>
              <w:right w:w="100" w:type="nil"/>
            </w:tcMar>
          </w:tcPr>
          <w:p w:rsidR="00EF2BC3" w:rsidRDefault="00AF3002">
            <w:pPr>
              <w:widowControl w:val="0"/>
              <w:autoSpaceDE w:val="0"/>
              <w:autoSpaceDN w:val="0"/>
              <w:adjustRightInd w:val="0"/>
              <w:jc w:val="center"/>
              <w:rPr>
                <w:noProof/>
                <w:color w:val="FFFFFF" w:themeColor="background1"/>
                <w:sz w:val="20"/>
                <w:szCs w:val="20"/>
              </w:rPr>
            </w:pPr>
            <w:r>
              <w:rPr>
                <w:b/>
                <w:bCs/>
                <w:noProof/>
                <w:color w:val="FFFFFF" w:themeColor="background1"/>
                <w:sz w:val="20"/>
                <w:szCs w:val="20"/>
              </w:rPr>
              <w:t>UK</w:t>
            </w:r>
            <w:r>
              <w:rPr>
                <w:rStyle w:val="FootnoteReference"/>
                <w:b/>
                <w:bCs/>
                <w:noProof/>
                <w:color w:val="FFFFFF" w:themeColor="background1"/>
                <w:sz w:val="20"/>
                <w:szCs w:val="20"/>
              </w:rPr>
              <w:footnoteReference w:id="25"/>
            </w: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Office for Nuclear</w:t>
            </w:r>
            <w:r>
              <w:rPr>
                <w:noProof/>
                <w:color w:val="000000" w:themeColor="text1"/>
                <w:sz w:val="20"/>
                <w:szCs w:val="20"/>
              </w:rPr>
              <w:t xml:space="preserve"> Regulation (ONR, UK)</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Regulates:</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nuclear safety;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nuclear site health and safety;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nuclear security;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nuclear safeguards;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transport </w:t>
            </w:r>
          </w:p>
        </w:tc>
        <w:tc>
          <w:tcPr>
            <w:tcW w:w="1701" w:type="dxa"/>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Government Department of Energy &amp; Climate Change</w:t>
            </w:r>
          </w:p>
        </w:tc>
        <w:tc>
          <w:tcPr>
            <w:tcW w:w="1134" w:type="dxa"/>
          </w:tcPr>
          <w:p w:rsidR="00EF2BC3" w:rsidRDefault="00AF3002">
            <w:pPr>
              <w:widowControl w:val="0"/>
              <w:tabs>
                <w:tab w:val="left" w:pos="34"/>
              </w:tabs>
              <w:autoSpaceDE w:val="0"/>
              <w:autoSpaceDN w:val="0"/>
              <w:adjustRightInd w:val="0"/>
              <w:ind w:left="29"/>
              <w:jc w:val="center"/>
              <w:rPr>
                <w:noProof/>
                <w:color w:val="000000" w:themeColor="text1"/>
                <w:sz w:val="20"/>
                <w:szCs w:val="20"/>
              </w:rPr>
            </w:pPr>
            <w:r>
              <w:rPr>
                <w:noProof/>
                <w:color w:val="000000" w:themeColor="text1"/>
                <w:sz w:val="20"/>
                <w:szCs w:val="20"/>
              </w:rPr>
              <w:t>330</w:t>
            </w:r>
            <w:r>
              <w:rPr>
                <w:rStyle w:val="FootnoteReference"/>
                <w:noProof/>
                <w:color w:val="000000" w:themeColor="text1"/>
                <w:sz w:val="20"/>
                <w:szCs w:val="20"/>
              </w:rPr>
              <w:footnoteReference w:id="26"/>
            </w:r>
          </w:p>
          <w:p w:rsidR="00EF2BC3" w:rsidRDefault="00AF3002">
            <w:pPr>
              <w:widowControl w:val="0"/>
              <w:tabs>
                <w:tab w:val="left" w:pos="0"/>
              </w:tabs>
              <w:autoSpaceDE w:val="0"/>
              <w:autoSpaceDN w:val="0"/>
              <w:adjustRightInd w:val="0"/>
              <w:jc w:val="center"/>
              <w:rPr>
                <w:noProof/>
                <w:color w:val="000000" w:themeColor="text1"/>
                <w:sz w:val="20"/>
                <w:szCs w:val="20"/>
              </w:rPr>
            </w:pPr>
            <w:r>
              <w:rPr>
                <w:noProof/>
                <w:color w:val="000000" w:themeColor="text1"/>
                <w:sz w:val="20"/>
                <w:szCs w:val="20"/>
              </w:rPr>
              <w:t>(2014)</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rPr>
                <w:b/>
                <w:bCs/>
                <w:noProof/>
                <w:color w:val="000000" w:themeColor="text1"/>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Environment Agency (EA, England)</w:t>
            </w:r>
          </w:p>
        </w:tc>
        <w:tc>
          <w:tcPr>
            <w:tcW w:w="3686" w:type="dxa"/>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Regulates the accumulation and disposal of radioactive waste from non- nuclear premises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Regulates nuclear and non-nuclear sites in England</w:t>
            </w:r>
          </w:p>
          <w:p w:rsidR="00EF2BC3" w:rsidRDefault="00EF2BC3">
            <w:pPr>
              <w:widowControl w:val="0"/>
              <w:autoSpaceDE w:val="0"/>
              <w:autoSpaceDN w:val="0"/>
              <w:adjustRightInd w:val="0"/>
              <w:rPr>
                <w:noProof/>
                <w:color w:val="000000" w:themeColor="text1"/>
                <w:sz w:val="20"/>
                <w:szCs w:val="20"/>
              </w:rPr>
            </w:pPr>
          </w:p>
        </w:tc>
        <w:tc>
          <w:tcPr>
            <w:tcW w:w="1701" w:type="dxa"/>
            <w:tcBorders>
              <w:bottom w:val="single" w:sz="4" w:space="0" w:color="auto"/>
            </w:tcBorders>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Government Department of Environment, Food &amp; Rural Affairs</w:t>
            </w:r>
          </w:p>
        </w:tc>
        <w:tc>
          <w:tcPr>
            <w:tcW w:w="1134" w:type="dxa"/>
            <w:vMerge w:val="restart"/>
            <w:tcBorders>
              <w:bottom w:val="single" w:sz="4" w:space="0" w:color="auto"/>
            </w:tcBorders>
          </w:tcPr>
          <w:p w:rsidR="00EF2BC3" w:rsidRDefault="00EF2BC3">
            <w:pPr>
              <w:widowControl w:val="0"/>
              <w:tabs>
                <w:tab w:val="left" w:pos="0"/>
                <w:tab w:val="left" w:pos="220"/>
                <w:tab w:val="left" w:pos="720"/>
              </w:tabs>
              <w:autoSpaceDE w:val="0"/>
              <w:autoSpaceDN w:val="0"/>
              <w:adjustRightInd w:val="0"/>
              <w:ind w:left="29"/>
              <w:jc w:val="center"/>
              <w:rPr>
                <w:noProof/>
                <w:color w:val="000000" w:themeColor="text1"/>
                <w:sz w:val="20"/>
                <w:szCs w:val="20"/>
              </w:rPr>
            </w:pPr>
          </w:p>
          <w:p w:rsidR="00EF2BC3" w:rsidRDefault="00AF3002">
            <w:pPr>
              <w:widowControl w:val="0"/>
              <w:tabs>
                <w:tab w:val="left" w:pos="0"/>
                <w:tab w:val="left" w:pos="220"/>
                <w:tab w:val="left" w:pos="720"/>
              </w:tabs>
              <w:autoSpaceDE w:val="0"/>
              <w:autoSpaceDN w:val="0"/>
              <w:adjustRightInd w:val="0"/>
              <w:ind w:left="29"/>
              <w:jc w:val="center"/>
              <w:rPr>
                <w:noProof/>
                <w:color w:val="000000" w:themeColor="text1"/>
                <w:sz w:val="20"/>
                <w:szCs w:val="20"/>
              </w:rPr>
            </w:pPr>
            <w:r>
              <w:rPr>
                <w:noProof/>
                <w:color w:val="000000" w:themeColor="text1"/>
                <w:sz w:val="20"/>
                <w:szCs w:val="20"/>
              </w:rPr>
              <w:t>No available data</w:t>
            </w: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rPr>
                <w:b/>
                <w:bCs/>
                <w:noProof/>
                <w:color w:val="000000" w:themeColor="text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Natural Resources Wales (NRW)</w:t>
            </w:r>
          </w:p>
        </w:tc>
        <w:tc>
          <w:tcPr>
            <w:tcW w:w="3686" w:type="dxa"/>
            <w:tcBorders>
              <w:right w:val="single" w:sz="4" w:space="0" w:color="auto"/>
            </w:tcBorders>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w:t>
            </w:r>
            <w:r>
              <w:rPr>
                <w:noProof/>
                <w:color w:val="000000" w:themeColor="text1"/>
                <w:sz w:val="20"/>
                <w:szCs w:val="20"/>
              </w:rPr>
              <w:t xml:space="preserve"> Enforces environmental protection legislation;</w:t>
            </w:r>
          </w:p>
          <w:p w:rsidR="00EF2BC3" w:rsidRDefault="00AF3002">
            <w:pPr>
              <w:widowControl w:val="0"/>
              <w:autoSpaceDE w:val="0"/>
              <w:autoSpaceDN w:val="0"/>
              <w:adjustRightInd w:val="0"/>
              <w:rPr>
                <w:noProof/>
                <w:sz w:val="20"/>
                <w:szCs w:val="20"/>
              </w:rPr>
            </w:pPr>
            <w:r>
              <w:rPr>
                <w:noProof/>
                <w:color w:val="000000" w:themeColor="text1"/>
                <w:sz w:val="20"/>
                <w:szCs w:val="20"/>
              </w:rPr>
              <w:t>- Regulates nuclear and non-nuclear sites in Wales</w:t>
            </w:r>
          </w:p>
        </w:tc>
        <w:tc>
          <w:tcPr>
            <w:tcW w:w="1701" w:type="dxa"/>
            <w:tcBorders>
              <w:top w:val="single" w:sz="4" w:space="0" w:color="auto"/>
              <w:left w:val="single" w:sz="4" w:space="0" w:color="auto"/>
              <w:bottom w:val="single" w:sz="4" w:space="0" w:color="auto"/>
              <w:right w:val="single" w:sz="4" w:space="0" w:color="auto"/>
            </w:tcBorders>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Welsh Government</w:t>
            </w:r>
          </w:p>
        </w:tc>
        <w:tc>
          <w:tcPr>
            <w:tcW w:w="1134" w:type="dxa"/>
            <w:vMerge/>
            <w:tcBorders>
              <w:top w:val="single" w:sz="4" w:space="0" w:color="auto"/>
              <w:left w:val="single" w:sz="4" w:space="0" w:color="auto"/>
              <w:bottom w:val="single" w:sz="4" w:space="0" w:color="auto"/>
              <w:right w:val="single" w:sz="4" w:space="0" w:color="auto"/>
            </w:tcBorders>
          </w:tcPr>
          <w:p w:rsidR="00EF2BC3" w:rsidRDefault="00EF2BC3">
            <w:pPr>
              <w:widowControl w:val="0"/>
              <w:tabs>
                <w:tab w:val="left" w:pos="0"/>
              </w:tabs>
              <w:autoSpaceDE w:val="0"/>
              <w:autoSpaceDN w:val="0"/>
              <w:adjustRightInd w:val="0"/>
              <w:ind w:left="360"/>
              <w:jc w:val="center"/>
              <w:rPr>
                <w:noProof/>
                <w:color w:val="000000" w:themeColor="text1"/>
                <w:sz w:val="20"/>
                <w:szCs w:val="20"/>
              </w:rPr>
            </w:pP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rPr>
                <w:b/>
                <w:bCs/>
                <w:noProof/>
                <w:color w:val="000000" w:themeColor="text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Scottish Environment Protection Agency (SEPA)</w:t>
            </w:r>
          </w:p>
        </w:tc>
        <w:tc>
          <w:tcPr>
            <w:tcW w:w="3686" w:type="dxa"/>
            <w:tcBorders>
              <w:right w:val="single" w:sz="4" w:space="0" w:color="auto"/>
            </w:tcBorders>
          </w:tcPr>
          <w:p w:rsidR="00EF2BC3" w:rsidRDefault="00AF3002">
            <w:pPr>
              <w:widowControl w:val="0"/>
              <w:autoSpaceDE w:val="0"/>
              <w:autoSpaceDN w:val="0"/>
              <w:adjustRightInd w:val="0"/>
              <w:rPr>
                <w:noProof/>
                <w:sz w:val="20"/>
                <w:szCs w:val="20"/>
              </w:rPr>
            </w:pPr>
            <w:r>
              <w:rPr>
                <w:noProof/>
                <w:sz w:val="20"/>
                <w:szCs w:val="20"/>
              </w:rPr>
              <w:t>- Enforces environmental protection legislation;</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Regulates nuclear and non-nuclear sites </w:t>
            </w:r>
            <w:r>
              <w:rPr>
                <w:noProof/>
                <w:color w:val="000000" w:themeColor="text1"/>
                <w:sz w:val="20"/>
                <w:szCs w:val="20"/>
              </w:rPr>
              <w:t>in Scotland</w:t>
            </w:r>
          </w:p>
        </w:tc>
        <w:tc>
          <w:tcPr>
            <w:tcW w:w="1701" w:type="dxa"/>
            <w:tcBorders>
              <w:top w:val="single" w:sz="4" w:space="0" w:color="auto"/>
              <w:left w:val="single" w:sz="4" w:space="0" w:color="auto"/>
              <w:bottom w:val="single" w:sz="4" w:space="0" w:color="auto"/>
              <w:right w:val="single" w:sz="4" w:space="0" w:color="auto"/>
            </w:tcBorders>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Scottish Government</w:t>
            </w:r>
          </w:p>
        </w:tc>
        <w:tc>
          <w:tcPr>
            <w:tcW w:w="1134" w:type="dxa"/>
            <w:vMerge/>
            <w:tcBorders>
              <w:top w:val="single" w:sz="4" w:space="0" w:color="auto"/>
              <w:left w:val="single" w:sz="4" w:space="0" w:color="auto"/>
              <w:bottom w:val="single" w:sz="4" w:space="0" w:color="auto"/>
              <w:right w:val="single" w:sz="4" w:space="0" w:color="auto"/>
            </w:tcBorders>
          </w:tcPr>
          <w:p w:rsidR="00EF2BC3" w:rsidRDefault="00EF2BC3">
            <w:pPr>
              <w:widowControl w:val="0"/>
              <w:tabs>
                <w:tab w:val="left" w:pos="0"/>
              </w:tabs>
              <w:autoSpaceDE w:val="0"/>
              <w:autoSpaceDN w:val="0"/>
              <w:adjustRightInd w:val="0"/>
              <w:ind w:left="360"/>
              <w:jc w:val="center"/>
              <w:rPr>
                <w:noProof/>
                <w:color w:val="000000" w:themeColor="text1"/>
                <w:sz w:val="20"/>
                <w:szCs w:val="20"/>
              </w:rPr>
            </w:pPr>
          </w:p>
        </w:tc>
      </w:tr>
      <w:tr w:rsidR="00EF2BC3">
        <w:trPr>
          <w:trHeight w:val="705"/>
        </w:trPr>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rPr>
                <w:b/>
                <w:bCs/>
                <w:noProof/>
                <w:color w:val="000000" w:themeColor="text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rPr>
            </w:pPr>
            <w:r>
              <w:rPr>
                <w:noProof/>
                <w:color w:val="000000" w:themeColor="text1"/>
                <w:sz w:val="20"/>
                <w:szCs w:val="20"/>
              </w:rPr>
              <w:t>Northern Ireland Environment Agency (NIEA)</w:t>
            </w:r>
          </w:p>
        </w:tc>
        <w:tc>
          <w:tcPr>
            <w:tcW w:w="3686" w:type="dxa"/>
            <w:tcBorders>
              <w:right w:val="single" w:sz="4" w:space="0" w:color="auto"/>
            </w:tcBorders>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Regulates non-nuclear sites in Northern Ireland</w:t>
            </w:r>
          </w:p>
        </w:tc>
        <w:tc>
          <w:tcPr>
            <w:tcW w:w="1701" w:type="dxa"/>
            <w:tcBorders>
              <w:top w:val="single" w:sz="4" w:space="0" w:color="auto"/>
              <w:left w:val="single" w:sz="4" w:space="0" w:color="auto"/>
              <w:bottom w:val="single" w:sz="4" w:space="0" w:color="auto"/>
              <w:right w:val="single" w:sz="4" w:space="0" w:color="auto"/>
            </w:tcBorders>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Northern Ireland Assembly</w:t>
            </w:r>
          </w:p>
        </w:tc>
        <w:tc>
          <w:tcPr>
            <w:tcW w:w="1134" w:type="dxa"/>
            <w:vMerge/>
            <w:tcBorders>
              <w:top w:val="single" w:sz="4" w:space="0" w:color="auto"/>
              <w:left w:val="single" w:sz="4" w:space="0" w:color="auto"/>
              <w:bottom w:val="single" w:sz="4" w:space="0" w:color="auto"/>
              <w:right w:val="single" w:sz="4" w:space="0" w:color="auto"/>
            </w:tcBorders>
          </w:tcPr>
          <w:p w:rsidR="00EF2BC3" w:rsidRDefault="00EF2BC3">
            <w:pPr>
              <w:widowControl w:val="0"/>
              <w:tabs>
                <w:tab w:val="left" w:pos="0"/>
              </w:tabs>
              <w:autoSpaceDE w:val="0"/>
              <w:autoSpaceDN w:val="0"/>
              <w:adjustRightInd w:val="0"/>
              <w:ind w:left="360"/>
              <w:jc w:val="center"/>
              <w:rPr>
                <w:noProof/>
                <w:color w:val="000000" w:themeColor="text1"/>
                <w:sz w:val="20"/>
                <w:szCs w:val="20"/>
              </w:rPr>
            </w:pPr>
          </w:p>
        </w:tc>
      </w:tr>
      <w:tr w:rsidR="00EF2BC3">
        <w:tc>
          <w:tcPr>
            <w:tcW w:w="680" w:type="dxa"/>
            <w:vMerge/>
            <w:shd w:val="clear" w:color="auto" w:fill="548DD4" w:themeFill="text2" w:themeFillTint="99"/>
            <w:tcMar>
              <w:top w:w="100" w:type="nil"/>
              <w:left w:w="100" w:type="nil"/>
              <w:bottom w:w="100" w:type="nil"/>
              <w:right w:w="100" w:type="nil"/>
            </w:tcMar>
          </w:tcPr>
          <w:p w:rsidR="00EF2BC3" w:rsidRDefault="00EF2BC3">
            <w:pPr>
              <w:widowControl w:val="0"/>
              <w:autoSpaceDE w:val="0"/>
              <w:autoSpaceDN w:val="0"/>
              <w:adjustRightInd w:val="0"/>
              <w:rPr>
                <w:b/>
                <w:bCs/>
                <w:noProof/>
                <w:color w:val="000000" w:themeColor="text1"/>
                <w:sz w:val="20"/>
                <w:szCs w:val="20"/>
              </w:rPr>
            </w:pPr>
          </w:p>
        </w:tc>
        <w:tc>
          <w:tcPr>
            <w:tcW w:w="2263" w:type="dxa"/>
            <w:tcMar>
              <w:top w:w="100" w:type="nil"/>
              <w:left w:w="100" w:type="nil"/>
              <w:bottom w:w="100" w:type="nil"/>
              <w:right w:w="100" w:type="nil"/>
            </w:tcMar>
          </w:tcPr>
          <w:p w:rsidR="00EF2BC3" w:rsidRDefault="00AF3002">
            <w:pPr>
              <w:widowControl w:val="0"/>
              <w:autoSpaceDE w:val="0"/>
              <w:autoSpaceDN w:val="0"/>
              <w:adjustRightInd w:val="0"/>
              <w:ind w:left="37"/>
              <w:rPr>
                <w:noProof/>
                <w:color w:val="000000" w:themeColor="text1"/>
                <w:sz w:val="20"/>
                <w:szCs w:val="20"/>
                <w:highlight w:val="yellow"/>
              </w:rPr>
            </w:pPr>
            <w:r>
              <w:rPr>
                <w:noProof/>
                <w:color w:val="000000" w:themeColor="text1"/>
                <w:sz w:val="20"/>
                <w:szCs w:val="20"/>
              </w:rPr>
              <w:t>Health &amp; Safety Executive (HSE)</w:t>
            </w:r>
          </w:p>
        </w:tc>
        <w:tc>
          <w:tcPr>
            <w:tcW w:w="3686" w:type="dxa"/>
            <w:tcBorders>
              <w:right w:val="single" w:sz="4" w:space="0" w:color="auto"/>
            </w:tcBorders>
          </w:tcPr>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R</w:t>
            </w:r>
            <w:r>
              <w:rPr>
                <w:noProof/>
                <w:sz w:val="20"/>
                <w:szCs w:val="20"/>
              </w:rPr>
              <w:t xml:space="preserve">egulate health and safety for England, Wales and Scotland; </w:t>
            </w:r>
          </w:p>
          <w:p w:rsidR="00EF2BC3" w:rsidRDefault="00AF3002">
            <w:pPr>
              <w:widowControl w:val="0"/>
              <w:autoSpaceDE w:val="0"/>
              <w:autoSpaceDN w:val="0"/>
              <w:adjustRightInd w:val="0"/>
              <w:rPr>
                <w:noProof/>
                <w:color w:val="000000" w:themeColor="text1"/>
                <w:sz w:val="20"/>
                <w:szCs w:val="20"/>
              </w:rPr>
            </w:pPr>
            <w:r>
              <w:rPr>
                <w:noProof/>
                <w:color w:val="000000" w:themeColor="text1"/>
                <w:sz w:val="20"/>
                <w:szCs w:val="20"/>
              </w:rPr>
              <w:t xml:space="preserve">- Regulate the use of ionising radiation in the non-nuclear sector </w:t>
            </w:r>
          </w:p>
          <w:p w:rsidR="00EF2BC3" w:rsidRDefault="00EF2BC3">
            <w:pPr>
              <w:widowControl w:val="0"/>
              <w:autoSpaceDE w:val="0"/>
              <w:autoSpaceDN w:val="0"/>
              <w:adjustRightInd w:val="0"/>
              <w:rPr>
                <w:noProof/>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EF2BC3" w:rsidRDefault="00AF3002">
            <w:pPr>
              <w:widowControl w:val="0"/>
              <w:autoSpaceDE w:val="0"/>
              <w:autoSpaceDN w:val="0"/>
              <w:adjustRightInd w:val="0"/>
              <w:ind w:left="34"/>
              <w:rPr>
                <w:noProof/>
                <w:color w:val="000000" w:themeColor="text1"/>
                <w:sz w:val="20"/>
                <w:szCs w:val="20"/>
              </w:rPr>
            </w:pPr>
            <w:r>
              <w:rPr>
                <w:noProof/>
                <w:color w:val="000000" w:themeColor="text1"/>
                <w:sz w:val="20"/>
                <w:szCs w:val="20"/>
              </w:rPr>
              <w:t>Government Department of Work &amp; Pensions</w:t>
            </w:r>
          </w:p>
        </w:tc>
        <w:tc>
          <w:tcPr>
            <w:tcW w:w="1134" w:type="dxa"/>
            <w:vMerge/>
            <w:tcBorders>
              <w:top w:val="single" w:sz="4" w:space="0" w:color="auto"/>
              <w:left w:val="single" w:sz="4" w:space="0" w:color="auto"/>
              <w:bottom w:val="single" w:sz="4" w:space="0" w:color="auto"/>
              <w:right w:val="single" w:sz="4" w:space="0" w:color="auto"/>
            </w:tcBorders>
          </w:tcPr>
          <w:p w:rsidR="00EF2BC3" w:rsidRDefault="00EF2BC3">
            <w:pPr>
              <w:widowControl w:val="0"/>
              <w:tabs>
                <w:tab w:val="left" w:pos="0"/>
              </w:tabs>
              <w:autoSpaceDE w:val="0"/>
              <w:autoSpaceDN w:val="0"/>
              <w:adjustRightInd w:val="0"/>
              <w:ind w:left="360"/>
              <w:jc w:val="center"/>
              <w:rPr>
                <w:noProof/>
                <w:color w:val="000000" w:themeColor="text1"/>
                <w:sz w:val="20"/>
                <w:szCs w:val="20"/>
              </w:rPr>
            </w:pPr>
          </w:p>
        </w:tc>
      </w:tr>
    </w:tbl>
    <w:p w:rsidR="00EF2BC3" w:rsidRDefault="00AF3002">
      <w:pPr>
        <w:spacing w:before="240" w:after="120"/>
        <w:ind w:left="567" w:hanging="567"/>
        <w:jc w:val="both"/>
        <w:outlineLvl w:val="0"/>
        <w:rPr>
          <w:noProof/>
          <w:sz w:val="20"/>
          <w:szCs w:val="20"/>
        </w:rPr>
      </w:pPr>
      <w:bookmarkStart w:id="17" w:name="_Toc474832562"/>
      <w:bookmarkStart w:id="18" w:name="_Toc474832862"/>
      <w:r>
        <w:rPr>
          <w:noProof/>
          <w:sz w:val="20"/>
          <w:szCs w:val="20"/>
        </w:rPr>
        <w:t>*Other sources of information</w:t>
      </w:r>
      <w:bookmarkEnd w:id="17"/>
      <w:bookmarkEnd w:id="18"/>
      <w:r>
        <w:rPr>
          <w:noProof/>
          <w:sz w:val="20"/>
          <w:szCs w:val="20"/>
        </w:rPr>
        <w:t xml:space="preserve"> </w:t>
      </w:r>
    </w:p>
    <w:p w:rsidR="00EF2BC3" w:rsidRDefault="00AF3002">
      <w:pPr>
        <w:pStyle w:val="ManualHeading3"/>
        <w:spacing w:before="2"/>
        <w:rPr>
          <w:noProof/>
        </w:rPr>
      </w:pPr>
      <w:bookmarkStart w:id="19" w:name="_Toc474832863"/>
      <w:r>
        <w:t>2.1.5.</w:t>
      </w:r>
      <w:r>
        <w:tab/>
      </w:r>
      <w:r>
        <w:rPr>
          <w:noProof/>
        </w:rPr>
        <w:t>Shipments within EU and to third countries</w:t>
      </w:r>
      <w:bookmarkEnd w:id="19"/>
    </w:p>
    <w:p w:rsidR="00EF2BC3" w:rsidRDefault="00AF3002">
      <w:pPr>
        <w:spacing w:before="120"/>
        <w:jc w:val="both"/>
        <w:outlineLvl w:val="0"/>
        <w:rPr>
          <w:rFonts w:eastAsia="Times New Roman"/>
          <w:noProof/>
          <w:color w:val="000000" w:themeColor="text1"/>
        </w:rPr>
      </w:pPr>
      <w:bookmarkStart w:id="20" w:name="_Toc474832564"/>
      <w:bookmarkStart w:id="21" w:name="_Toc474832864"/>
      <w:r>
        <w:rPr>
          <w:rFonts w:eastAsia="Times New Roman"/>
          <w:noProof/>
          <w:color w:val="000000" w:themeColor="text1"/>
        </w:rPr>
        <w:t xml:space="preserve">Radioactive waste shall be disposed of in the Member State in </w:t>
      </w:r>
      <w:r>
        <w:rPr>
          <w:rFonts w:eastAsia="Times New Roman"/>
          <w:noProof/>
          <w:color w:val="000000" w:themeColor="text1"/>
        </w:rPr>
        <w:t>which it was generated, unless an agreement with another Member State or third country is in force and the conditions set out in Article 4(4) of the Directive are met. The Directive imposes conditions prior to the shipment of radioactive waste regarding sa</w:t>
      </w:r>
      <w:r>
        <w:rPr>
          <w:rFonts w:eastAsia="Times New Roman"/>
          <w:noProof/>
          <w:color w:val="000000" w:themeColor="text1"/>
        </w:rPr>
        <w:t>fety arrangements in the destination country, and availability, operation and management of appropriate disposal facilities. This requirement is not applicable to: (i) the repatriation of disused sealed sources to a supplier or manufacturer, (ii) the shipm</w:t>
      </w:r>
      <w:r>
        <w:rPr>
          <w:rFonts w:eastAsia="Times New Roman"/>
          <w:noProof/>
          <w:color w:val="000000" w:themeColor="text1"/>
        </w:rPr>
        <w:t>ent of spent fuel of research reactors to countries that supply or manufacture research reactor fuel (and according to international agreements), or (iii) Krško nuclear power plant spent fuel or radioactive waste shipped between Slovenia and Croatia.</w:t>
      </w:r>
      <w:bookmarkEnd w:id="20"/>
      <w:bookmarkEnd w:id="21"/>
    </w:p>
    <w:p w:rsidR="00EF2BC3" w:rsidRDefault="00AF3002">
      <w:pPr>
        <w:spacing w:before="120"/>
        <w:jc w:val="both"/>
        <w:outlineLvl w:val="0"/>
        <w:rPr>
          <w:rFonts w:eastAsia="Times New Roman"/>
          <w:noProof/>
          <w:color w:val="000000" w:themeColor="text1"/>
        </w:rPr>
      </w:pPr>
      <w:bookmarkStart w:id="22" w:name="_Toc474832565"/>
      <w:bookmarkStart w:id="23" w:name="_Toc474832865"/>
      <w:r>
        <w:rPr>
          <w:rFonts w:eastAsia="Times New Roman"/>
          <w:noProof/>
          <w:color w:val="000000" w:themeColor="text1"/>
        </w:rPr>
        <w:t>Spent</w:t>
      </w:r>
      <w:r>
        <w:rPr>
          <w:rFonts w:eastAsia="Times New Roman"/>
          <w:noProof/>
          <w:color w:val="000000" w:themeColor="text1"/>
        </w:rPr>
        <w:t xml:space="preserve"> fuel and radioactive waste can be shipped to a Member State or third country for reprocessing and processing. In this case, the ultimate responsibility for the safe and responsible disposal of those materials, including any radioactive waste and by-produc</w:t>
      </w:r>
      <w:r>
        <w:rPr>
          <w:rFonts w:eastAsia="Times New Roman"/>
          <w:noProof/>
          <w:color w:val="000000" w:themeColor="text1"/>
        </w:rPr>
        <w:t>ts that could be generated shall remain with the Member State from which the spent fuel or radioactive waste originates (Article 4 of the Directive).</w:t>
      </w:r>
      <w:bookmarkEnd w:id="22"/>
      <w:bookmarkEnd w:id="23"/>
      <w:r>
        <w:rPr>
          <w:rFonts w:eastAsia="Times New Roman"/>
          <w:noProof/>
          <w:color w:val="000000" w:themeColor="text1"/>
        </w:rPr>
        <w:t xml:space="preserve">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majority of </w:t>
      </w:r>
      <w:r>
        <w:rPr>
          <w:rFonts w:eastAsia="Times New Roman"/>
          <w:noProof/>
        </w:rPr>
        <w:t>Member States</w:t>
      </w:r>
      <w:r>
        <w:rPr>
          <w:rFonts w:eastAsia="Times New Roman"/>
          <w:noProof/>
          <w:color w:val="000000" w:themeColor="text1"/>
        </w:rPr>
        <w:t xml:space="preserve"> have legal requirements in place for the spent fuel and radioactive waste sent for processing or reprocessing abroad, among which the allocation of the ultimate responsibility within the </w:t>
      </w:r>
      <w:r>
        <w:rPr>
          <w:rFonts w:eastAsia="Times New Roman"/>
          <w:noProof/>
        </w:rPr>
        <w:t>Member State</w:t>
      </w:r>
      <w:r>
        <w:rPr>
          <w:rFonts w:eastAsia="Times New Roman"/>
          <w:noProof/>
          <w:color w:val="000000" w:themeColor="text1"/>
        </w:rPr>
        <w:t xml:space="preserve"> originating the material. In most cases, the ultimate r</w:t>
      </w:r>
      <w:r>
        <w:rPr>
          <w:rFonts w:eastAsia="Times New Roman"/>
          <w:noProof/>
          <w:color w:val="000000" w:themeColor="text1"/>
        </w:rPr>
        <w:t xml:space="preserve">esponsibility remains within the Member State or third country in which the spent fuel or radioactive waste was generated. A few </w:t>
      </w:r>
      <w:r>
        <w:rPr>
          <w:rFonts w:eastAsia="Times New Roman"/>
          <w:noProof/>
        </w:rPr>
        <w:t>Member States</w:t>
      </w:r>
      <w:r>
        <w:rPr>
          <w:rFonts w:eastAsia="Times New Roman"/>
          <w:noProof/>
          <w:color w:val="000000" w:themeColor="text1"/>
        </w:rPr>
        <w:t xml:space="preserve"> have provided the text of the agreements for (re)processing, while others have reported the main provisions of su</w:t>
      </w:r>
      <w:r>
        <w:rPr>
          <w:rFonts w:eastAsia="Times New Roman"/>
          <w:noProof/>
          <w:color w:val="000000" w:themeColor="text1"/>
        </w:rPr>
        <w:t xml:space="preserve">ch agreements. In addition, a few </w:t>
      </w:r>
      <w:r>
        <w:rPr>
          <w:rFonts w:eastAsia="Times New Roman"/>
          <w:noProof/>
        </w:rPr>
        <w:t>Member States</w:t>
      </w:r>
      <w:r>
        <w:rPr>
          <w:rFonts w:eastAsia="Times New Roman"/>
          <w:noProof/>
          <w:color w:val="000000" w:themeColor="text1"/>
        </w:rPr>
        <w:t xml:space="preserve"> report that import of radioactive waste in their territory is excluded by law.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majority of </w:t>
      </w:r>
      <w:r>
        <w:rPr>
          <w:rFonts w:eastAsia="Times New Roman"/>
          <w:noProof/>
        </w:rPr>
        <w:t>Member States</w:t>
      </w:r>
      <w:r>
        <w:rPr>
          <w:rFonts w:eastAsia="Times New Roman"/>
          <w:noProof/>
          <w:color w:val="000000" w:themeColor="text1"/>
        </w:rPr>
        <w:t xml:space="preserve"> with research reactors foresee the return of their spent fuel back to the supplier (USA and the Ru</w:t>
      </w:r>
      <w:r>
        <w:rPr>
          <w:rFonts w:eastAsia="Times New Roman"/>
          <w:noProof/>
          <w:color w:val="000000" w:themeColor="text1"/>
        </w:rPr>
        <w:t xml:space="preserve">ssian Federation) before 2020, without returning the possible arising radioactive waste back to the originating countries. A few </w:t>
      </w:r>
      <w:r>
        <w:rPr>
          <w:rFonts w:eastAsia="Times New Roman"/>
          <w:noProof/>
        </w:rPr>
        <w:t>Member States</w:t>
      </w:r>
      <w:r>
        <w:rPr>
          <w:rFonts w:eastAsia="Times New Roman"/>
          <w:noProof/>
          <w:color w:val="000000" w:themeColor="text1"/>
        </w:rPr>
        <w:t xml:space="preserve"> with research reactors have plans to ship the spent fuel for reprocessing, and a number of Member States with tra</w:t>
      </w:r>
      <w:r>
        <w:rPr>
          <w:rFonts w:eastAsia="Times New Roman"/>
          <w:noProof/>
          <w:color w:val="000000" w:themeColor="text1"/>
        </w:rPr>
        <w:t xml:space="preserve">ining and demonstration reactors have not yet defined the strategy for the long term management of spent fuel.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To date, eight </w:t>
      </w:r>
      <w:r>
        <w:rPr>
          <w:rFonts w:eastAsia="Times New Roman"/>
          <w:noProof/>
        </w:rPr>
        <w:t>Member States</w:t>
      </w:r>
      <w:r>
        <w:rPr>
          <w:rFonts w:eastAsia="Times New Roman"/>
          <w:noProof/>
          <w:color w:val="000000" w:themeColor="text1"/>
        </w:rPr>
        <w:t xml:space="preserve"> that have opted for spent fuel reprocessing will receive radioactive waste after reprocessing in the EU or outside </w:t>
      </w:r>
      <w:r>
        <w:rPr>
          <w:rFonts w:eastAsia="Times New Roman"/>
          <w:noProof/>
          <w:color w:val="000000" w:themeColor="text1"/>
        </w:rPr>
        <w:t xml:space="preserve">the EU in the period 2017-2052 (see Table 5). </w:t>
      </w:r>
    </w:p>
    <w:p w:rsidR="00EF2BC3" w:rsidRDefault="00AF3002">
      <w:pPr>
        <w:keepNext/>
        <w:spacing w:before="240" w:after="120"/>
        <w:jc w:val="center"/>
        <w:outlineLvl w:val="0"/>
        <w:rPr>
          <w:b/>
          <w:noProof/>
        </w:rPr>
      </w:pPr>
      <w:bookmarkStart w:id="24" w:name="_Toc474832566"/>
      <w:bookmarkStart w:id="25" w:name="_Toc474832866"/>
      <w:r>
        <w:rPr>
          <w:b/>
          <w:noProof/>
        </w:rPr>
        <w:t>Table 5. Return of By-products from Spent Fuel Reprocessing to EU Member States</w:t>
      </w:r>
      <w:bookmarkEnd w:id="24"/>
      <w:bookmarkEnd w:id="25"/>
    </w:p>
    <w:tbl>
      <w:tblPr>
        <w:tblStyle w:val="TableGrid"/>
        <w:tblW w:w="0" w:type="auto"/>
        <w:tblInd w:w="787" w:type="dxa"/>
        <w:tblLayout w:type="fixed"/>
        <w:tblLook w:val="04A0" w:firstRow="1" w:lastRow="0" w:firstColumn="1" w:lastColumn="0" w:noHBand="0" w:noVBand="1"/>
      </w:tblPr>
      <w:tblGrid>
        <w:gridCol w:w="1022"/>
        <w:gridCol w:w="5474"/>
        <w:gridCol w:w="1522"/>
      </w:tblGrid>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MS</w:t>
            </w:r>
          </w:p>
        </w:tc>
        <w:tc>
          <w:tcPr>
            <w:tcW w:w="5474" w:type="dxa"/>
            <w:shd w:val="clear" w:color="auto" w:fill="365F91" w:themeFill="accent1" w:themeFillShade="BF"/>
          </w:tcPr>
          <w:p w:rsidR="00EF2BC3" w:rsidRDefault="00AF3002">
            <w:pPr>
              <w:keepNext/>
              <w:spacing w:before="120"/>
              <w:jc w:val="center"/>
              <w:rPr>
                <w:b/>
                <w:noProof/>
                <w:color w:val="FFFFFF" w:themeColor="background1"/>
                <w:sz w:val="20"/>
                <w:szCs w:val="20"/>
              </w:rPr>
            </w:pPr>
            <w:r>
              <w:rPr>
                <w:b/>
                <w:noProof/>
                <w:color w:val="FFFFFF" w:themeColor="background1"/>
                <w:sz w:val="20"/>
                <w:szCs w:val="20"/>
              </w:rPr>
              <w:t>Type of material</w:t>
            </w:r>
          </w:p>
        </w:tc>
        <w:tc>
          <w:tcPr>
            <w:tcW w:w="1522" w:type="dxa"/>
            <w:shd w:val="clear" w:color="auto" w:fill="365F91" w:themeFill="accent1" w:themeFillShade="BF"/>
          </w:tcPr>
          <w:p w:rsidR="00EF2BC3" w:rsidRDefault="00AF3002">
            <w:pPr>
              <w:keepNext/>
              <w:spacing w:before="120"/>
              <w:jc w:val="center"/>
              <w:rPr>
                <w:b/>
                <w:noProof/>
                <w:color w:val="FFFFFF" w:themeColor="background1"/>
                <w:sz w:val="20"/>
                <w:szCs w:val="20"/>
              </w:rPr>
            </w:pPr>
            <w:r>
              <w:rPr>
                <w:b/>
                <w:noProof/>
                <w:color w:val="FFFFFF" w:themeColor="background1"/>
                <w:sz w:val="20"/>
                <w:szCs w:val="20"/>
              </w:rPr>
              <w:t>Timeframe</w:t>
            </w:r>
          </w:p>
        </w:tc>
      </w:tr>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BE</w:t>
            </w:r>
          </w:p>
        </w:tc>
        <w:tc>
          <w:tcPr>
            <w:tcW w:w="5474" w:type="dxa"/>
          </w:tcPr>
          <w:p w:rsidR="00EF2BC3" w:rsidRDefault="00AF3002">
            <w:pPr>
              <w:keepNext/>
              <w:spacing w:before="120"/>
              <w:jc w:val="both"/>
              <w:rPr>
                <w:noProof/>
                <w:color w:val="000000" w:themeColor="text1"/>
                <w:sz w:val="20"/>
                <w:szCs w:val="20"/>
              </w:rPr>
            </w:pPr>
            <w:r>
              <w:rPr>
                <w:noProof/>
                <w:color w:val="000000" w:themeColor="text1"/>
                <w:sz w:val="20"/>
                <w:szCs w:val="20"/>
              </w:rPr>
              <w:t>Around 16 % of the spent nuclear fuel from NPP has been reprocessed in the past at La Hague (Fr</w:t>
            </w:r>
            <w:r>
              <w:rPr>
                <w:noProof/>
                <w:color w:val="000000" w:themeColor="text1"/>
                <w:sz w:val="20"/>
                <w:szCs w:val="20"/>
              </w:rPr>
              <w:t>ance). Most has been returned and the remaining secondary waste will be returned in 2017</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2017</w:t>
            </w:r>
          </w:p>
        </w:tc>
      </w:tr>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BG</w:t>
            </w:r>
          </w:p>
        </w:tc>
        <w:tc>
          <w:tcPr>
            <w:tcW w:w="5474" w:type="dxa"/>
          </w:tcPr>
          <w:p w:rsidR="00EF2BC3" w:rsidRDefault="00AF3002">
            <w:pPr>
              <w:keepNext/>
              <w:spacing w:before="120"/>
              <w:jc w:val="both"/>
              <w:rPr>
                <w:noProof/>
                <w:color w:val="000000" w:themeColor="text1"/>
                <w:sz w:val="20"/>
                <w:szCs w:val="20"/>
              </w:rPr>
            </w:pPr>
            <w:r>
              <w:rPr>
                <w:noProof/>
                <w:color w:val="000000" w:themeColor="text1"/>
                <w:sz w:val="20"/>
                <w:szCs w:val="20"/>
              </w:rPr>
              <w:t>Return of HLW from Kozloduy NPP spent fuel reprocessing in Russia</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After 2025</w:t>
            </w:r>
          </w:p>
        </w:tc>
      </w:tr>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CZ</w:t>
            </w:r>
          </w:p>
        </w:tc>
        <w:tc>
          <w:tcPr>
            <w:tcW w:w="5474" w:type="dxa"/>
          </w:tcPr>
          <w:p w:rsidR="00EF2BC3" w:rsidRDefault="00AF3002">
            <w:pPr>
              <w:keepNext/>
              <w:spacing w:before="120"/>
              <w:jc w:val="both"/>
              <w:rPr>
                <w:noProof/>
                <w:color w:val="000000" w:themeColor="text1"/>
                <w:sz w:val="20"/>
                <w:szCs w:val="20"/>
              </w:rPr>
            </w:pPr>
            <w:r>
              <w:rPr>
                <w:noProof/>
                <w:color w:val="000000" w:themeColor="text1"/>
                <w:sz w:val="20"/>
                <w:szCs w:val="20"/>
              </w:rPr>
              <w:t xml:space="preserve">Return of residual waste from highly enriched Uranium (LRV-15 reactor) sent </w:t>
            </w:r>
            <w:r>
              <w:rPr>
                <w:noProof/>
                <w:color w:val="000000" w:themeColor="text1"/>
                <w:sz w:val="20"/>
                <w:szCs w:val="20"/>
              </w:rPr>
              <w:t>to Russia</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2024-2026</w:t>
            </w:r>
          </w:p>
        </w:tc>
      </w:tr>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DE</w:t>
            </w:r>
          </w:p>
        </w:tc>
        <w:tc>
          <w:tcPr>
            <w:tcW w:w="5474" w:type="dxa"/>
          </w:tcPr>
          <w:p w:rsidR="00EF2BC3" w:rsidRDefault="00AF3002">
            <w:pPr>
              <w:keepNext/>
              <w:spacing w:before="120"/>
              <w:jc w:val="both"/>
              <w:rPr>
                <w:noProof/>
                <w:color w:val="000000" w:themeColor="text1"/>
                <w:sz w:val="20"/>
                <w:szCs w:val="20"/>
              </w:rPr>
            </w:pPr>
            <w:r>
              <w:rPr>
                <w:noProof/>
                <w:color w:val="000000" w:themeColor="text1"/>
                <w:sz w:val="20"/>
                <w:szCs w:val="20"/>
              </w:rPr>
              <w:t>Radioactive waste from spent fuel reprocessing in the UK and France is expected to be returned to Germany. Vitrified fission products were already returned from France in the period 1996 - 2011</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No information</w:t>
            </w:r>
          </w:p>
        </w:tc>
      </w:tr>
      <w:tr w:rsidR="00EF2BC3">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HU</w:t>
            </w:r>
          </w:p>
        </w:tc>
        <w:tc>
          <w:tcPr>
            <w:tcW w:w="5474" w:type="dxa"/>
          </w:tcPr>
          <w:p w:rsidR="00EF2BC3" w:rsidRDefault="00AF3002">
            <w:pPr>
              <w:keepNext/>
              <w:spacing w:before="120"/>
              <w:jc w:val="both"/>
              <w:rPr>
                <w:noProof/>
                <w:color w:val="000000" w:themeColor="text1"/>
                <w:sz w:val="20"/>
                <w:szCs w:val="20"/>
              </w:rPr>
            </w:pPr>
            <w:r>
              <w:rPr>
                <w:noProof/>
                <w:color w:val="000000" w:themeColor="text1"/>
                <w:sz w:val="20"/>
                <w:szCs w:val="20"/>
              </w:rPr>
              <w:t xml:space="preserve">Planned return of </w:t>
            </w:r>
            <w:r>
              <w:rPr>
                <w:noProof/>
                <w:color w:val="000000" w:themeColor="text1"/>
                <w:sz w:val="20"/>
                <w:szCs w:val="20"/>
              </w:rPr>
              <w:t>material from spent fuel from planned Paks NPP units 5 and 6 reprocessing in Russia in case reprocessing is decided.</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Decision not taken yet</w:t>
            </w:r>
          </w:p>
        </w:tc>
      </w:tr>
      <w:tr w:rsidR="00EF2BC3">
        <w:trPr>
          <w:trHeight w:val="479"/>
        </w:trPr>
        <w:tc>
          <w:tcPr>
            <w:tcW w:w="1022" w:type="dxa"/>
            <w:shd w:val="clear" w:color="auto" w:fill="365F91" w:themeFill="accent1" w:themeFillShade="BF"/>
          </w:tcPr>
          <w:p w:rsidR="00EF2BC3" w:rsidRDefault="00AF3002">
            <w:pPr>
              <w:keepNext/>
              <w:spacing w:before="120"/>
              <w:rPr>
                <w:b/>
                <w:noProof/>
                <w:color w:val="FFFFFF" w:themeColor="background1"/>
                <w:sz w:val="20"/>
                <w:szCs w:val="20"/>
              </w:rPr>
            </w:pPr>
            <w:r>
              <w:rPr>
                <w:b/>
                <w:noProof/>
                <w:color w:val="FFFFFF" w:themeColor="background1"/>
                <w:sz w:val="20"/>
                <w:szCs w:val="20"/>
              </w:rPr>
              <w:t>IT</w:t>
            </w:r>
          </w:p>
        </w:tc>
        <w:tc>
          <w:tcPr>
            <w:tcW w:w="5474" w:type="dxa"/>
          </w:tcPr>
          <w:p w:rsidR="00EF2BC3" w:rsidRDefault="00AF3002">
            <w:pPr>
              <w:pStyle w:val="ListParagraph"/>
              <w:keepNext/>
              <w:spacing w:before="120"/>
              <w:ind w:left="-4"/>
              <w:jc w:val="both"/>
              <w:rPr>
                <w:noProof/>
                <w:sz w:val="20"/>
                <w:szCs w:val="20"/>
              </w:rPr>
            </w:pPr>
            <w:r>
              <w:rPr>
                <w:noProof/>
                <w:color w:val="000000" w:themeColor="text1"/>
                <w:sz w:val="20"/>
                <w:szCs w:val="20"/>
              </w:rPr>
              <w:t xml:space="preserve">98% of NPP spent fuel is shipped to the UK and France. The remaining 2% will be shipped to France in 2016. The </w:t>
            </w:r>
            <w:r>
              <w:rPr>
                <w:noProof/>
                <w:color w:val="000000" w:themeColor="text1"/>
                <w:sz w:val="20"/>
                <w:szCs w:val="20"/>
              </w:rPr>
              <w:t>return of radioactive waste from the UK is scheduled between 2020 and 2025.</w:t>
            </w:r>
          </w:p>
        </w:tc>
        <w:tc>
          <w:tcPr>
            <w:tcW w:w="1522" w:type="dxa"/>
          </w:tcPr>
          <w:p w:rsidR="00EF2BC3" w:rsidRDefault="00AF3002">
            <w:pPr>
              <w:keepNext/>
              <w:spacing w:before="120"/>
              <w:jc w:val="center"/>
              <w:rPr>
                <w:noProof/>
                <w:color w:val="000000" w:themeColor="text1"/>
                <w:sz w:val="20"/>
                <w:szCs w:val="20"/>
              </w:rPr>
            </w:pPr>
            <w:r>
              <w:rPr>
                <w:noProof/>
                <w:color w:val="000000" w:themeColor="text1"/>
                <w:sz w:val="20"/>
                <w:szCs w:val="20"/>
              </w:rPr>
              <w:t>2020-2025</w:t>
            </w:r>
          </w:p>
        </w:tc>
      </w:tr>
      <w:tr w:rsidR="00EF2BC3">
        <w:tc>
          <w:tcPr>
            <w:tcW w:w="1022" w:type="dxa"/>
            <w:shd w:val="clear" w:color="auto" w:fill="365F91" w:themeFill="accent1" w:themeFillShade="BF"/>
          </w:tcPr>
          <w:p w:rsidR="00EF2BC3" w:rsidRDefault="00AF3002">
            <w:pPr>
              <w:spacing w:before="120"/>
              <w:rPr>
                <w:b/>
                <w:noProof/>
                <w:color w:val="FFFFFF" w:themeColor="background1"/>
                <w:sz w:val="20"/>
                <w:szCs w:val="20"/>
              </w:rPr>
            </w:pPr>
            <w:r>
              <w:rPr>
                <w:b/>
                <w:noProof/>
                <w:color w:val="FFFFFF" w:themeColor="background1"/>
                <w:sz w:val="20"/>
                <w:szCs w:val="20"/>
              </w:rPr>
              <w:t>NL</w:t>
            </w:r>
          </w:p>
        </w:tc>
        <w:tc>
          <w:tcPr>
            <w:tcW w:w="5474" w:type="dxa"/>
          </w:tcPr>
          <w:p w:rsidR="00EF2BC3" w:rsidRDefault="00AF3002">
            <w:pPr>
              <w:spacing w:before="120"/>
              <w:jc w:val="both"/>
              <w:rPr>
                <w:noProof/>
                <w:color w:val="000000" w:themeColor="text1"/>
                <w:sz w:val="20"/>
                <w:szCs w:val="20"/>
              </w:rPr>
            </w:pPr>
            <w:r>
              <w:rPr>
                <w:noProof/>
                <w:color w:val="000000" w:themeColor="text1"/>
                <w:sz w:val="20"/>
                <w:szCs w:val="20"/>
              </w:rPr>
              <w:t>Waste from spent fuel reprocessing in the UK returned. Part of vitrified HLW from France received and additional expected to be returned</w:t>
            </w:r>
          </w:p>
        </w:tc>
        <w:tc>
          <w:tcPr>
            <w:tcW w:w="1522" w:type="dxa"/>
          </w:tcPr>
          <w:p w:rsidR="00EF2BC3" w:rsidRDefault="00AF3002">
            <w:pPr>
              <w:spacing w:before="120"/>
              <w:jc w:val="center"/>
              <w:rPr>
                <w:noProof/>
                <w:color w:val="000000" w:themeColor="text1"/>
                <w:sz w:val="20"/>
                <w:szCs w:val="20"/>
              </w:rPr>
            </w:pPr>
            <w:r>
              <w:rPr>
                <w:noProof/>
                <w:color w:val="000000" w:themeColor="text1"/>
                <w:sz w:val="20"/>
                <w:szCs w:val="20"/>
              </w:rPr>
              <w:t>latest in 2052</w:t>
            </w:r>
          </w:p>
        </w:tc>
      </w:tr>
      <w:tr w:rsidR="00EF2BC3">
        <w:tc>
          <w:tcPr>
            <w:tcW w:w="1022" w:type="dxa"/>
            <w:shd w:val="clear" w:color="auto" w:fill="365F91" w:themeFill="accent1" w:themeFillShade="BF"/>
          </w:tcPr>
          <w:p w:rsidR="00EF2BC3" w:rsidRDefault="00AF3002">
            <w:pPr>
              <w:spacing w:before="120"/>
              <w:rPr>
                <w:b/>
                <w:noProof/>
                <w:color w:val="FFFFFF" w:themeColor="background1"/>
                <w:sz w:val="20"/>
                <w:szCs w:val="20"/>
              </w:rPr>
            </w:pPr>
            <w:r>
              <w:rPr>
                <w:b/>
                <w:noProof/>
                <w:color w:val="FFFFFF" w:themeColor="background1"/>
                <w:sz w:val="20"/>
                <w:szCs w:val="20"/>
              </w:rPr>
              <w:t>ES</w:t>
            </w:r>
          </w:p>
        </w:tc>
        <w:tc>
          <w:tcPr>
            <w:tcW w:w="5474" w:type="dxa"/>
          </w:tcPr>
          <w:p w:rsidR="00EF2BC3" w:rsidRDefault="00AF3002">
            <w:pPr>
              <w:spacing w:before="120"/>
              <w:ind w:left="-4"/>
              <w:jc w:val="both"/>
              <w:rPr>
                <w:noProof/>
                <w:color w:val="000000" w:themeColor="text1"/>
                <w:sz w:val="20"/>
                <w:szCs w:val="20"/>
              </w:rPr>
            </w:pPr>
            <w:r>
              <w:rPr>
                <w:noProof/>
                <w:color w:val="000000" w:themeColor="text1"/>
                <w:sz w:val="20"/>
                <w:szCs w:val="20"/>
              </w:rPr>
              <w:t xml:space="preserve">Products </w:t>
            </w:r>
            <w:r>
              <w:rPr>
                <w:noProof/>
                <w:color w:val="000000" w:themeColor="text1"/>
                <w:sz w:val="20"/>
                <w:szCs w:val="20"/>
              </w:rPr>
              <w:t>from reprocessing that need to be returned to Spain are vitrified high level waste located in France (spent fuel from Vandellos I NPP) and recovered U and Pu in the UK (spent fuel from Santa Maria de Garoña NPP).</w:t>
            </w:r>
          </w:p>
          <w:p w:rsidR="00EF2BC3" w:rsidRDefault="00EF2BC3">
            <w:pPr>
              <w:spacing w:before="120"/>
              <w:ind w:left="-4"/>
              <w:rPr>
                <w:noProof/>
                <w:color w:val="000000" w:themeColor="text1"/>
                <w:sz w:val="20"/>
                <w:szCs w:val="20"/>
              </w:rPr>
            </w:pPr>
          </w:p>
        </w:tc>
        <w:tc>
          <w:tcPr>
            <w:tcW w:w="1522" w:type="dxa"/>
          </w:tcPr>
          <w:p w:rsidR="00EF2BC3" w:rsidRDefault="00AF3002">
            <w:pPr>
              <w:spacing w:before="120"/>
              <w:jc w:val="center"/>
              <w:rPr>
                <w:noProof/>
                <w:color w:val="000000" w:themeColor="text1"/>
                <w:sz w:val="20"/>
                <w:szCs w:val="20"/>
              </w:rPr>
            </w:pPr>
            <w:r>
              <w:rPr>
                <w:noProof/>
                <w:color w:val="000000" w:themeColor="text1"/>
                <w:sz w:val="20"/>
                <w:szCs w:val="20"/>
              </w:rPr>
              <w:t>2021</w:t>
            </w:r>
            <w:r>
              <w:rPr>
                <w:rStyle w:val="FootnoteReference"/>
                <w:noProof/>
                <w:color w:val="000000" w:themeColor="text1"/>
                <w:sz w:val="20"/>
                <w:szCs w:val="20"/>
              </w:rPr>
              <w:footnoteReference w:id="27"/>
            </w:r>
            <w:r>
              <w:rPr>
                <w:noProof/>
                <w:color w:val="000000" w:themeColor="text1"/>
                <w:sz w:val="20"/>
                <w:szCs w:val="20"/>
              </w:rPr>
              <w:t xml:space="preserve"> </w:t>
            </w:r>
          </w:p>
        </w:tc>
      </w:tr>
    </w:tbl>
    <w:p w:rsidR="00EF2BC3" w:rsidRDefault="00EF2BC3">
      <w:pPr>
        <w:keepNext/>
        <w:spacing w:before="240"/>
        <w:jc w:val="center"/>
        <w:outlineLvl w:val="0"/>
        <w:rPr>
          <w:b/>
          <w:noProof/>
        </w:rPr>
      </w:pPr>
    </w:p>
    <w:p w:rsidR="00EF2BC3" w:rsidRDefault="00AF3002">
      <w:pPr>
        <w:spacing w:before="120"/>
        <w:jc w:val="both"/>
        <w:rPr>
          <w:noProof/>
        </w:rPr>
      </w:pPr>
      <w:r>
        <w:rPr>
          <w:rFonts w:eastAsia="Times New Roman"/>
          <w:noProof/>
        </w:rPr>
        <w:t>Member States</w:t>
      </w:r>
      <w:r>
        <w:rPr>
          <w:noProof/>
        </w:rPr>
        <w:t xml:space="preserve"> are required to inc</w:t>
      </w:r>
      <w:r>
        <w:rPr>
          <w:noProof/>
        </w:rPr>
        <w:t>lude in their national programmes any agreement(s) concluded with a Member State or a third country on management of spent fuel or radioactive waste, including on the use of disposal facilities (Article 12(1)k of the Directive). Only a few Member States su</w:t>
      </w:r>
      <w:r>
        <w:rPr>
          <w:noProof/>
        </w:rPr>
        <w:t>bmitted their agreement(s) with other Member States or a third country, while most Member States with no nuclear programmes did not notify having such agreements in place to date.</w:t>
      </w:r>
    </w:p>
    <w:p w:rsidR="00EF2BC3" w:rsidRDefault="00AF3002">
      <w:pPr>
        <w:spacing w:before="120"/>
        <w:jc w:val="both"/>
        <w:rPr>
          <w:rFonts w:eastAsia="Times New Roman"/>
          <w:noProof/>
          <w:color w:val="000000" w:themeColor="text1"/>
        </w:rPr>
      </w:pPr>
      <w:r>
        <w:rPr>
          <w:noProof/>
        </w:rPr>
        <w:t xml:space="preserve">To date </w:t>
      </w:r>
      <w:r>
        <w:rPr>
          <w:rFonts w:eastAsia="Times New Roman"/>
          <w:noProof/>
          <w:color w:val="000000" w:themeColor="text1"/>
        </w:rPr>
        <w:t xml:space="preserve">only two </w:t>
      </w:r>
      <w:r>
        <w:rPr>
          <w:rFonts w:eastAsia="Times New Roman"/>
          <w:noProof/>
        </w:rPr>
        <w:t>Member States</w:t>
      </w:r>
      <w:r>
        <w:rPr>
          <w:rFonts w:eastAsia="Times New Roman"/>
          <w:noProof/>
          <w:color w:val="000000" w:themeColor="text1"/>
        </w:rPr>
        <w:t xml:space="preserve"> have concluded an agreement for management of</w:t>
      </w:r>
      <w:r>
        <w:rPr>
          <w:rFonts w:eastAsia="Times New Roman"/>
          <w:noProof/>
          <w:color w:val="000000" w:themeColor="text1"/>
        </w:rPr>
        <w:t xml:space="preserve"> small amounts of institutional waste (Luxembourg and Belgium). In addition, two </w:t>
      </w:r>
      <w:r>
        <w:rPr>
          <w:rFonts w:eastAsia="Times New Roman"/>
          <w:noProof/>
        </w:rPr>
        <w:t>Member States</w:t>
      </w:r>
      <w:r>
        <w:rPr>
          <w:rFonts w:eastAsia="Times New Roman"/>
          <w:noProof/>
          <w:color w:val="000000" w:themeColor="text1"/>
        </w:rPr>
        <w:t xml:space="preserve"> (Slovenia and Croatia) are working towards common disposal solution for spent fuel and radioactive waste generated by the shared </w:t>
      </w:r>
      <w:r>
        <w:rPr>
          <w:noProof/>
        </w:rPr>
        <w:t>nuclear power plant</w:t>
      </w:r>
      <w:r>
        <w:rPr>
          <w:rFonts w:eastAsia="Times New Roman"/>
          <w:noProof/>
          <w:color w:val="000000" w:themeColor="text1"/>
        </w:rPr>
        <w:t xml:space="preserve"> (an agreement is expected by 2023). </w:t>
      </w:r>
    </w:p>
    <w:p w:rsidR="00EF2BC3" w:rsidRDefault="00EF2BC3">
      <w:pPr>
        <w:spacing w:before="120"/>
        <w:jc w:val="both"/>
        <w:rPr>
          <w:rFonts w:eastAsia="Times New Roman"/>
          <w:noProof/>
          <w:color w:val="000000" w:themeColor="text1"/>
        </w:rPr>
      </w:pPr>
    </w:p>
    <w:p w:rsidR="00EF2BC3" w:rsidRDefault="00AF3002">
      <w:pPr>
        <w:pStyle w:val="ManualHeading3"/>
        <w:spacing w:before="2"/>
        <w:rPr>
          <w:noProof/>
        </w:rPr>
      </w:pPr>
      <w:bookmarkStart w:id="26" w:name="_Toc474832867"/>
      <w:r>
        <w:t>2.1.6.</w:t>
      </w:r>
      <w:r>
        <w:tab/>
      </w:r>
      <w:r>
        <w:rPr>
          <w:noProof/>
        </w:rPr>
        <w:t>Self-assessment and international peer reviews</w:t>
      </w:r>
      <w:bookmarkEnd w:id="26"/>
    </w:p>
    <w:p w:rsidR="00EF2BC3" w:rsidRDefault="00AF3002">
      <w:pPr>
        <w:spacing w:before="120"/>
        <w:jc w:val="both"/>
        <w:rPr>
          <w:noProof/>
          <w:color w:val="000000" w:themeColor="text1"/>
        </w:rPr>
      </w:pPr>
      <w:r>
        <w:rPr>
          <w:noProof/>
          <w:color w:val="000000" w:themeColor="text1"/>
        </w:rPr>
        <w:t xml:space="preserve">At least every 10 years, </w:t>
      </w:r>
      <w:r>
        <w:rPr>
          <w:rFonts w:eastAsia="Times New Roman"/>
          <w:noProof/>
        </w:rPr>
        <w:t>Member States</w:t>
      </w:r>
      <w:r>
        <w:rPr>
          <w:noProof/>
          <w:color w:val="000000" w:themeColor="text1"/>
        </w:rPr>
        <w:t xml:space="preserve"> shall arrange for self-assessments of their national framework, competent regulatory authority, national programme and its i</w:t>
      </w:r>
      <w:r>
        <w:rPr>
          <w:noProof/>
          <w:color w:val="000000" w:themeColor="text1"/>
        </w:rPr>
        <w:t xml:space="preserve">mplementation, and to invite international peer review of their national framework, competent regulatory authority and/or national programme. The aim is to ensure that high safety standards are achieved in the safe management of spent fuel and radioactive </w:t>
      </w:r>
      <w:r>
        <w:rPr>
          <w:noProof/>
          <w:color w:val="000000" w:themeColor="text1"/>
        </w:rPr>
        <w:t xml:space="preserve">waste. It is </w:t>
      </w:r>
      <w:r>
        <w:rPr>
          <w:rFonts w:eastAsia="Times New Roman"/>
          <w:noProof/>
        </w:rPr>
        <w:t>Member State's</w:t>
      </w:r>
      <w:r>
        <w:rPr>
          <w:noProof/>
          <w:color w:val="000000" w:themeColor="text1"/>
        </w:rPr>
        <w:t xml:space="preserve"> decision to define the scope, timing and type of international peer reviews as long it complies with provision of Article 14(3) and is carried out by 2023. </w:t>
      </w:r>
      <w:r>
        <w:rPr>
          <w:rFonts w:eastAsia="Times New Roman"/>
          <w:noProof/>
        </w:rPr>
        <w:t>Member States</w:t>
      </w:r>
      <w:r>
        <w:rPr>
          <w:noProof/>
          <w:color w:val="000000" w:themeColor="text1"/>
        </w:rPr>
        <w:t xml:space="preserve"> are required to report the outcomes of these international</w:t>
      </w:r>
      <w:r>
        <w:rPr>
          <w:noProof/>
          <w:color w:val="000000" w:themeColor="text1"/>
        </w:rPr>
        <w:t xml:space="preserve"> peer reviews</w:t>
      </w:r>
      <w:r>
        <w:rPr>
          <w:noProof/>
        </w:rPr>
        <w:t xml:space="preserve"> to the</w:t>
      </w:r>
      <w:r>
        <w:rPr>
          <w:noProof/>
          <w:color w:val="000000" w:themeColor="text1"/>
        </w:rPr>
        <w:t xml:space="preserve"> Commission and the other Member States, which may be made available to the public, unless there is conflict with security and proprietary information.</w:t>
      </w:r>
    </w:p>
    <w:p w:rsidR="00EF2BC3" w:rsidRDefault="00AF3002">
      <w:pPr>
        <w:tabs>
          <w:tab w:val="left" w:pos="567"/>
        </w:tabs>
        <w:spacing w:before="120"/>
        <w:jc w:val="both"/>
        <w:rPr>
          <w:rFonts w:eastAsia="Times New Roman"/>
          <w:noProof/>
          <w:color w:val="000000" w:themeColor="text1"/>
        </w:rPr>
      </w:pPr>
      <w:r>
        <w:rPr>
          <w:rFonts w:eastAsia="Times New Roman"/>
          <w:noProof/>
          <w:color w:val="000000" w:themeColor="text1"/>
        </w:rPr>
        <w:t xml:space="preserve">The majority of </w:t>
      </w:r>
      <w:r>
        <w:rPr>
          <w:rFonts w:eastAsia="Times New Roman"/>
          <w:noProof/>
        </w:rPr>
        <w:t>Member States</w:t>
      </w:r>
      <w:r>
        <w:rPr>
          <w:rFonts w:eastAsia="Times New Roman"/>
          <w:noProof/>
          <w:color w:val="000000" w:themeColor="text1"/>
        </w:rPr>
        <w:t xml:space="preserve"> address periodic self-assessments and international peer reviews in a general way in their national programmes and reports. Some </w:t>
      </w:r>
      <w:r>
        <w:rPr>
          <w:rFonts w:eastAsia="Times New Roman"/>
          <w:noProof/>
        </w:rPr>
        <w:t>Member States</w:t>
      </w:r>
      <w:r>
        <w:rPr>
          <w:rFonts w:eastAsia="Times New Roman"/>
          <w:noProof/>
          <w:color w:val="000000" w:themeColor="text1"/>
        </w:rPr>
        <w:t xml:space="preserve"> have clearly defined timeframes for review and update of the national programmes (which is assumed to cover the </w:t>
      </w:r>
      <w:r>
        <w:rPr>
          <w:rFonts w:eastAsia="Times New Roman"/>
          <w:noProof/>
          <w:color w:val="000000" w:themeColor="text1"/>
        </w:rPr>
        <w:t>self-assessment requirement), however only about a third of the Member States provided information on self-assessment of the national framework for spent fuel and radioactive waste management (see Table 6).</w:t>
      </w:r>
    </w:p>
    <w:p w:rsidR="00EF2BC3" w:rsidRDefault="00AF3002">
      <w:pPr>
        <w:tabs>
          <w:tab w:val="left" w:pos="567"/>
        </w:tabs>
        <w:spacing w:before="120"/>
        <w:jc w:val="both"/>
        <w:rPr>
          <w:rFonts w:eastAsia="Times New Roman"/>
          <w:noProof/>
          <w:color w:val="000000" w:themeColor="text1"/>
        </w:rPr>
      </w:pPr>
      <w:r>
        <w:rPr>
          <w:rFonts w:eastAsia="Times New Roman"/>
          <w:noProof/>
          <w:color w:val="000000" w:themeColor="text1"/>
        </w:rPr>
        <w:t xml:space="preserve">In most </w:t>
      </w:r>
      <w:r>
        <w:rPr>
          <w:rFonts w:eastAsia="Times New Roman"/>
          <w:noProof/>
        </w:rPr>
        <w:t>Member States</w:t>
      </w:r>
      <w:r>
        <w:rPr>
          <w:rFonts w:eastAsia="Times New Roman"/>
          <w:noProof/>
          <w:color w:val="000000" w:themeColor="text1"/>
        </w:rPr>
        <w:t xml:space="preserve"> self-assessment of the comp</w:t>
      </w:r>
      <w:r>
        <w:rPr>
          <w:rFonts w:eastAsia="Times New Roman"/>
          <w:noProof/>
          <w:color w:val="000000" w:themeColor="text1"/>
        </w:rPr>
        <w:t xml:space="preserve">etent authorities has been established and carried out through the IRRS missions of the IAEA. While the majority of </w:t>
      </w:r>
      <w:r>
        <w:rPr>
          <w:rFonts w:eastAsia="Times New Roman"/>
          <w:noProof/>
        </w:rPr>
        <w:t>Member States</w:t>
      </w:r>
      <w:r>
        <w:rPr>
          <w:rFonts w:eastAsia="Times New Roman"/>
          <w:noProof/>
          <w:color w:val="000000" w:themeColor="text1"/>
        </w:rPr>
        <w:t xml:space="preserve"> reported IRRS</w:t>
      </w:r>
      <w:r>
        <w:rPr>
          <w:rStyle w:val="FootnoteReference"/>
          <w:rFonts w:eastAsia="Times New Roman"/>
          <w:noProof/>
          <w:color w:val="000000" w:themeColor="text1"/>
        </w:rPr>
        <w:footnoteReference w:id="28"/>
      </w:r>
      <w:r>
        <w:rPr>
          <w:rFonts w:eastAsia="Times New Roman"/>
          <w:noProof/>
          <w:color w:val="000000" w:themeColor="text1"/>
        </w:rPr>
        <w:t xml:space="preserve"> missions, a few </w:t>
      </w:r>
      <w:r>
        <w:rPr>
          <w:rFonts w:eastAsia="Times New Roman"/>
          <w:noProof/>
        </w:rPr>
        <w:t>Member States</w:t>
      </w:r>
      <w:r>
        <w:rPr>
          <w:rFonts w:eastAsia="Times New Roman"/>
          <w:noProof/>
          <w:color w:val="000000" w:themeColor="text1"/>
        </w:rPr>
        <w:t xml:space="preserve"> provide details on the self-assessment outcomes related to spent fuel and radioac</w:t>
      </w:r>
      <w:r>
        <w:rPr>
          <w:rFonts w:eastAsia="Times New Roman"/>
          <w:noProof/>
          <w:color w:val="000000" w:themeColor="text1"/>
        </w:rPr>
        <w:t xml:space="preserve">tive waste management. Although the majority of IRRS missions’ reports are publicly available, details on the </w:t>
      </w:r>
      <w:r>
        <w:rPr>
          <w:rFonts w:eastAsia="Times New Roman"/>
          <w:noProof/>
        </w:rPr>
        <w:t>Member States'</w:t>
      </w:r>
      <w:r>
        <w:rPr>
          <w:rFonts w:eastAsia="Times New Roman"/>
          <w:noProof/>
          <w:color w:val="000000" w:themeColor="text1"/>
        </w:rPr>
        <w:t xml:space="preserve"> follow up actions addressing the outcomes of theses reviews for achieving higher level of safety have been reported by a few </w:t>
      </w:r>
      <w:r>
        <w:rPr>
          <w:rFonts w:eastAsia="Times New Roman"/>
          <w:noProof/>
        </w:rPr>
        <w:t>Member</w:t>
      </w:r>
      <w:r>
        <w:rPr>
          <w:rFonts w:eastAsia="Times New Roman"/>
          <w:noProof/>
        </w:rPr>
        <w:t xml:space="preserve"> States</w:t>
      </w:r>
      <w:r>
        <w:rPr>
          <w:rFonts w:eastAsia="Times New Roman"/>
          <w:noProof/>
          <w:color w:val="000000" w:themeColor="text1"/>
        </w:rPr>
        <w:t xml:space="preserve">. </w:t>
      </w:r>
    </w:p>
    <w:p w:rsidR="00EF2BC3" w:rsidRDefault="00AF3002">
      <w:pPr>
        <w:tabs>
          <w:tab w:val="left" w:pos="567"/>
        </w:tabs>
        <w:spacing w:before="120"/>
        <w:jc w:val="both"/>
        <w:rPr>
          <w:rFonts w:eastAsia="Times New Roman"/>
          <w:noProof/>
          <w:color w:val="000000" w:themeColor="text1"/>
        </w:rPr>
      </w:pPr>
      <w:r>
        <w:rPr>
          <w:rFonts w:eastAsia="Times New Roman"/>
          <w:noProof/>
          <w:color w:val="000000" w:themeColor="text1"/>
        </w:rPr>
        <w:t xml:space="preserve">Therefore, the implementation of this Article requires specific attention in the future </w:t>
      </w:r>
      <w:r>
        <w:rPr>
          <w:rFonts w:eastAsia="Times New Roman"/>
          <w:noProof/>
        </w:rPr>
        <w:t>Member States</w:t>
      </w:r>
      <w:r>
        <w:rPr>
          <w:rFonts w:eastAsia="Times New Roman"/>
          <w:noProof/>
          <w:color w:val="000000" w:themeColor="text1"/>
        </w:rPr>
        <w:t xml:space="preserve"> reporting to the Commission. Since 2014 the Commission is supporting the IAEA in development of a self-assessment tool based on the IAEA safety </w:t>
      </w:r>
      <w:r>
        <w:rPr>
          <w:rFonts w:eastAsia="Times New Roman"/>
          <w:noProof/>
          <w:color w:val="000000" w:themeColor="text1"/>
        </w:rPr>
        <w:t xml:space="preserve">standards and best practice to enable EU </w:t>
      </w:r>
      <w:r>
        <w:rPr>
          <w:rFonts w:eastAsia="Times New Roman"/>
          <w:noProof/>
        </w:rPr>
        <w:t>Member States</w:t>
      </w:r>
      <w:r>
        <w:rPr>
          <w:rFonts w:eastAsia="Times New Roman"/>
          <w:noProof/>
          <w:color w:val="000000" w:themeColor="text1"/>
        </w:rPr>
        <w:t xml:space="preserve"> to fulfil their obligations for periodic self-assessment (Article 14(3) of the Directive). The first reviews in Poland and France are scheduled for 2017.</w:t>
      </w:r>
    </w:p>
    <w:p w:rsidR="00EF2BC3" w:rsidRDefault="00AF3002">
      <w:pPr>
        <w:tabs>
          <w:tab w:val="left" w:pos="567"/>
        </w:tabs>
        <w:spacing w:before="120"/>
        <w:jc w:val="both"/>
        <w:rPr>
          <w:rFonts w:eastAsia="Times New Roman"/>
          <w:noProof/>
          <w:color w:val="000000" w:themeColor="text1"/>
        </w:rPr>
      </w:pPr>
      <w:r>
        <w:rPr>
          <w:rFonts w:eastAsia="Times New Roman"/>
          <w:noProof/>
          <w:color w:val="000000" w:themeColor="text1"/>
        </w:rPr>
        <w:t xml:space="preserve">About a third of the </w:t>
      </w:r>
      <w:r>
        <w:rPr>
          <w:rFonts w:eastAsia="Times New Roman"/>
          <w:noProof/>
        </w:rPr>
        <w:t>Member States</w:t>
      </w:r>
      <w:r>
        <w:rPr>
          <w:rFonts w:eastAsia="Times New Roman"/>
          <w:noProof/>
          <w:color w:val="000000" w:themeColor="text1"/>
        </w:rPr>
        <w:t xml:space="preserve"> report on th</w:t>
      </w:r>
      <w:r>
        <w:rPr>
          <w:rFonts w:eastAsia="Times New Roman"/>
          <w:noProof/>
          <w:color w:val="000000" w:themeColor="text1"/>
        </w:rPr>
        <w:t xml:space="preserve">e planned international peer reviews related to their spent fuel and waste management, however a few </w:t>
      </w:r>
      <w:r>
        <w:rPr>
          <w:rFonts w:eastAsia="Times New Roman"/>
          <w:noProof/>
        </w:rPr>
        <w:t>Member States</w:t>
      </w:r>
      <w:r>
        <w:rPr>
          <w:rFonts w:eastAsia="Times New Roman"/>
          <w:noProof/>
          <w:color w:val="000000" w:themeColor="text1"/>
        </w:rPr>
        <w:t xml:space="preserve"> present specific timeframes of planned international peer reviews in their national programmes and reports on spent fuel and radioactive wast</w:t>
      </w:r>
      <w:r>
        <w:rPr>
          <w:rFonts w:eastAsia="Times New Roman"/>
          <w:noProof/>
          <w:color w:val="000000" w:themeColor="text1"/>
        </w:rPr>
        <w:t xml:space="preserve">e management, and clearly explaining the mechanisms for taking into account lessons learned in the review of the national programme. The Commission is aware through ENSREG that eight </w:t>
      </w:r>
      <w:r>
        <w:rPr>
          <w:rFonts w:eastAsia="Times New Roman"/>
          <w:noProof/>
        </w:rPr>
        <w:t>Member States</w:t>
      </w:r>
      <w:r>
        <w:rPr>
          <w:rFonts w:eastAsia="Times New Roman"/>
          <w:noProof/>
          <w:color w:val="000000" w:themeColor="text1"/>
        </w:rPr>
        <w:t xml:space="preserve"> have specific plans to conduct ARTEMIS</w:t>
      </w:r>
      <w:r>
        <w:rPr>
          <w:rStyle w:val="FootnoteReference"/>
          <w:rFonts w:eastAsia="Times New Roman"/>
          <w:noProof/>
          <w:color w:val="000000" w:themeColor="text1"/>
        </w:rPr>
        <w:footnoteReference w:id="29"/>
      </w:r>
      <w:r>
        <w:rPr>
          <w:rFonts w:eastAsia="Times New Roman"/>
          <w:noProof/>
          <w:color w:val="000000" w:themeColor="text1"/>
        </w:rPr>
        <w:t xml:space="preserve"> peer review service</w:t>
      </w:r>
      <w:r>
        <w:rPr>
          <w:rFonts w:eastAsia="Times New Roman"/>
          <w:noProof/>
          <w:color w:val="000000" w:themeColor="text1"/>
        </w:rPr>
        <w:t xml:space="preserve"> and to host missions until 2023 (for details see Table 6).</w:t>
      </w:r>
    </w:p>
    <w:p w:rsidR="00EF2BC3" w:rsidRDefault="00AF3002">
      <w:pPr>
        <w:spacing w:after="200" w:line="276" w:lineRule="auto"/>
        <w:rPr>
          <w:rFonts w:eastAsia="Times New Roman"/>
          <w:b/>
          <w:noProof/>
        </w:rPr>
      </w:pPr>
      <w:bookmarkStart w:id="27" w:name="_Toc474832568"/>
      <w:bookmarkStart w:id="28" w:name="_Toc474832868"/>
      <w:r>
        <w:rPr>
          <w:rFonts w:eastAsia="Times New Roman"/>
          <w:b/>
          <w:noProof/>
        </w:rPr>
        <w:br w:type="page"/>
      </w:r>
    </w:p>
    <w:p w:rsidR="00EF2BC3" w:rsidRDefault="00AF3002">
      <w:pPr>
        <w:keepNext/>
        <w:spacing w:before="240" w:after="120"/>
        <w:jc w:val="center"/>
        <w:outlineLvl w:val="0"/>
        <w:rPr>
          <w:rFonts w:eastAsia="Times New Roman"/>
          <w:b/>
          <w:noProof/>
        </w:rPr>
      </w:pPr>
      <w:r>
        <w:rPr>
          <w:rFonts w:eastAsia="Times New Roman"/>
          <w:b/>
          <w:noProof/>
        </w:rPr>
        <w:t>Table 6. Recent and planned international peer reviews as per Article 14(3) of the Directive</w:t>
      </w:r>
      <w:r>
        <w:rPr>
          <w:noProof/>
          <w:vertAlign w:val="superscript"/>
        </w:rPr>
        <w:footnoteReference w:id="30"/>
      </w:r>
      <w:bookmarkEnd w:id="27"/>
      <w:bookmarkEnd w:id="28"/>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3543"/>
        <w:gridCol w:w="4253"/>
      </w:tblGrid>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center"/>
              <w:rPr>
                <w:rFonts w:eastAsia="Times New Roman"/>
                <w:b/>
                <w:noProof/>
                <w:color w:val="FFFFFF" w:themeColor="background1"/>
                <w:sz w:val="22"/>
                <w:szCs w:val="22"/>
              </w:rPr>
            </w:pPr>
            <w:r>
              <w:rPr>
                <w:rFonts w:eastAsia="Times New Roman"/>
                <w:b/>
                <w:noProof/>
                <w:color w:val="FFFFFF" w:themeColor="background1"/>
                <w:sz w:val="22"/>
                <w:szCs w:val="22"/>
              </w:rPr>
              <w:t>MS</w:t>
            </w:r>
          </w:p>
        </w:tc>
        <w:tc>
          <w:tcPr>
            <w:tcW w:w="354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center"/>
              <w:rPr>
                <w:rFonts w:eastAsia="Times New Roman"/>
                <w:b/>
                <w:noProof/>
                <w:color w:val="FFFFFF" w:themeColor="background1"/>
                <w:sz w:val="22"/>
                <w:szCs w:val="22"/>
              </w:rPr>
            </w:pPr>
            <w:r>
              <w:rPr>
                <w:rFonts w:eastAsia="Times New Roman"/>
                <w:b/>
                <w:noProof/>
                <w:color w:val="FFFFFF" w:themeColor="background1"/>
                <w:sz w:val="22"/>
                <w:szCs w:val="22"/>
              </w:rPr>
              <w:t xml:space="preserve">National programme and/or </w:t>
            </w:r>
          </w:p>
          <w:p w:rsidR="00EF2BC3" w:rsidRDefault="00AF3002">
            <w:pPr>
              <w:jc w:val="center"/>
              <w:rPr>
                <w:rFonts w:eastAsia="Times New Roman"/>
                <w:b/>
                <w:noProof/>
                <w:color w:val="FFFFFF" w:themeColor="background1"/>
                <w:sz w:val="22"/>
                <w:szCs w:val="22"/>
              </w:rPr>
            </w:pPr>
            <w:r>
              <w:rPr>
                <w:rFonts w:eastAsia="Times New Roman"/>
                <w:b/>
                <w:noProof/>
                <w:color w:val="FFFFFF" w:themeColor="background1"/>
                <w:sz w:val="22"/>
                <w:szCs w:val="22"/>
              </w:rPr>
              <w:t>National framework</w:t>
            </w:r>
          </w:p>
        </w:tc>
        <w:tc>
          <w:tcPr>
            <w:tcW w:w="425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center"/>
              <w:rPr>
                <w:rFonts w:eastAsia="Times New Roman"/>
                <w:b/>
                <w:noProof/>
                <w:color w:val="FFFFFF" w:themeColor="background1"/>
                <w:sz w:val="22"/>
                <w:szCs w:val="22"/>
              </w:rPr>
            </w:pPr>
            <w:r>
              <w:rPr>
                <w:rFonts w:eastAsia="Times New Roman"/>
                <w:b/>
                <w:noProof/>
                <w:color w:val="FFFFFF" w:themeColor="background1"/>
                <w:sz w:val="22"/>
                <w:szCs w:val="22"/>
              </w:rPr>
              <w:t>Competent regulatory authority</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BE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000000" w:themeColor="text1"/>
                <w:sz w:val="22"/>
                <w:szCs w:val="22"/>
              </w:rPr>
            </w:pPr>
            <w:r>
              <w:rPr>
                <w:rFonts w:eastAsia="Times New Roman"/>
                <w:noProof/>
                <w:color w:val="000000" w:themeColor="text1"/>
                <w:sz w:val="22"/>
                <w:szCs w:val="22"/>
              </w:rPr>
              <w:t xml:space="preserve">2013 (IRRS), </w:t>
            </w:r>
            <w:r>
              <w:rPr>
                <w:rFonts w:eastAsia="Times New Roman"/>
                <w:noProof/>
                <w:color w:val="808080" w:themeColor="background1" w:themeShade="80"/>
                <w:sz w:val="22"/>
                <w:szCs w:val="22"/>
              </w:rPr>
              <w:t>2016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BG</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808080" w:themeColor="background1" w:themeShade="80"/>
                <w:sz w:val="22"/>
                <w:szCs w:val="22"/>
              </w:rPr>
            </w:pPr>
            <w:r>
              <w:rPr>
                <w:rFonts w:eastAsia="Times New Roman"/>
                <w:noProof/>
                <w:color w:val="808080" w:themeColor="background1" w:themeShade="80"/>
                <w:sz w:val="22"/>
                <w:szCs w:val="22"/>
              </w:rPr>
              <w:t>2016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CZ</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808080" w:themeColor="background1" w:themeShade="80"/>
                <w:sz w:val="22"/>
                <w:szCs w:val="22"/>
              </w:rPr>
            </w:pPr>
            <w:r>
              <w:rPr>
                <w:rFonts w:eastAsia="Times New Roman"/>
                <w:noProof/>
                <w:color w:val="808080" w:themeColor="background1" w:themeShade="80"/>
                <w:sz w:val="22"/>
                <w:szCs w:val="22"/>
              </w:rPr>
              <w:t>2017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FI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noProof/>
                <w:sz w:val="22"/>
                <w:szCs w:val="22"/>
              </w:rPr>
            </w:pPr>
            <w:r>
              <w:rPr>
                <w:rFonts w:eastAsia="Times New Roman"/>
                <w:noProof/>
                <w:sz w:val="22"/>
                <w:szCs w:val="22"/>
              </w:rPr>
              <w:t>2009 (OSART</w:t>
            </w:r>
            <w:r>
              <w:rPr>
                <w:rStyle w:val="FootnoteReference"/>
                <w:rFonts w:eastAsia="Times New Roman"/>
                <w:noProof/>
                <w:sz w:val="22"/>
                <w:szCs w:val="22"/>
              </w:rPr>
              <w:footnoteReference w:id="31"/>
            </w:r>
            <w:r>
              <w:rPr>
                <w:rFonts w:eastAsia="Times New Roman"/>
                <w:noProof/>
                <w:sz w:val="22"/>
                <w:szCs w:val="22"/>
              </w:rPr>
              <w:t xml:space="preserve"> for the spent fuel disposal facility), </w:t>
            </w:r>
            <w:r>
              <w:rPr>
                <w:noProof/>
                <w:sz w:val="22"/>
                <w:szCs w:val="22"/>
              </w:rPr>
              <w:t>2023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sz w:val="22"/>
                <w:szCs w:val="22"/>
              </w:rPr>
              <w:t>2012 (IRRS), 2015 (IRRS follow-up), 2023 (IRRS full scope)</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 xml:space="preserve">FR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 xml:space="preserve">1996 and 2005, IAEA Review of specific waste management projects </w:t>
            </w:r>
          </w:p>
          <w:p w:rsidR="00EF2BC3" w:rsidRDefault="00AF3002">
            <w:pPr>
              <w:rPr>
                <w:rFonts w:eastAsia="Times New Roman"/>
                <w:noProof/>
                <w:sz w:val="22"/>
                <w:szCs w:val="22"/>
              </w:rPr>
            </w:pPr>
            <w:r>
              <w:rPr>
                <w:rFonts w:eastAsia="Times New Roman"/>
                <w:noProof/>
                <w:color w:val="808080" w:themeColor="background1" w:themeShade="80"/>
                <w:sz w:val="22"/>
                <w:szCs w:val="22"/>
              </w:rPr>
              <w:t>2017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2014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DE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2019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2018 (IRRS full scope)</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HU</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 xml:space="preserve">2012 (IRRS follow-up), </w:t>
            </w:r>
            <w:r>
              <w:rPr>
                <w:rFonts w:eastAsia="Times New Roman"/>
                <w:noProof/>
                <w:color w:val="808080" w:themeColor="background1" w:themeShade="80"/>
                <w:sz w:val="22"/>
                <w:szCs w:val="22"/>
              </w:rPr>
              <w:t>2015 (IRRS)</w:t>
            </w:r>
          </w:p>
        </w:tc>
      </w:tr>
      <w:tr w:rsidR="00EF2BC3">
        <w:trPr>
          <w:trHeight w:val="501"/>
        </w:trPr>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IT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2016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LT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808080" w:themeColor="background1" w:themeShade="80"/>
                <w:sz w:val="22"/>
                <w:szCs w:val="22"/>
              </w:rPr>
              <w:t>2019 (ARTEMIS, self-assessment)</w:t>
            </w:r>
          </w:p>
          <w:p w:rsidR="00EF2BC3" w:rsidRDefault="00AF3002">
            <w:pPr>
              <w:rPr>
                <w:rFonts w:eastAsia="Times New Roman"/>
                <w:noProof/>
                <w:color w:val="808080" w:themeColor="background1" w:themeShade="80"/>
                <w:sz w:val="22"/>
                <w:szCs w:val="22"/>
              </w:rPr>
            </w:pPr>
            <w:r>
              <w:rPr>
                <w:rFonts w:eastAsia="Times New Roman"/>
                <w:noProof/>
                <w:color w:val="808080" w:themeColor="background1" w:themeShade="80"/>
                <w:sz w:val="22"/>
                <w:szCs w:val="22"/>
              </w:rPr>
              <w:t>2021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808080" w:themeColor="background1" w:themeShade="80"/>
                <w:sz w:val="22"/>
                <w:szCs w:val="22"/>
              </w:rPr>
            </w:pPr>
            <w:r>
              <w:rPr>
                <w:rFonts w:eastAsia="Times New Roman"/>
                <w:noProof/>
                <w:color w:val="808080" w:themeColor="background1" w:themeShade="80"/>
                <w:sz w:val="22"/>
                <w:szCs w:val="22"/>
              </w:rPr>
              <w:t>2016 (IRRS full scope), 2018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NL</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808080" w:themeColor="background1" w:themeShade="80"/>
                <w:sz w:val="22"/>
                <w:szCs w:val="22"/>
              </w:rPr>
              <w:t>2023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2014 (IRRS) and 2018 (IRRS follow-up),</w:t>
            </w:r>
            <w:r>
              <w:rPr>
                <w:rFonts w:eastAsia="Times New Roman"/>
                <w:noProof/>
                <w:color w:val="808080" w:themeColor="background1" w:themeShade="80"/>
                <w:sz w:val="22"/>
                <w:szCs w:val="22"/>
              </w:rPr>
              <w:t xml:space="preserve"> 2023 (IRRS full scope)</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RO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000000" w:themeColor="text1"/>
                <w:sz w:val="22"/>
                <w:szCs w:val="22"/>
              </w:rPr>
            </w:pPr>
            <w:r>
              <w:rPr>
                <w:rFonts w:eastAsia="Times New Roman"/>
                <w:noProof/>
                <w:color w:val="000000" w:themeColor="text1"/>
                <w:sz w:val="22"/>
                <w:szCs w:val="22"/>
              </w:rPr>
              <w:t>No information</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SK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2012 (IRRS follow –up)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SI</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 xml:space="preserve">2011 (IRRS) and </w:t>
            </w:r>
            <w:r>
              <w:rPr>
                <w:rFonts w:eastAsia="Times New Roman"/>
                <w:noProof/>
                <w:sz w:val="22"/>
                <w:szCs w:val="22"/>
              </w:rPr>
              <w:t>2014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ES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808080" w:themeColor="background1" w:themeShade="80"/>
                <w:sz w:val="22"/>
                <w:szCs w:val="22"/>
              </w:rPr>
              <w:t xml:space="preserve">2018 (ARTEMIS)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2008 (IRRS), 2011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SE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2009 Plan review through IRRS (2012); SKB post-closure safety case NEA/OECD review (2012); WANO review of SKB SFR and Clab operation (2013)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2012 (IRRS), 2016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 xml:space="preserve">UK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OSART for Sizewell B site planned.</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sz w:val="22"/>
                <w:szCs w:val="22"/>
              </w:rPr>
              <w:t>2006, 2009, 2013 (IRRS) and 2014 (IRRS follow-up)</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AT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sz w:val="22"/>
                <w:szCs w:val="22"/>
              </w:rPr>
            </w:pPr>
            <w:r>
              <w:rPr>
                <w:rFonts w:eastAsia="Times New Roman"/>
                <w:noProof/>
                <w:color w:val="000000" w:themeColor="text1"/>
                <w:sz w:val="22"/>
                <w:szCs w:val="22"/>
              </w:rPr>
              <w:t>No information</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DK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7F7F7F" w:themeColor="text1" w:themeTint="80"/>
                <w:sz w:val="22"/>
                <w:szCs w:val="22"/>
              </w:rPr>
            </w:pPr>
            <w:r>
              <w:rPr>
                <w:rFonts w:eastAsia="Times New Roman"/>
                <w:noProof/>
                <w:color w:val="7F7F7F" w:themeColor="text1" w:themeTint="80"/>
                <w:sz w:val="22"/>
                <w:szCs w:val="22"/>
              </w:rPr>
              <w:t>2019 – 2021 period (ARTEMIS)</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jc w:val="both"/>
              <w:rPr>
                <w:rFonts w:eastAsia="Times New Roman"/>
                <w:noProof/>
                <w:color w:val="7F7F7F" w:themeColor="text1" w:themeTint="80"/>
                <w:sz w:val="22"/>
                <w:szCs w:val="22"/>
              </w:rPr>
            </w:pPr>
            <w:r>
              <w:rPr>
                <w:rFonts w:eastAsia="Times New Roman"/>
                <w:noProof/>
                <w:color w:val="7F7F7F" w:themeColor="text1" w:themeTint="80"/>
                <w:sz w:val="22"/>
                <w:szCs w:val="22"/>
              </w:rPr>
              <w:t>2019 – 2021 period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EL</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sz w:val="22"/>
                <w:szCs w:val="22"/>
              </w:rPr>
              <w:t>2012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LV</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color w:val="000000" w:themeColor="text1"/>
                <w:sz w:val="22"/>
                <w:szCs w:val="22"/>
              </w:rPr>
              <w:t>No information</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PL</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000000" w:themeColor="text1"/>
                <w:sz w:val="22"/>
                <w:szCs w:val="22"/>
              </w:rPr>
            </w:pPr>
            <w:r>
              <w:rPr>
                <w:rFonts w:eastAsia="Times New Roman"/>
                <w:noProof/>
                <w:color w:val="000000" w:themeColor="text1"/>
                <w:sz w:val="22"/>
                <w:szCs w:val="22"/>
              </w:rPr>
              <w:t>2017</w:t>
            </w:r>
            <w:r>
              <w:rPr>
                <w:rFonts w:eastAsia="Times New Roman"/>
                <w:noProof/>
                <w:color w:val="000000" w:themeColor="text1"/>
                <w:sz w:val="22"/>
                <w:szCs w:val="22"/>
              </w:rPr>
              <w:t xml:space="preserve"> (ARTEMIS)</w:t>
            </w:r>
            <w:r>
              <w:rPr>
                <w:rStyle w:val="FootnoteReference"/>
                <w:rFonts w:eastAsia="Times New Roman"/>
                <w:noProof/>
                <w:color w:val="000000" w:themeColor="text1"/>
                <w:sz w:val="22"/>
                <w:szCs w:val="22"/>
              </w:rPr>
              <w:footnoteReference w:id="32"/>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color w:val="A6A6A6" w:themeColor="background1" w:themeShade="A6"/>
                <w:sz w:val="22"/>
                <w:szCs w:val="22"/>
              </w:rPr>
              <w:t>2013 (IRRS)</w:t>
            </w:r>
          </w:p>
        </w:tc>
      </w:tr>
      <w:tr w:rsidR="00EF2BC3">
        <w:trPr>
          <w:trHeight w:val="309"/>
        </w:trPr>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PT</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color w:val="000000" w:themeColor="text1"/>
                <w:sz w:val="22"/>
                <w:szCs w:val="22"/>
              </w:rPr>
              <w:t>No information</w:t>
            </w:r>
          </w:p>
        </w:tc>
      </w:tr>
      <w:tr w:rsidR="00EF2BC3">
        <w:trPr>
          <w:trHeight w:val="287"/>
        </w:trPr>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HR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sz w:val="22"/>
                <w:szCs w:val="22"/>
              </w:rPr>
              <w:t>2015 (IRRS)</w:t>
            </w:r>
          </w:p>
        </w:tc>
      </w:tr>
      <w:tr w:rsidR="00EF2BC3">
        <w:trPr>
          <w:trHeight w:val="285"/>
        </w:trPr>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CY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 xml:space="preserve">No information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sz w:val="22"/>
                <w:szCs w:val="22"/>
              </w:rPr>
              <w:t>2017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EE</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rPr>
                <w:rFonts w:eastAsia="Times New Roman"/>
                <w:noProof/>
                <w:sz w:val="22"/>
                <w:szCs w:val="22"/>
              </w:rPr>
            </w:pPr>
            <w:r>
              <w:rPr>
                <w:rFonts w:eastAsia="Times New Roman"/>
                <w:noProof/>
                <w:color w:val="000000" w:themeColor="text1"/>
                <w:sz w:val="22"/>
                <w:szCs w:val="22"/>
              </w:rPr>
              <w:t>No information</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IE</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sz w:val="22"/>
                <w:szCs w:val="22"/>
              </w:rPr>
            </w:pPr>
            <w:r>
              <w:rPr>
                <w:rFonts w:eastAsia="Times New Roman"/>
                <w:noProof/>
                <w:sz w:val="22"/>
                <w:szCs w:val="22"/>
              </w:rPr>
              <w:t xml:space="preserve">2015 (IRRS) </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MT</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color w:val="808080" w:themeColor="background1" w:themeShade="80"/>
                <w:sz w:val="22"/>
                <w:szCs w:val="22"/>
              </w:rPr>
            </w:pPr>
            <w:r>
              <w:rPr>
                <w:rFonts w:eastAsia="Times New Roman"/>
                <w:noProof/>
                <w:color w:val="000000" w:themeColor="text1"/>
                <w:sz w:val="22"/>
                <w:szCs w:val="22"/>
              </w:rPr>
              <w:t>No information</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sz w:val="22"/>
                <w:szCs w:val="22"/>
              </w:rPr>
            </w:pPr>
            <w:r>
              <w:rPr>
                <w:rFonts w:eastAsia="Times New Roman"/>
                <w:noProof/>
                <w:sz w:val="22"/>
                <w:szCs w:val="22"/>
              </w:rPr>
              <w:t xml:space="preserve"> Self-assessment in 2014 and 2015 (IRRS)</w:t>
            </w:r>
          </w:p>
        </w:tc>
      </w:tr>
      <w:tr w:rsidR="00EF2BC3">
        <w:tc>
          <w:tcPr>
            <w:tcW w:w="993"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Pr>
          <w:p w:rsidR="00EF2BC3" w:rsidRDefault="00AF3002">
            <w:pPr>
              <w:jc w:val="both"/>
              <w:rPr>
                <w:rFonts w:eastAsia="Times New Roman"/>
                <w:b/>
                <w:noProof/>
                <w:color w:val="FFFFFF" w:themeColor="background1"/>
                <w:sz w:val="22"/>
                <w:szCs w:val="22"/>
              </w:rPr>
            </w:pPr>
            <w:r>
              <w:rPr>
                <w:rFonts w:eastAsia="Times New Roman"/>
                <w:b/>
                <w:noProof/>
                <w:color w:val="FFFFFF" w:themeColor="background1"/>
                <w:sz w:val="22"/>
                <w:szCs w:val="22"/>
              </w:rPr>
              <w:t>LU</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color w:val="808080" w:themeColor="background1" w:themeShade="80"/>
                <w:sz w:val="22"/>
                <w:szCs w:val="22"/>
              </w:rPr>
            </w:pPr>
            <w:r>
              <w:rPr>
                <w:rFonts w:eastAsia="Times New Roman"/>
                <w:noProof/>
                <w:sz w:val="22"/>
                <w:szCs w:val="22"/>
              </w:rPr>
              <w:t>After</w:t>
            </w:r>
            <w:r>
              <w:rPr>
                <w:rFonts w:eastAsia="Times New Roman"/>
                <w:noProof/>
                <w:sz w:val="22"/>
                <w:szCs w:val="22"/>
              </w:rPr>
              <w:t xml:space="preserve"> 2018</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F2BC3" w:rsidRDefault="00AF3002">
            <w:pPr>
              <w:rPr>
                <w:rFonts w:eastAsia="Times New Roman"/>
                <w:noProof/>
                <w:sz w:val="22"/>
                <w:szCs w:val="22"/>
              </w:rPr>
            </w:pPr>
            <w:r>
              <w:rPr>
                <w:rFonts w:eastAsia="Times New Roman"/>
                <w:noProof/>
                <w:sz w:val="22"/>
                <w:szCs w:val="22"/>
              </w:rPr>
              <w:t>2018 (and expanded IRRS)</w:t>
            </w:r>
          </w:p>
        </w:tc>
      </w:tr>
    </w:tbl>
    <w:p w:rsidR="00EF2BC3" w:rsidRDefault="00AF3002">
      <w:pPr>
        <w:pStyle w:val="ManualHeading3"/>
        <w:spacing w:before="2"/>
        <w:rPr>
          <w:noProof/>
        </w:rPr>
      </w:pPr>
      <w:bookmarkStart w:id="29" w:name="_Toc474832869"/>
      <w:r>
        <w:t>2.1.7.</w:t>
      </w:r>
      <w:r>
        <w:tab/>
      </w:r>
      <w:r>
        <w:rPr>
          <w:noProof/>
        </w:rPr>
        <w:t>Notification and reporting</w:t>
      </w:r>
      <w:bookmarkEnd w:id="29"/>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To date all </w:t>
      </w:r>
      <w:r>
        <w:rPr>
          <w:rFonts w:eastAsia="Times New Roman"/>
          <w:noProof/>
        </w:rPr>
        <w:t>Member States</w:t>
      </w:r>
      <w:r>
        <w:rPr>
          <w:rFonts w:eastAsia="Times New Roman"/>
          <w:noProof/>
          <w:color w:val="000000" w:themeColor="text1"/>
        </w:rPr>
        <w:t xml:space="preserve"> have submitted their first reports as required by Article 14(1) and a few </w:t>
      </w:r>
      <w:r>
        <w:rPr>
          <w:rFonts w:eastAsia="Times New Roman"/>
          <w:noProof/>
        </w:rPr>
        <w:t>Member States</w:t>
      </w:r>
      <w:r>
        <w:rPr>
          <w:rFonts w:eastAsia="Times New Roman"/>
          <w:noProof/>
          <w:color w:val="000000" w:themeColor="text1"/>
        </w:rPr>
        <w:t xml:space="preserve"> (Czech Republic, Germany and Estonia) have notified their Joint Convention</w:t>
      </w:r>
      <w:r>
        <w:rPr>
          <w:rStyle w:val="FootnoteReference"/>
          <w:rFonts w:eastAsia="Times New Roman"/>
          <w:noProof/>
          <w:color w:val="000000" w:themeColor="text1"/>
        </w:rPr>
        <w:footnoteReference w:id="33"/>
      </w:r>
      <w:r>
        <w:rPr>
          <w:rFonts w:eastAsia="Times New Roman"/>
          <w:noProof/>
          <w:color w:val="000000" w:themeColor="text1"/>
        </w:rPr>
        <w:t xml:space="preserve"> reports (dated 2014) for the 5</w:t>
      </w:r>
      <w:r>
        <w:rPr>
          <w:rFonts w:eastAsia="Times New Roman"/>
          <w:noProof/>
          <w:color w:val="000000" w:themeColor="text1"/>
          <w:vertAlign w:val="superscript"/>
        </w:rPr>
        <w:t>th</w:t>
      </w:r>
      <w:r>
        <w:rPr>
          <w:rFonts w:eastAsia="Times New Roman"/>
          <w:noProof/>
          <w:color w:val="000000" w:themeColor="text1"/>
        </w:rPr>
        <w:t xml:space="preserve"> Joint Convention review meeting (held in May 2015) to the Commission as part of their national programme/reports required under Article 15(4) and Article 14 (1) of the Directive.</w:t>
      </w:r>
    </w:p>
    <w:p w:rsidR="00EF2BC3" w:rsidRDefault="00AF3002">
      <w:pPr>
        <w:spacing w:before="120"/>
        <w:jc w:val="both"/>
        <w:rPr>
          <w:noProof/>
        </w:rPr>
      </w:pPr>
      <w:r>
        <w:rPr>
          <w:rFonts w:eastAsia="Times New Roman"/>
          <w:noProof/>
          <w:color w:val="000000" w:themeColor="text1"/>
        </w:rPr>
        <w:t xml:space="preserve">With exception of one (Latvia), all </w:t>
      </w:r>
      <w:r>
        <w:rPr>
          <w:rFonts w:eastAsia="Times New Roman"/>
          <w:noProof/>
        </w:rPr>
        <w:t xml:space="preserve">Member </w:t>
      </w:r>
      <w:r>
        <w:rPr>
          <w:rFonts w:eastAsia="Times New Roman"/>
          <w:noProof/>
        </w:rPr>
        <w:t>State</w:t>
      </w:r>
      <w:r>
        <w:rPr>
          <w:rFonts w:eastAsia="Times New Roman"/>
          <w:noProof/>
          <w:color w:val="000000" w:themeColor="text1"/>
        </w:rPr>
        <w:t xml:space="preserve">s submitted to the Commission their final (22 </w:t>
      </w:r>
      <w:r>
        <w:rPr>
          <w:rFonts w:eastAsia="Times New Roman"/>
          <w:noProof/>
        </w:rPr>
        <w:t>Member States</w:t>
      </w:r>
      <w:r>
        <w:rPr>
          <w:rFonts w:eastAsia="Times New Roman"/>
          <w:noProof/>
          <w:color w:val="000000" w:themeColor="text1"/>
        </w:rPr>
        <w:t xml:space="preserve">) or draft programmes (5 </w:t>
      </w:r>
      <w:r>
        <w:rPr>
          <w:rFonts w:eastAsia="Times New Roman"/>
          <w:noProof/>
        </w:rPr>
        <w:t>Member States – Austria, Croatia, Czech Republic, Italy and Portugal</w:t>
      </w:r>
      <w:r>
        <w:rPr>
          <w:rFonts w:eastAsia="Times New Roman"/>
          <w:noProof/>
          <w:color w:val="000000" w:themeColor="text1"/>
        </w:rPr>
        <w:t xml:space="preserve">) that currently undergo formal approval at a national level. </w:t>
      </w:r>
      <w:r>
        <w:rPr>
          <w:noProof/>
        </w:rPr>
        <w:t>Slovenia and Spain national programme</w:t>
      </w:r>
      <w:r>
        <w:rPr>
          <w:noProof/>
        </w:rPr>
        <w:t>s have been drawn-up in 2006 and therefore some of the information reported is out-dated but both of these countries have presented updated information on the spent fuel and radioactive waste management activities in their national reports, as well as an u</w:t>
      </w:r>
      <w:r>
        <w:rPr>
          <w:noProof/>
        </w:rPr>
        <w:t>pdated inventory of the spent fuel and radioactive waste. All this information has been used in the preparation of this report</w:t>
      </w:r>
      <w:r>
        <w:rPr>
          <w:rStyle w:val="FootnoteReference"/>
          <w:noProof/>
        </w:rPr>
        <w:footnoteReference w:id="34"/>
      </w:r>
      <w:r>
        <w:rPr>
          <w:noProof/>
        </w:rPr>
        <w:t>.</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As the </w:t>
      </w:r>
      <w:r>
        <w:rPr>
          <w:rFonts w:eastAsia="Times New Roman"/>
          <w:noProof/>
        </w:rPr>
        <w:t>Member States'</w:t>
      </w:r>
      <w:r>
        <w:rPr>
          <w:rFonts w:eastAsia="Times New Roman"/>
          <w:noProof/>
          <w:color w:val="000000" w:themeColor="text1"/>
        </w:rPr>
        <w:t xml:space="preserve"> deadline for notification of their national programmes was 23 August 2015, the Commission opened 12 EU pi</w:t>
      </w:r>
      <w:r>
        <w:rPr>
          <w:rFonts w:eastAsia="Times New Roman"/>
          <w:noProof/>
          <w:color w:val="000000" w:themeColor="text1"/>
        </w:rPr>
        <w:t xml:space="preserve">lots for non-communication of the national programmes in October 2015. Three </w:t>
      </w:r>
      <w:r>
        <w:rPr>
          <w:rFonts w:eastAsia="Times New Roman"/>
          <w:noProof/>
        </w:rPr>
        <w:t>Member States</w:t>
      </w:r>
      <w:r>
        <w:rPr>
          <w:rFonts w:eastAsia="Times New Roman"/>
          <w:noProof/>
          <w:color w:val="000000" w:themeColor="text1"/>
        </w:rPr>
        <w:t xml:space="preserve"> submitted their final programmes in January 2016 and the Commission then proceeded with nine Letters of Formal Notice in April 2016. In response the Commission recei</w:t>
      </w:r>
      <w:r>
        <w:rPr>
          <w:rFonts w:eastAsia="Times New Roman"/>
          <w:noProof/>
          <w:color w:val="000000" w:themeColor="text1"/>
        </w:rPr>
        <w:t xml:space="preserve">ved three additional national programmes by August 2016. The majority of remaining </w:t>
      </w:r>
      <w:r>
        <w:rPr>
          <w:rFonts w:eastAsia="Times New Roman"/>
          <w:noProof/>
        </w:rPr>
        <w:t>Member States</w:t>
      </w:r>
      <w:r>
        <w:rPr>
          <w:rFonts w:eastAsia="Times New Roman"/>
          <w:noProof/>
          <w:color w:val="000000" w:themeColor="text1"/>
        </w:rPr>
        <w:t xml:space="preserve"> planned to notify their approved programmes by the end of 2016, although a few </w:t>
      </w:r>
      <w:r>
        <w:rPr>
          <w:rFonts w:eastAsia="Times New Roman"/>
          <w:noProof/>
        </w:rPr>
        <w:t>Member States</w:t>
      </w:r>
      <w:r>
        <w:rPr>
          <w:rFonts w:eastAsia="Times New Roman"/>
          <w:noProof/>
          <w:color w:val="000000" w:themeColor="text1"/>
        </w:rPr>
        <w:t xml:space="preserve"> foresee submission in 2017 due to the long approval process in the</w:t>
      </w:r>
      <w:r>
        <w:rPr>
          <w:rFonts w:eastAsia="Times New Roman"/>
          <w:noProof/>
          <w:color w:val="000000" w:themeColor="text1"/>
        </w:rPr>
        <w:t xml:space="preserve"> country. </w:t>
      </w:r>
    </w:p>
    <w:p w:rsidR="00EF2BC3" w:rsidRDefault="00AF3002">
      <w:pPr>
        <w:pStyle w:val="ManualHeading2"/>
        <w:spacing w:before="2"/>
        <w:rPr>
          <w:noProof/>
        </w:rPr>
      </w:pPr>
      <w:bookmarkStart w:id="30" w:name="_Toc474832870"/>
      <w:r>
        <w:t>2.2.</w:t>
      </w:r>
      <w:r>
        <w:tab/>
      </w:r>
      <w:r>
        <w:rPr>
          <w:noProof/>
        </w:rPr>
        <w:t>Assuring the safety of spent fuel and radioactive waste management</w:t>
      </w:r>
      <w:bookmarkEnd w:id="30"/>
      <w:r>
        <w:rPr>
          <w:noProof/>
        </w:rPr>
        <w:t xml:space="preserve"> </w:t>
      </w:r>
    </w:p>
    <w:p w:rsidR="00EF2BC3" w:rsidRDefault="00AF3002">
      <w:pPr>
        <w:pStyle w:val="ManualHeading3"/>
        <w:spacing w:before="2"/>
        <w:rPr>
          <w:noProof/>
        </w:rPr>
      </w:pPr>
      <w:bookmarkStart w:id="31" w:name="_Toc474832871"/>
      <w:r>
        <w:t>2.2.1.</w:t>
      </w:r>
      <w:r>
        <w:tab/>
      </w:r>
      <w:r>
        <w:rPr>
          <w:noProof/>
        </w:rPr>
        <w:t>Licence holder’s responsibilities</w:t>
      </w:r>
      <w:bookmarkEnd w:id="31"/>
    </w:p>
    <w:p w:rsidR="00EF2BC3" w:rsidRDefault="00AF3002">
      <w:pPr>
        <w:widowControl w:val="0"/>
        <w:autoSpaceDE w:val="0"/>
        <w:autoSpaceDN w:val="0"/>
        <w:adjustRightInd w:val="0"/>
        <w:spacing w:before="120"/>
        <w:jc w:val="both"/>
        <w:rPr>
          <w:noProof/>
        </w:rPr>
      </w:pPr>
      <w:r>
        <w:rPr>
          <w:noProof/>
        </w:rPr>
        <w:t xml:space="preserve">Member States shall ensure that the prime responsibility for the safety of spent fuel and radioactive waste management facilities and/or activities rest with the licence holder; and that responsibility cannot be delegated (Article 7 of the Directive). </w:t>
      </w:r>
    </w:p>
    <w:p w:rsidR="00EF2BC3" w:rsidRDefault="00AF3002">
      <w:pPr>
        <w:pStyle w:val="ListParagraph"/>
        <w:spacing w:before="120"/>
        <w:ind w:left="0"/>
        <w:contextualSpacing w:val="0"/>
        <w:jc w:val="both"/>
        <w:rPr>
          <w:rFonts w:eastAsia="Times New Roman"/>
          <w:noProof/>
          <w:color w:val="000000" w:themeColor="text1"/>
        </w:rPr>
      </w:pPr>
      <w:r>
        <w:rPr>
          <w:rFonts w:eastAsia="Times New Roman"/>
          <w:noProof/>
          <w:color w:val="000000" w:themeColor="text1"/>
        </w:rPr>
        <w:t>All</w:t>
      </w:r>
      <w:r>
        <w:rPr>
          <w:rFonts w:eastAsia="Times New Roman"/>
          <w:noProof/>
          <w:color w:val="000000" w:themeColor="text1"/>
        </w:rPr>
        <w:t xml:space="preserve"> </w:t>
      </w:r>
      <w:r>
        <w:rPr>
          <w:rFonts w:eastAsia="Times New Roman"/>
          <w:noProof/>
        </w:rPr>
        <w:t>Member States</w:t>
      </w:r>
      <w:r>
        <w:rPr>
          <w:rFonts w:eastAsia="Times New Roman"/>
          <w:noProof/>
          <w:color w:val="000000" w:themeColor="text1"/>
        </w:rPr>
        <w:t xml:space="preserve"> have reported that measures are in place to ensure that the primary responsibility for spent fuel and radioactive waste management is with the license holders. The provisions presented are mainly legal and focus on legal requirements, licens</w:t>
      </w:r>
      <w:r>
        <w:rPr>
          <w:rFonts w:eastAsia="Times New Roman"/>
          <w:noProof/>
          <w:color w:val="000000" w:themeColor="text1"/>
        </w:rPr>
        <w:t>e conditions and enforcement actions in case of non-compliance. However, in some cases examples have provided with regard to their practical implementation of these legal provisions.</w:t>
      </w:r>
    </w:p>
    <w:p w:rsidR="00EF2BC3" w:rsidRDefault="00AF3002">
      <w:pPr>
        <w:widowControl w:val="0"/>
        <w:autoSpaceDE w:val="0"/>
        <w:autoSpaceDN w:val="0"/>
        <w:adjustRightInd w:val="0"/>
        <w:spacing w:before="120"/>
        <w:jc w:val="both"/>
        <w:rPr>
          <w:rFonts w:eastAsia="Times New Roman"/>
          <w:noProof/>
          <w:color w:val="000000" w:themeColor="text1"/>
        </w:rPr>
      </w:pPr>
      <w:r>
        <w:rPr>
          <w:noProof/>
          <w:color w:val="000000" w:themeColor="text1"/>
        </w:rPr>
        <w:t>Licence holders shall establish and implement integrated management syste</w:t>
      </w:r>
      <w:r>
        <w:rPr>
          <w:noProof/>
          <w:color w:val="000000" w:themeColor="text1"/>
        </w:rPr>
        <w:t>ms, which give due priority for overall management of spent fuel and radioactive waste to safety and are regularly verified by the competent regulatory authority.</w:t>
      </w:r>
      <w:r>
        <w:rPr>
          <w:rFonts w:eastAsia="Times New Roman"/>
          <w:noProof/>
          <w:color w:val="000000" w:themeColor="text1"/>
        </w:rPr>
        <w:t xml:space="preserve"> Overall the majority of </w:t>
      </w:r>
      <w:r>
        <w:rPr>
          <w:rFonts w:eastAsia="Times New Roman"/>
          <w:noProof/>
        </w:rPr>
        <w:t>Member States</w:t>
      </w:r>
      <w:r>
        <w:rPr>
          <w:rFonts w:eastAsia="Times New Roman"/>
          <w:noProof/>
          <w:color w:val="000000" w:themeColor="text1"/>
        </w:rPr>
        <w:t xml:space="preserve"> have reported their legal requirements for integrated m</w:t>
      </w:r>
      <w:r>
        <w:rPr>
          <w:rFonts w:eastAsia="Times New Roman"/>
          <w:noProof/>
          <w:color w:val="000000" w:themeColor="text1"/>
        </w:rPr>
        <w:t xml:space="preserve">anagement system or quality assurance for </w:t>
      </w:r>
      <w:r>
        <w:rPr>
          <w:noProof/>
          <w:color w:val="000000" w:themeColor="text1"/>
        </w:rPr>
        <w:t>spent fuel</w:t>
      </w:r>
      <w:r>
        <w:rPr>
          <w:rFonts w:eastAsia="Times New Roman"/>
          <w:noProof/>
          <w:color w:val="000000" w:themeColor="text1"/>
        </w:rPr>
        <w:t xml:space="preserve"> and </w:t>
      </w:r>
      <w:r>
        <w:rPr>
          <w:noProof/>
        </w:rPr>
        <w:t>radioactive waste</w:t>
      </w:r>
      <w:r>
        <w:rPr>
          <w:rFonts w:eastAsia="Times New Roman"/>
          <w:noProof/>
          <w:color w:val="000000" w:themeColor="text1"/>
        </w:rPr>
        <w:t xml:space="preserve"> management that focus on safety. Limited information has been provided in the national reports on how these requirements are implemented in practice by all radioactive waste and spe</w:t>
      </w:r>
      <w:r>
        <w:rPr>
          <w:rFonts w:eastAsia="Times New Roman"/>
          <w:noProof/>
          <w:color w:val="000000" w:themeColor="text1"/>
        </w:rPr>
        <w:t xml:space="preserve">nt fuel management license holders. The majority of </w:t>
      </w:r>
      <w:r>
        <w:rPr>
          <w:rFonts w:eastAsia="Times New Roman"/>
          <w:noProof/>
        </w:rPr>
        <w:t>Member States</w:t>
      </w:r>
      <w:r>
        <w:rPr>
          <w:rFonts w:eastAsia="Times New Roman"/>
          <w:noProof/>
          <w:color w:val="000000" w:themeColor="text1"/>
        </w:rPr>
        <w:t xml:space="preserve"> with nuclear facilities provided more details on integrated management and quality assurance systems within their national operators, bodies or organisations related with nuclear facilities </w:t>
      </w:r>
      <w:r>
        <w:rPr>
          <w:rFonts w:eastAsia="Times New Roman"/>
          <w:noProof/>
          <w:color w:val="000000" w:themeColor="text1"/>
        </w:rPr>
        <w:t xml:space="preserve">(through examples in some cases), and less within organisations dealing with institutional waste. A few </w:t>
      </w:r>
      <w:r>
        <w:rPr>
          <w:rFonts w:eastAsia="Times New Roman"/>
          <w:noProof/>
        </w:rPr>
        <w:t>Member States</w:t>
      </w:r>
      <w:r>
        <w:rPr>
          <w:rFonts w:eastAsia="Times New Roman"/>
          <w:noProof/>
          <w:color w:val="000000" w:themeColor="text1"/>
        </w:rPr>
        <w:t xml:space="preserve"> have not addressed management system in their reports. </w:t>
      </w:r>
    </w:p>
    <w:p w:rsidR="00EF2BC3" w:rsidRDefault="00AF3002">
      <w:pPr>
        <w:spacing w:before="120"/>
        <w:jc w:val="both"/>
        <w:rPr>
          <w:rFonts w:eastAsia="Times New Roman"/>
          <w:bCs/>
          <w:noProof/>
          <w:color w:val="000000" w:themeColor="text1"/>
        </w:rPr>
      </w:pPr>
      <w:r>
        <w:rPr>
          <w:noProof/>
          <w:color w:val="000000" w:themeColor="text1"/>
        </w:rPr>
        <w:t>Licence holders have to provide for and maintain adequate financial and human reso</w:t>
      </w:r>
      <w:r>
        <w:rPr>
          <w:noProof/>
          <w:color w:val="000000" w:themeColor="text1"/>
        </w:rPr>
        <w:t xml:space="preserve">urces to fulfil their obligations for safe long term management of spent fuel and radioactive waste. Overall </w:t>
      </w:r>
      <w:r>
        <w:rPr>
          <w:rFonts w:eastAsia="Times New Roman"/>
          <w:noProof/>
        </w:rPr>
        <w:t>Member States</w:t>
      </w:r>
      <w:r>
        <w:rPr>
          <w:noProof/>
          <w:color w:val="000000" w:themeColor="text1"/>
        </w:rPr>
        <w:t xml:space="preserve"> have legally established requirements in this regard, such as, a license can be granted only in case the applicant does demonstrate s</w:t>
      </w:r>
      <w:r>
        <w:rPr>
          <w:noProof/>
          <w:color w:val="000000" w:themeColor="text1"/>
        </w:rPr>
        <w:t xml:space="preserve">ufficient human, technical and financial resources. The majority of </w:t>
      </w:r>
      <w:r>
        <w:rPr>
          <w:rFonts w:eastAsia="Times New Roman"/>
          <w:noProof/>
        </w:rPr>
        <w:t>Member States</w:t>
      </w:r>
      <w:r>
        <w:rPr>
          <w:noProof/>
          <w:color w:val="000000" w:themeColor="text1"/>
        </w:rPr>
        <w:t xml:space="preserve"> with nuclear programmes</w:t>
      </w:r>
      <w:r>
        <w:rPr>
          <w:rFonts w:eastAsia="Times New Roman"/>
          <w:bCs/>
          <w:noProof/>
          <w:color w:val="000000" w:themeColor="text1"/>
        </w:rPr>
        <w:t xml:space="preserve"> state that the financial and human resources are enough or adequate, without providing further details. In some cases, these countries establish in th</w:t>
      </w:r>
      <w:r>
        <w:rPr>
          <w:rFonts w:eastAsia="Times New Roman"/>
          <w:bCs/>
          <w:noProof/>
          <w:color w:val="000000" w:themeColor="text1"/>
        </w:rPr>
        <w:t xml:space="preserve">eir national framework a generic requirement of adequate resources. A few Member States with nuclear facilities have provided very detailed information on human and financial resources currently available in the licensees. </w:t>
      </w:r>
    </w:p>
    <w:p w:rsidR="00EF2BC3" w:rsidRDefault="00AF3002">
      <w:pPr>
        <w:pStyle w:val="ManualHeading3"/>
        <w:spacing w:before="2"/>
        <w:rPr>
          <w:noProof/>
        </w:rPr>
      </w:pPr>
      <w:bookmarkStart w:id="32" w:name="_Toc474832872"/>
      <w:r>
        <w:t>2.2.2.</w:t>
      </w:r>
      <w:r>
        <w:tab/>
      </w:r>
      <w:r>
        <w:rPr>
          <w:noProof/>
        </w:rPr>
        <w:t xml:space="preserve">Concepts and plans </w:t>
      </w:r>
      <w:r>
        <w:rPr>
          <w:noProof/>
        </w:rPr>
        <w:t>(including post closure)</w:t>
      </w:r>
      <w:bookmarkEnd w:id="32"/>
    </w:p>
    <w:p w:rsidR="00EF2BC3" w:rsidRDefault="00AF3002">
      <w:pPr>
        <w:keepNext/>
        <w:spacing w:before="120"/>
        <w:jc w:val="both"/>
        <w:rPr>
          <w:rFonts w:eastAsia="Times New Roman"/>
          <w:noProof/>
        </w:rPr>
      </w:pPr>
      <w:r>
        <w:rPr>
          <w:rFonts w:eastAsia="Times New Roman"/>
          <w:noProof/>
        </w:rPr>
        <w:t>National programmes shall include the concepts or plans and technical solutions for spent fuel and radioactive waste management from generation to disposal (incl.</w:t>
      </w:r>
      <w:r>
        <w:rPr>
          <w:noProof/>
          <w:color w:val="000000"/>
        </w:rPr>
        <w:t xml:space="preserve"> post-closure phase), in particular related to institutional control </w:t>
      </w:r>
      <w:r>
        <w:rPr>
          <w:noProof/>
          <w:color w:val="000000"/>
        </w:rPr>
        <w:t>and preservation of knowledge in the longer term</w:t>
      </w:r>
      <w:r>
        <w:rPr>
          <w:rFonts w:eastAsia="Times New Roman"/>
          <w:noProof/>
        </w:rPr>
        <w:t xml:space="preserve"> (see Article 12(1)d and Article 12(1)e of the Directive).</w:t>
      </w:r>
    </w:p>
    <w:p w:rsidR="00EF2BC3" w:rsidRDefault="00AF3002">
      <w:pPr>
        <w:spacing w:before="120"/>
        <w:jc w:val="both"/>
        <w:rPr>
          <w:noProof/>
        </w:rPr>
      </w:pPr>
      <w:r>
        <w:rPr>
          <w:rFonts w:eastAsia="Times New Roman"/>
          <w:noProof/>
        </w:rPr>
        <w:t>Overall the predisposal management of radioactive waste is a practice with long Member States' experience, and Member States either have capacities o</w:t>
      </w:r>
      <w:r>
        <w:rPr>
          <w:rFonts w:eastAsia="Times New Roman"/>
          <w:noProof/>
        </w:rPr>
        <w:t xml:space="preserve">r </w:t>
      </w:r>
      <w:r>
        <w:rPr>
          <w:rFonts w:eastAsia="Times New Roman"/>
          <w:noProof/>
          <w:color w:val="000000" w:themeColor="text1"/>
        </w:rPr>
        <w:t xml:space="preserve">plan to develop additional ones until disposal options remain available at national or international level. </w:t>
      </w:r>
      <w:r>
        <w:rPr>
          <w:noProof/>
        </w:rPr>
        <w:t>Concepts and/or plans and technical solutions for predisposal management of spent fuel and radioactive waste are defined in different level of det</w:t>
      </w:r>
      <w:r>
        <w:rPr>
          <w:noProof/>
        </w:rPr>
        <w:t xml:space="preserve">ail by all </w:t>
      </w:r>
      <w:r>
        <w:rPr>
          <w:rFonts w:eastAsia="Times New Roman"/>
          <w:noProof/>
        </w:rPr>
        <w:t>Member States</w:t>
      </w:r>
      <w:r>
        <w:rPr>
          <w:noProof/>
        </w:rPr>
        <w:t xml:space="preserve"> with present or past nuclear programmes. </w:t>
      </w:r>
    </w:p>
    <w:p w:rsidR="00EF2BC3" w:rsidRDefault="00AF3002">
      <w:pPr>
        <w:spacing w:before="120"/>
        <w:jc w:val="both"/>
        <w:rPr>
          <w:noProof/>
        </w:rPr>
      </w:pPr>
      <w:r>
        <w:rPr>
          <w:noProof/>
        </w:rPr>
        <w:t xml:space="preserve">Due to the long timeframes until geological disposal facilities become operational in most nuclear power plant </w:t>
      </w:r>
      <w:r>
        <w:rPr>
          <w:rFonts w:eastAsia="Times New Roman"/>
          <w:noProof/>
        </w:rPr>
        <w:t>Member States</w:t>
      </w:r>
      <w:r>
        <w:rPr>
          <w:noProof/>
        </w:rPr>
        <w:t>, the importance of spent fuel, HLW and ILW sufficient storage ca</w:t>
      </w:r>
      <w:r>
        <w:rPr>
          <w:noProof/>
        </w:rPr>
        <w:t xml:space="preserve">pacity is increasing. For example, some </w:t>
      </w:r>
      <w:r>
        <w:rPr>
          <w:rFonts w:eastAsia="Times New Roman"/>
          <w:noProof/>
        </w:rPr>
        <w:t>Member States</w:t>
      </w:r>
      <w:r>
        <w:rPr>
          <w:noProof/>
        </w:rPr>
        <w:t xml:space="preserve"> already have plans for construction of mainly dry storage facilities for spent fuel, either new or expanding the existing capacities.</w:t>
      </w:r>
    </w:p>
    <w:p w:rsidR="00EF2BC3" w:rsidRDefault="00AF3002">
      <w:pPr>
        <w:spacing w:before="120"/>
        <w:jc w:val="both"/>
        <w:rPr>
          <w:noProof/>
        </w:rPr>
      </w:pPr>
      <w:r>
        <w:rPr>
          <w:noProof/>
        </w:rPr>
        <w:t>Contrary to this, disposal concepts for ILW, HLW and spent fuel are,</w:t>
      </w:r>
      <w:r>
        <w:rPr>
          <w:noProof/>
        </w:rPr>
        <w:t xml:space="preserve"> instead, not as well developed and detailed in most of the countries. </w:t>
      </w:r>
      <w:r>
        <w:rPr>
          <w:rFonts w:eastAsia="Times New Roman"/>
          <w:noProof/>
          <w:color w:val="000000" w:themeColor="text1"/>
        </w:rPr>
        <w:t xml:space="preserve">Regarding geological disposal, about over half of </w:t>
      </w:r>
      <w:r>
        <w:rPr>
          <w:rFonts w:eastAsia="Times New Roman"/>
          <w:noProof/>
        </w:rPr>
        <w:t>Member States</w:t>
      </w:r>
      <w:r>
        <w:rPr>
          <w:rFonts w:eastAsia="Times New Roman"/>
          <w:noProof/>
          <w:color w:val="000000" w:themeColor="text1"/>
        </w:rPr>
        <w:t xml:space="preserve"> have disposal plans spanning up to the next century, and one third of </w:t>
      </w:r>
      <w:r>
        <w:rPr>
          <w:rFonts w:eastAsia="Times New Roman"/>
          <w:noProof/>
        </w:rPr>
        <w:t>Member States</w:t>
      </w:r>
      <w:r>
        <w:rPr>
          <w:rFonts w:eastAsia="Times New Roman"/>
          <w:noProof/>
          <w:color w:val="000000" w:themeColor="text1"/>
        </w:rPr>
        <w:t xml:space="preserve"> plan to operate such facilities after</w:t>
      </w:r>
      <w:r>
        <w:rPr>
          <w:rFonts w:eastAsia="Times New Roman"/>
          <w:noProof/>
          <w:color w:val="000000" w:themeColor="text1"/>
        </w:rPr>
        <w:t xml:space="preserve"> </w:t>
      </w:r>
      <w:r>
        <w:rPr>
          <w:noProof/>
        </w:rPr>
        <w:t xml:space="preserve">2040. A number of </w:t>
      </w:r>
      <w:r>
        <w:rPr>
          <w:rFonts w:eastAsia="Times New Roman"/>
          <w:noProof/>
        </w:rPr>
        <w:t>Member States</w:t>
      </w:r>
      <w:r>
        <w:rPr>
          <w:noProof/>
        </w:rPr>
        <w:t xml:space="preserve"> with new build programmes have not considered the additional storage/disposal capacities in their national programmes.</w:t>
      </w:r>
    </w:p>
    <w:p w:rsidR="00EF2BC3" w:rsidRDefault="00AF3002">
      <w:pPr>
        <w:spacing w:before="120"/>
        <w:jc w:val="both"/>
        <w:rPr>
          <w:noProof/>
        </w:rPr>
      </w:pPr>
      <w:r>
        <w:rPr>
          <w:noProof/>
        </w:rPr>
        <w:t xml:space="preserve">The plans for spent fuel management in majority of the </w:t>
      </w:r>
      <w:r>
        <w:rPr>
          <w:rFonts w:eastAsia="Times New Roman"/>
          <w:noProof/>
        </w:rPr>
        <w:t>Member States with existing and planned nuclear p</w:t>
      </w:r>
      <w:r>
        <w:rPr>
          <w:rFonts w:eastAsia="Times New Roman"/>
          <w:noProof/>
        </w:rPr>
        <w:t>rogrammes</w:t>
      </w:r>
      <w:r>
        <w:rPr>
          <w:noProof/>
        </w:rPr>
        <w:t xml:space="preserve"> are to dispose this fuel without reprocessing, except for the few </w:t>
      </w:r>
      <w:r>
        <w:rPr>
          <w:rFonts w:eastAsia="Times New Roman"/>
          <w:noProof/>
        </w:rPr>
        <w:t>Member States</w:t>
      </w:r>
      <w:r>
        <w:rPr>
          <w:noProof/>
        </w:rPr>
        <w:t xml:space="preserve"> which are reprocessing (France and the UK) or have ongoing reprocessing arrangements with France, the United Kingdom, and the Russian Federation.</w:t>
      </w:r>
    </w:p>
    <w:p w:rsidR="00EF2BC3" w:rsidRDefault="00AF3002">
      <w:pPr>
        <w:spacing w:before="120"/>
        <w:jc w:val="both"/>
        <w:rPr>
          <w:rFonts w:eastAsia="Times New Roman"/>
          <w:noProof/>
          <w:color w:val="000000" w:themeColor="text1"/>
        </w:rPr>
      </w:pPr>
      <w:r>
        <w:rPr>
          <w:rFonts w:eastAsia="Times New Roman"/>
          <w:noProof/>
          <w:color w:val="000000" w:themeColor="text1"/>
        </w:rPr>
        <w:t>There are plans of 1</w:t>
      </w:r>
      <w:r>
        <w:rPr>
          <w:rFonts w:eastAsia="Times New Roman"/>
          <w:noProof/>
          <w:color w:val="000000" w:themeColor="text1"/>
        </w:rPr>
        <w:t xml:space="preserve">5 </w:t>
      </w:r>
      <w:r>
        <w:rPr>
          <w:rFonts w:eastAsia="Times New Roman"/>
          <w:noProof/>
        </w:rPr>
        <w:t>Member States</w:t>
      </w:r>
      <w:r>
        <w:rPr>
          <w:rFonts w:eastAsia="Times New Roman"/>
          <w:noProof/>
          <w:color w:val="000000" w:themeColor="text1"/>
        </w:rPr>
        <w:t xml:space="preserve"> for geological disposal facilities, the majority planned to be operational after 2065 (the first three in Finland, France and Sweden by 2030, see Table 7). In order to facilitate the development of such complex projects five underground lab</w:t>
      </w:r>
      <w:r>
        <w:rPr>
          <w:rFonts w:eastAsia="Times New Roman"/>
          <w:noProof/>
          <w:color w:val="000000" w:themeColor="text1"/>
        </w:rPr>
        <w:t xml:space="preserve">oratories are in operation in four </w:t>
      </w:r>
      <w:r>
        <w:rPr>
          <w:rFonts w:eastAsia="Times New Roman"/>
          <w:noProof/>
        </w:rPr>
        <w:t>Member States</w:t>
      </w:r>
      <w:r>
        <w:rPr>
          <w:rFonts w:eastAsia="Times New Roman"/>
          <w:noProof/>
          <w:color w:val="000000" w:themeColor="text1"/>
        </w:rPr>
        <w:t>. Three more laboratories are foreseen in Czech Republic, Poland and Romania as presented in Table 13.</w:t>
      </w:r>
      <w:r>
        <w:rPr>
          <w:rFonts w:eastAsia="Times New Roman"/>
          <w:noProof/>
          <w:color w:val="4F81BD" w:themeColor="accent1"/>
        </w:rPr>
        <w:t xml:space="preserve"> </w:t>
      </w:r>
      <w:r>
        <w:rPr>
          <w:noProof/>
        </w:rPr>
        <w:t>Some of the remaining countries consider as an option the disposal either in EU or in a third country (se</w:t>
      </w:r>
      <w:r>
        <w:rPr>
          <w:noProof/>
        </w:rPr>
        <w:t xml:space="preserve">e Table 7). At the same time, a number of Member States presented their plans for finding solutions for disposal of exotic waste from research activities. </w:t>
      </w:r>
    </w:p>
    <w:p w:rsidR="00EF2BC3" w:rsidRDefault="00AF3002">
      <w:pPr>
        <w:spacing w:before="120"/>
        <w:jc w:val="both"/>
        <w:rPr>
          <w:noProof/>
        </w:rPr>
      </w:pPr>
      <w:r>
        <w:rPr>
          <w:noProof/>
        </w:rPr>
        <w:t>A few Member States with nuclear programmes did not address all types of radioactive wastes as their</w:t>
      </w:r>
      <w:r>
        <w:rPr>
          <w:noProof/>
        </w:rPr>
        <w:t xml:space="preserve"> programmes mainly focused on nuclear power plant waste and spent fuel. Management solutions for some types of radioactive waste like orphan sources and institutional wastes (e.g. disused sealed sources categorised as radioactive waste) have not been addre</w:t>
      </w:r>
      <w:r>
        <w:rPr>
          <w:noProof/>
        </w:rPr>
        <w:t xml:space="preserve">ssed in detail in the national programmes. </w:t>
      </w:r>
    </w:p>
    <w:p w:rsidR="00EF2BC3" w:rsidRDefault="00AF3002">
      <w:pPr>
        <w:spacing w:before="240" w:after="120"/>
        <w:jc w:val="center"/>
        <w:rPr>
          <w:b/>
          <w:noProof/>
        </w:rPr>
      </w:pPr>
      <w:r>
        <w:rPr>
          <w:b/>
          <w:noProof/>
        </w:rPr>
        <w:t>Table 7. Planned Deep Geological Disposal Facilities</w:t>
      </w:r>
      <w:r>
        <w:rPr>
          <w:rStyle w:val="FootnoteReference"/>
          <w:b/>
          <w:noProof/>
        </w:rPr>
        <w:footnoteReference w:id="35"/>
      </w:r>
      <w:r>
        <w:rPr>
          <w:b/>
          <w:noProof/>
        </w:rPr>
        <w:t xml:space="preserve"> in EU Member States</w:t>
      </w:r>
    </w:p>
    <w:tbl>
      <w:tblPr>
        <w:tblStyle w:val="GridTable2-Accent11"/>
        <w:tblW w:w="9322" w:type="dxa"/>
        <w:tblLayout w:type="fixed"/>
        <w:tblLook w:val="04A0" w:firstRow="1" w:lastRow="0" w:firstColumn="1" w:lastColumn="0" w:noHBand="0" w:noVBand="1"/>
      </w:tblPr>
      <w:tblGrid>
        <w:gridCol w:w="675"/>
        <w:gridCol w:w="1233"/>
        <w:gridCol w:w="960"/>
        <w:gridCol w:w="1080"/>
        <w:gridCol w:w="960"/>
        <w:gridCol w:w="960"/>
        <w:gridCol w:w="1326"/>
        <w:gridCol w:w="994"/>
        <w:gridCol w:w="1134"/>
      </w:tblGrid>
      <w:tr w:rsidR="00EF2BC3" w:rsidTr="00EF2BC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5" w:type="dxa"/>
            <w:tcBorders>
              <w:top w:val="single" w:sz="4" w:space="0" w:color="auto"/>
              <w:left w:val="single" w:sz="4" w:space="0" w:color="auto"/>
            </w:tcBorders>
            <w:shd w:val="clear" w:color="auto" w:fill="244061" w:themeFill="accent1" w:themeFillShade="80"/>
          </w:tcPr>
          <w:p w:rsidR="00EF2BC3" w:rsidRDefault="00AF3002">
            <w:pPr>
              <w:spacing w:before="240" w:after="120"/>
              <w:jc w:val="center"/>
              <w:rPr>
                <w:noProof/>
                <w:color w:val="FFFFFF" w:themeColor="background1"/>
                <w:sz w:val="20"/>
                <w:szCs w:val="20"/>
                <w:lang w:val="en-GB"/>
              </w:rPr>
            </w:pPr>
            <w:r>
              <w:rPr>
                <w:noProof/>
                <w:color w:val="FFFFFF" w:themeColor="background1"/>
                <w:sz w:val="20"/>
                <w:szCs w:val="20"/>
              </w:rPr>
              <w:t>MS</w:t>
            </w:r>
          </w:p>
        </w:tc>
        <w:tc>
          <w:tcPr>
            <w:tcW w:w="1233"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Siting</w:t>
            </w:r>
          </w:p>
        </w:tc>
        <w:tc>
          <w:tcPr>
            <w:tcW w:w="960"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Com</w:t>
            </w:r>
            <w:r>
              <w:rPr>
                <w:noProof/>
                <w:color w:val="FFFFFF" w:themeColor="background1"/>
                <w:sz w:val="20"/>
                <w:szCs w:val="20"/>
              </w:rPr>
              <w:softHyphen/>
              <w:t>mis</w:t>
            </w:r>
            <w:r>
              <w:rPr>
                <w:noProof/>
                <w:color w:val="FFFFFF" w:themeColor="background1"/>
                <w:sz w:val="20"/>
                <w:szCs w:val="20"/>
              </w:rPr>
              <w:softHyphen/>
            </w:r>
            <w:r>
              <w:rPr>
                <w:noProof/>
                <w:color w:val="FFFFFF" w:themeColor="background1"/>
                <w:sz w:val="20"/>
                <w:szCs w:val="20"/>
              </w:rPr>
              <w:softHyphen/>
              <w:t>sioning</w:t>
            </w:r>
          </w:p>
        </w:tc>
        <w:tc>
          <w:tcPr>
            <w:tcW w:w="1080"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Opera</w:t>
            </w:r>
            <w:r>
              <w:rPr>
                <w:noProof/>
                <w:color w:val="FFFFFF" w:themeColor="background1"/>
                <w:sz w:val="20"/>
                <w:szCs w:val="20"/>
              </w:rPr>
              <w:softHyphen/>
              <w:t>tion (years)</w:t>
            </w:r>
          </w:p>
        </w:tc>
        <w:tc>
          <w:tcPr>
            <w:tcW w:w="960"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Closure</w:t>
            </w:r>
          </w:p>
        </w:tc>
        <w:tc>
          <w:tcPr>
            <w:tcW w:w="960"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Institu</w:t>
            </w:r>
            <w:r>
              <w:rPr>
                <w:noProof/>
                <w:color w:val="FFFFFF" w:themeColor="background1"/>
                <w:sz w:val="20"/>
                <w:szCs w:val="20"/>
              </w:rPr>
              <w:softHyphen/>
              <w:t>tional Control</w:t>
            </w:r>
          </w:p>
        </w:tc>
        <w:tc>
          <w:tcPr>
            <w:tcW w:w="1326"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Cost (</w:t>
            </w:r>
            <w:r>
              <w:rPr>
                <w:rFonts w:eastAsia="Times New Roman"/>
                <w:noProof/>
                <w:color w:val="FFFFFF" w:themeColor="background1"/>
                <w:sz w:val="20"/>
                <w:szCs w:val="20"/>
              </w:rPr>
              <w:t>€</w:t>
            </w:r>
            <w:r>
              <w:rPr>
                <w:rStyle w:val="FootnoteReference"/>
                <w:rFonts w:eastAsia="Times New Roman"/>
                <w:noProof/>
                <w:color w:val="FFFFFF" w:themeColor="background1"/>
                <w:sz w:val="20"/>
                <w:szCs w:val="20"/>
              </w:rPr>
              <w:footnoteReference w:id="36"/>
            </w:r>
            <w:r>
              <w:rPr>
                <w:noProof/>
                <w:color w:val="FFFFFF" w:themeColor="background1"/>
                <w:sz w:val="20"/>
                <w:szCs w:val="20"/>
              </w:rPr>
              <w:t>)</w:t>
            </w:r>
          </w:p>
        </w:tc>
        <w:tc>
          <w:tcPr>
            <w:tcW w:w="994" w:type="dxa"/>
            <w:tcBorders>
              <w:top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Respon</w:t>
            </w:r>
            <w:r>
              <w:rPr>
                <w:noProof/>
                <w:color w:val="FFFFFF" w:themeColor="background1"/>
                <w:sz w:val="20"/>
                <w:szCs w:val="20"/>
              </w:rPr>
              <w:softHyphen/>
              <w:t>sible organi</w:t>
            </w:r>
            <w:r>
              <w:rPr>
                <w:noProof/>
                <w:color w:val="FFFFFF" w:themeColor="background1"/>
                <w:sz w:val="20"/>
                <w:szCs w:val="20"/>
              </w:rPr>
              <w:softHyphen/>
              <w:t>zation</w:t>
            </w:r>
          </w:p>
        </w:tc>
        <w:tc>
          <w:tcPr>
            <w:tcW w:w="1134" w:type="dxa"/>
            <w:tcBorders>
              <w:top w:val="single" w:sz="4" w:space="0" w:color="auto"/>
              <w:right w:val="single" w:sz="4" w:space="0" w:color="auto"/>
            </w:tcBorders>
            <w:shd w:val="clear" w:color="auto" w:fill="244061" w:themeFill="accent1" w:themeFillShade="80"/>
          </w:tcPr>
          <w:p w:rsidR="00EF2BC3" w:rsidRDefault="00AF3002">
            <w:pPr>
              <w:spacing w:before="240" w:after="120"/>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szCs w:val="20"/>
                <w:lang w:val="en-GB"/>
              </w:rPr>
            </w:pPr>
            <w:r>
              <w:rPr>
                <w:noProof/>
                <w:color w:val="FFFFFF" w:themeColor="background1"/>
                <w:sz w:val="20"/>
                <w:szCs w:val="20"/>
              </w:rPr>
              <w:t>Comment</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FI</w:t>
            </w:r>
          </w:p>
        </w:tc>
        <w:tc>
          <w:tcPr>
            <w:tcW w:w="1233" w:type="dxa"/>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Eurajoki (Olkiluoto) site </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2022</w:t>
            </w:r>
          </w:p>
        </w:tc>
        <w:tc>
          <w:tcPr>
            <w:tcW w:w="108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90</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2110</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foreseen</w:t>
            </w: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3.5 bn (2012, 5 units)</w:t>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POSIVA</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Licence for construction (2015)</w:t>
            </w:r>
          </w:p>
        </w:tc>
      </w:tr>
      <w:tr w:rsidR="00EF2BC3" w:rsidTr="00EF2BC3">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jc w:val="both"/>
              <w:rPr>
                <w:rFonts w:eastAsia="Times New Roman"/>
                <w:noProof/>
                <w:color w:val="FFFFFF" w:themeColor="background1"/>
                <w:sz w:val="20"/>
                <w:szCs w:val="20"/>
              </w:rPr>
            </w:pPr>
            <w:r>
              <w:rPr>
                <w:rFonts w:eastAsia="Times New Roman"/>
                <w:noProof/>
                <w:color w:val="FFFFFF" w:themeColor="background1"/>
                <w:sz w:val="20"/>
                <w:szCs w:val="20"/>
              </w:rPr>
              <w:t>FR</w:t>
            </w:r>
          </w:p>
        </w:tc>
        <w:tc>
          <w:tcPr>
            <w:tcW w:w="1233" w:type="dxa"/>
            <w:shd w:val="clear" w:color="auto" w:fill="DBE5F1" w:themeFill="accent1" w:themeFillTint="33"/>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bCs/>
                <w:noProof/>
                <w:color w:val="000000" w:themeColor="text1"/>
                <w:sz w:val="20"/>
                <w:szCs w:val="20"/>
              </w:rPr>
              <w:t xml:space="preserve">Cigeo: sited in the Border of the Meuse and Haute-Marne </w:t>
            </w:r>
          </w:p>
        </w:tc>
        <w:tc>
          <w:tcPr>
            <w:tcW w:w="96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2025</w:t>
            </w:r>
          </w:p>
        </w:tc>
        <w:tc>
          <w:tcPr>
            <w:tcW w:w="108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more than 100 </w:t>
            </w:r>
          </w:p>
        </w:tc>
        <w:tc>
          <w:tcPr>
            <w:tcW w:w="96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After 2125</w:t>
            </w:r>
            <w:r>
              <w:rPr>
                <w:rStyle w:val="FootnoteReference"/>
                <w:rFonts w:eastAsia="Times New Roman"/>
                <w:noProof/>
                <w:color w:val="000000" w:themeColor="text1"/>
                <w:sz w:val="20"/>
                <w:szCs w:val="20"/>
              </w:rPr>
              <w:t xml:space="preserve"> </w:t>
            </w:r>
            <w:r>
              <w:rPr>
                <w:rStyle w:val="FootnoteReference"/>
                <w:rFonts w:eastAsia="Times New Roman"/>
                <w:noProof/>
                <w:color w:val="000000" w:themeColor="text1"/>
                <w:sz w:val="20"/>
                <w:szCs w:val="20"/>
              </w:rPr>
              <w:footnoteReference w:id="37"/>
            </w:r>
          </w:p>
        </w:tc>
        <w:tc>
          <w:tcPr>
            <w:tcW w:w="960" w:type="dxa"/>
            <w:shd w:val="clear" w:color="auto" w:fill="DBE5F1" w:themeFill="accent1" w:themeFillTint="33"/>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rPr>
              <w:t xml:space="preserve">16.5 bn (2012) </w:t>
            </w:r>
            <w:r>
              <w:rPr>
                <w:rStyle w:val="FootnoteReference"/>
                <w:rFonts w:eastAsia="Times New Roman"/>
                <w:noProof/>
                <w:color w:val="000000"/>
                <w:sz w:val="20"/>
                <w:szCs w:val="20"/>
              </w:rPr>
              <w:footnoteReference w:id="38"/>
            </w:r>
          </w:p>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ANDRA</w:t>
            </w:r>
          </w:p>
        </w:tc>
        <w:tc>
          <w:tcPr>
            <w:tcW w:w="1134" w:type="dxa"/>
            <w:tcBorders>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100 year reversibi</w:t>
            </w:r>
            <w:r>
              <w:rPr>
                <w:rFonts w:eastAsia="Times New Roman"/>
                <w:noProof/>
                <w:color w:val="000000" w:themeColor="text1"/>
                <w:sz w:val="20"/>
                <w:szCs w:val="20"/>
              </w:rPr>
              <w:softHyphen/>
            </w:r>
            <w:r>
              <w:rPr>
                <w:rFonts w:eastAsia="Times New Roman"/>
                <w:noProof/>
                <w:color w:val="000000" w:themeColor="text1"/>
                <w:sz w:val="20"/>
                <w:szCs w:val="20"/>
              </w:rPr>
              <w:t>lity; concept for submission for au</w:t>
            </w:r>
            <w:r>
              <w:rPr>
                <w:rFonts w:eastAsia="Times New Roman"/>
                <w:noProof/>
                <w:color w:val="000000" w:themeColor="text1"/>
                <w:sz w:val="20"/>
                <w:szCs w:val="20"/>
              </w:rPr>
              <w:softHyphen/>
              <w:t>thorization</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jc w:val="both"/>
              <w:rPr>
                <w:rFonts w:eastAsia="Times New Roman"/>
                <w:b w:val="0"/>
                <w:bCs w:val="0"/>
                <w:noProof/>
                <w:color w:val="FFFFFF" w:themeColor="background1"/>
                <w:sz w:val="20"/>
                <w:szCs w:val="20"/>
                <w:lang w:val="en-GB"/>
              </w:rPr>
            </w:pPr>
            <w:r>
              <w:rPr>
                <w:rFonts w:eastAsia="Times New Roman"/>
                <w:noProof/>
                <w:color w:val="FFFFFF" w:themeColor="background1"/>
                <w:sz w:val="20"/>
                <w:szCs w:val="20"/>
              </w:rPr>
              <w:t>SE</w:t>
            </w:r>
          </w:p>
        </w:tc>
        <w:tc>
          <w:tcPr>
            <w:tcW w:w="1233" w:type="dxa"/>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Forsmark site</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2019-2030</w:t>
            </w:r>
          </w:p>
        </w:tc>
        <w:tc>
          <w:tcPr>
            <w:tcW w:w="108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45</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2075-2076</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foreseen</w:t>
            </w:r>
          </w:p>
        </w:tc>
        <w:tc>
          <w:tcPr>
            <w:tcW w:w="1326" w:type="dxa"/>
            <w:shd w:val="clear" w:color="auto" w:fill="B8CCE4" w:themeFill="accent1" w:themeFillTint="66"/>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SKB</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Licence application for con</w:t>
            </w:r>
            <w:r>
              <w:rPr>
                <w:rFonts w:eastAsia="Times New Roman"/>
                <w:noProof/>
                <w:color w:val="000000" w:themeColor="text1"/>
                <w:sz w:val="20"/>
                <w:szCs w:val="20"/>
              </w:rPr>
              <w:softHyphen/>
              <w:t>struction under review</w:t>
            </w:r>
          </w:p>
        </w:tc>
      </w:tr>
      <w:tr w:rsidR="00EF2BC3" w:rsidTr="00EF2BC3">
        <w:trPr>
          <w:trHeight w:val="4049"/>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rPr>
                <w:rFonts w:eastAsia="Times New Roman"/>
                <w:noProof/>
                <w:color w:val="FFFFFF" w:themeColor="background1"/>
                <w:sz w:val="20"/>
                <w:szCs w:val="20"/>
                <w:lang w:val="en-GB"/>
              </w:rPr>
            </w:pPr>
            <w:r>
              <w:rPr>
                <w:rFonts w:eastAsia="Times New Roman"/>
                <w:noProof/>
                <w:color w:val="FFFFFF" w:themeColor="background1"/>
                <w:sz w:val="20"/>
                <w:szCs w:val="20"/>
              </w:rPr>
              <w:t>UK</w:t>
            </w:r>
          </w:p>
        </w:tc>
        <w:tc>
          <w:tcPr>
            <w:tcW w:w="1233" w:type="dxa"/>
            <w:shd w:val="clear" w:color="auto" w:fill="DBE5F1" w:themeFill="accent1" w:themeFillTint="33"/>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2016</w:t>
            </w:r>
          </w:p>
        </w:tc>
        <w:tc>
          <w:tcPr>
            <w:tcW w:w="96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2040</w:t>
            </w:r>
          </w:p>
        </w:tc>
        <w:tc>
          <w:tcPr>
            <w:tcW w:w="108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sz w:val="20"/>
                <w:szCs w:val="20"/>
              </w:rPr>
              <w:t>until 2089</w:t>
            </w:r>
          </w:p>
        </w:tc>
        <w:tc>
          <w:tcPr>
            <w:tcW w:w="960" w:type="dxa"/>
            <w:shd w:val="clear" w:color="auto" w:fill="DBE5F1" w:themeFill="accent1" w:themeFillTint="33"/>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sz w:val="20"/>
                <w:szCs w:val="20"/>
              </w:rPr>
              <w:t>2120</w:t>
            </w:r>
          </w:p>
        </w:tc>
        <w:tc>
          <w:tcPr>
            <w:tcW w:w="960" w:type="dxa"/>
            <w:shd w:val="clear" w:color="auto" w:fill="DBE5F1" w:themeFill="accent1" w:themeFillTint="33"/>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sz w:val="20"/>
                <w:szCs w:val="20"/>
              </w:rPr>
              <w:t xml:space="preserve">9,5 bn </w:t>
            </w:r>
            <w:r>
              <w:rPr>
                <w:bCs/>
                <w:noProof/>
                <w:color w:val="000000"/>
                <w:sz w:val="20"/>
                <w:szCs w:val="20"/>
              </w:rPr>
              <w:t>£</w:t>
            </w:r>
            <w:r>
              <w:rPr>
                <w:noProof/>
                <w:sz w:val="20"/>
                <w:szCs w:val="20"/>
              </w:rPr>
              <w:t xml:space="preserve"> (</w:t>
            </w:r>
            <w:r>
              <w:rPr>
                <w:noProof/>
                <w:color w:val="000000" w:themeColor="text1"/>
                <w:sz w:val="20"/>
                <w:szCs w:val="20"/>
              </w:rPr>
              <w:t xml:space="preserve">2014/2015 </w:t>
            </w:r>
            <w:r>
              <w:rPr>
                <w:noProof/>
                <w:sz w:val="20"/>
                <w:szCs w:val="20"/>
              </w:rPr>
              <w:t>) (undis</w:t>
            </w:r>
            <w:r>
              <w:rPr>
                <w:noProof/>
                <w:sz w:val="20"/>
                <w:szCs w:val="20"/>
              </w:rPr>
              <w:softHyphen/>
              <w:t>counted)</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NDA</w:t>
            </w:r>
          </w:p>
        </w:tc>
        <w:tc>
          <w:tcPr>
            <w:tcW w:w="1134" w:type="dxa"/>
            <w:tcBorders>
              <w:right w:val="single" w:sz="4" w:space="0" w:color="auto"/>
            </w:tcBorders>
            <w:shd w:val="clear" w:color="auto" w:fill="FFFFFF" w:themeFill="background1"/>
          </w:tcPr>
          <w:p w:rsidR="00EF2BC3" w:rsidRDefault="00AF3002">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Pr>
                <w:rFonts w:ascii="Times New Roman" w:eastAsia="Times New Roman" w:hAnsi="Times New Roman" w:cs="Times New Roman"/>
                <w:noProof/>
                <w:color w:val="000000" w:themeColor="text1"/>
                <w:sz w:val="20"/>
                <w:szCs w:val="20"/>
              </w:rPr>
              <w:t xml:space="preserve">2016 is a formal process </w:t>
            </w:r>
            <w:r>
              <w:rPr>
                <w:rFonts w:ascii="Times New Roman" w:eastAsia="Times New Roman" w:hAnsi="Times New Roman" w:cs="Times New Roman"/>
                <w:noProof/>
                <w:color w:val="000000" w:themeColor="text1"/>
                <w:sz w:val="20"/>
                <w:szCs w:val="20"/>
              </w:rPr>
              <w:t>of working with communi</w:t>
            </w:r>
            <w:r>
              <w:rPr>
                <w:rFonts w:ascii="Times New Roman" w:eastAsia="Times New Roman" w:hAnsi="Times New Roman" w:cs="Times New Roman"/>
                <w:noProof/>
                <w:color w:val="000000" w:themeColor="text1"/>
                <w:sz w:val="20"/>
                <w:szCs w:val="20"/>
              </w:rPr>
              <w:softHyphen/>
              <w:t xml:space="preserve">ties for potential sites; </w:t>
            </w:r>
          </w:p>
          <w:p w:rsidR="00EF2BC3" w:rsidRDefault="00AF3002">
            <w:pPr>
              <w:autoSpaceDE w:val="0"/>
              <w:autoSpaceDN w:val="0"/>
              <w:adjustRightInd w:val="0"/>
              <w:cnfStyle w:val="000000000000" w:firstRow="0" w:lastRow="0" w:firstColumn="0" w:lastColumn="0" w:oddVBand="0" w:evenVBand="0" w:oddHBand="0" w:evenHBand="0" w:firstRowFirstColumn="0" w:firstRowLastColumn="0" w:lastRowFirstColumn="0" w:lastRowLastColumn="0"/>
              <w:rPr>
                <w:noProof/>
                <w:color w:val="000000"/>
                <w:sz w:val="20"/>
                <w:szCs w:val="20"/>
                <w:lang w:val="en-GB"/>
              </w:rPr>
            </w:pPr>
            <w:r>
              <w:rPr>
                <w:noProof/>
                <w:color w:val="000000"/>
                <w:sz w:val="20"/>
                <w:szCs w:val="20"/>
              </w:rPr>
              <w:t xml:space="preserve">start receiving ILW and LLW in around 2040 and HLW in 2075 </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DE</w:t>
            </w:r>
          </w:p>
        </w:tc>
        <w:tc>
          <w:tcPr>
            <w:tcW w:w="1233" w:type="dxa"/>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After 2031</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2050</w:t>
            </w:r>
          </w:p>
        </w:tc>
        <w:tc>
          <w:tcPr>
            <w:tcW w:w="108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7.7 bn</w:t>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Federal Office for Ra</w:t>
            </w:r>
            <w:r>
              <w:rPr>
                <w:rFonts w:eastAsia="Times New Roman"/>
                <w:noProof/>
                <w:color w:val="000000" w:themeColor="text1"/>
                <w:sz w:val="20"/>
                <w:szCs w:val="20"/>
              </w:rPr>
              <w:softHyphen/>
              <w:t>dia</w:t>
            </w:r>
            <w:r>
              <w:rPr>
                <w:rFonts w:eastAsia="Times New Roman"/>
                <w:noProof/>
                <w:color w:val="000000" w:themeColor="text1"/>
                <w:sz w:val="20"/>
                <w:szCs w:val="20"/>
              </w:rPr>
              <w:softHyphen/>
              <w:t>tion Protec</w:t>
            </w:r>
            <w:r>
              <w:rPr>
                <w:rFonts w:eastAsia="Times New Roman"/>
                <w:noProof/>
                <w:color w:val="000000" w:themeColor="text1"/>
                <w:sz w:val="20"/>
                <w:szCs w:val="20"/>
              </w:rPr>
              <w:softHyphen/>
              <w:t xml:space="preserve">tion </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The cost is for a new geological disposal facility</w:t>
            </w:r>
          </w:p>
        </w:tc>
      </w:tr>
      <w:tr w:rsidR="00EF2BC3" w:rsidTr="00EF2BC3">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RO</w:t>
            </w:r>
          </w:p>
        </w:tc>
        <w:tc>
          <w:tcPr>
            <w:tcW w:w="1233" w:type="dxa"/>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2025</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2055</w:t>
            </w:r>
          </w:p>
        </w:tc>
        <w:tc>
          <w:tcPr>
            <w:tcW w:w="108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100</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2150</w:t>
            </w: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1.02 bn (2 units) to 2.04 bn (2006) USD (4 units)</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ANDR</w:t>
            </w:r>
          </w:p>
        </w:tc>
        <w:tc>
          <w:tcPr>
            <w:tcW w:w="1134" w:type="dxa"/>
            <w:tcBorders>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Siting not started yet</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HU</w:t>
            </w:r>
          </w:p>
        </w:tc>
        <w:tc>
          <w:tcPr>
            <w:tcW w:w="1233" w:type="dxa"/>
            <w:vAlign w:val="center"/>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highlight w:val="yellow"/>
                <w:lang w:val="en-GB"/>
              </w:rPr>
            </w:pPr>
            <w:r>
              <w:rPr>
                <w:rFonts w:eastAsia="Times New Roman"/>
                <w:noProof/>
                <w:color w:val="000000" w:themeColor="text1"/>
                <w:sz w:val="20"/>
                <w:szCs w:val="20"/>
              </w:rPr>
              <w:t>Site selection ongoing</w:t>
            </w:r>
          </w:p>
        </w:tc>
        <w:tc>
          <w:tcPr>
            <w:tcW w:w="96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2064</w:t>
            </w:r>
          </w:p>
        </w:tc>
        <w:tc>
          <w:tcPr>
            <w:tcW w:w="108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w:t>
            </w:r>
            <w:r>
              <w:rPr>
                <w:rStyle w:val="FootnoteReference"/>
                <w:rFonts w:eastAsia="Times New Roman"/>
                <w:noProof/>
                <w:color w:val="000000" w:themeColor="text1"/>
                <w:sz w:val="20"/>
                <w:szCs w:val="20"/>
              </w:rPr>
              <w:footnoteReference w:id="39"/>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2084</w:t>
            </w:r>
            <w:r>
              <w:rPr>
                <w:rStyle w:val="FootnoteReference"/>
                <w:rFonts w:eastAsia="Times New Roman"/>
                <w:noProof/>
                <w:color w:val="000000" w:themeColor="text1"/>
                <w:sz w:val="20"/>
                <w:szCs w:val="20"/>
              </w:rPr>
              <w:footnoteReference w:id="40"/>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yet established</w:t>
            </w: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745 278.5</w:t>
            </w:r>
          </w:p>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mill HUF (2015)</w:t>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PURAM</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Research activities are planned</w:t>
            </w:r>
          </w:p>
        </w:tc>
      </w:tr>
      <w:tr w:rsidR="00EF2BC3" w:rsidTr="00EF2BC3">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SK</w:t>
            </w:r>
          </w:p>
        </w:tc>
        <w:tc>
          <w:tcPr>
            <w:tcW w:w="1233" w:type="dxa"/>
            <w:vAlign w:val="center"/>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Site selection first stage (2013-2016) Sit</w:t>
            </w:r>
            <w:r>
              <w:rPr>
                <w:rFonts w:eastAsia="Times New Roman"/>
                <w:noProof/>
                <w:color w:val="000000" w:themeColor="text1"/>
                <w:sz w:val="20"/>
                <w:szCs w:val="20"/>
              </w:rPr>
              <w:t xml:space="preserve"> selection in 2030</w:t>
            </w:r>
          </w:p>
        </w:tc>
        <w:tc>
          <w:tcPr>
            <w:tcW w:w="96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2065</w:t>
            </w:r>
          </w:p>
        </w:tc>
        <w:tc>
          <w:tcPr>
            <w:tcW w:w="108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40-60 </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2105-2115</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Not foreseen</w:t>
            </w: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3.7-4.4 bn (2014)</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JAVYS</w:t>
            </w:r>
          </w:p>
        </w:tc>
        <w:tc>
          <w:tcPr>
            <w:tcW w:w="1134" w:type="dxa"/>
            <w:tcBorders>
              <w:right w:val="single" w:sz="4" w:space="0" w:color="auto"/>
            </w:tcBorders>
            <w:shd w:val="clear" w:color="auto" w:fill="FFFFFF" w:themeFill="background1"/>
          </w:tcPr>
          <w:p w:rsidR="00EF2BC3" w:rsidRDefault="00AF3002">
            <w:pPr>
              <w:cnfStyle w:val="000000000000" w:firstRow="0" w:lastRow="0" w:firstColumn="0" w:lastColumn="0" w:oddVBand="0" w:evenVBand="0" w:oddHBand="0" w:evenHBand="0" w:firstRowFirstColumn="0" w:firstRowLastColumn="0" w:lastRowFirstColumn="0" w:lastRowLastColumn="0"/>
              <w:rPr>
                <w:rFonts w:eastAsia="Times New Roman"/>
                <w:noProof/>
                <w:sz w:val="20"/>
                <w:szCs w:val="20"/>
              </w:rPr>
            </w:pPr>
            <w:r>
              <w:rPr>
                <w:rFonts w:eastAsia="Times New Roman"/>
                <w:noProof/>
                <w:color w:val="000000" w:themeColor="text1"/>
                <w:sz w:val="20"/>
                <w:szCs w:val="20"/>
              </w:rPr>
              <w:t>3.7 bn for 40 years NPP operation and 4.4 bn for 60 years NPP operation</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SI</w:t>
            </w:r>
          </w:p>
        </w:tc>
        <w:tc>
          <w:tcPr>
            <w:tcW w:w="1233" w:type="dxa"/>
            <w:vAlign w:val="center"/>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Site to be selected (2045-2055)</w:t>
            </w:r>
          </w:p>
        </w:tc>
        <w:tc>
          <w:tcPr>
            <w:tcW w:w="96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2065</w:t>
            </w:r>
          </w:p>
        </w:tc>
        <w:tc>
          <w:tcPr>
            <w:tcW w:w="108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10</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2075</w:t>
            </w:r>
          </w:p>
        </w:tc>
        <w:tc>
          <w:tcPr>
            <w:tcW w:w="960" w:type="dxa"/>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data</w:t>
            </w: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available</w:t>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ARAO</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Agreement with Croatia pending</w:t>
            </w:r>
          </w:p>
        </w:tc>
      </w:tr>
      <w:tr w:rsidR="00EF2BC3" w:rsidTr="00EF2BC3">
        <w:trPr>
          <w:trHeight w:val="563"/>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HR</w:t>
            </w:r>
          </w:p>
        </w:tc>
        <w:tc>
          <w:tcPr>
            <w:tcW w:w="1233" w:type="dxa"/>
            <w:vAlign w:val="center"/>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2043</w:t>
            </w:r>
          </w:p>
        </w:tc>
        <w:tc>
          <w:tcPr>
            <w:tcW w:w="96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2065</w:t>
            </w:r>
          </w:p>
        </w:tc>
        <w:tc>
          <w:tcPr>
            <w:tcW w:w="1080" w:type="dxa"/>
            <w:vAlign w:val="bottom"/>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94" w:type="dxa"/>
            <w:shd w:val="clear" w:color="auto" w:fill="B8CCE4" w:themeFill="accent1" w:themeFillTint="66"/>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134" w:type="dxa"/>
            <w:tcBorders>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Possible agreement wih Slovenia by 2023</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CZ</w:t>
            </w:r>
          </w:p>
        </w:tc>
        <w:tc>
          <w:tcPr>
            <w:tcW w:w="1233" w:type="dxa"/>
            <w:vAlign w:val="center"/>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2018</w:t>
            </w:r>
          </w:p>
        </w:tc>
        <w:tc>
          <w:tcPr>
            <w:tcW w:w="96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2065</w:t>
            </w:r>
          </w:p>
        </w:tc>
        <w:tc>
          <w:tcPr>
            <w:tcW w:w="1080" w:type="dxa"/>
            <w:vAlign w:val="bottom"/>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rPr>
            </w:pPr>
            <w:r>
              <w:rPr>
                <w:rFonts w:eastAsia="Times New Roman"/>
                <w:noProof/>
                <w:color w:val="000000" w:themeColor="text1"/>
                <w:sz w:val="20"/>
                <w:szCs w:val="20"/>
              </w:rPr>
              <w:t>4.1 bn (2011) or 111.400 mill CZK</w:t>
            </w:r>
          </w:p>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SÚRAO</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Ongoing site selection; two sites to be selected</w:t>
            </w:r>
          </w:p>
        </w:tc>
      </w:tr>
      <w:tr w:rsidR="00EF2BC3" w:rsidTr="00EF2BC3">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LT</w:t>
            </w:r>
          </w:p>
        </w:tc>
        <w:tc>
          <w:tcPr>
            <w:tcW w:w="1233" w:type="dxa"/>
            <w:vAlign w:val="center"/>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2033</w:t>
            </w:r>
          </w:p>
        </w:tc>
        <w:tc>
          <w:tcPr>
            <w:tcW w:w="96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2066</w:t>
            </w:r>
          </w:p>
        </w:tc>
        <w:tc>
          <w:tcPr>
            <w:tcW w:w="108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6</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2072</w:t>
            </w: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1.89 – 2.6 bn</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rPr>
            </w:pPr>
            <w:r>
              <w:rPr>
                <w:rFonts w:eastAsia="Times New Roman"/>
                <w:noProof/>
                <w:color w:val="000000" w:themeColor="text1"/>
                <w:sz w:val="20"/>
                <w:szCs w:val="20"/>
              </w:rPr>
              <w:t>Ignalina NPP/</w:t>
            </w:r>
          </w:p>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RATA</w:t>
            </w:r>
          </w:p>
        </w:tc>
        <w:tc>
          <w:tcPr>
            <w:tcW w:w="1134" w:type="dxa"/>
            <w:tcBorders>
              <w:right w:val="single" w:sz="4" w:space="0" w:color="auto"/>
            </w:tcBorders>
            <w:shd w:val="clear" w:color="auto" w:fill="FFFFFF" w:themeFill="background1"/>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ES</w:t>
            </w:r>
          </w:p>
        </w:tc>
        <w:tc>
          <w:tcPr>
            <w:tcW w:w="1233" w:type="dxa"/>
            <w:vAlign w:val="center"/>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2016-2050 (including </w:t>
            </w:r>
            <w:r>
              <w:rPr>
                <w:rFonts w:eastAsia="Times New Roman"/>
                <w:noProof/>
                <w:color w:val="000000" w:themeColor="text1"/>
                <w:sz w:val="20"/>
                <w:szCs w:val="20"/>
              </w:rPr>
              <w:t>knowledge update)</w:t>
            </w:r>
          </w:p>
        </w:tc>
        <w:tc>
          <w:tcPr>
            <w:tcW w:w="96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2050-2069</w:t>
            </w:r>
          </w:p>
        </w:tc>
        <w:tc>
          <w:tcPr>
            <w:tcW w:w="108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2069</w:t>
            </w: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3 bn (2005)</w:t>
            </w:r>
            <w:r>
              <w:rPr>
                <w:rStyle w:val="FootnoteReference"/>
                <w:rFonts w:eastAsia="Times New Roman"/>
                <w:noProof/>
                <w:color w:val="000000" w:themeColor="text1"/>
                <w:sz w:val="20"/>
                <w:szCs w:val="20"/>
              </w:rPr>
              <w:footnoteReference w:id="41"/>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ENRESA</w:t>
            </w:r>
          </w:p>
        </w:tc>
        <w:tc>
          <w:tcPr>
            <w:tcW w:w="1134" w:type="dxa"/>
            <w:tcBorders>
              <w:right w:val="single" w:sz="4" w:space="0" w:color="auto"/>
            </w:tcBorders>
            <w:shd w:val="clear" w:color="auto" w:fill="FFFFFF" w:themeFill="background1"/>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BG</w:t>
            </w:r>
          </w:p>
        </w:tc>
        <w:tc>
          <w:tcPr>
            <w:tcW w:w="1233" w:type="dxa"/>
            <w:vAlign w:val="center"/>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Prefeasib</w:t>
            </w:r>
            <w:r>
              <w:rPr>
                <w:rFonts w:eastAsia="Times New Roman"/>
                <w:noProof/>
                <w:color w:val="000000" w:themeColor="text1"/>
                <w:sz w:val="20"/>
                <w:szCs w:val="20"/>
              </w:rPr>
              <w:softHyphen/>
              <w:t>i</w:t>
            </w:r>
            <w:r>
              <w:rPr>
                <w:rFonts w:eastAsia="Times New Roman"/>
                <w:noProof/>
                <w:color w:val="000000" w:themeColor="text1"/>
                <w:sz w:val="20"/>
                <w:szCs w:val="20"/>
              </w:rPr>
              <w:softHyphen/>
              <w:t>lity study ongoing and 6 potential sites selected</w:t>
            </w:r>
          </w:p>
        </w:tc>
        <w:tc>
          <w:tcPr>
            <w:tcW w:w="960" w:type="dxa"/>
            <w:vAlign w:val="bottom"/>
          </w:tcPr>
          <w:p w:rsidR="00EF2BC3" w:rsidRDefault="00EF2BC3">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80" w:type="dxa"/>
            <w:vAlign w:val="bottom"/>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available</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SERAO</w:t>
            </w:r>
          </w:p>
        </w:tc>
        <w:tc>
          <w:tcPr>
            <w:tcW w:w="1134" w:type="dxa"/>
            <w:tcBorders>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 con</w:t>
            </w:r>
            <w:r>
              <w:rPr>
                <w:rFonts w:eastAsia="Times New Roman"/>
                <w:noProof/>
                <w:color w:val="000000" w:themeColor="text1"/>
                <w:sz w:val="20"/>
                <w:szCs w:val="20"/>
              </w:rPr>
              <w:softHyphen/>
              <w:t xml:space="preserve">cepts as yet for ILW / HLW other than interim storage </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NL</w:t>
            </w:r>
          </w:p>
        </w:tc>
        <w:tc>
          <w:tcPr>
            <w:tcW w:w="1233" w:type="dxa"/>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Decision in 100 years</w:t>
            </w:r>
          </w:p>
        </w:tc>
        <w:tc>
          <w:tcPr>
            <w:tcW w:w="960" w:type="dxa"/>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About 2130</w:t>
            </w:r>
          </w:p>
        </w:tc>
        <w:tc>
          <w:tcPr>
            <w:tcW w:w="1080" w:type="dxa"/>
            <w:vAlign w:val="bottom"/>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60" w:type="dxa"/>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1.5-2.5 </w:t>
            </w:r>
            <w:r>
              <w:rPr>
                <w:rFonts w:eastAsia="Times New Roman"/>
                <w:noProof/>
                <w:color w:val="000000" w:themeColor="text1"/>
                <w:sz w:val="20"/>
                <w:szCs w:val="20"/>
              </w:rPr>
              <w:t>(1996-2000)</w:t>
            </w:r>
          </w:p>
        </w:tc>
        <w:tc>
          <w:tcPr>
            <w:tcW w:w="994" w:type="dxa"/>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COVRA</w:t>
            </w:r>
          </w:p>
        </w:tc>
        <w:tc>
          <w:tcPr>
            <w:tcW w:w="1134" w:type="dxa"/>
            <w:tcBorders>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Costs for "final storage". Decision in 100 years</w:t>
            </w:r>
          </w:p>
        </w:tc>
      </w:tr>
      <w:tr w:rsidR="00EF2BC3" w:rsidTr="00EF2BC3">
        <w:trPr>
          <w:trHeight w:val="703"/>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BE</w:t>
            </w:r>
          </w:p>
        </w:tc>
        <w:tc>
          <w:tcPr>
            <w:tcW w:w="1233" w:type="dxa"/>
            <w:vAlign w:val="center"/>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 date defined pending national policy</w:t>
            </w:r>
          </w:p>
        </w:tc>
        <w:tc>
          <w:tcPr>
            <w:tcW w:w="96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available</w:t>
            </w:r>
          </w:p>
        </w:tc>
        <w:tc>
          <w:tcPr>
            <w:tcW w:w="1080" w:type="dxa"/>
            <w:vAlign w:val="bottom"/>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15 years after authorisation is given</w:t>
            </w:r>
          </w:p>
        </w:tc>
        <w:tc>
          <w:tcPr>
            <w:tcW w:w="960" w:type="dxa"/>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at least 100 years after construction and operating license</w:t>
            </w:r>
          </w:p>
        </w:tc>
        <w:tc>
          <w:tcPr>
            <w:tcW w:w="960" w:type="dxa"/>
          </w:tcPr>
          <w:p w:rsidR="00EF2BC3" w:rsidRDefault="00EF2BC3">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26"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3.2 bn (2012)</w:t>
            </w:r>
          </w:p>
        </w:tc>
        <w:tc>
          <w:tcPr>
            <w:tcW w:w="994" w:type="dxa"/>
            <w:shd w:val="clear" w:color="auto" w:fill="B8CCE4" w:themeFill="accent1" w:themeFillTint="66"/>
          </w:tcPr>
          <w:p w:rsidR="00EF2BC3" w:rsidRDefault="00AF3002">
            <w:pPr>
              <w:spacing w:before="2"/>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ONDRAF/NIRAS</w:t>
            </w:r>
          </w:p>
        </w:tc>
        <w:tc>
          <w:tcPr>
            <w:tcW w:w="1134" w:type="dxa"/>
            <w:tcBorders>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The </w:t>
            </w:r>
            <w:r>
              <w:rPr>
                <w:rFonts w:eastAsia="Times New Roman"/>
                <w:noProof/>
                <w:color w:val="000000" w:themeColor="text1"/>
                <w:sz w:val="20"/>
                <w:szCs w:val="20"/>
              </w:rPr>
              <w:t>disposal cost is for waste category B and category C</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bottom w:val="single" w:sz="4" w:space="0" w:color="auto"/>
            </w:tcBorders>
            <w:shd w:val="clear" w:color="auto" w:fill="244061" w:themeFill="accent1" w:themeFillShade="80"/>
          </w:tcPr>
          <w:p w:rsidR="00EF2BC3" w:rsidRDefault="00AF3002">
            <w:pPr>
              <w:tabs>
                <w:tab w:val="left" w:pos="380"/>
              </w:tabs>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rPr>
              <w:t>PL</w:t>
            </w:r>
          </w:p>
        </w:tc>
        <w:tc>
          <w:tcPr>
            <w:tcW w:w="1233" w:type="dxa"/>
            <w:tcBorders>
              <w:bottom w:val="single" w:sz="4" w:space="0" w:color="auto"/>
            </w:tcBorders>
            <w:vAlign w:val="center"/>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22</w:t>
            </w:r>
            <w:r>
              <w:rPr>
                <w:rFonts w:eastAsia="Times New Roman"/>
                <w:noProof/>
                <w:color w:val="000000" w:themeColor="text1"/>
                <w:sz w:val="20"/>
                <w:szCs w:val="20"/>
                <w:vertAlign w:val="superscript"/>
              </w:rPr>
              <w:t>nd</w:t>
            </w:r>
            <w:r>
              <w:rPr>
                <w:rFonts w:eastAsia="Times New Roman"/>
                <w:noProof/>
                <w:color w:val="000000" w:themeColor="text1"/>
                <w:sz w:val="20"/>
                <w:szCs w:val="20"/>
              </w:rPr>
              <w:t xml:space="preserve"> century</w:t>
            </w:r>
          </w:p>
        </w:tc>
        <w:tc>
          <w:tcPr>
            <w:tcW w:w="960" w:type="dxa"/>
            <w:tcBorders>
              <w:bottom w:val="single" w:sz="4" w:space="0" w:color="auto"/>
            </w:tcBorders>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22</w:t>
            </w:r>
            <w:r>
              <w:rPr>
                <w:rFonts w:eastAsia="Times New Roman"/>
                <w:noProof/>
                <w:color w:val="000000" w:themeColor="text1"/>
                <w:sz w:val="20"/>
                <w:szCs w:val="20"/>
                <w:vertAlign w:val="superscript"/>
              </w:rPr>
              <w:t>nd</w:t>
            </w:r>
            <w:r>
              <w:rPr>
                <w:rFonts w:eastAsia="Times New Roman"/>
                <w:noProof/>
                <w:color w:val="000000" w:themeColor="text1"/>
                <w:sz w:val="20"/>
                <w:szCs w:val="20"/>
              </w:rPr>
              <w:t xml:space="preserve"> century</w:t>
            </w:r>
          </w:p>
        </w:tc>
        <w:tc>
          <w:tcPr>
            <w:tcW w:w="1080" w:type="dxa"/>
            <w:tcBorders>
              <w:bottom w:val="single" w:sz="4" w:space="0" w:color="auto"/>
            </w:tcBorders>
            <w:vAlign w:val="bottom"/>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around 50 years</w:t>
            </w:r>
          </w:p>
        </w:tc>
        <w:tc>
          <w:tcPr>
            <w:tcW w:w="960" w:type="dxa"/>
            <w:tcBorders>
              <w:bottom w:val="single" w:sz="4" w:space="0" w:color="auto"/>
            </w:tcBorders>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Mid-22</w:t>
            </w:r>
            <w:r>
              <w:rPr>
                <w:rFonts w:eastAsia="Times New Roman"/>
                <w:noProof/>
                <w:color w:val="000000" w:themeColor="text1"/>
                <w:sz w:val="20"/>
                <w:szCs w:val="20"/>
                <w:vertAlign w:val="superscript"/>
              </w:rPr>
              <w:t>nd</w:t>
            </w:r>
            <w:r>
              <w:rPr>
                <w:rFonts w:eastAsia="Times New Roman"/>
                <w:noProof/>
                <w:color w:val="000000" w:themeColor="text1"/>
                <w:sz w:val="20"/>
                <w:szCs w:val="20"/>
              </w:rPr>
              <w:t xml:space="preserve"> century</w:t>
            </w:r>
          </w:p>
        </w:tc>
        <w:tc>
          <w:tcPr>
            <w:tcW w:w="960" w:type="dxa"/>
            <w:tcBorders>
              <w:bottom w:val="single" w:sz="4" w:space="0" w:color="auto"/>
            </w:tcBorders>
          </w:tcPr>
          <w:p w:rsidR="00EF2BC3" w:rsidRDefault="00EF2BC3">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326" w:type="dxa"/>
            <w:tcBorders>
              <w:bottom w:val="single" w:sz="4" w:space="0" w:color="auto"/>
            </w:tcBorders>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Not available</w:t>
            </w:r>
          </w:p>
        </w:tc>
        <w:tc>
          <w:tcPr>
            <w:tcW w:w="994" w:type="dxa"/>
            <w:tcBorders>
              <w:bottom w:val="single" w:sz="4" w:space="0" w:color="auto"/>
            </w:tcBorders>
            <w:shd w:val="clear" w:color="auto" w:fill="B8CCE4" w:themeFill="accent1" w:themeFillTint="66"/>
          </w:tcPr>
          <w:p w:rsidR="00EF2BC3" w:rsidRDefault="00AF3002">
            <w:pPr>
              <w:spacing w:before="2"/>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RWMP</w:t>
            </w:r>
          </w:p>
        </w:tc>
        <w:tc>
          <w:tcPr>
            <w:tcW w:w="1134" w:type="dxa"/>
            <w:tcBorders>
              <w:bottom w:val="single" w:sz="4" w:space="0" w:color="auto"/>
              <w:right w:val="single" w:sz="4" w:space="0" w:color="auto"/>
            </w:tcBorders>
            <w:shd w:val="clear" w:color="auto" w:fill="FFFFFF" w:themeFill="background1"/>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rPr>
              <w:t xml:space="preserve">New build </w:t>
            </w:r>
          </w:p>
        </w:tc>
      </w:tr>
    </w:tbl>
    <w:p w:rsidR="00EF2BC3" w:rsidRDefault="00EF2BC3">
      <w:pPr>
        <w:spacing w:before="120"/>
        <w:jc w:val="both"/>
        <w:rPr>
          <w:rFonts w:eastAsia="Times New Roman"/>
          <w:noProof/>
          <w:color w:val="000000" w:themeColor="text1"/>
        </w:rPr>
      </w:pPr>
    </w:p>
    <w:p w:rsidR="00EF2BC3" w:rsidRDefault="00AF3002">
      <w:pPr>
        <w:spacing w:before="120"/>
        <w:jc w:val="both"/>
        <w:rPr>
          <w:noProof/>
        </w:rPr>
      </w:pPr>
      <w:r>
        <w:rPr>
          <w:noProof/>
        </w:rPr>
        <w:t xml:space="preserve">In most of the </w:t>
      </w:r>
      <w:r>
        <w:rPr>
          <w:rFonts w:eastAsia="Times New Roman"/>
          <w:noProof/>
        </w:rPr>
        <w:t>Member States</w:t>
      </w:r>
      <w:r>
        <w:rPr>
          <w:noProof/>
        </w:rPr>
        <w:t xml:space="preserve"> without nuclear programmes the disposal options for radioactive waste are only at a conceptual level and the pertinent research and siting activities have been postponed in some cases for several decades. </w:t>
      </w:r>
    </w:p>
    <w:p w:rsidR="00EF2BC3" w:rsidRDefault="00AF3002">
      <w:pPr>
        <w:spacing w:before="120"/>
        <w:jc w:val="both"/>
        <w:rPr>
          <w:noProof/>
        </w:rPr>
      </w:pPr>
      <w:r>
        <w:rPr>
          <w:noProof/>
        </w:rPr>
        <w:t>Radioactive waste predisposal activities in Membe</w:t>
      </w:r>
      <w:r>
        <w:rPr>
          <w:noProof/>
        </w:rPr>
        <w:t xml:space="preserve">r States without nuclear programmes are predominantly related to storage of disused radioactive sources, and return of disused sealed radioactive sources to the supplier. </w:t>
      </w:r>
    </w:p>
    <w:p w:rsidR="00EF2BC3" w:rsidRDefault="00AF3002">
      <w:pPr>
        <w:spacing w:before="120"/>
        <w:jc w:val="both"/>
        <w:rPr>
          <w:rFonts w:eastAsia="Times New Roman"/>
          <w:noProof/>
          <w:color w:val="000000" w:themeColor="text1"/>
        </w:rPr>
      </w:pPr>
      <w:r>
        <w:rPr>
          <w:rFonts w:eastAsia="Times New Roman"/>
          <w:noProof/>
          <w:color w:val="000000" w:themeColor="text1"/>
        </w:rPr>
        <w:t>To date over 30 dedicated disposal facilities for VLLW and LLW are in place in 12 Me</w:t>
      </w:r>
      <w:r>
        <w:rPr>
          <w:rFonts w:eastAsia="Times New Roman"/>
          <w:noProof/>
          <w:color w:val="000000" w:themeColor="text1"/>
        </w:rPr>
        <w:t xml:space="preserve">mber States. Bulgaria, Latvia and Lithuania categorised their past disposal facilities of RADON type </w:t>
      </w:r>
      <w:r>
        <w:rPr>
          <w:rStyle w:val="FootnoteReference"/>
          <w:rFonts w:eastAsia="Times New Roman"/>
          <w:noProof/>
          <w:color w:val="000000" w:themeColor="text1"/>
        </w:rPr>
        <w:footnoteReference w:id="42"/>
      </w:r>
      <w:r>
        <w:rPr>
          <w:rFonts w:eastAsia="Times New Roman"/>
          <w:noProof/>
          <w:color w:val="000000" w:themeColor="text1"/>
        </w:rPr>
        <w:t xml:space="preserve"> as storage facilities. About half of </w:t>
      </w:r>
      <w:r>
        <w:rPr>
          <w:rFonts w:eastAsia="Times New Roman"/>
          <w:noProof/>
        </w:rPr>
        <w:t>Member States</w:t>
      </w:r>
      <w:r>
        <w:rPr>
          <w:rFonts w:eastAsia="Times New Roman"/>
          <w:noProof/>
          <w:color w:val="000000" w:themeColor="text1"/>
        </w:rPr>
        <w:t xml:space="preserve"> are planning to build new disposal facilities and capacities in the next decade (see Table 8). </w:t>
      </w:r>
    </w:p>
    <w:p w:rsidR="00EF2BC3" w:rsidRDefault="00AF3002">
      <w:pPr>
        <w:spacing w:before="120"/>
        <w:jc w:val="both"/>
        <w:rPr>
          <w:rFonts w:eastAsia="Times New Roman"/>
          <w:noProof/>
          <w:color w:val="000000" w:themeColor="text1"/>
        </w:rPr>
      </w:pPr>
      <w:r>
        <w:rPr>
          <w:rFonts w:eastAsia="Times New Roman"/>
          <w:noProof/>
          <w:color w:val="000000" w:themeColor="text1"/>
        </w:rPr>
        <w:t>The ty</w:t>
      </w:r>
      <w:r>
        <w:rPr>
          <w:rFonts w:eastAsia="Times New Roman"/>
          <w:noProof/>
          <w:color w:val="000000" w:themeColor="text1"/>
        </w:rPr>
        <w:t xml:space="preserve">pes of facilities range from landfills, trenches to vault type disposal facilities depending on the type and class of radioactive waste disposed. These facilities are mainly in the </w:t>
      </w:r>
      <w:r>
        <w:rPr>
          <w:rFonts w:eastAsia="Times New Roman"/>
          <w:noProof/>
        </w:rPr>
        <w:t>Member States</w:t>
      </w:r>
      <w:r>
        <w:rPr>
          <w:rFonts w:eastAsia="Times New Roman"/>
          <w:noProof/>
          <w:color w:val="000000" w:themeColor="text1"/>
        </w:rPr>
        <w:t xml:space="preserve"> with nuclear programmes and in a number of cases. In addition</w:t>
      </w:r>
      <w:r>
        <w:rPr>
          <w:rFonts w:eastAsia="Times New Roman"/>
          <w:noProof/>
          <w:color w:val="000000" w:themeColor="text1"/>
        </w:rPr>
        <w:t xml:space="preserve"> to Bulgaria and Lithuania, a few </w:t>
      </w:r>
      <w:r>
        <w:rPr>
          <w:rFonts w:eastAsia="Times New Roman"/>
          <w:noProof/>
        </w:rPr>
        <w:t>Member States</w:t>
      </w:r>
      <w:r>
        <w:rPr>
          <w:rFonts w:eastAsia="Times New Roman"/>
          <w:noProof/>
          <w:color w:val="000000" w:themeColor="text1"/>
        </w:rPr>
        <w:t xml:space="preserve"> also plan or consider remediation of existing disposal facilities and contaminated sites (e.g. Germany).</w:t>
      </w:r>
    </w:p>
    <w:p w:rsidR="00EF2BC3" w:rsidRDefault="00AF3002">
      <w:pPr>
        <w:spacing w:after="200" w:line="276" w:lineRule="auto"/>
        <w:jc w:val="center"/>
        <w:rPr>
          <w:rFonts w:eastAsia="Times New Roman"/>
          <w:noProof/>
          <w:color w:val="000000" w:themeColor="text1"/>
        </w:rPr>
      </w:pPr>
      <w:r>
        <w:rPr>
          <w:rFonts w:eastAsia="Times New Roman"/>
          <w:noProof/>
          <w:color w:val="000000" w:themeColor="text1"/>
        </w:rPr>
        <w:br w:type="page"/>
      </w:r>
      <w:r>
        <w:rPr>
          <w:b/>
          <w:noProof/>
        </w:rPr>
        <w:t>Table 8. Near surface and intermediate depth disposal facilities in EU</w:t>
      </w:r>
    </w:p>
    <w:tbl>
      <w:tblPr>
        <w:tblStyle w:val="GridTable2-Accent11"/>
        <w:tblW w:w="9889" w:type="dxa"/>
        <w:tblInd w:w="-318"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674"/>
        <w:gridCol w:w="1419"/>
        <w:gridCol w:w="1177"/>
        <w:gridCol w:w="938"/>
        <w:gridCol w:w="1200"/>
        <w:gridCol w:w="1034"/>
        <w:gridCol w:w="1134"/>
        <w:gridCol w:w="1044"/>
        <w:gridCol w:w="1269"/>
      </w:tblGrid>
      <w:tr w:rsidR="00EF2BC3" w:rsidTr="00EF2BC3">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MSe</w:t>
            </w:r>
          </w:p>
        </w:tc>
        <w:tc>
          <w:tcPr>
            <w:tcW w:w="1419"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Cs w:val="0"/>
                <w:noProof/>
                <w:sz w:val="20"/>
                <w:szCs w:val="20"/>
                <w:lang w:val="en-GB"/>
              </w:rPr>
            </w:pPr>
            <w:r>
              <w:rPr>
                <w:rFonts w:eastAsia="Times New Roman"/>
                <w:noProof/>
                <w:sz w:val="20"/>
                <w:szCs w:val="20"/>
                <w:lang w:val="en-GB"/>
              </w:rPr>
              <w:t>Existing/</w:t>
            </w:r>
          </w:p>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Cs w:val="0"/>
                <w:noProof/>
                <w:sz w:val="20"/>
                <w:szCs w:val="20"/>
                <w:lang w:val="en-GB"/>
              </w:rPr>
            </w:pPr>
            <w:r>
              <w:rPr>
                <w:rFonts w:eastAsia="Times New Roman"/>
                <w:noProof/>
                <w:sz w:val="20"/>
                <w:szCs w:val="20"/>
                <w:lang w:val="en-GB"/>
              </w:rPr>
              <w:t>planned</w:t>
            </w:r>
          </w:p>
        </w:tc>
        <w:tc>
          <w:tcPr>
            <w:tcW w:w="1177"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Siting</w:t>
            </w:r>
          </w:p>
        </w:tc>
        <w:tc>
          <w:tcPr>
            <w:tcW w:w="938"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Commis</w:t>
            </w:r>
            <w:r>
              <w:rPr>
                <w:rFonts w:eastAsia="Times New Roman"/>
                <w:noProof/>
                <w:sz w:val="20"/>
                <w:szCs w:val="20"/>
                <w:lang w:val="en-GB"/>
              </w:rPr>
              <w:softHyphen/>
              <w:t>sioning</w:t>
            </w:r>
          </w:p>
        </w:tc>
        <w:tc>
          <w:tcPr>
            <w:tcW w:w="1200"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Operation (years)</w:t>
            </w:r>
          </w:p>
        </w:tc>
        <w:tc>
          <w:tcPr>
            <w:tcW w:w="1034"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Closure</w:t>
            </w:r>
          </w:p>
        </w:tc>
        <w:tc>
          <w:tcPr>
            <w:tcW w:w="1134"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Institutional Control (years)</w:t>
            </w:r>
          </w:p>
        </w:tc>
        <w:tc>
          <w:tcPr>
            <w:tcW w:w="1044"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Responsible organization</w:t>
            </w:r>
          </w:p>
        </w:tc>
        <w:tc>
          <w:tcPr>
            <w:tcW w:w="1269" w:type="dxa"/>
            <w:shd w:val="clear" w:color="auto" w:fill="95B3D7" w:themeFill="accent1" w:themeFillTint="99"/>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Comment</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BE</w:t>
            </w: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Planned LLW (Category A waste)</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Dessel site</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4 y after construction/operation license</w:t>
            </w:r>
          </w:p>
        </w:tc>
        <w:tc>
          <w:tcPr>
            <w:tcW w:w="1200"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54 y after construction/operation license </w:t>
            </w: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104 y after </w:t>
            </w:r>
            <w:r>
              <w:rPr>
                <w:rFonts w:eastAsia="Times New Roman"/>
                <w:noProof/>
                <w:color w:val="000000" w:themeColor="text1"/>
                <w:sz w:val="20"/>
                <w:szCs w:val="20"/>
                <w:lang w:val="en-GB"/>
              </w:rPr>
              <w:t>construction/operation license</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250 </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ONDRAF/</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NIRAS</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Under licensing application review for construction </w:t>
            </w:r>
          </w:p>
        </w:tc>
      </w:tr>
      <w:tr w:rsidR="00EF2BC3" w:rsidTr="00EF2BC3">
        <w:trPr>
          <w:trHeight w:val="956"/>
        </w:trPr>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BG</w:t>
            </w: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Existing for LLW and ILW (institutional waste)</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Novi han site</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1964</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p>
        </w:tc>
        <w:tc>
          <w:tcPr>
            <w:tcW w:w="10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p>
        </w:tc>
        <w:tc>
          <w:tcPr>
            <w:tcW w:w="1044" w:type="dxa"/>
            <w:shd w:val="clear" w:color="auto" w:fill="FFFFFF" w:themeFill="background1"/>
          </w:tcPr>
          <w:p w:rsidR="00EF2BC3" w:rsidRDefault="00AF3002">
            <w:pPr>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r>
              <w:rPr>
                <w:rFonts w:eastAsia="Times New Roman"/>
                <w:noProof/>
                <w:color w:val="0070C0"/>
                <w:sz w:val="20"/>
                <w:szCs w:val="20"/>
                <w:lang w:val="en-GB"/>
              </w:rPr>
              <w:t>SERAW</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r>
              <w:rPr>
                <w:rFonts w:eastAsia="Times New Roman"/>
                <w:noProof/>
                <w:color w:val="0070C0"/>
                <w:sz w:val="20"/>
                <w:szCs w:val="20"/>
                <w:lang w:val="en-GB"/>
              </w:rPr>
              <w:t>Used for storage. Planned decommissioning by 2025</w:t>
            </w:r>
          </w:p>
        </w:tc>
      </w:tr>
      <w:tr w:rsidR="00EF2BC3" w:rsidTr="00EF2BC3">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Planned </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near surface</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Radiana</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2021</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2086</w:t>
            </w:r>
          </w:p>
        </w:tc>
        <w:tc>
          <w:tcPr>
            <w:tcW w:w="11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SERAW</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CZ</w:t>
            </w: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Dukovany</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Duckovany NPP</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1995</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2050</w:t>
            </w:r>
          </w:p>
        </w:tc>
        <w:tc>
          <w:tcPr>
            <w:tcW w:w="11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300</w:t>
            </w: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SÚRAO</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Capacity until 2050</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Hostim</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Beroun</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1959</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1965</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Ongoing</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SÚRAO</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Closed</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Bratrstvi</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 xml:space="preserve">Jáchymov </w:t>
            </w:r>
          </w:p>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1974</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2020</w:t>
            </w:r>
          </w:p>
        </w:tc>
        <w:tc>
          <w:tcPr>
            <w:tcW w:w="11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100</w:t>
            </w: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SÚRAO</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Capacity until 2020 for NORM waste</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Richard</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noProof/>
                <w:sz w:val="20"/>
                <w:szCs w:val="20"/>
                <w:lang w:val="en-GB"/>
              </w:rPr>
            </w:pPr>
            <w:r>
              <w:rPr>
                <w:noProof/>
                <w:sz w:val="20"/>
                <w:szCs w:val="20"/>
                <w:lang w:val="en-GB"/>
              </w:rPr>
              <w:t xml:space="preserve">Litoměřice </w:t>
            </w:r>
          </w:p>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1974</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2025</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100</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SÚRAO</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Capacity until 2025; considered extension afterwards</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EE</w:t>
            </w: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2018</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2040</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2050</w:t>
            </w: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A.L.A.R.A. AS</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Concept for low and intermediate level waste disposal to be decided </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FI</w:t>
            </w: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Lovisa NPP</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Lovisa</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1998</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2060</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Not required</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TVO</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Olkiloto NPP</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Olkiloto</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1992</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2080 or 2100</w:t>
            </w:r>
          </w:p>
        </w:tc>
        <w:tc>
          <w:tcPr>
            <w:tcW w:w="11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Not required</w:t>
            </w: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FORTUM</w:t>
            </w:r>
          </w:p>
        </w:tc>
        <w:tc>
          <w:tcPr>
            <w:tcW w:w="1269"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Hanhikivi (planned)</w:t>
            </w:r>
          </w:p>
        </w:tc>
        <w:tc>
          <w:tcPr>
            <w:tcW w:w="1177"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After 2035</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2120</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Not required</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FVO</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FR</w:t>
            </w:r>
          </w:p>
        </w:tc>
        <w:tc>
          <w:tcPr>
            <w:tcW w:w="1419" w:type="dxa"/>
            <w:shd w:val="clear" w:color="auto" w:fill="FFFFFF" w:themeFill="background1"/>
          </w:tcPr>
          <w:p w:rsidR="00EF2BC3" w:rsidRDefault="00AF30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Centre de L'Aube</w:t>
            </w:r>
          </w:p>
          <w:p w:rsidR="00EF2BC3" w:rsidRDefault="00AF30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noProof/>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Aube district</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1992</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Later than 2050</w:t>
            </w:r>
          </w:p>
        </w:tc>
        <w:tc>
          <w:tcPr>
            <w:tcW w:w="11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300</w:t>
            </w: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ANDRA</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Low level waste </w:t>
            </w:r>
            <w:r>
              <w:rPr>
                <w:rFonts w:eastAsia="Times New Roman"/>
                <w:noProof/>
                <w:color w:val="000000" w:themeColor="text1"/>
                <w:sz w:val="20"/>
                <w:szCs w:val="20"/>
                <w:lang w:val="en-GB"/>
              </w:rPr>
              <w:t>and intermediate level waste-short lived</w:t>
            </w:r>
          </w:p>
        </w:tc>
      </w:tr>
    </w:tbl>
    <w:p w:rsidR="00EF2BC3" w:rsidRDefault="00AF3002">
      <w:pPr>
        <w:rPr>
          <w:noProof/>
        </w:rPr>
      </w:pPr>
      <w:r>
        <w:rPr>
          <w:b/>
          <w:bCs/>
          <w:noProof/>
        </w:rPr>
        <w:br w:type="page"/>
      </w:r>
    </w:p>
    <w:tbl>
      <w:tblPr>
        <w:tblStyle w:val="GridTable2-Accent11"/>
        <w:tblW w:w="9889" w:type="dxa"/>
        <w:tblInd w:w="-318"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674"/>
        <w:gridCol w:w="1419"/>
        <w:gridCol w:w="1177"/>
        <w:gridCol w:w="938"/>
        <w:gridCol w:w="1200"/>
        <w:gridCol w:w="1034"/>
        <w:gridCol w:w="1134"/>
        <w:gridCol w:w="1044"/>
        <w:gridCol w:w="1269"/>
      </w:tblGrid>
      <w:tr w:rsidR="00EF2BC3" w:rsidTr="00E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tcBorders>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tcBorders>
              <w:top w:val="single" w:sz="4" w:space="0" w:color="auto"/>
            </w:tcBorders>
          </w:tcPr>
          <w:p w:rsidR="00EF2BC3" w:rsidRDefault="00AF30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noProof/>
                <w:sz w:val="20"/>
                <w:szCs w:val="20"/>
                <w:lang w:val="fr-BE"/>
              </w:rPr>
            </w:pPr>
            <w:r>
              <w:rPr>
                <w:b w:val="0"/>
                <w:noProof/>
                <w:sz w:val="20"/>
                <w:szCs w:val="20"/>
                <w:lang w:val="fr-BE"/>
              </w:rPr>
              <w:t>Centre de La Manche</w:t>
            </w:r>
          </w:p>
          <w:p w:rsidR="00EF2BC3" w:rsidRDefault="00AF3002">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b w:val="0"/>
                <w:noProof/>
                <w:sz w:val="20"/>
                <w:szCs w:val="20"/>
                <w:lang w:val="fr-BE"/>
              </w:rPr>
            </w:pPr>
            <w:r>
              <w:rPr>
                <w:rFonts w:eastAsia="Times New Roman"/>
                <w:b w:val="0"/>
                <w:noProof/>
                <w:color w:val="000000" w:themeColor="text1"/>
                <w:sz w:val="20"/>
                <w:szCs w:val="20"/>
                <w:lang w:val="fr-BE"/>
              </w:rPr>
              <w:t>(existing)</w:t>
            </w:r>
          </w:p>
        </w:tc>
        <w:tc>
          <w:tcPr>
            <w:tcW w:w="1177" w:type="dxa"/>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themeColor="text1"/>
                <w:sz w:val="20"/>
                <w:szCs w:val="20"/>
                <w:lang w:val="en-GB"/>
              </w:rPr>
            </w:pPr>
            <w:r>
              <w:rPr>
                <w:b w:val="0"/>
                <w:noProof/>
                <w:sz w:val="20"/>
                <w:szCs w:val="20"/>
                <w:lang w:val="en-GB"/>
              </w:rPr>
              <w:t>Manche district</w:t>
            </w:r>
          </w:p>
        </w:tc>
        <w:tc>
          <w:tcPr>
            <w:tcW w:w="938" w:type="dxa"/>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themeColor="text1"/>
                <w:sz w:val="20"/>
                <w:szCs w:val="20"/>
                <w:lang w:val="en-GB"/>
              </w:rPr>
            </w:pPr>
            <w:r>
              <w:rPr>
                <w:rFonts w:eastAsia="Times New Roman"/>
                <w:b w:val="0"/>
                <w:noProof/>
                <w:color w:val="000000" w:themeColor="text1"/>
                <w:sz w:val="20"/>
                <w:szCs w:val="20"/>
                <w:lang w:val="en-GB"/>
              </w:rPr>
              <w:t>1969</w:t>
            </w:r>
          </w:p>
        </w:tc>
        <w:tc>
          <w:tcPr>
            <w:tcW w:w="1200" w:type="dxa"/>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034" w:type="dxa"/>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1994</w:t>
            </w:r>
          </w:p>
        </w:tc>
        <w:tc>
          <w:tcPr>
            <w:tcW w:w="1134" w:type="dxa"/>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300 (since 2003)</w:t>
            </w:r>
          </w:p>
        </w:tc>
        <w:tc>
          <w:tcPr>
            <w:tcW w:w="1044" w:type="dxa"/>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ANDRA</w:t>
            </w:r>
          </w:p>
        </w:tc>
        <w:tc>
          <w:tcPr>
            <w:tcW w:w="1269" w:type="dxa"/>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noProof/>
                <w:sz w:val="20"/>
                <w:szCs w:val="20"/>
                <w:lang w:val="en-GB"/>
              </w:rPr>
            </w:pPr>
            <w:r>
              <w:rPr>
                <w:noProof/>
                <w:sz w:val="20"/>
                <w:szCs w:val="20"/>
                <w:lang w:val="en-GB"/>
              </w:rPr>
              <w:t xml:space="preserve">Cires </w:t>
            </w:r>
          </w:p>
          <w:p w:rsidR="00EF2BC3" w:rsidRDefault="00AF300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noProof/>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noProof/>
                <w:sz w:val="20"/>
                <w:szCs w:val="20"/>
                <w:lang w:val="en-GB"/>
              </w:rPr>
              <w:t>Morvilliers</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2003</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Saturation in 2025</w:t>
            </w:r>
          </w:p>
        </w:tc>
        <w:tc>
          <w:tcPr>
            <w:tcW w:w="11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ANDRA</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bCs/>
                <w:noProof/>
                <w:color w:val="000000" w:themeColor="text1"/>
                <w:sz w:val="20"/>
                <w:szCs w:val="20"/>
                <w:lang w:val="en-GB"/>
              </w:rPr>
              <w:t>VLLW disposal facility</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DE</w:t>
            </w:r>
            <w:r>
              <w:rPr>
                <w:rStyle w:val="FootnoteReference"/>
                <w:rFonts w:eastAsia="Times New Roman"/>
                <w:noProof/>
                <w:sz w:val="20"/>
                <w:szCs w:val="20"/>
                <w:lang w:val="en-GB"/>
              </w:rPr>
              <w:footnoteReference w:id="43"/>
            </w: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Konrad </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2007</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2022</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Several decades</w:t>
            </w: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Federal Office for Radiation Protection </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Under construction</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tcBorders>
              <w:bottom w:val="single" w:sz="4" w:space="0" w:color="auto"/>
            </w:tcBorders>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Morsleben</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Morsleben</w:t>
            </w:r>
          </w:p>
        </w:tc>
        <w:tc>
          <w:tcPr>
            <w:tcW w:w="938"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1971</w:t>
            </w:r>
          </w:p>
        </w:tc>
        <w:tc>
          <w:tcPr>
            <w:tcW w:w="1200"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Until 1998</w:t>
            </w:r>
          </w:p>
        </w:tc>
        <w:tc>
          <w:tcPr>
            <w:tcW w:w="1034"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In progress</w:t>
            </w:r>
          </w:p>
        </w:tc>
        <w:tc>
          <w:tcPr>
            <w:tcW w:w="1134" w:type="dxa"/>
            <w:tcBorders>
              <w:bottom w:val="single" w:sz="4" w:space="0" w:color="auto"/>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BfS</w:t>
            </w:r>
          </w:p>
        </w:tc>
        <w:tc>
          <w:tcPr>
            <w:tcW w:w="1269"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Closed under licensing</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tcBorders>
              <w:top w:val="single" w:sz="4" w:space="0" w:color="auto"/>
            </w:tcBorders>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HU</w:t>
            </w:r>
          </w:p>
        </w:tc>
        <w:tc>
          <w:tcPr>
            <w:tcW w:w="1419" w:type="dxa"/>
            <w:tcBorders>
              <w:top w:val="single" w:sz="4" w:space="0" w:color="auto"/>
              <w:bottom w:val="single" w:sz="4" w:space="0" w:color="auto"/>
            </w:tcBorders>
            <w:shd w:val="clear" w:color="auto" w:fill="FFFFFF" w:themeFill="background1"/>
          </w:tcPr>
          <w:p w:rsidR="00EF2BC3" w:rsidRDefault="00AF300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 xml:space="preserve">Radioactive Waste Treatment and Disposal Facility (RWTDF, </w:t>
            </w:r>
            <w:r>
              <w:rPr>
                <w:rFonts w:eastAsia="Times New Roman"/>
                <w:bCs/>
                <w:noProof/>
                <w:color w:val="000000" w:themeColor="text1"/>
                <w:sz w:val="20"/>
                <w:szCs w:val="20"/>
                <w:lang w:val="en-GB"/>
              </w:rPr>
              <w:t>(existing</w:t>
            </w:r>
            <w:r>
              <w:rPr>
                <w:noProof/>
                <w:sz w:val="20"/>
                <w:szCs w:val="20"/>
                <w:lang w:val="en-GB"/>
              </w:rPr>
              <w:t>)</w:t>
            </w:r>
          </w:p>
        </w:tc>
        <w:tc>
          <w:tcPr>
            <w:tcW w:w="1177"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noProof/>
                <w:sz w:val="20"/>
                <w:szCs w:val="20"/>
                <w:lang w:val="en-GB"/>
              </w:rPr>
              <w:t>Püspökszilágy</w:t>
            </w:r>
          </w:p>
        </w:tc>
        <w:tc>
          <w:tcPr>
            <w:tcW w:w="938"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1976</w:t>
            </w:r>
          </w:p>
        </w:tc>
        <w:tc>
          <w:tcPr>
            <w:tcW w:w="1200" w:type="dxa"/>
            <w:tcBorders>
              <w:top w:val="single" w:sz="4" w:space="0" w:color="auto"/>
              <w:bottom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2067</w:t>
            </w:r>
          </w:p>
        </w:tc>
        <w:tc>
          <w:tcPr>
            <w:tcW w:w="1134"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150</w:t>
            </w:r>
          </w:p>
        </w:tc>
        <w:tc>
          <w:tcPr>
            <w:tcW w:w="1044"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PURAM</w:t>
            </w:r>
          </w:p>
        </w:tc>
        <w:tc>
          <w:tcPr>
            <w:tcW w:w="1269" w:type="dxa"/>
            <w:tcBorders>
              <w:top w:val="single" w:sz="4" w:space="0" w:color="auto"/>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Institutional waste</w:t>
            </w:r>
          </w:p>
        </w:tc>
      </w:tr>
      <w:tr w:rsidR="00EF2BC3" w:rsidTr="00EF2BC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74" w:type="dxa"/>
            <w:vMerge/>
            <w:tcBorders>
              <w:top w:val="single" w:sz="4" w:space="0" w:color="auto"/>
              <w:bottom w:val="single" w:sz="4" w:space="0" w:color="000000"/>
            </w:tcBorders>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themeColor="text1"/>
                <w:sz w:val="20"/>
                <w:szCs w:val="20"/>
                <w:lang w:val="en-GB"/>
              </w:rPr>
            </w:pPr>
            <w:r>
              <w:rPr>
                <w:noProof/>
                <w:sz w:val="20"/>
                <w:szCs w:val="20"/>
                <w:lang w:val="en-GB"/>
              </w:rPr>
              <w:t>National Radioactive Waste Repository (NRWR, existing)</w:t>
            </w:r>
          </w:p>
        </w:tc>
        <w:tc>
          <w:tcPr>
            <w:tcW w:w="1177"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Bataapati</w:t>
            </w:r>
          </w:p>
        </w:tc>
        <w:tc>
          <w:tcPr>
            <w:tcW w:w="938"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2008</w:t>
            </w:r>
          </w:p>
        </w:tc>
        <w:tc>
          <w:tcPr>
            <w:tcW w:w="1200" w:type="dxa"/>
            <w:tcBorders>
              <w:top w:val="single" w:sz="4" w:space="0" w:color="auto"/>
              <w:bottom w:val="single" w:sz="4" w:space="0" w:color="000000"/>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2084</w:t>
            </w:r>
          </w:p>
        </w:tc>
        <w:tc>
          <w:tcPr>
            <w:tcW w:w="1134"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50</w:t>
            </w:r>
          </w:p>
        </w:tc>
        <w:tc>
          <w:tcPr>
            <w:tcW w:w="1044"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PURAM</w:t>
            </w:r>
          </w:p>
        </w:tc>
        <w:tc>
          <w:tcPr>
            <w:tcW w:w="1269" w:type="dxa"/>
            <w:tcBorders>
              <w:top w:val="single" w:sz="4" w:space="0" w:color="auto"/>
              <w:bottom w:val="single" w:sz="4" w:space="0" w:color="000000"/>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Waste nuclear power plants</w:t>
            </w:r>
          </w:p>
        </w:tc>
      </w:tr>
      <w:tr w:rsidR="00EF2BC3" w:rsidTr="00EF2BC3">
        <w:trPr>
          <w:trHeight w:val="481"/>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000000"/>
            </w:tcBorders>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IT</w:t>
            </w:r>
          </w:p>
        </w:tc>
        <w:tc>
          <w:tcPr>
            <w:tcW w:w="1419" w:type="dxa"/>
            <w:tcBorders>
              <w:top w:val="single" w:sz="4" w:space="0" w:color="000000"/>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National repository</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(planned)</w:t>
            </w:r>
          </w:p>
        </w:tc>
        <w:tc>
          <w:tcPr>
            <w:tcW w:w="1177" w:type="dxa"/>
            <w:tcBorders>
              <w:top w:val="single" w:sz="4" w:space="0" w:color="000000"/>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planned</w:t>
            </w:r>
          </w:p>
        </w:tc>
        <w:tc>
          <w:tcPr>
            <w:tcW w:w="938" w:type="dxa"/>
            <w:tcBorders>
              <w:top w:val="single" w:sz="4" w:space="0" w:color="000000"/>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2015 - 2018</w:t>
            </w:r>
          </w:p>
        </w:tc>
        <w:tc>
          <w:tcPr>
            <w:tcW w:w="1200" w:type="dxa"/>
            <w:tcBorders>
              <w:top w:val="single" w:sz="4" w:space="0" w:color="000000"/>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tcBorders>
              <w:top w:val="single" w:sz="4" w:space="0" w:color="000000"/>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134" w:type="dxa"/>
            <w:tcBorders>
              <w:top w:val="single" w:sz="4" w:space="0" w:color="000000"/>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tcBorders>
              <w:top w:val="single" w:sz="4" w:space="0" w:color="000000"/>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SOGIN</w:t>
            </w:r>
          </w:p>
        </w:tc>
        <w:tc>
          <w:tcPr>
            <w:tcW w:w="1269" w:type="dxa"/>
            <w:tcBorders>
              <w:top w:val="single" w:sz="4" w:space="0" w:color="000000"/>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Technology parc</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LT</w:t>
            </w:r>
          </w:p>
        </w:tc>
        <w:tc>
          <w:tcPr>
            <w:tcW w:w="1419"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RADON (Existing)</w:t>
            </w:r>
          </w:p>
        </w:tc>
        <w:tc>
          <w:tcPr>
            <w:tcW w:w="1177"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Maišiagala</w:t>
            </w:r>
          </w:p>
        </w:tc>
        <w:tc>
          <w:tcPr>
            <w:tcW w:w="938"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1964</w:t>
            </w:r>
          </w:p>
        </w:tc>
        <w:tc>
          <w:tcPr>
            <w:tcW w:w="1200" w:type="dxa"/>
            <w:tcBorders>
              <w:bottom w:val="single" w:sz="4" w:space="0" w:color="auto"/>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70C0"/>
                <w:sz w:val="20"/>
                <w:szCs w:val="20"/>
                <w:lang w:val="en-GB"/>
              </w:rPr>
            </w:pPr>
          </w:p>
        </w:tc>
        <w:tc>
          <w:tcPr>
            <w:tcW w:w="1034"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70C0"/>
                <w:sz w:val="20"/>
                <w:szCs w:val="20"/>
                <w:lang w:val="en-GB"/>
              </w:rPr>
            </w:pPr>
            <w:r>
              <w:rPr>
                <w:rFonts w:eastAsia="Times New Roman"/>
                <w:noProof/>
                <w:color w:val="0070C0"/>
                <w:sz w:val="20"/>
                <w:szCs w:val="20"/>
                <w:lang w:val="en-GB"/>
              </w:rPr>
              <w:t>1989</w:t>
            </w:r>
          </w:p>
        </w:tc>
        <w:tc>
          <w:tcPr>
            <w:tcW w:w="1134" w:type="dxa"/>
            <w:tcBorders>
              <w:bottom w:val="single" w:sz="4" w:space="0" w:color="auto"/>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70C0"/>
                <w:sz w:val="20"/>
                <w:szCs w:val="20"/>
                <w:lang w:val="en-GB"/>
              </w:rPr>
            </w:pPr>
          </w:p>
        </w:tc>
        <w:tc>
          <w:tcPr>
            <w:tcW w:w="1044" w:type="dxa"/>
            <w:tcBorders>
              <w:bottom w:val="single" w:sz="4" w:space="0" w:color="auto"/>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70C0"/>
                <w:sz w:val="20"/>
                <w:szCs w:val="20"/>
                <w:lang w:val="en-GB"/>
              </w:rPr>
            </w:pPr>
          </w:p>
        </w:tc>
        <w:tc>
          <w:tcPr>
            <w:tcW w:w="1269" w:type="dxa"/>
            <w:tcBorders>
              <w:bottom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70C0"/>
                <w:sz w:val="20"/>
                <w:szCs w:val="20"/>
                <w:lang w:val="en-GB"/>
              </w:rPr>
            </w:pPr>
            <w:r>
              <w:rPr>
                <w:rFonts w:eastAsia="Times New Roman"/>
                <w:noProof/>
                <w:color w:val="0070C0"/>
                <w:sz w:val="20"/>
                <w:szCs w:val="20"/>
                <w:lang w:val="en-GB"/>
              </w:rPr>
              <w:t>For institutional waste to be retrieved and facility remediated. Site release in 2023</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Industrial landfill for VLLW disposal</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(planned)</w:t>
            </w:r>
          </w:p>
        </w:tc>
        <w:tc>
          <w:tcPr>
            <w:tcW w:w="1177"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 xml:space="preserve">Ignalina NPP </w:t>
            </w:r>
          </w:p>
        </w:tc>
        <w:tc>
          <w:tcPr>
            <w:tcW w:w="938" w:type="dxa"/>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p>
        </w:tc>
        <w:tc>
          <w:tcPr>
            <w:tcW w:w="1200" w:type="dxa"/>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p>
        </w:tc>
        <w:tc>
          <w:tcPr>
            <w:tcW w:w="1034"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Decision to retrieve or leave 2018 - 2025</w:t>
            </w:r>
          </w:p>
        </w:tc>
        <w:tc>
          <w:tcPr>
            <w:tcW w:w="1134" w:type="dxa"/>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p>
        </w:tc>
        <w:tc>
          <w:tcPr>
            <w:tcW w:w="1044"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RATA</w:t>
            </w:r>
          </w:p>
        </w:tc>
        <w:tc>
          <w:tcPr>
            <w:tcW w:w="1269"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noProof/>
                <w:sz w:val="20"/>
                <w:szCs w:val="20"/>
                <w:lang w:val="en-GB"/>
              </w:rPr>
              <w:t xml:space="preserve">Planned investigation for possible conversion of an existing industrial landfill to a VLLW disposal facility </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VLLW</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(planned)</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Ignalina NPP</w:t>
            </w:r>
          </w:p>
        </w:tc>
        <w:tc>
          <w:tcPr>
            <w:tcW w:w="938"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2018</w:t>
            </w: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2038</w:t>
            </w:r>
          </w:p>
        </w:tc>
        <w:tc>
          <w:tcPr>
            <w:tcW w:w="11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Active 30 Passive 70</w:t>
            </w:r>
          </w:p>
        </w:tc>
        <w:tc>
          <w:tcPr>
            <w:tcW w:w="104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RATA</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LILW</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Ignalina</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(planned)</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Ignalina NPP</w:t>
            </w:r>
          </w:p>
        </w:tc>
        <w:tc>
          <w:tcPr>
            <w:tcW w:w="938"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sz w:val="20"/>
                <w:szCs w:val="20"/>
                <w:lang w:val="en-GB"/>
              </w:rPr>
            </w:pPr>
            <w:r>
              <w:rPr>
                <w:rFonts w:eastAsia="Times New Roman"/>
                <w:bCs/>
                <w:noProof/>
                <w:sz w:val="20"/>
                <w:szCs w:val="20"/>
                <w:lang w:val="en-GB"/>
              </w:rPr>
              <w:t>2020</w:t>
            </w: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2021</w:t>
            </w:r>
          </w:p>
        </w:tc>
        <w:tc>
          <w:tcPr>
            <w:tcW w:w="11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Active 100 Passive 200</w:t>
            </w: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RATA</w:t>
            </w:r>
          </w:p>
        </w:tc>
        <w:tc>
          <w:tcPr>
            <w:tcW w:w="1269"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p>
        </w:tc>
      </w:tr>
    </w:tbl>
    <w:p w:rsidR="00EF2BC3" w:rsidRDefault="00AF3002">
      <w:pPr>
        <w:rPr>
          <w:noProof/>
        </w:rPr>
      </w:pPr>
      <w:r>
        <w:rPr>
          <w:b/>
          <w:bCs/>
          <w:noProof/>
        </w:rPr>
        <w:br w:type="page"/>
      </w:r>
    </w:p>
    <w:tbl>
      <w:tblPr>
        <w:tblStyle w:val="GridTable2-Accent11"/>
        <w:tblW w:w="9889" w:type="dxa"/>
        <w:tblInd w:w="-318"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674"/>
        <w:gridCol w:w="1232"/>
        <w:gridCol w:w="187"/>
        <w:gridCol w:w="990"/>
        <w:gridCol w:w="187"/>
        <w:gridCol w:w="751"/>
        <w:gridCol w:w="187"/>
        <w:gridCol w:w="1013"/>
        <w:gridCol w:w="187"/>
        <w:gridCol w:w="847"/>
        <w:gridCol w:w="187"/>
        <w:gridCol w:w="947"/>
        <w:gridCol w:w="187"/>
        <w:gridCol w:w="857"/>
        <w:gridCol w:w="187"/>
        <w:gridCol w:w="1269"/>
      </w:tblGrid>
      <w:tr w:rsidR="00EF2BC3" w:rsidTr="00E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tcBorders>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sz w:val="20"/>
                <w:szCs w:val="20"/>
                <w:lang w:val="en-GB"/>
              </w:rPr>
            </w:pPr>
            <w:r>
              <w:rPr>
                <w:rFonts w:eastAsia="Times New Roman"/>
                <w:b w:val="0"/>
                <w:noProof/>
                <w:sz w:val="20"/>
                <w:szCs w:val="20"/>
                <w:lang w:val="en-GB"/>
              </w:rPr>
              <w:t>Bituminised</w:t>
            </w:r>
          </w:p>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sz w:val="20"/>
                <w:szCs w:val="20"/>
                <w:lang w:val="en-GB"/>
              </w:rPr>
            </w:pPr>
            <w:r>
              <w:rPr>
                <w:rFonts w:eastAsia="Times New Roman"/>
                <w:b w:val="0"/>
                <w:noProof/>
                <w:sz w:val="20"/>
                <w:szCs w:val="20"/>
                <w:lang w:val="en-GB"/>
              </w:rPr>
              <w:t xml:space="preserve">Ignalina </w:t>
            </w:r>
          </w:p>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sz w:val="20"/>
                <w:szCs w:val="20"/>
                <w:lang w:val="en-GB"/>
              </w:rPr>
            </w:pPr>
            <w:r>
              <w:rPr>
                <w:rFonts w:eastAsia="Times New Roman"/>
                <w:b w:val="0"/>
                <w:noProof/>
                <w:sz w:val="20"/>
                <w:szCs w:val="20"/>
                <w:lang w:val="en-GB"/>
              </w:rPr>
              <w:t>(planned)</w:t>
            </w:r>
          </w:p>
        </w:tc>
        <w:tc>
          <w:tcPr>
            <w:tcW w:w="1177" w:type="dxa"/>
            <w:gridSpan w:val="2"/>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sz w:val="20"/>
                <w:szCs w:val="20"/>
                <w:lang w:val="en-GB"/>
              </w:rPr>
            </w:pPr>
            <w:r>
              <w:rPr>
                <w:rFonts w:eastAsia="Times New Roman"/>
                <w:b w:val="0"/>
                <w:noProof/>
                <w:sz w:val="20"/>
                <w:szCs w:val="20"/>
                <w:lang w:val="en-GB"/>
              </w:rPr>
              <w:t>Ignalina NPP</w:t>
            </w:r>
          </w:p>
        </w:tc>
        <w:tc>
          <w:tcPr>
            <w:tcW w:w="938" w:type="dxa"/>
            <w:gridSpan w:val="2"/>
            <w:tcBorders>
              <w:top w:val="single" w:sz="4" w:space="0" w:color="auto"/>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sz w:val="20"/>
                <w:szCs w:val="20"/>
                <w:lang w:val="en-GB"/>
              </w:rPr>
            </w:pPr>
            <w:r>
              <w:rPr>
                <w:rFonts w:eastAsia="Times New Roman"/>
                <w:b w:val="0"/>
                <w:noProof/>
                <w:sz w:val="20"/>
                <w:szCs w:val="20"/>
                <w:lang w:val="en-GB"/>
              </w:rPr>
              <w:t>Decision in 2022</w:t>
            </w:r>
          </w:p>
        </w:tc>
        <w:tc>
          <w:tcPr>
            <w:tcW w:w="1200" w:type="dxa"/>
            <w:gridSpan w:val="2"/>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sz w:val="20"/>
                <w:szCs w:val="20"/>
                <w:lang w:val="en-GB"/>
              </w:rPr>
            </w:pPr>
          </w:p>
        </w:tc>
        <w:tc>
          <w:tcPr>
            <w:tcW w:w="1034" w:type="dxa"/>
            <w:gridSpan w:val="2"/>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sz w:val="20"/>
                <w:szCs w:val="20"/>
                <w:lang w:val="en-GB"/>
              </w:rPr>
            </w:pPr>
          </w:p>
        </w:tc>
        <w:tc>
          <w:tcPr>
            <w:tcW w:w="1134" w:type="dxa"/>
            <w:gridSpan w:val="2"/>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sz w:val="20"/>
                <w:szCs w:val="20"/>
                <w:lang w:val="en-GB"/>
              </w:rPr>
            </w:pPr>
          </w:p>
        </w:tc>
        <w:tc>
          <w:tcPr>
            <w:tcW w:w="1044" w:type="dxa"/>
            <w:gridSpan w:val="2"/>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sz w:val="20"/>
                <w:szCs w:val="20"/>
                <w:lang w:val="en-GB"/>
              </w:rPr>
            </w:pPr>
          </w:p>
        </w:tc>
        <w:tc>
          <w:tcPr>
            <w:tcW w:w="1269" w:type="dxa"/>
            <w:tcBorders>
              <w:top w:val="single" w:sz="4" w:space="0" w:color="auto"/>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LV</w:t>
            </w: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Baldone</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Baldone</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1962</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1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LEGMC</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Also used for storage</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PL</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NRWR</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ROZAN</w:t>
            </w: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1961</w:t>
            </w:r>
          </w:p>
        </w:tc>
        <w:tc>
          <w:tcPr>
            <w:tcW w:w="1200"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2024-2029</w:t>
            </w:r>
          </w:p>
        </w:tc>
        <w:tc>
          <w:tcPr>
            <w:tcW w:w="11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300</w:t>
            </w: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RWMP</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Operating </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NNRWR</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Selection in 2018</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2018-2024</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2144-2155</w:t>
            </w:r>
          </w:p>
        </w:tc>
        <w:tc>
          <w:tcPr>
            <w:tcW w:w="11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300</w:t>
            </w: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RWMP</w:t>
            </w: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Planned</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RO</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BaiTa-bihor</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1986</w:t>
            </w:r>
          </w:p>
        </w:tc>
        <w:tc>
          <w:tcPr>
            <w:tcW w:w="1200"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2050-2055</w:t>
            </w:r>
          </w:p>
        </w:tc>
        <w:tc>
          <w:tcPr>
            <w:tcW w:w="11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100 active 200 passive</w:t>
            </w: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ANDR</w:t>
            </w:r>
          </w:p>
        </w:tc>
        <w:tc>
          <w:tcPr>
            <w:tcW w:w="1269"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sz w:val="20"/>
                <w:szCs w:val="20"/>
                <w:lang w:val="en-GB"/>
              </w:rPr>
              <w:t>DFDSMA (planned)</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2017</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2021</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2090</w:t>
            </w:r>
          </w:p>
        </w:tc>
        <w:tc>
          <w:tcPr>
            <w:tcW w:w="11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100 active 200 passive</w:t>
            </w: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ANDR</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SI</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LILW (Planned)</w:t>
            </w:r>
          </w:p>
        </w:tc>
        <w:tc>
          <w:tcPr>
            <w:tcW w:w="1177"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Site selected: Vrbina in 2009</w:t>
            </w: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2020</w:t>
            </w:r>
          </w:p>
        </w:tc>
        <w:tc>
          <w:tcPr>
            <w:tcW w:w="1200"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After 2061</w:t>
            </w:r>
          </w:p>
        </w:tc>
        <w:tc>
          <w:tcPr>
            <w:tcW w:w="1134"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ARAO</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Pending agreement </w:t>
            </w:r>
            <w:r>
              <w:rPr>
                <w:rFonts w:eastAsia="Times New Roman"/>
                <w:noProof/>
                <w:color w:val="000000" w:themeColor="text1"/>
                <w:sz w:val="20"/>
                <w:szCs w:val="20"/>
                <w:lang w:val="en-GB"/>
              </w:rPr>
              <w:t>with HR</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HR</w:t>
            </w: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Institutional radioactive waste disposal</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Cerkezovav</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2025</w:t>
            </w:r>
          </w:p>
        </w:tc>
        <w:tc>
          <w:tcPr>
            <w:tcW w:w="1200"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2062</w:t>
            </w:r>
          </w:p>
        </w:tc>
        <w:tc>
          <w:tcPr>
            <w:tcW w:w="10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After 2065</w:t>
            </w:r>
          </w:p>
        </w:tc>
        <w:tc>
          <w:tcPr>
            <w:tcW w:w="11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69"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NPP waste disposal to be agreed with SI</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ES</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LLW and ILW</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(existing) </w:t>
            </w:r>
          </w:p>
        </w:tc>
        <w:tc>
          <w:tcPr>
            <w:tcW w:w="1177"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El Cabril</w:t>
            </w: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1992</w:t>
            </w:r>
          </w:p>
        </w:tc>
        <w:tc>
          <w:tcPr>
            <w:tcW w:w="1200"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2040</w:t>
            </w:r>
          </w:p>
        </w:tc>
        <w:tc>
          <w:tcPr>
            <w:tcW w:w="11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300 years</w:t>
            </w: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ENRESA</w:t>
            </w:r>
          </w:p>
        </w:tc>
        <w:tc>
          <w:tcPr>
            <w:tcW w:w="1269"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VLLW</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El Cabril</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2008</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2040</w:t>
            </w:r>
          </w:p>
        </w:tc>
        <w:tc>
          <w:tcPr>
            <w:tcW w:w="11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60 years</w:t>
            </w: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ENRESA</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trHeight w:val="249"/>
        </w:trPr>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SK</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Mochovce LLW </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Mochovce</w:t>
            </w: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2001</w:t>
            </w:r>
          </w:p>
        </w:tc>
        <w:tc>
          <w:tcPr>
            <w:tcW w:w="1200"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After 2080</w:t>
            </w: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Extension to be decided in 2018</w:t>
            </w:r>
          </w:p>
        </w:tc>
        <w:tc>
          <w:tcPr>
            <w:tcW w:w="11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several decades active; and 200-300 passive </w:t>
            </w: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JAVYS</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Existing; </w:t>
            </w:r>
            <w:r>
              <w:rPr>
                <w:rFonts w:eastAsia="Times New Roman"/>
                <w:bCs/>
                <w:noProof/>
                <w:color w:val="000000" w:themeColor="text1"/>
                <w:sz w:val="20"/>
                <w:szCs w:val="20"/>
                <w:lang w:val="en-GB"/>
              </w:rPr>
              <w:t>extension to be decided in 2018</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Mochovce VLLW</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Mochovce</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2018</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1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JAVYS</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val="restart"/>
            <w:shd w:val="clear" w:color="auto" w:fill="95B3D7" w:themeFill="accent1" w:themeFillTint="99"/>
          </w:tcPr>
          <w:p w:rsidR="00EF2BC3" w:rsidRDefault="00AF3002">
            <w:pPr>
              <w:spacing w:before="2"/>
              <w:jc w:val="both"/>
              <w:rPr>
                <w:rFonts w:eastAsia="Times New Roman"/>
                <w:noProof/>
                <w:sz w:val="20"/>
                <w:szCs w:val="20"/>
                <w:lang w:val="en-GB"/>
              </w:rPr>
            </w:pPr>
            <w:r>
              <w:rPr>
                <w:rFonts w:eastAsia="Times New Roman"/>
                <w:noProof/>
                <w:sz w:val="20"/>
                <w:szCs w:val="20"/>
                <w:lang w:val="en-GB"/>
              </w:rPr>
              <w:t xml:space="preserve">SE </w:t>
            </w:r>
          </w:p>
        </w:tc>
        <w:tc>
          <w:tcPr>
            <w:tcW w:w="1419"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SFR (low and </w:t>
            </w:r>
            <w:r>
              <w:rPr>
                <w:rFonts w:eastAsia="Times New Roman"/>
                <w:bCs/>
                <w:noProof/>
                <w:color w:val="000000" w:themeColor="text1"/>
                <w:sz w:val="20"/>
                <w:szCs w:val="20"/>
                <w:lang w:val="en-GB"/>
              </w:rPr>
              <w:t>intermediate level waste)</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Forsmark</w:t>
            </w:r>
          </w:p>
        </w:tc>
        <w:tc>
          <w:tcPr>
            <w:tcW w:w="938"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1983-1988</w:t>
            </w:r>
          </w:p>
        </w:tc>
        <w:tc>
          <w:tcPr>
            <w:tcW w:w="1200" w:type="dxa"/>
            <w:gridSpan w:val="2"/>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Extension requested in 2014</w:t>
            </w:r>
          </w:p>
        </w:tc>
        <w:tc>
          <w:tcPr>
            <w:tcW w:w="113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2070-2075</w:t>
            </w:r>
          </w:p>
        </w:tc>
        <w:tc>
          <w:tcPr>
            <w:tcW w:w="1044" w:type="dxa"/>
            <w:gridSpan w:val="2"/>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SKB AB</w:t>
            </w:r>
          </w:p>
        </w:tc>
        <w:tc>
          <w:tcPr>
            <w:tcW w:w="1269"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Expected extension in 2023</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SFL (long lived low and intermediate level waste)</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License to be submitted in 2030</w:t>
            </w:r>
          </w:p>
        </w:tc>
        <w:tc>
          <w:tcPr>
            <w:tcW w:w="938"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 2045</w:t>
            </w:r>
          </w:p>
        </w:tc>
        <w:tc>
          <w:tcPr>
            <w:tcW w:w="1200"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13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2075</w:t>
            </w:r>
          </w:p>
        </w:tc>
        <w:tc>
          <w:tcPr>
            <w:tcW w:w="1044" w:type="dxa"/>
            <w:gridSpan w:val="2"/>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SKB AB</w:t>
            </w:r>
          </w:p>
        </w:tc>
        <w:tc>
          <w:tcPr>
            <w:tcW w:w="1269"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tcBorders>
              <w:bottom w:val="nil"/>
            </w:tcBorders>
            <w:shd w:val="clear" w:color="auto" w:fill="95B3D7" w:themeFill="accent1" w:themeFillTint="99"/>
          </w:tcPr>
          <w:p w:rsidR="00EF2BC3" w:rsidRDefault="00EF2BC3">
            <w:pPr>
              <w:spacing w:before="2"/>
              <w:jc w:val="both"/>
              <w:rPr>
                <w:rFonts w:eastAsia="Times New Roman"/>
                <w:noProof/>
                <w:sz w:val="20"/>
                <w:szCs w:val="20"/>
                <w:lang w:val="en-GB"/>
              </w:rPr>
            </w:pPr>
          </w:p>
        </w:tc>
        <w:tc>
          <w:tcPr>
            <w:tcW w:w="1419" w:type="dxa"/>
            <w:gridSpan w:val="2"/>
            <w:tcBorders>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Forsmark NPP (VLLW)</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tcBorders>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Forsmark</w:t>
            </w:r>
          </w:p>
        </w:tc>
        <w:tc>
          <w:tcPr>
            <w:tcW w:w="938" w:type="dxa"/>
            <w:gridSpan w:val="2"/>
            <w:tcBorders>
              <w:bottom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200" w:type="dxa"/>
            <w:gridSpan w:val="2"/>
            <w:tcBorders>
              <w:bottom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034" w:type="dxa"/>
            <w:gridSpan w:val="2"/>
            <w:tcBorders>
              <w:bottom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134" w:type="dxa"/>
            <w:gridSpan w:val="2"/>
            <w:tcBorders>
              <w:bottom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30 </w:t>
            </w:r>
          </w:p>
        </w:tc>
        <w:tc>
          <w:tcPr>
            <w:tcW w:w="1044" w:type="dxa"/>
            <w:gridSpan w:val="2"/>
            <w:tcBorders>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Forsmarks Kraftgrupp AB</w:t>
            </w:r>
          </w:p>
        </w:tc>
        <w:tc>
          <w:tcPr>
            <w:tcW w:w="1269" w:type="dxa"/>
            <w:tcBorders>
              <w:bottom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Operational</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nil"/>
              <w:left w:val="single" w:sz="4" w:space="0" w:color="auto"/>
              <w:bottom w:val="single" w:sz="4" w:space="0" w:color="auto"/>
              <w:right w:val="nil"/>
            </w:tcBorders>
            <w:shd w:val="clear" w:color="auto" w:fill="95B3D7" w:themeFill="accent1" w:themeFillTint="99"/>
          </w:tcPr>
          <w:p w:rsidR="00EF2BC3" w:rsidRDefault="00EF2BC3">
            <w:pPr>
              <w:spacing w:before="2"/>
              <w:jc w:val="both"/>
              <w:rPr>
                <w:rFonts w:eastAsia="Times New Roman"/>
                <w:b w:val="0"/>
                <w:noProof/>
                <w:color w:val="000000" w:themeColor="text1"/>
                <w:sz w:val="20"/>
                <w:szCs w:val="20"/>
                <w:lang w:val="en-GB"/>
              </w:rPr>
            </w:pPr>
          </w:p>
        </w:tc>
        <w:tc>
          <w:tcPr>
            <w:tcW w:w="1232" w:type="dxa"/>
            <w:tcBorders>
              <w:top w:val="nil"/>
              <w:left w:val="nil"/>
              <w:bottom w:val="single" w:sz="4" w:space="0" w:color="auto"/>
            </w:tcBorders>
            <w:shd w:val="clear" w:color="auto" w:fill="auto"/>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Oskarshamm NPP (VLLW,</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gridSpan w:val="2"/>
            <w:tcBorders>
              <w:top w:val="single" w:sz="4" w:space="0" w:color="auto"/>
              <w:bottom w:val="single" w:sz="4" w:space="0" w:color="auto"/>
            </w:tcBorders>
            <w:shd w:val="clear" w:color="auto" w:fill="auto"/>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Oskarshamm</w:t>
            </w:r>
          </w:p>
        </w:tc>
        <w:tc>
          <w:tcPr>
            <w:tcW w:w="938" w:type="dxa"/>
            <w:gridSpan w:val="2"/>
            <w:tcBorders>
              <w:top w:val="single" w:sz="4" w:space="0" w:color="auto"/>
              <w:bottom w:val="single" w:sz="4" w:space="0" w:color="auto"/>
            </w:tcBorders>
            <w:shd w:val="clear" w:color="auto" w:fill="auto"/>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200" w:type="dxa"/>
            <w:gridSpan w:val="2"/>
            <w:tcBorders>
              <w:top w:val="single" w:sz="4" w:space="0" w:color="auto"/>
              <w:bottom w:val="single" w:sz="4" w:space="0" w:color="auto"/>
            </w:tcBorders>
            <w:shd w:val="clear" w:color="auto" w:fill="auto"/>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034" w:type="dxa"/>
            <w:gridSpan w:val="2"/>
            <w:tcBorders>
              <w:top w:val="single" w:sz="4" w:space="0" w:color="auto"/>
              <w:bottom w:val="single" w:sz="4" w:space="0" w:color="auto"/>
            </w:tcBorders>
            <w:shd w:val="clear" w:color="auto" w:fill="auto"/>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134" w:type="dxa"/>
            <w:gridSpan w:val="2"/>
            <w:tcBorders>
              <w:top w:val="single" w:sz="4" w:space="0" w:color="auto"/>
              <w:bottom w:val="single" w:sz="4" w:space="0" w:color="auto"/>
            </w:tcBorders>
            <w:shd w:val="clear" w:color="auto" w:fill="auto"/>
          </w:tcPr>
          <w:p w:rsidR="00EF2BC3" w:rsidRDefault="00AF3002">
            <w:pPr>
              <w:spacing w:before="2"/>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30 </w:t>
            </w:r>
          </w:p>
        </w:tc>
        <w:tc>
          <w:tcPr>
            <w:tcW w:w="1044" w:type="dxa"/>
            <w:gridSpan w:val="2"/>
            <w:tcBorders>
              <w:top w:val="single" w:sz="4" w:space="0" w:color="auto"/>
              <w:bottom w:val="single" w:sz="4" w:space="0" w:color="auto"/>
            </w:tcBorders>
            <w:shd w:val="clear" w:color="auto" w:fill="auto"/>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OKG AB</w:t>
            </w:r>
          </w:p>
        </w:tc>
        <w:tc>
          <w:tcPr>
            <w:tcW w:w="1456" w:type="dxa"/>
            <w:gridSpan w:val="2"/>
            <w:tcBorders>
              <w:top w:val="single" w:sz="4" w:space="0" w:color="auto"/>
              <w:bottom w:val="single" w:sz="4" w:space="0" w:color="auto"/>
              <w:right w:val="single" w:sz="4" w:space="0" w:color="auto"/>
            </w:tcBorders>
            <w:shd w:val="clear" w:color="auto" w:fill="auto"/>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Operational</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tcBorders>
              <w:top w:val="nil"/>
            </w:tcBorders>
            <w:shd w:val="clear" w:color="auto" w:fill="95B3D7" w:themeFill="accent1" w:themeFillTint="99"/>
          </w:tcPr>
          <w:p w:rsidR="00EF2BC3" w:rsidRDefault="00EF2BC3">
            <w:pPr>
              <w:spacing w:before="2"/>
              <w:jc w:val="both"/>
              <w:rPr>
                <w:rFonts w:eastAsia="Times New Roman"/>
                <w:b w:val="0"/>
                <w:noProof/>
                <w:color w:val="000000" w:themeColor="text1"/>
                <w:sz w:val="20"/>
                <w:szCs w:val="20"/>
                <w:lang w:val="en-GB"/>
              </w:rPr>
            </w:pPr>
          </w:p>
        </w:tc>
        <w:tc>
          <w:tcPr>
            <w:tcW w:w="1232" w:type="dxa"/>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Ringhals NPP (VLLW, (existing)</w:t>
            </w:r>
          </w:p>
        </w:tc>
        <w:tc>
          <w:tcPr>
            <w:tcW w:w="1177" w:type="dxa"/>
            <w:gridSpan w:val="2"/>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Ringhals</w:t>
            </w:r>
          </w:p>
        </w:tc>
        <w:tc>
          <w:tcPr>
            <w:tcW w:w="938" w:type="dxa"/>
            <w:gridSpan w:val="2"/>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200" w:type="dxa"/>
            <w:gridSpan w:val="2"/>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gridSpan w:val="2"/>
            <w:tcBorders>
              <w:top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134" w:type="dxa"/>
            <w:gridSpan w:val="2"/>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30 </w:t>
            </w:r>
          </w:p>
        </w:tc>
        <w:tc>
          <w:tcPr>
            <w:tcW w:w="1044" w:type="dxa"/>
            <w:gridSpan w:val="2"/>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Ringhals AB</w:t>
            </w:r>
          </w:p>
        </w:tc>
        <w:tc>
          <w:tcPr>
            <w:tcW w:w="1456" w:type="dxa"/>
            <w:gridSpan w:val="2"/>
            <w:tcBorders>
              <w:top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Operational</w:t>
            </w:r>
          </w:p>
        </w:tc>
      </w:tr>
    </w:tbl>
    <w:p w:rsidR="00EF2BC3" w:rsidRDefault="00AF3002">
      <w:pPr>
        <w:rPr>
          <w:noProof/>
        </w:rPr>
      </w:pPr>
      <w:r>
        <w:rPr>
          <w:b/>
          <w:bCs/>
          <w:noProof/>
        </w:rPr>
        <w:br w:type="page"/>
      </w:r>
    </w:p>
    <w:tbl>
      <w:tblPr>
        <w:tblStyle w:val="GridTable2-Accent11"/>
        <w:tblW w:w="9889" w:type="dxa"/>
        <w:tblInd w:w="-318"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674"/>
        <w:gridCol w:w="1232"/>
        <w:gridCol w:w="1177"/>
        <w:gridCol w:w="938"/>
        <w:gridCol w:w="1200"/>
        <w:gridCol w:w="1034"/>
        <w:gridCol w:w="1134"/>
        <w:gridCol w:w="1044"/>
        <w:gridCol w:w="1456"/>
      </w:tblGrid>
      <w:tr w:rsidR="00EF2BC3" w:rsidTr="00E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nil"/>
            </w:tcBorders>
            <w:shd w:val="clear" w:color="auto" w:fill="95B3D7" w:themeFill="accent1" w:themeFillTint="99"/>
          </w:tcPr>
          <w:p w:rsidR="00EF2BC3" w:rsidRDefault="00EF2BC3">
            <w:pPr>
              <w:spacing w:before="2"/>
              <w:jc w:val="both"/>
              <w:rPr>
                <w:rFonts w:eastAsia="Times New Roman"/>
                <w:noProof/>
                <w:color w:val="000000" w:themeColor="text1"/>
                <w:sz w:val="20"/>
                <w:szCs w:val="20"/>
                <w:lang w:val="en-GB"/>
              </w:rPr>
            </w:pPr>
          </w:p>
        </w:tc>
        <w:tc>
          <w:tcPr>
            <w:tcW w:w="1232" w:type="dxa"/>
            <w:tcBorders>
              <w:top w:val="single" w:sz="4" w:space="0" w:color="auto"/>
              <w:bottom w:val="nil"/>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themeColor="text1"/>
                <w:sz w:val="20"/>
                <w:szCs w:val="20"/>
                <w:lang w:val="en-GB"/>
              </w:rPr>
            </w:pPr>
            <w:r>
              <w:rPr>
                <w:rFonts w:eastAsia="Times New Roman"/>
                <w:b w:val="0"/>
                <w:noProof/>
                <w:color w:val="000000" w:themeColor="text1"/>
                <w:sz w:val="20"/>
                <w:szCs w:val="20"/>
                <w:lang w:val="en-GB"/>
              </w:rPr>
              <w:t xml:space="preserve">Studsvik (VLLW, </w:t>
            </w:r>
            <w:r>
              <w:rPr>
                <w:rFonts w:eastAsia="Times New Roman"/>
                <w:b w:val="0"/>
                <w:noProof/>
                <w:color w:val="000000" w:themeColor="text1"/>
                <w:sz w:val="20"/>
                <w:szCs w:val="20"/>
                <w:lang w:val="en-GB"/>
              </w:rPr>
              <w:t>(existing)</w:t>
            </w:r>
          </w:p>
        </w:tc>
        <w:tc>
          <w:tcPr>
            <w:tcW w:w="1177" w:type="dxa"/>
            <w:tcBorders>
              <w:top w:val="single" w:sz="4" w:space="0" w:color="auto"/>
              <w:bottom w:val="nil"/>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themeColor="text1"/>
                <w:sz w:val="20"/>
                <w:szCs w:val="20"/>
                <w:lang w:val="en-GB"/>
              </w:rPr>
            </w:pPr>
            <w:r>
              <w:rPr>
                <w:rFonts w:eastAsia="Times New Roman"/>
                <w:b w:val="0"/>
                <w:noProof/>
                <w:color w:val="000000" w:themeColor="text1"/>
                <w:sz w:val="20"/>
                <w:szCs w:val="20"/>
                <w:lang w:val="en-GB"/>
              </w:rPr>
              <w:t>Studsvik</w:t>
            </w:r>
          </w:p>
        </w:tc>
        <w:tc>
          <w:tcPr>
            <w:tcW w:w="938" w:type="dxa"/>
            <w:tcBorders>
              <w:top w:val="single" w:sz="4" w:space="0" w:color="auto"/>
              <w:bottom w:val="nil"/>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themeColor="text1"/>
                <w:sz w:val="20"/>
                <w:szCs w:val="20"/>
                <w:lang w:val="en-GB"/>
              </w:rPr>
            </w:pPr>
          </w:p>
        </w:tc>
        <w:tc>
          <w:tcPr>
            <w:tcW w:w="1200" w:type="dxa"/>
            <w:tcBorders>
              <w:top w:val="single" w:sz="4" w:space="0" w:color="auto"/>
              <w:bottom w:val="nil"/>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034" w:type="dxa"/>
            <w:tcBorders>
              <w:top w:val="single" w:sz="4" w:space="0" w:color="auto"/>
              <w:bottom w:val="nil"/>
            </w:tcBorders>
          </w:tcPr>
          <w:p w:rsidR="00EF2BC3" w:rsidRDefault="00EF2BC3">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134" w:type="dxa"/>
            <w:tcBorders>
              <w:top w:val="single" w:sz="4" w:space="0" w:color="auto"/>
              <w:bottom w:val="nil"/>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 xml:space="preserve">30 </w:t>
            </w:r>
          </w:p>
        </w:tc>
        <w:tc>
          <w:tcPr>
            <w:tcW w:w="1044" w:type="dxa"/>
            <w:tcBorders>
              <w:top w:val="single" w:sz="4" w:space="0" w:color="auto"/>
              <w:bottom w:val="nil"/>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AB SVAFO</w:t>
            </w:r>
          </w:p>
        </w:tc>
        <w:tc>
          <w:tcPr>
            <w:tcW w:w="1456" w:type="dxa"/>
            <w:tcBorders>
              <w:top w:val="single" w:sz="4" w:space="0" w:color="auto"/>
              <w:bottom w:val="nil"/>
            </w:tcBorders>
          </w:tcPr>
          <w:p w:rsidR="00EF2BC3" w:rsidRDefault="00AF3002">
            <w:pPr>
              <w:spacing w:before="2"/>
              <w:jc w:val="both"/>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Operational</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nil"/>
            </w:tcBorders>
            <w:shd w:val="clear" w:color="auto" w:fill="95B3D7" w:themeFill="accent1" w:themeFillTint="99"/>
          </w:tcPr>
          <w:p w:rsidR="00EF2BC3" w:rsidRDefault="00AF3002">
            <w:pPr>
              <w:spacing w:before="2"/>
              <w:jc w:val="both"/>
              <w:rPr>
                <w:rFonts w:eastAsia="Times New Roman"/>
                <w:b w:val="0"/>
                <w:noProof/>
                <w:color w:val="000000" w:themeColor="text1"/>
                <w:sz w:val="20"/>
                <w:szCs w:val="20"/>
                <w:lang w:val="en-GB"/>
              </w:rPr>
            </w:pPr>
            <w:r>
              <w:rPr>
                <w:rFonts w:eastAsia="Times New Roman"/>
                <w:noProof/>
                <w:color w:val="000000" w:themeColor="text1"/>
                <w:sz w:val="20"/>
                <w:szCs w:val="20"/>
                <w:lang w:val="en-GB"/>
              </w:rPr>
              <w:t>UK</w:t>
            </w:r>
          </w:p>
        </w:tc>
        <w:tc>
          <w:tcPr>
            <w:tcW w:w="1232"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noProof/>
                <w:sz w:val="20"/>
                <w:szCs w:val="20"/>
                <w:lang w:val="en-GB"/>
              </w:rPr>
            </w:pPr>
            <w:r>
              <w:rPr>
                <w:rFonts w:eastAsia="Times New Roman"/>
                <w:bCs/>
                <w:noProof/>
                <w:color w:val="000000" w:themeColor="text1"/>
                <w:sz w:val="20"/>
                <w:szCs w:val="20"/>
                <w:lang w:val="en-GB"/>
              </w:rPr>
              <w:t xml:space="preserve">Drigg </w:t>
            </w:r>
            <w:r>
              <w:rPr>
                <w:noProof/>
                <w:sz w:val="20"/>
                <w:szCs w:val="20"/>
                <w:lang w:val="en-GB"/>
              </w:rPr>
              <w:t>VLLW/LLW (existing vaults and trenches)</w:t>
            </w:r>
          </w:p>
        </w:tc>
        <w:tc>
          <w:tcPr>
            <w:tcW w:w="1177"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Sellafield</w:t>
            </w:r>
          </w:p>
        </w:tc>
        <w:tc>
          <w:tcPr>
            <w:tcW w:w="938"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1950</w:t>
            </w:r>
          </w:p>
        </w:tc>
        <w:tc>
          <w:tcPr>
            <w:tcW w:w="1200" w:type="dxa"/>
            <w:tcBorders>
              <w:top w:val="nil"/>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2050</w:t>
            </w:r>
          </w:p>
        </w:tc>
        <w:tc>
          <w:tcPr>
            <w:tcW w:w="1134"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100 </w:t>
            </w:r>
          </w:p>
        </w:tc>
        <w:tc>
          <w:tcPr>
            <w:tcW w:w="1044"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Low Level Waste Repository Limited</w:t>
            </w:r>
          </w:p>
        </w:tc>
        <w:tc>
          <w:tcPr>
            <w:tcW w:w="1456" w:type="dxa"/>
            <w:tcBorders>
              <w:top w:val="nil"/>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Foreseen extension of capacity after 2050 for operation until 2129</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CLESA</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Sellafield</w:t>
            </w:r>
          </w:p>
        </w:tc>
        <w:tc>
          <w:tcPr>
            <w:tcW w:w="938"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2026</w:t>
            </w: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456"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sz w:val="20"/>
                <w:szCs w:val="20"/>
                <w:lang w:val="en-GB"/>
              </w:rPr>
              <w:t>Decommissioning waste and site clearance waste</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noProof/>
                <w:sz w:val="20"/>
                <w:szCs w:val="20"/>
                <w:lang w:val="en-GB"/>
              </w:rPr>
              <w:t>Calder landfill VLLW</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Sellafield</w:t>
            </w:r>
          </w:p>
        </w:tc>
        <w:tc>
          <w:tcPr>
            <w:tcW w:w="938"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1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456"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South landfill VVLW</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Sellafield</w:t>
            </w:r>
          </w:p>
        </w:tc>
        <w:tc>
          <w:tcPr>
            <w:tcW w:w="938"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456"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b w:val="0"/>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Dounreay shaft</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Dounreay</w:t>
            </w:r>
          </w:p>
        </w:tc>
        <w:tc>
          <w:tcPr>
            <w:tcW w:w="938"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2005</w:t>
            </w:r>
          </w:p>
        </w:tc>
        <w:tc>
          <w:tcPr>
            <w:tcW w:w="11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456"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closed</w:t>
            </w:r>
          </w:p>
        </w:tc>
      </w:tr>
      <w:tr w:rsidR="00EF2BC3" w:rsidTr="00EF2BC3">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b w:val="0"/>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Dounreay LLW</w:t>
            </w:r>
          </w:p>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Dounreay 2014</w:t>
            </w:r>
          </w:p>
        </w:tc>
        <w:tc>
          <w:tcPr>
            <w:tcW w:w="938"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2028</w:t>
            </w:r>
          </w:p>
        </w:tc>
        <w:tc>
          <w:tcPr>
            <w:tcW w:w="1134"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Dounreay</w:t>
            </w:r>
            <w:r>
              <w:rPr>
                <w:rFonts w:eastAsia="Times New Roman"/>
                <w:noProof/>
                <w:color w:val="000000" w:themeColor="text1"/>
                <w:sz w:val="20"/>
                <w:szCs w:val="20"/>
                <w:lang w:val="en-GB"/>
              </w:rPr>
              <w:t xml:space="preserve"> Site Restoration Limited (DSRL)</w:t>
            </w:r>
          </w:p>
        </w:tc>
        <w:tc>
          <w:tcPr>
            <w:tcW w:w="1456" w:type="dxa"/>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shd w:val="clear" w:color="auto" w:fill="95B3D7" w:themeFill="accent1" w:themeFillTint="99"/>
          </w:tcPr>
          <w:p w:rsidR="00EF2BC3" w:rsidRDefault="00EF2BC3">
            <w:pPr>
              <w:spacing w:before="2"/>
              <w:jc w:val="both"/>
              <w:rPr>
                <w:rFonts w:eastAsia="Times New Roman"/>
                <w:b w:val="0"/>
                <w:noProof/>
                <w:color w:val="000000" w:themeColor="text1"/>
                <w:sz w:val="20"/>
                <w:szCs w:val="20"/>
                <w:lang w:val="en-GB"/>
              </w:rPr>
            </w:pPr>
          </w:p>
        </w:tc>
        <w:tc>
          <w:tcPr>
            <w:tcW w:w="1232"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Onsite pits and trenches</w:t>
            </w:r>
          </w:p>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(existing)</w:t>
            </w:r>
          </w:p>
        </w:tc>
        <w:tc>
          <w:tcPr>
            <w:tcW w:w="1177" w:type="dxa"/>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noProof/>
                <w:sz w:val="20"/>
                <w:szCs w:val="20"/>
                <w:lang w:val="en-GB"/>
              </w:rPr>
              <w:t>Harwell, Springfield, Sellafield, and Dounreay</w:t>
            </w:r>
          </w:p>
        </w:tc>
        <w:tc>
          <w:tcPr>
            <w:tcW w:w="938"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p>
        </w:tc>
        <w:tc>
          <w:tcPr>
            <w:tcW w:w="1200"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13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44"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456" w:type="dxa"/>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r>
    </w:tbl>
    <w:p w:rsidR="00EF2BC3" w:rsidRDefault="00EF2BC3">
      <w:pPr>
        <w:rPr>
          <w:noProof/>
        </w:rPr>
      </w:pP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national programmes should address post-closure measures for disposal facilities and measures for knowledge preservation (Article 12(1)e of the Directive). </w:t>
      </w:r>
    </w:p>
    <w:p w:rsidR="00EF2BC3" w:rsidRDefault="00AF3002">
      <w:pPr>
        <w:spacing w:before="120"/>
        <w:jc w:val="both"/>
        <w:rPr>
          <w:rFonts w:eastAsia="Times New Roman"/>
          <w:noProof/>
          <w:color w:val="000000" w:themeColor="text1"/>
        </w:rPr>
      </w:pPr>
      <w:r>
        <w:rPr>
          <w:rFonts w:eastAsia="Times New Roman"/>
          <w:noProof/>
          <w:color w:val="000000" w:themeColor="text1"/>
        </w:rPr>
        <w:t>The majority of countries cover the post-closure period only in very general terms or did not a</w:t>
      </w:r>
      <w:r>
        <w:rPr>
          <w:rFonts w:eastAsia="Times New Roman"/>
          <w:noProof/>
          <w:color w:val="000000" w:themeColor="text1"/>
        </w:rPr>
        <w:t>ddress the post closure measures for the disposal facilities in their notifications. Of the countries with a present or past nuclear programmes, only a few have presented detailed and defined plans for the post-closure period of the disposal facilities. So</w:t>
      </w:r>
      <w:r>
        <w:rPr>
          <w:rFonts w:eastAsia="Times New Roman"/>
          <w:noProof/>
          <w:color w:val="000000" w:themeColor="text1"/>
        </w:rPr>
        <w:t>me of the countries present plans for the post-closure period only for the near-surface disposal facilities while the post-closure period of the deep geological facilities is either not detailed or not foreseen. The main reason provided in this case was ei</w:t>
      </w:r>
      <w:r>
        <w:rPr>
          <w:rFonts w:eastAsia="Times New Roman"/>
          <w:noProof/>
          <w:color w:val="000000" w:themeColor="text1"/>
        </w:rPr>
        <w:t>ther no availability of operational disposal facilities and/or that it is premature to consider this phase now, including the fact that a number of countries leave open the possibility for a regional solution to the disposal of spent fuel and high level wa</w:t>
      </w:r>
      <w:r>
        <w:rPr>
          <w:rFonts w:eastAsia="Times New Roman"/>
          <w:noProof/>
          <w:color w:val="000000" w:themeColor="text1"/>
        </w:rPr>
        <w:t>stes.</w:t>
      </w:r>
    </w:p>
    <w:p w:rsidR="00EF2BC3" w:rsidRDefault="00AF3002">
      <w:pPr>
        <w:spacing w:before="120"/>
        <w:jc w:val="both"/>
        <w:rPr>
          <w:rFonts w:eastAsia="Times New Roman"/>
          <w:noProof/>
          <w:color w:val="000000" w:themeColor="text1"/>
        </w:rPr>
      </w:pPr>
      <w:r>
        <w:rPr>
          <w:rFonts w:eastAsia="Times New Roman"/>
          <w:noProof/>
          <w:color w:val="000000" w:themeColor="text1"/>
        </w:rPr>
        <w:t>Information on the preservation of knowledge after the closure of the disposal facilities is in particular not available in most of the national programmes submitted.</w:t>
      </w:r>
    </w:p>
    <w:p w:rsidR="00EF2BC3" w:rsidRDefault="00AF3002">
      <w:pPr>
        <w:pStyle w:val="ManualHeading3"/>
        <w:spacing w:before="2"/>
        <w:rPr>
          <w:noProof/>
        </w:rPr>
      </w:pPr>
      <w:bookmarkStart w:id="33" w:name="_Toc474832873"/>
      <w:r>
        <w:t>2.2.3.</w:t>
      </w:r>
      <w:r>
        <w:tab/>
      </w:r>
      <w:r>
        <w:rPr>
          <w:noProof/>
        </w:rPr>
        <w:t>Safety demonstration</w:t>
      </w:r>
      <w:bookmarkEnd w:id="33"/>
      <w:r>
        <w:rPr>
          <w:noProof/>
        </w:rPr>
        <w:t xml:space="preserve"> </w:t>
      </w:r>
    </w:p>
    <w:p w:rsidR="00EF2BC3" w:rsidRDefault="00AF3002">
      <w:pPr>
        <w:widowControl w:val="0"/>
        <w:shd w:val="clear" w:color="auto" w:fill="FFFFFF" w:themeFill="background1"/>
        <w:autoSpaceDE w:val="0"/>
        <w:autoSpaceDN w:val="0"/>
        <w:adjustRightInd w:val="0"/>
        <w:spacing w:before="120" w:line="300" w:lineRule="atLeast"/>
        <w:jc w:val="both"/>
        <w:rPr>
          <w:rFonts w:eastAsia="Times New Roman"/>
          <w:noProof/>
          <w:color w:val="000000" w:themeColor="text1"/>
        </w:rPr>
      </w:pPr>
      <w:r>
        <w:rPr>
          <w:rFonts w:eastAsia="Times New Roman"/>
          <w:noProof/>
          <w:color w:val="000000" w:themeColor="text1"/>
        </w:rPr>
        <w:t>The licensees shall regularly assess, verify and continuously improve, as far as is reasonably achievable, the safety of the radioactive waste and spent fuel management facility or activity in a systematic and verifiable manner, by applying the graded appr</w:t>
      </w:r>
      <w:r>
        <w:rPr>
          <w:rFonts w:eastAsia="Times New Roman"/>
          <w:noProof/>
          <w:color w:val="000000" w:themeColor="text1"/>
        </w:rPr>
        <w:t>oach (see Article 7 of the Directive). The majority of Member States presented the legal basis and provisions for regular safety reviews, however a few concrete examples of how these provisions have been applied in practice were available (e.g. stress test</w:t>
      </w:r>
      <w:r>
        <w:rPr>
          <w:rFonts w:eastAsia="Times New Roman"/>
          <w:noProof/>
          <w:color w:val="000000" w:themeColor="text1"/>
        </w:rPr>
        <w:t xml:space="preserve"> after Fukushima, safety assessment for spent fuel facilities). </w:t>
      </w:r>
    </w:p>
    <w:p w:rsidR="00EF2BC3" w:rsidRDefault="00AF3002">
      <w:pPr>
        <w:widowControl w:val="0"/>
        <w:shd w:val="clear" w:color="auto" w:fill="FFFFFF" w:themeFill="background1"/>
        <w:autoSpaceDE w:val="0"/>
        <w:autoSpaceDN w:val="0"/>
        <w:adjustRightInd w:val="0"/>
        <w:spacing w:before="120" w:line="300" w:lineRule="atLeast"/>
        <w:jc w:val="both"/>
        <w:rPr>
          <w:rFonts w:eastAsia="Times New Roman"/>
          <w:noProof/>
          <w:color w:val="000000" w:themeColor="text1"/>
        </w:rPr>
      </w:pPr>
      <w:r>
        <w:rPr>
          <w:rFonts w:eastAsia="Times New Roman"/>
          <w:noProof/>
          <w:color w:val="000000" w:themeColor="text1"/>
        </w:rPr>
        <w:t>Safety demonstration shall cover activities and facilities (i.e. development, operation and decommissioning), as well as the post-closure phase of disposal facilities (see Article 7(3) of the</w:t>
      </w:r>
      <w:r>
        <w:rPr>
          <w:rFonts w:eastAsia="Times New Roman"/>
          <w:noProof/>
          <w:color w:val="000000" w:themeColor="text1"/>
        </w:rPr>
        <w:t xml:space="preserve"> Directive). The majority of Member States have addressed safety demonstration in their reports mainly through presentation or reference to established legal requirements. About one third of Member States (mainly Member States with nuclear power plants) ha</w:t>
      </w:r>
      <w:r>
        <w:rPr>
          <w:rFonts w:eastAsia="Times New Roman"/>
          <w:noProof/>
          <w:color w:val="000000" w:themeColor="text1"/>
        </w:rPr>
        <w:t xml:space="preserve">ve addressed safety demonstration in their reports though concrete examples of safety assessments and safety cases mainly, for large nuclear facilities and producers of spent fuel and radioactive waste. Member States with research reactors and non-nuclear </w:t>
      </w:r>
      <w:r>
        <w:rPr>
          <w:rFonts w:eastAsia="Times New Roman"/>
          <w:noProof/>
          <w:color w:val="000000" w:themeColor="text1"/>
        </w:rPr>
        <w:t xml:space="preserve">programmes provide little information on practical examples of safety demonstrations and their results, as well as implementation of emergency preparedness measures. </w:t>
      </w:r>
    </w:p>
    <w:p w:rsidR="00EF2BC3" w:rsidRDefault="00AF3002">
      <w:pPr>
        <w:pStyle w:val="ManualHeading3"/>
        <w:spacing w:before="2"/>
        <w:rPr>
          <w:noProof/>
        </w:rPr>
      </w:pPr>
      <w:r>
        <w:t>2.2.4.</w:t>
      </w:r>
      <w:r>
        <w:tab/>
      </w:r>
      <w:r>
        <w:rPr>
          <w:noProof/>
        </w:rPr>
        <w:t xml:space="preserve"> </w:t>
      </w:r>
      <w:bookmarkStart w:id="34" w:name="_Toc474832874"/>
      <w:r>
        <w:rPr>
          <w:noProof/>
        </w:rPr>
        <w:t>Cost assessment, financing mechanisms and available resources</w:t>
      </w:r>
      <w:bookmarkEnd w:id="34"/>
    </w:p>
    <w:p w:rsidR="00EF2BC3" w:rsidRDefault="00AF3002">
      <w:pPr>
        <w:spacing w:before="120"/>
        <w:jc w:val="both"/>
        <w:rPr>
          <w:rFonts w:eastAsia="Times New Roman"/>
          <w:noProof/>
          <w:color w:val="000000" w:themeColor="text1"/>
        </w:rPr>
      </w:pPr>
      <w:r>
        <w:rPr>
          <w:rFonts w:eastAsia="Times New Roman"/>
          <w:noProof/>
          <w:color w:val="000000" w:themeColor="text1"/>
        </w:rPr>
        <w:t>Article 12(1)h of t</w:t>
      </w:r>
      <w:r>
        <w:rPr>
          <w:rFonts w:eastAsia="Times New Roman"/>
          <w:noProof/>
          <w:color w:val="000000" w:themeColor="text1"/>
        </w:rPr>
        <w:t xml:space="preserve">he Directive requires Member States to provide cost assessments for spent fuel and radioactive waste management in their national programmes, including assumptions used and profile over time. Over two-thirds of </w:t>
      </w:r>
      <w:r>
        <w:rPr>
          <w:rFonts w:eastAsia="Times New Roman"/>
          <w:noProof/>
        </w:rPr>
        <w:t>Member States</w:t>
      </w:r>
      <w:r>
        <w:rPr>
          <w:rFonts w:eastAsia="Times New Roman"/>
          <w:noProof/>
          <w:color w:val="000000" w:themeColor="text1"/>
        </w:rPr>
        <w:t xml:space="preserve"> included information about indi</w:t>
      </w:r>
      <w:r>
        <w:rPr>
          <w:rFonts w:eastAsia="Times New Roman"/>
          <w:noProof/>
          <w:color w:val="000000" w:themeColor="text1"/>
        </w:rPr>
        <w:t xml:space="preserve">vidual costs (e.g. disposal) or costs estimates for spent fuel and radioactive waste management in their national programmes. </w:t>
      </w:r>
    </w:p>
    <w:p w:rsidR="00EF2BC3" w:rsidRDefault="00AF3002">
      <w:pPr>
        <w:widowControl w:val="0"/>
        <w:shd w:val="clear" w:color="auto" w:fill="FFFFFF" w:themeFill="background1"/>
        <w:autoSpaceDE w:val="0"/>
        <w:autoSpaceDN w:val="0"/>
        <w:adjustRightInd w:val="0"/>
        <w:spacing w:before="120" w:line="300" w:lineRule="atLeast"/>
        <w:jc w:val="both"/>
        <w:rPr>
          <w:noProof/>
        </w:rPr>
      </w:pPr>
      <w:r>
        <w:rPr>
          <w:rFonts w:eastAsia="Times New Roman"/>
          <w:noProof/>
          <w:color w:val="000000" w:themeColor="text1"/>
        </w:rPr>
        <w:t xml:space="preserve">The information on the cost assessments is mainly provided by </w:t>
      </w:r>
      <w:r>
        <w:rPr>
          <w:rFonts w:eastAsia="Times New Roman"/>
          <w:noProof/>
        </w:rPr>
        <w:t>Member States</w:t>
      </w:r>
      <w:r>
        <w:rPr>
          <w:rFonts w:eastAsia="Times New Roman"/>
          <w:noProof/>
          <w:color w:val="000000" w:themeColor="text1"/>
        </w:rPr>
        <w:t xml:space="preserve"> with nuclear programmes and research reactors, which </w:t>
      </w:r>
      <w:r>
        <w:rPr>
          <w:rFonts w:eastAsia="Times New Roman"/>
          <w:noProof/>
          <w:color w:val="000000" w:themeColor="text1"/>
        </w:rPr>
        <w:t xml:space="preserve">represent the majority of spent fuel and waste inventory in the EU. </w:t>
      </w:r>
      <w:r>
        <w:rPr>
          <w:noProof/>
        </w:rPr>
        <w:t>While most Member States have estimated the global costs of the actions that are included in their national programmes, in the majority of cases this information is not sufficient to concl</w:t>
      </w:r>
      <w:r>
        <w:rPr>
          <w:noProof/>
        </w:rPr>
        <w:t xml:space="preserve">ude on the completeness and accuracy of the figures reported. </w:t>
      </w:r>
      <w:r>
        <w:rPr>
          <w:rFonts w:eastAsia="Times New Roman"/>
          <w:noProof/>
          <w:color w:val="000000" w:themeColor="text1"/>
        </w:rPr>
        <w:t>Member States with only institutional waste have not provided cost estimation.</w:t>
      </w:r>
    </w:p>
    <w:p w:rsidR="00EF2BC3" w:rsidRDefault="00AF3002">
      <w:pPr>
        <w:spacing w:before="120"/>
        <w:jc w:val="both"/>
        <w:rPr>
          <w:rFonts w:eastAsia="Times New Roman"/>
          <w:noProof/>
          <w:color w:val="000000" w:themeColor="text1"/>
        </w:rPr>
      </w:pPr>
      <w:r>
        <w:rPr>
          <w:rFonts w:eastAsia="Times New Roman"/>
          <w:noProof/>
          <w:color w:val="000000" w:themeColor="text1"/>
        </w:rPr>
        <w:t>Based on the reported data, the estimated total cost for the management of spent fuel and radioactive waste in line with the Member States national programmes to date is about EUR 400 bn (see Table 9) which for some Member States includes also costs for de</w:t>
      </w:r>
      <w:r>
        <w:rPr>
          <w:rFonts w:eastAsia="Times New Roman"/>
          <w:noProof/>
          <w:color w:val="000000" w:themeColor="text1"/>
        </w:rPr>
        <w:t xml:space="preserve">commissioning. A very significant part of the total cost is for the United Kingdom, France and Germany as these Member States have the largest nuclear programmes and inventories of spent fuel and radioactive waste in the EU. The data has not been verified </w:t>
      </w:r>
      <w:r>
        <w:rPr>
          <w:rFonts w:eastAsia="Times New Roman"/>
          <w:noProof/>
          <w:color w:val="000000" w:themeColor="text1"/>
        </w:rPr>
        <w:t xml:space="preserve">by the Commission. </w:t>
      </w:r>
    </w:p>
    <w:p w:rsidR="00EF2BC3" w:rsidRDefault="00AF3002">
      <w:pPr>
        <w:spacing w:before="120"/>
        <w:jc w:val="both"/>
        <w:rPr>
          <w:rFonts w:eastAsia="Times New Roman"/>
          <w:noProof/>
          <w:color w:val="000000" w:themeColor="text1"/>
        </w:rPr>
      </w:pPr>
      <w:r>
        <w:rPr>
          <w:rFonts w:eastAsia="Times New Roman"/>
          <w:noProof/>
          <w:color w:val="000000" w:themeColor="text1"/>
        </w:rPr>
        <w:t>To put this figure in perspective and taking into account the total estimated production of electricity until the end of the NPP lifetime, the estimated cost for implementation of the Member States national programmes represents about 4</w:t>
      </w:r>
      <w:r>
        <w:rPr>
          <w:rFonts w:eastAsia="Times New Roman"/>
          <w:noProof/>
          <w:color w:val="000000" w:themeColor="text1"/>
        </w:rPr>
        <w:t xml:space="preserve"> to 6% of the electricity generation cost from NPPs</w:t>
      </w:r>
      <w:r>
        <w:rPr>
          <w:rStyle w:val="FootnoteReference"/>
          <w:rFonts w:eastAsia="Times New Roman"/>
          <w:noProof/>
          <w:color w:val="000000" w:themeColor="text1"/>
        </w:rPr>
        <w:footnoteReference w:id="44"/>
      </w:r>
      <w:r>
        <w:rPr>
          <w:rFonts w:eastAsia="Times New Roman"/>
          <w:noProof/>
          <w:color w:val="000000" w:themeColor="text1"/>
        </w:rPr>
        <w:t>. Some of the data differ from the PINC</w:t>
      </w:r>
      <w:r>
        <w:rPr>
          <w:rStyle w:val="FootnoteReference"/>
          <w:rFonts w:eastAsia="Times New Roman"/>
          <w:noProof/>
          <w:color w:val="000000" w:themeColor="text1"/>
        </w:rPr>
        <w:footnoteReference w:id="45"/>
      </w:r>
      <w:r>
        <w:rPr>
          <w:rFonts w:eastAsia="Times New Roman"/>
          <w:noProof/>
          <w:color w:val="000000" w:themeColor="text1"/>
        </w:rPr>
        <w:t xml:space="preserve"> as the national programmes in addition to NPPs cover also other facilities (e.g. research reactors) as well as costs of remediation of contaminated sites from past</w:t>
      </w:r>
      <w:r>
        <w:rPr>
          <w:rFonts w:eastAsia="Times New Roman"/>
          <w:noProof/>
          <w:color w:val="000000" w:themeColor="text1"/>
        </w:rPr>
        <w:t xml:space="preserve"> practices. </w:t>
      </w:r>
    </w:p>
    <w:p w:rsidR="00EF2BC3" w:rsidRDefault="00AF3002">
      <w:pPr>
        <w:spacing w:before="120"/>
        <w:jc w:val="both"/>
        <w:rPr>
          <w:rFonts w:eastAsia="Times New Roman"/>
          <w:noProof/>
          <w:color w:val="000000" w:themeColor="text1"/>
        </w:rPr>
      </w:pPr>
      <w:r>
        <w:rPr>
          <w:rFonts w:eastAsia="Times New Roman"/>
          <w:noProof/>
          <w:color w:val="000000" w:themeColor="text1"/>
        </w:rPr>
        <w:t>It can be noted that Member States with nuclear programmes applied two main approaches to cost assessment – different scenarios based on different hypotheses (e.g. including or not life time extension of nuclear power plants) and, variation of</w:t>
      </w:r>
      <w:r>
        <w:rPr>
          <w:rFonts w:eastAsia="Times New Roman"/>
          <w:noProof/>
          <w:color w:val="000000" w:themeColor="text1"/>
        </w:rPr>
        <w:t xml:space="preserve"> parameters for one base or reference scenario.</w:t>
      </w:r>
    </w:p>
    <w:p w:rsidR="00EF2BC3" w:rsidRDefault="00AF3002">
      <w:pPr>
        <w:spacing w:before="120"/>
        <w:jc w:val="both"/>
        <w:rPr>
          <w:rFonts w:eastAsia="Times New Roman"/>
          <w:noProof/>
          <w:color w:val="000000" w:themeColor="text1"/>
        </w:rPr>
      </w:pPr>
      <w:r>
        <w:rPr>
          <w:rFonts w:eastAsia="Times New Roman"/>
          <w:noProof/>
          <w:color w:val="000000" w:themeColor="text1"/>
        </w:rPr>
        <w:t>About half of Member States provide information on the assumptions and other data explaining the basis for the estimation, however with different level of detail. The scope of assessments also differs, as som</w:t>
      </w:r>
      <w:r>
        <w:rPr>
          <w:rFonts w:eastAsia="Times New Roman"/>
          <w:noProof/>
          <w:color w:val="000000" w:themeColor="text1"/>
        </w:rPr>
        <w:t xml:space="preserve">e Member States presented only waste disposal costs, other included decommissioning cost (including management of decommissioning waste) as well. In some cases, the cost for management of research reactor spent fuel (i.e. storage in EU and repatriation to </w:t>
      </w:r>
      <w:r>
        <w:rPr>
          <w:rFonts w:eastAsia="Times New Roman"/>
          <w:noProof/>
          <w:color w:val="000000" w:themeColor="text1"/>
        </w:rPr>
        <w:t>the state of origin) was not reported. The cost of management of institutional waste is not often clearly presented in the Member States' programmes. In some cases, the cost presented does not include all facilities, and in other cases, the costs are estim</w:t>
      </w:r>
      <w:r>
        <w:rPr>
          <w:rFonts w:eastAsia="Times New Roman"/>
          <w:noProof/>
          <w:color w:val="000000" w:themeColor="text1"/>
        </w:rPr>
        <w:t xml:space="preserve">ated for a fraction of the programme (for instance only until the next revision of the national programme). Most Member States with large nuclear facilities have established mechanisms for the periodic update and review of the cost estimation. </w:t>
      </w:r>
    </w:p>
    <w:p w:rsidR="00EF2BC3" w:rsidRDefault="00AF3002">
      <w:pPr>
        <w:spacing w:before="120"/>
        <w:jc w:val="both"/>
        <w:rPr>
          <w:rFonts w:eastAsia="Times New Roman"/>
          <w:noProof/>
          <w:color w:val="000000" w:themeColor="text1"/>
        </w:rPr>
      </w:pPr>
      <w:r>
        <w:rPr>
          <w:rFonts w:eastAsia="Times New Roman"/>
          <w:noProof/>
          <w:color w:val="000000" w:themeColor="text1"/>
        </w:rPr>
        <w:t>Member Stat</w:t>
      </w:r>
      <w:r>
        <w:rPr>
          <w:rFonts w:eastAsia="Times New Roman"/>
          <w:noProof/>
          <w:color w:val="000000" w:themeColor="text1"/>
        </w:rPr>
        <w:t>es are also required to have adequate financing mechanisms (Article 12(1)i, Article 5(1)h and Article 9 of the Directive). So, all Member States have presented their mechanisms in place for the funding of their national programmes, with diverse levels of d</w:t>
      </w:r>
      <w:r>
        <w:rPr>
          <w:rFonts w:eastAsia="Times New Roman"/>
          <w:noProof/>
          <w:color w:val="000000" w:themeColor="text1"/>
        </w:rPr>
        <w:t>etails. Member States with nuclear facilities have opted for different arrangements. A few Member States have internal funds (e.g. within the companies generating spent fuel and radioactive waste) established by large electricity producers. Member States w</w:t>
      </w:r>
      <w:r>
        <w:rPr>
          <w:rFonts w:eastAsia="Times New Roman"/>
          <w:noProof/>
          <w:color w:val="000000" w:themeColor="text1"/>
        </w:rPr>
        <w:t xml:space="preserve">ith institutional waste declare that the cost of waste management will be covered by the fees that the waste management organisation charges to the radioactive waste/spent fuel generators. </w:t>
      </w:r>
    </w:p>
    <w:p w:rsidR="00EF2BC3" w:rsidRDefault="00AF3002">
      <w:pPr>
        <w:spacing w:before="120"/>
        <w:jc w:val="both"/>
        <w:rPr>
          <w:rFonts w:eastAsia="Times New Roman"/>
          <w:noProof/>
        </w:rPr>
      </w:pPr>
      <w:r>
        <w:rPr>
          <w:rFonts w:eastAsia="Times New Roman"/>
          <w:noProof/>
        </w:rPr>
        <w:t>Financial mechanisms provide in most cases for regular and indepen</w:t>
      </w:r>
      <w:r>
        <w:rPr>
          <w:rFonts w:eastAsia="Times New Roman"/>
          <w:noProof/>
        </w:rPr>
        <w:t xml:space="preserve">dent assessment, and stringent legal constraints to ensure that the funds are in effect spent for the purposes for which they were created. </w:t>
      </w:r>
    </w:p>
    <w:p w:rsidR="00EF2BC3" w:rsidRDefault="00AF3002">
      <w:pPr>
        <w:spacing w:before="120"/>
        <w:jc w:val="both"/>
        <w:rPr>
          <w:rFonts w:eastAsia="Times New Roman"/>
          <w:noProof/>
          <w:color w:val="000000" w:themeColor="text1"/>
        </w:rPr>
      </w:pPr>
      <w:r>
        <w:rPr>
          <w:rFonts w:eastAsia="Times New Roman"/>
          <w:noProof/>
          <w:color w:val="000000" w:themeColor="text1"/>
        </w:rPr>
        <w:t>More than half of Member States provided information about the status of the funds for spent fuel and/or radioactiv</w:t>
      </w:r>
      <w:r>
        <w:rPr>
          <w:rFonts w:eastAsia="Times New Roman"/>
          <w:noProof/>
          <w:color w:val="000000" w:themeColor="text1"/>
        </w:rPr>
        <w:t>e waste management at different level of detail as presented in Table 10. Lithuania and Estonia have indicated their reliance on EU funds for radioactive waste and spent fuel management, while a number of Member States declared insufficiency of funds to da</w:t>
      </w:r>
      <w:r>
        <w:rPr>
          <w:rFonts w:eastAsia="Times New Roman"/>
          <w:noProof/>
          <w:color w:val="000000" w:themeColor="text1"/>
        </w:rPr>
        <w:t>te.</w:t>
      </w:r>
    </w:p>
    <w:p w:rsidR="00EF2BC3" w:rsidRDefault="00AF3002">
      <w:pPr>
        <w:spacing w:after="200" w:line="276" w:lineRule="auto"/>
        <w:rPr>
          <w:rFonts w:eastAsia="Times New Roman"/>
          <w:noProof/>
          <w:color w:val="000000" w:themeColor="text1"/>
        </w:rPr>
      </w:pPr>
      <w:r>
        <w:rPr>
          <w:rFonts w:eastAsia="Times New Roman"/>
          <w:noProof/>
          <w:color w:val="000000" w:themeColor="text1"/>
        </w:rPr>
        <w:br w:type="page"/>
      </w:r>
    </w:p>
    <w:p w:rsidR="00EF2BC3" w:rsidRDefault="00AF3002">
      <w:pPr>
        <w:keepNext/>
        <w:spacing w:before="240" w:after="120"/>
        <w:jc w:val="center"/>
        <w:outlineLvl w:val="0"/>
        <w:rPr>
          <w:b/>
          <w:noProof/>
        </w:rPr>
      </w:pPr>
      <w:bookmarkStart w:id="35" w:name="_Toc474832575"/>
      <w:bookmarkStart w:id="36" w:name="_Toc474832875"/>
      <w:r>
        <w:rPr>
          <w:b/>
          <w:noProof/>
        </w:rPr>
        <w:t>Table 9. Estimated total cost of spent fuel and radioactive waste management based on EU Member States' programmes</w:t>
      </w:r>
      <w:bookmarkEnd w:id="35"/>
      <w:bookmarkEnd w:id="36"/>
    </w:p>
    <w:tbl>
      <w:tblPr>
        <w:tblStyle w:val="TableGrid"/>
        <w:tblW w:w="0" w:type="auto"/>
        <w:shd w:val="clear" w:color="auto" w:fill="92CDDC" w:themeFill="accent5" w:themeFillTint="99"/>
        <w:tblLook w:val="04A0" w:firstRow="1" w:lastRow="0" w:firstColumn="1" w:lastColumn="0" w:noHBand="0" w:noVBand="1"/>
      </w:tblPr>
      <w:tblGrid>
        <w:gridCol w:w="1184"/>
        <w:gridCol w:w="1906"/>
        <w:gridCol w:w="1555"/>
        <w:gridCol w:w="3209"/>
        <w:gridCol w:w="1610"/>
      </w:tblGrid>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Member State</w:t>
            </w:r>
          </w:p>
        </w:tc>
        <w:tc>
          <w:tcPr>
            <w:tcW w:w="1906" w:type="dxa"/>
            <w:tcBorders>
              <w:bottom w:val="single" w:sz="4" w:space="0" w:color="000000"/>
            </w:tcBorders>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Estimated total costs, bill€ (year)</w:t>
            </w:r>
          </w:p>
        </w:tc>
        <w:tc>
          <w:tcPr>
            <w:tcW w:w="1555" w:type="dxa"/>
            <w:tcBorders>
              <w:bottom w:val="single" w:sz="4" w:space="0" w:color="000000"/>
            </w:tcBorders>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Timeframes</w:t>
            </w:r>
          </w:p>
        </w:tc>
        <w:tc>
          <w:tcPr>
            <w:tcW w:w="3209" w:type="dxa"/>
            <w:tcBorders>
              <w:bottom w:val="single" w:sz="4" w:space="0" w:color="000000"/>
            </w:tcBorders>
            <w:shd w:val="clear" w:color="auto" w:fill="92CDDC" w:themeFill="accent5" w:themeFillTint="99"/>
          </w:tcPr>
          <w:p w:rsidR="00EF2BC3" w:rsidRDefault="00AF3002">
            <w:pPr>
              <w:spacing w:before="2"/>
              <w:jc w:val="center"/>
              <w:rPr>
                <w:b/>
                <w:noProof/>
                <w:color w:val="000000"/>
                <w:sz w:val="20"/>
                <w:szCs w:val="20"/>
              </w:rPr>
            </w:pPr>
            <w:r>
              <w:rPr>
                <w:b/>
                <w:noProof/>
                <w:color w:val="000000" w:themeColor="text1"/>
                <w:sz w:val="20"/>
                <w:szCs w:val="20"/>
              </w:rPr>
              <w:t>Assumptions</w:t>
            </w:r>
          </w:p>
        </w:tc>
        <w:tc>
          <w:tcPr>
            <w:tcW w:w="1610" w:type="dxa"/>
            <w:tcBorders>
              <w:bottom w:val="single" w:sz="4" w:space="0" w:color="000000"/>
            </w:tcBorders>
            <w:shd w:val="clear" w:color="auto" w:fill="92CDDC" w:themeFill="accent5" w:themeFillTint="99"/>
          </w:tcPr>
          <w:p w:rsidR="00EF2BC3" w:rsidRDefault="00AF3002">
            <w:pPr>
              <w:spacing w:before="2"/>
              <w:rPr>
                <w:b/>
                <w:noProof/>
                <w:color w:val="000000"/>
                <w:sz w:val="20"/>
                <w:szCs w:val="20"/>
              </w:rPr>
            </w:pPr>
            <w:r>
              <w:rPr>
                <w:b/>
                <w:noProof/>
                <w:sz w:val="20"/>
                <w:szCs w:val="20"/>
              </w:rPr>
              <w:t>Generated capacity (TWh, total estimated for the lifetime)</w:t>
            </w:r>
            <w:r>
              <w:rPr>
                <w:b/>
                <w:noProof/>
                <w:sz w:val="20"/>
                <w:szCs w:val="20"/>
                <w:vertAlign w:val="superscript"/>
              </w:rPr>
              <w:t>30</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BE</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4.6 (2012)</w:t>
            </w:r>
            <w:r>
              <w:rPr>
                <w:rStyle w:val="FootnoteReference"/>
                <w:noProof/>
                <w:color w:val="000000" w:themeColor="text1"/>
                <w:sz w:val="20"/>
                <w:szCs w:val="20"/>
              </w:rPr>
              <w:footnoteReference w:id="46"/>
            </w:r>
            <w:r>
              <w:rPr>
                <w:noProof/>
                <w:color w:val="000000" w:themeColor="text1"/>
                <w:sz w:val="20"/>
                <w:szCs w:val="20"/>
              </w:rPr>
              <w:t xml:space="preserve"> </w:t>
            </w:r>
          </w:p>
        </w:tc>
        <w:tc>
          <w:tcPr>
            <w:tcW w:w="1555" w:type="dxa"/>
            <w:shd w:val="clear" w:color="auto" w:fill="auto"/>
          </w:tcPr>
          <w:p w:rsidR="00EF2BC3" w:rsidRDefault="00EF2BC3">
            <w:pPr>
              <w:spacing w:before="2"/>
              <w:rPr>
                <w:noProof/>
                <w:color w:val="000000" w:themeColor="text1"/>
                <w:sz w:val="20"/>
                <w:szCs w:val="20"/>
                <w:highlight w:val="yellow"/>
              </w:rPr>
            </w:pPr>
          </w:p>
        </w:tc>
        <w:tc>
          <w:tcPr>
            <w:tcW w:w="3209" w:type="dxa"/>
            <w:shd w:val="clear" w:color="auto" w:fill="auto"/>
          </w:tcPr>
          <w:p w:rsidR="00EF2BC3" w:rsidRDefault="00AF3002">
            <w:pPr>
              <w:spacing w:before="2"/>
              <w:jc w:val="both"/>
              <w:rPr>
                <w:noProof/>
                <w:color w:val="000000"/>
                <w:sz w:val="20"/>
                <w:szCs w:val="20"/>
              </w:rPr>
            </w:pPr>
            <w:r>
              <w:rPr>
                <w:noProof/>
                <w:color w:val="000000"/>
                <w:sz w:val="20"/>
                <w:szCs w:val="20"/>
              </w:rPr>
              <w:t xml:space="preserve">Category A and B disposal costs of: 1.38bill€ for near surface disposal facilities and 3.2bill€ for geological disposal </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1748</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BG</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2.0-4.5 (2015)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 xml:space="preserve"> 2030</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Decommissioning, spent fuel processing and. storage for Kozloduy NPP units 1-4 and 5-6. </w:t>
            </w:r>
            <w:r>
              <w:rPr>
                <w:noProof/>
                <w:color w:val="000000" w:themeColor="text1"/>
                <w:sz w:val="20"/>
                <w:szCs w:val="20"/>
              </w:rPr>
              <w:t>The range of costs depends on the extension or not for units 5 and 6.</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807</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CZ</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4.2 (2011)</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geological disposal after 2160</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Low and intermediate level waste disposal up to 2050 3,250 CZK mill (2013) = 0,11 bill Eur; and 0.037 CZK/€; includes also decommissioni</w:t>
            </w:r>
            <w:r>
              <w:rPr>
                <w:noProof/>
                <w:color w:val="000000" w:themeColor="text1"/>
                <w:sz w:val="20"/>
                <w:szCs w:val="20"/>
              </w:rPr>
              <w:t>ng</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1334</w:t>
            </w:r>
          </w:p>
        </w:tc>
      </w:tr>
      <w:tr w:rsidR="00EF2BC3">
        <w:tc>
          <w:tcPr>
            <w:tcW w:w="1184" w:type="dxa"/>
            <w:shd w:val="clear" w:color="auto" w:fill="92CDDC" w:themeFill="accent5" w:themeFillTint="99"/>
          </w:tcPr>
          <w:p w:rsidR="00EF2BC3" w:rsidRDefault="00AF3002">
            <w:pPr>
              <w:spacing w:before="2"/>
              <w:ind w:right="-67"/>
              <w:rPr>
                <w:b/>
                <w:bCs/>
                <w:noProof/>
                <w:color w:val="000000" w:themeColor="text1"/>
                <w:sz w:val="20"/>
                <w:szCs w:val="20"/>
              </w:rPr>
            </w:pPr>
            <w:r>
              <w:rPr>
                <w:b/>
                <w:bCs/>
                <w:noProof/>
                <w:color w:val="000000" w:themeColor="text1"/>
                <w:sz w:val="20"/>
                <w:szCs w:val="20"/>
              </w:rPr>
              <w:t>FI</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6.5 (2012)</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2110</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Not including future NPPs’ 100 mill </w:t>
            </w:r>
            <w:r>
              <w:rPr>
                <w:noProof/>
                <w:color w:val="000000"/>
                <w:sz w:val="20"/>
                <w:szCs w:val="20"/>
              </w:rPr>
              <w:t>€ for</w:t>
            </w:r>
            <w:r>
              <w:rPr>
                <w:noProof/>
                <w:color w:val="000000" w:themeColor="text1"/>
                <w:sz w:val="20"/>
                <w:szCs w:val="20"/>
              </w:rPr>
              <w:t xml:space="preserve"> near surface disposal and 3,5 bill </w:t>
            </w:r>
            <w:r>
              <w:rPr>
                <w:noProof/>
                <w:color w:val="000000"/>
                <w:sz w:val="20"/>
                <w:szCs w:val="20"/>
              </w:rPr>
              <w:t xml:space="preserve">€ for </w:t>
            </w:r>
            <w:r>
              <w:rPr>
                <w:noProof/>
                <w:color w:val="000000" w:themeColor="text1"/>
                <w:sz w:val="20"/>
                <w:szCs w:val="20"/>
              </w:rPr>
              <w:t>geological disposal</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1041</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FR</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 xml:space="preserve">89 (2011 prices) </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2135</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Including institutional control; 35 bill</w:t>
            </w:r>
            <w:r>
              <w:rPr>
                <w:noProof/>
                <w:color w:val="000000"/>
                <w:sz w:val="20"/>
                <w:szCs w:val="20"/>
              </w:rPr>
              <w:t xml:space="preserve">€ </w:t>
            </w:r>
            <w:r>
              <w:rPr>
                <w:noProof/>
                <w:color w:val="000000" w:themeColor="text1"/>
                <w:sz w:val="20"/>
                <w:szCs w:val="20"/>
              </w:rPr>
              <w:t xml:space="preserve">for legacy sites recovery; 38 bill </w:t>
            </w:r>
            <w:r>
              <w:rPr>
                <w:noProof/>
                <w:color w:val="000000"/>
                <w:sz w:val="20"/>
                <w:szCs w:val="20"/>
              </w:rPr>
              <w:t xml:space="preserve">€ </w:t>
            </w:r>
            <w:r>
              <w:rPr>
                <w:noProof/>
                <w:color w:val="000000" w:themeColor="text1"/>
                <w:sz w:val="20"/>
                <w:szCs w:val="20"/>
              </w:rPr>
              <w:t xml:space="preserve">decommissioning; 16 bill </w:t>
            </w:r>
            <w:r>
              <w:rPr>
                <w:noProof/>
                <w:color w:val="000000"/>
                <w:sz w:val="20"/>
                <w:szCs w:val="20"/>
              </w:rPr>
              <w:t>€</w:t>
            </w:r>
            <w:r>
              <w:rPr>
                <w:noProof/>
                <w:color w:val="000000" w:themeColor="text1"/>
                <w:sz w:val="20"/>
                <w:szCs w:val="20"/>
              </w:rPr>
              <w:t xml:space="preserve"> for geological disposal (although now reassessed to 25 bill</w:t>
            </w:r>
            <w:r>
              <w:rPr>
                <w:noProof/>
                <w:color w:val="000000"/>
                <w:sz w:val="20"/>
                <w:szCs w:val="20"/>
              </w:rPr>
              <w:t>€</w:t>
            </w:r>
            <w:r>
              <w:rPr>
                <w:noProof/>
                <w:color w:val="000000" w:themeColor="text1"/>
                <w:sz w:val="20"/>
                <w:szCs w:val="20"/>
              </w:rPr>
              <w:t>)</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21076</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DE</w:t>
            </w:r>
          </w:p>
        </w:tc>
        <w:tc>
          <w:tcPr>
            <w:tcW w:w="1906" w:type="dxa"/>
            <w:tcBorders>
              <w:bottom w:val="single" w:sz="4" w:space="0" w:color="000000"/>
            </w:tcBorders>
            <w:shd w:val="clear" w:color="auto" w:fill="auto"/>
          </w:tcPr>
          <w:p w:rsidR="00EF2BC3" w:rsidRDefault="00AF3002">
            <w:pPr>
              <w:spacing w:before="2"/>
              <w:rPr>
                <w:noProof/>
                <w:color w:val="000000" w:themeColor="text1"/>
                <w:sz w:val="20"/>
                <w:szCs w:val="20"/>
              </w:rPr>
            </w:pPr>
            <w:r>
              <w:rPr>
                <w:noProof/>
                <w:color w:val="000000" w:themeColor="text1"/>
                <w:sz w:val="20"/>
                <w:szCs w:val="20"/>
              </w:rPr>
              <w:t xml:space="preserve">66.9 (2012) </w:t>
            </w:r>
          </w:p>
        </w:tc>
        <w:tc>
          <w:tcPr>
            <w:tcW w:w="1555" w:type="dxa"/>
            <w:tcBorders>
              <w:bottom w:val="single" w:sz="4" w:space="0" w:color="000000"/>
            </w:tcBorders>
            <w:shd w:val="clear" w:color="auto" w:fill="auto"/>
          </w:tcPr>
          <w:p w:rsidR="00EF2BC3" w:rsidRDefault="00AF3002">
            <w:pPr>
              <w:spacing w:before="2"/>
              <w:rPr>
                <w:noProof/>
                <w:color w:val="000000" w:themeColor="text1"/>
                <w:sz w:val="20"/>
                <w:szCs w:val="20"/>
              </w:rPr>
            </w:pPr>
            <w:r>
              <w:rPr>
                <w:noProof/>
                <w:color w:val="000000" w:themeColor="text1"/>
                <w:sz w:val="20"/>
                <w:szCs w:val="20"/>
              </w:rPr>
              <w:t>2080</w:t>
            </w:r>
          </w:p>
        </w:tc>
        <w:tc>
          <w:tcPr>
            <w:tcW w:w="3209" w:type="dxa"/>
            <w:tcBorders>
              <w:bottom w:val="single" w:sz="4" w:space="0" w:color="000000"/>
            </w:tcBorders>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34 bill </w:t>
            </w:r>
            <w:r>
              <w:rPr>
                <w:noProof/>
                <w:color w:val="000000"/>
                <w:sz w:val="20"/>
                <w:szCs w:val="20"/>
              </w:rPr>
              <w:t xml:space="preserve">€ for NPP waste, </w:t>
            </w:r>
            <w:r>
              <w:rPr>
                <w:noProof/>
                <w:color w:val="000000" w:themeColor="text1"/>
                <w:sz w:val="20"/>
                <w:szCs w:val="20"/>
              </w:rPr>
              <w:t>Asse - 5 bill</w:t>
            </w:r>
            <w:r>
              <w:rPr>
                <w:noProof/>
                <w:color w:val="000000"/>
                <w:sz w:val="20"/>
                <w:szCs w:val="20"/>
              </w:rPr>
              <w:t>€</w:t>
            </w:r>
            <w:r>
              <w:rPr>
                <w:noProof/>
                <w:color w:val="000000" w:themeColor="text1"/>
                <w:sz w:val="20"/>
                <w:szCs w:val="20"/>
              </w:rPr>
              <w:t>; Morsleben – 2.4-4.7 bn</w:t>
            </w:r>
            <w:r>
              <w:rPr>
                <w:noProof/>
                <w:color w:val="000000"/>
                <w:sz w:val="20"/>
                <w:szCs w:val="20"/>
              </w:rPr>
              <w:t>€</w:t>
            </w:r>
            <w:r>
              <w:rPr>
                <w:noProof/>
                <w:color w:val="000000" w:themeColor="text1"/>
                <w:sz w:val="20"/>
                <w:szCs w:val="20"/>
              </w:rPr>
              <w:t xml:space="preserve">; Konrad – 7.5 bn </w:t>
            </w:r>
            <w:r>
              <w:rPr>
                <w:noProof/>
                <w:color w:val="000000"/>
                <w:sz w:val="20"/>
                <w:szCs w:val="20"/>
              </w:rPr>
              <w:t>€</w:t>
            </w:r>
            <w:r>
              <w:rPr>
                <w:noProof/>
                <w:color w:val="000000" w:themeColor="text1"/>
                <w:sz w:val="20"/>
                <w:szCs w:val="20"/>
              </w:rPr>
              <w:t xml:space="preserve"> and new geological disposal facility – 7.7 bn </w:t>
            </w:r>
            <w:r>
              <w:rPr>
                <w:noProof/>
                <w:color w:val="000000"/>
                <w:sz w:val="20"/>
                <w:szCs w:val="20"/>
              </w:rPr>
              <w:t>€</w:t>
            </w:r>
            <w:r>
              <w:rPr>
                <w:noProof/>
                <w:color w:val="000000" w:themeColor="text1"/>
                <w:sz w:val="20"/>
                <w:szCs w:val="20"/>
              </w:rPr>
              <w:t>; public</w:t>
            </w:r>
            <w:r>
              <w:rPr>
                <w:noProof/>
                <w:color w:val="000000" w:themeColor="text1"/>
                <w:sz w:val="20"/>
                <w:szCs w:val="20"/>
              </w:rPr>
              <w:t xml:space="preserve"> radioactive waste manage</w:t>
            </w:r>
            <w:r>
              <w:rPr>
                <w:noProof/>
                <w:color w:val="000000" w:themeColor="text1"/>
                <w:sz w:val="20"/>
                <w:szCs w:val="20"/>
              </w:rPr>
              <w:softHyphen/>
              <w:t xml:space="preserve">ment - 6 bn </w:t>
            </w:r>
            <w:r>
              <w:rPr>
                <w:noProof/>
                <w:color w:val="000000"/>
                <w:sz w:val="20"/>
                <w:szCs w:val="20"/>
              </w:rPr>
              <w:t>€</w:t>
            </w:r>
            <w:r>
              <w:rPr>
                <w:noProof/>
                <w:color w:val="000000" w:themeColor="text1"/>
                <w:sz w:val="20"/>
                <w:szCs w:val="20"/>
              </w:rPr>
              <w:t xml:space="preserve">; Gorleben site - 2 bn </w:t>
            </w:r>
            <w:r>
              <w:rPr>
                <w:noProof/>
                <w:color w:val="000000"/>
                <w:sz w:val="20"/>
                <w:szCs w:val="20"/>
              </w:rPr>
              <w:t>€</w:t>
            </w:r>
            <w:r>
              <w:rPr>
                <w:noProof/>
                <w:color w:val="000000" w:themeColor="text1"/>
                <w:sz w:val="20"/>
                <w:szCs w:val="20"/>
              </w:rPr>
              <w:t xml:space="preserve"> (40 mill€/year for 50 years until 2065) all at 2012 prices</w:t>
            </w:r>
          </w:p>
        </w:tc>
        <w:tc>
          <w:tcPr>
            <w:tcW w:w="1610" w:type="dxa"/>
            <w:tcBorders>
              <w:bottom w:val="single" w:sz="4" w:space="0" w:color="000000"/>
            </w:tcBorders>
            <w:shd w:val="clear" w:color="auto" w:fill="auto"/>
            <w:vAlign w:val="center"/>
          </w:tcPr>
          <w:p w:rsidR="00EF2BC3" w:rsidRDefault="00AF3002">
            <w:pPr>
              <w:spacing w:before="2"/>
              <w:rPr>
                <w:noProof/>
                <w:color w:val="000000" w:themeColor="text1"/>
                <w:sz w:val="20"/>
                <w:szCs w:val="20"/>
              </w:rPr>
            </w:pPr>
            <w:r>
              <w:rPr>
                <w:noProof/>
                <w:color w:val="000000"/>
                <w:sz w:val="20"/>
                <w:szCs w:val="20"/>
              </w:rPr>
              <w:t>5234</w:t>
            </w:r>
          </w:p>
        </w:tc>
      </w:tr>
      <w:tr w:rsidR="00EF2BC3">
        <w:trPr>
          <w:trHeight w:val="2312"/>
        </w:trPr>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HU</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5.3 (2015)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2064</w:t>
            </w:r>
          </w:p>
        </w:tc>
        <w:tc>
          <w:tcPr>
            <w:tcW w:w="3209"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1 650 402 mill HUF (2015) for:</w:t>
            </w:r>
            <w:r>
              <w:rPr>
                <w:noProof/>
                <w:color w:val="000000" w:themeColor="text1"/>
                <w:sz w:val="20"/>
                <w:szCs w:val="20"/>
              </w:rPr>
              <w:br/>
              <w:t>- Decommissioning of 4 NPP Units in operation;</w:t>
            </w:r>
            <w:r>
              <w:rPr>
                <w:noProof/>
                <w:color w:val="000000" w:themeColor="text1"/>
                <w:sz w:val="20"/>
                <w:szCs w:val="20"/>
              </w:rPr>
              <w:br/>
              <w:t>- Decommissioning of spent fue</w:t>
            </w:r>
            <w:r>
              <w:rPr>
                <w:noProof/>
                <w:color w:val="000000" w:themeColor="text1"/>
                <w:sz w:val="20"/>
                <w:szCs w:val="20"/>
              </w:rPr>
              <w:t>l interim storage facility (ISFS);</w:t>
            </w:r>
            <w:r>
              <w:rPr>
                <w:noProof/>
                <w:color w:val="000000" w:themeColor="text1"/>
                <w:sz w:val="20"/>
                <w:szCs w:val="20"/>
              </w:rPr>
              <w:br/>
              <w:t>- Radioactive waste disposal facili</w:t>
            </w:r>
            <w:r>
              <w:rPr>
                <w:noProof/>
                <w:color w:val="000000" w:themeColor="text1"/>
                <w:sz w:val="20"/>
                <w:szCs w:val="20"/>
              </w:rPr>
              <w:softHyphen/>
              <w:t>ties;</w:t>
            </w:r>
            <w:r>
              <w:rPr>
                <w:noProof/>
                <w:color w:val="000000" w:themeColor="text1"/>
                <w:sz w:val="20"/>
                <w:szCs w:val="20"/>
              </w:rPr>
              <w:br/>
              <w:t>- HLW disposal facility;</w:t>
            </w:r>
            <w:r>
              <w:rPr>
                <w:noProof/>
                <w:color w:val="000000" w:themeColor="text1"/>
                <w:sz w:val="20"/>
                <w:szCs w:val="20"/>
              </w:rPr>
              <w:br/>
              <w:t>- PURAM operating costs, supervi</w:t>
            </w:r>
            <w:r>
              <w:rPr>
                <w:noProof/>
                <w:color w:val="000000" w:themeColor="text1"/>
                <w:sz w:val="20"/>
                <w:szCs w:val="20"/>
              </w:rPr>
              <w:softHyphen/>
              <w:t>sion fees, fund management and support to local governments.</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themeColor="text1"/>
                <w:sz w:val="20"/>
                <w:szCs w:val="20"/>
              </w:rPr>
              <w:t>624</w:t>
            </w:r>
          </w:p>
        </w:tc>
      </w:tr>
      <w:tr w:rsidR="00EF2BC3">
        <w:trPr>
          <w:trHeight w:val="371"/>
        </w:trPr>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IT</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18.1</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2030 (excluding geological disposal)</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1,5 bill €</w:t>
            </w:r>
            <w:r>
              <w:rPr>
                <w:noProof/>
                <w:color w:val="000000" w:themeColor="text1"/>
                <w:sz w:val="20"/>
                <w:szCs w:val="20"/>
              </w:rPr>
              <w:t xml:space="preserve"> for siting and construction of the Technological Park</w:t>
            </w:r>
          </w:p>
        </w:tc>
        <w:tc>
          <w:tcPr>
            <w:tcW w:w="1610" w:type="dxa"/>
            <w:shd w:val="clear" w:color="auto" w:fill="auto"/>
            <w:vAlign w:val="bottom"/>
          </w:tcPr>
          <w:p w:rsidR="00EF2BC3" w:rsidRDefault="00AF3002">
            <w:pPr>
              <w:spacing w:before="2"/>
              <w:rPr>
                <w:noProof/>
                <w:color w:val="000000" w:themeColor="text1"/>
                <w:sz w:val="20"/>
                <w:szCs w:val="20"/>
              </w:rPr>
            </w:pPr>
            <w:r>
              <w:rPr>
                <w:noProof/>
                <w:color w:val="000000" w:themeColor="text1"/>
                <w:sz w:val="20"/>
                <w:szCs w:val="20"/>
              </w:rPr>
              <w:t>143</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LT</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2.5 (2005-2014)</w:t>
            </w:r>
          </w:p>
        </w:tc>
        <w:tc>
          <w:tcPr>
            <w:tcW w:w="1555" w:type="dxa"/>
            <w:shd w:val="clear" w:color="auto" w:fill="auto"/>
          </w:tcPr>
          <w:p w:rsidR="00EF2BC3" w:rsidRDefault="00AF3002">
            <w:pPr>
              <w:spacing w:before="2"/>
              <w:ind w:right="-108"/>
              <w:rPr>
                <w:noProof/>
                <w:color w:val="000000" w:themeColor="text1"/>
                <w:sz w:val="20"/>
                <w:szCs w:val="20"/>
              </w:rPr>
            </w:pPr>
            <w:r>
              <w:rPr>
                <w:noProof/>
                <w:color w:val="000000" w:themeColor="text1"/>
                <w:sz w:val="20"/>
                <w:szCs w:val="20"/>
              </w:rPr>
              <w:t>2038 (but before geological disposal)</w:t>
            </w:r>
          </w:p>
        </w:tc>
        <w:tc>
          <w:tcPr>
            <w:tcW w:w="3209" w:type="dxa"/>
            <w:shd w:val="clear" w:color="auto" w:fill="auto"/>
          </w:tcPr>
          <w:p w:rsidR="00EF2BC3" w:rsidRDefault="00AF3002">
            <w:pPr>
              <w:spacing w:before="2"/>
              <w:jc w:val="both"/>
              <w:rPr>
                <w:noProof/>
                <w:color w:val="000000"/>
                <w:sz w:val="20"/>
                <w:szCs w:val="20"/>
              </w:rPr>
            </w:pPr>
            <w:r>
              <w:rPr>
                <w:noProof/>
                <w:color w:val="000000"/>
                <w:sz w:val="20"/>
                <w:szCs w:val="20"/>
              </w:rPr>
              <w:t>RAW management and disposal &amp; SF management: 560.2 mill € (decommissioning plan 2014)</w:t>
            </w:r>
            <w:r>
              <w:rPr>
                <w:rFonts w:eastAsia="MingLiU"/>
                <w:noProof/>
                <w:color w:val="000000"/>
                <w:sz w:val="20"/>
                <w:szCs w:val="20"/>
              </w:rPr>
              <w:br/>
            </w:r>
            <w:r>
              <w:rPr>
                <w:noProof/>
                <w:color w:val="000000"/>
                <w:sz w:val="20"/>
                <w:szCs w:val="20"/>
              </w:rPr>
              <w:t xml:space="preserve">Close Maišiagala repository: 4.2 (specific programme </w:t>
            </w:r>
            <w:r>
              <w:rPr>
                <w:noProof/>
                <w:color w:val="000000"/>
                <w:sz w:val="20"/>
                <w:szCs w:val="20"/>
              </w:rPr>
              <w:t>2013)</w:t>
            </w:r>
            <w:r>
              <w:rPr>
                <w:rFonts w:eastAsia="MingLiU"/>
                <w:noProof/>
                <w:color w:val="000000"/>
                <w:sz w:val="20"/>
                <w:szCs w:val="20"/>
              </w:rPr>
              <w:br/>
            </w:r>
            <w:r>
              <w:rPr>
                <w:noProof/>
                <w:color w:val="000000"/>
                <w:sz w:val="20"/>
                <w:szCs w:val="20"/>
              </w:rPr>
              <w:t>Other activities: 47.7 (present cost 2014); SF disposal: 1889.0 (feasibility study 2005)</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311</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NL</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1.5-2.5 (1996-2000)</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Cost for "final storage"</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themeColor="text1"/>
                <w:sz w:val="20"/>
                <w:szCs w:val="20"/>
              </w:rPr>
              <w:t>202</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RO</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1.8 to 3.5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Geological repository development should start from 2040</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Average of 1.8 and 3.5bill€. </w:t>
            </w:r>
          </w:p>
          <w:p w:rsidR="00EF2BC3" w:rsidRDefault="00AF3002">
            <w:pPr>
              <w:spacing w:before="2"/>
              <w:jc w:val="both"/>
              <w:rPr>
                <w:noProof/>
                <w:color w:val="000000" w:themeColor="text1"/>
                <w:sz w:val="20"/>
                <w:szCs w:val="20"/>
              </w:rPr>
            </w:pPr>
            <w:r>
              <w:rPr>
                <w:noProof/>
                <w:color w:val="000000" w:themeColor="text1"/>
                <w:sz w:val="20"/>
                <w:szCs w:val="20"/>
              </w:rPr>
              <w:t>3,5bn € (includes 2 new reactors) and 1.8bn€ without new build</w:t>
            </w: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448</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SI</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0.31 (2005)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2006-2065</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Total costs for 2005-2065 extrapolated from 2006-2015 costs</w:t>
            </w:r>
          </w:p>
          <w:p w:rsidR="00EF2BC3" w:rsidRDefault="00EF2BC3">
            <w:pPr>
              <w:spacing w:before="2"/>
              <w:jc w:val="both"/>
              <w:rPr>
                <w:noProof/>
                <w:color w:val="000000" w:themeColor="text1"/>
                <w:sz w:val="20"/>
                <w:szCs w:val="20"/>
              </w:rPr>
            </w:pP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themeColor="text1"/>
                <w:sz w:val="20"/>
                <w:szCs w:val="20"/>
              </w:rPr>
              <w:t>138</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SK</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8 (2014)</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2060</w:t>
            </w:r>
          </w:p>
        </w:tc>
        <w:tc>
          <w:tcPr>
            <w:tcW w:w="3209" w:type="dxa"/>
            <w:shd w:val="clear" w:color="auto" w:fill="auto"/>
          </w:tcPr>
          <w:p w:rsidR="00EF2BC3" w:rsidRDefault="00EF2BC3">
            <w:pPr>
              <w:spacing w:before="2"/>
              <w:jc w:val="both"/>
              <w:rPr>
                <w:noProof/>
                <w:color w:val="000000" w:themeColor="text1"/>
                <w:sz w:val="20"/>
                <w:szCs w:val="20"/>
              </w:rPr>
            </w:pP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themeColor="text1"/>
                <w:sz w:val="20"/>
                <w:szCs w:val="20"/>
              </w:rPr>
              <w:t>707</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ES</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 (2015)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2085</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Total cost incurred until </w:t>
            </w:r>
            <w:r>
              <w:rPr>
                <w:noProof/>
                <w:color w:val="000000" w:themeColor="text1"/>
                <w:sz w:val="20"/>
                <w:szCs w:val="20"/>
              </w:rPr>
              <w:t>the end of 2014-5.2 bn; and future costs (2015) - €14.7 bn</w:t>
            </w: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3126</w:t>
            </w:r>
          </w:p>
        </w:tc>
      </w:tr>
      <w:tr w:rsidR="00EF2BC3">
        <w:trPr>
          <w:trHeight w:val="467"/>
        </w:trPr>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SE</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10 (2013)</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From 2015 onward</w:t>
            </w:r>
          </w:p>
        </w:tc>
        <w:tc>
          <w:tcPr>
            <w:tcW w:w="3209" w:type="dxa"/>
            <w:shd w:val="clear" w:color="auto" w:fill="auto"/>
          </w:tcPr>
          <w:p w:rsidR="00EF2BC3" w:rsidRDefault="00AF3002">
            <w:pPr>
              <w:spacing w:before="2"/>
              <w:jc w:val="both"/>
              <w:rPr>
                <w:noProof/>
                <w:color w:val="000000"/>
                <w:sz w:val="20"/>
                <w:szCs w:val="20"/>
              </w:rPr>
            </w:pPr>
            <w:r>
              <w:rPr>
                <w:noProof/>
                <w:color w:val="000000"/>
                <w:sz w:val="20"/>
                <w:szCs w:val="20"/>
              </w:rPr>
              <w:t>January 2013 price level</w:t>
            </w:r>
          </w:p>
          <w:p w:rsidR="00EF2BC3" w:rsidRDefault="00EF2BC3">
            <w:pPr>
              <w:spacing w:before="2"/>
              <w:jc w:val="both"/>
              <w:rPr>
                <w:noProof/>
                <w:color w:val="000000" w:themeColor="text1"/>
                <w:sz w:val="20"/>
                <w:szCs w:val="20"/>
              </w:rPr>
            </w:pP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3386</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UK</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147.5 (2014)</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NDA costs till 2130</w:t>
            </w:r>
          </w:p>
        </w:tc>
        <w:tc>
          <w:tcPr>
            <w:tcW w:w="3209" w:type="dxa"/>
            <w:shd w:val="clear" w:color="auto" w:fill="auto"/>
          </w:tcPr>
          <w:p w:rsidR="00EF2BC3" w:rsidRDefault="00AF3002">
            <w:pPr>
              <w:spacing w:before="2"/>
              <w:jc w:val="both"/>
              <w:rPr>
                <w:noProof/>
                <w:color w:val="000000"/>
                <w:sz w:val="20"/>
                <w:szCs w:val="20"/>
              </w:rPr>
            </w:pPr>
            <w:r>
              <w:rPr>
                <w:noProof/>
                <w:color w:val="000000"/>
                <w:sz w:val="20"/>
                <w:szCs w:val="20"/>
              </w:rPr>
              <w:t xml:space="preserve">The NDA, having considered a number of scenarios, continues to estimate the undiscounted cost within a potential range from </w:t>
            </w:r>
            <w:r>
              <w:rPr>
                <w:bCs/>
                <w:noProof/>
                <w:color w:val="000000"/>
                <w:sz w:val="20"/>
                <w:szCs w:val="20"/>
              </w:rPr>
              <w:t>£95 bn (</w:t>
            </w:r>
            <w:r>
              <w:rPr>
                <w:noProof/>
                <w:color w:val="000000" w:themeColor="text1"/>
                <w:sz w:val="20"/>
                <w:szCs w:val="20"/>
              </w:rPr>
              <w:t>€</w:t>
            </w:r>
            <w:r>
              <w:rPr>
                <w:bCs/>
                <w:noProof/>
                <w:color w:val="000000"/>
                <w:sz w:val="20"/>
                <w:szCs w:val="20"/>
              </w:rPr>
              <w:t xml:space="preserve">118 bn) </w:t>
            </w:r>
            <w:r>
              <w:rPr>
                <w:noProof/>
                <w:color w:val="000000"/>
                <w:sz w:val="20"/>
                <w:szCs w:val="20"/>
              </w:rPr>
              <w:t xml:space="preserve">to </w:t>
            </w:r>
            <w:r>
              <w:rPr>
                <w:bCs/>
                <w:noProof/>
                <w:color w:val="000000"/>
                <w:sz w:val="20"/>
                <w:szCs w:val="20"/>
              </w:rPr>
              <w:t>£218 bn (</w:t>
            </w:r>
            <w:r>
              <w:rPr>
                <w:noProof/>
                <w:color w:val="000000" w:themeColor="text1"/>
                <w:sz w:val="20"/>
                <w:szCs w:val="20"/>
              </w:rPr>
              <w:t>€</w:t>
            </w:r>
            <w:r>
              <w:rPr>
                <w:bCs/>
                <w:noProof/>
                <w:color w:val="000000"/>
                <w:sz w:val="20"/>
                <w:szCs w:val="20"/>
              </w:rPr>
              <w:t>272 bn)</w:t>
            </w:r>
          </w:p>
          <w:p w:rsidR="00EF2BC3" w:rsidRDefault="00EF2BC3">
            <w:pPr>
              <w:spacing w:before="2"/>
              <w:jc w:val="both"/>
              <w:rPr>
                <w:noProof/>
                <w:color w:val="000000" w:themeColor="text1"/>
                <w:sz w:val="20"/>
                <w:szCs w:val="20"/>
              </w:rPr>
            </w:pPr>
          </w:p>
        </w:tc>
        <w:tc>
          <w:tcPr>
            <w:tcW w:w="1610" w:type="dxa"/>
            <w:shd w:val="clear" w:color="auto" w:fill="auto"/>
            <w:vAlign w:val="center"/>
          </w:tcPr>
          <w:p w:rsidR="00EF2BC3" w:rsidRDefault="00AF3002">
            <w:pPr>
              <w:spacing w:before="2"/>
              <w:rPr>
                <w:noProof/>
                <w:color w:val="000000" w:themeColor="text1"/>
                <w:sz w:val="20"/>
                <w:szCs w:val="20"/>
              </w:rPr>
            </w:pPr>
            <w:r>
              <w:rPr>
                <w:noProof/>
                <w:color w:val="000000"/>
                <w:sz w:val="20"/>
                <w:szCs w:val="20"/>
              </w:rPr>
              <w:t>3445</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HR</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0.9 (2015)</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After 2043</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Immediate decommissioning of the Krško NPP after shut-down in 2043, The cost includes, waste management, spent fuel and decommissioning </w:t>
            </w:r>
          </w:p>
          <w:p w:rsidR="00EF2BC3" w:rsidRDefault="00EF2BC3">
            <w:pPr>
              <w:spacing w:before="2"/>
              <w:jc w:val="both"/>
              <w:rPr>
                <w:noProof/>
                <w:color w:val="000000" w:themeColor="text1"/>
                <w:sz w:val="20"/>
                <w:szCs w:val="20"/>
              </w:rPr>
            </w:pPr>
          </w:p>
        </w:tc>
        <w:tc>
          <w:tcPr>
            <w:tcW w:w="1610" w:type="dxa"/>
            <w:shd w:val="clear" w:color="auto" w:fill="auto"/>
          </w:tcPr>
          <w:p w:rsidR="00EF2BC3" w:rsidRDefault="00AF3002">
            <w:pPr>
              <w:spacing w:before="2"/>
              <w:rPr>
                <w:noProof/>
                <w:color w:val="000000"/>
                <w:sz w:val="20"/>
                <w:szCs w:val="20"/>
              </w:rPr>
            </w:pPr>
            <w:r>
              <w:rPr>
                <w:noProof/>
                <w:color w:val="000000"/>
                <w:sz w:val="20"/>
                <w:szCs w:val="20"/>
              </w:rPr>
              <w:t>138</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AT</w:t>
            </w: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No data</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auto"/>
          </w:tcPr>
          <w:p w:rsidR="00EF2BC3" w:rsidRDefault="00EF2BC3">
            <w:pPr>
              <w:spacing w:before="2"/>
              <w:jc w:val="both"/>
              <w:rPr>
                <w:noProof/>
                <w:color w:val="000000" w:themeColor="text1"/>
                <w:sz w:val="20"/>
                <w:szCs w:val="20"/>
              </w:rPr>
            </w:pP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p w:rsidR="00EF2BC3" w:rsidRDefault="00EF2BC3">
            <w:pPr>
              <w:spacing w:before="2"/>
              <w:rPr>
                <w:noProof/>
                <w:color w:val="000000" w:themeColor="text1"/>
                <w:sz w:val="20"/>
                <w:szCs w:val="20"/>
              </w:rPr>
            </w:pP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DK</w:t>
            </w:r>
          </w:p>
          <w:p w:rsidR="00EF2BC3" w:rsidRDefault="00EF2BC3">
            <w:pPr>
              <w:spacing w:before="2"/>
              <w:rPr>
                <w:b/>
                <w:bCs/>
                <w:noProof/>
                <w:color w:val="000000" w:themeColor="text1"/>
                <w:sz w:val="20"/>
                <w:szCs w:val="20"/>
              </w:rPr>
            </w:pP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No data</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auto"/>
          </w:tcPr>
          <w:p w:rsidR="00EF2BC3" w:rsidRDefault="00EF2BC3">
            <w:pPr>
              <w:spacing w:before="2"/>
              <w:jc w:val="both"/>
              <w:rPr>
                <w:noProof/>
                <w:color w:val="000000" w:themeColor="text1"/>
                <w:sz w:val="20"/>
                <w:szCs w:val="20"/>
              </w:rPr>
            </w:pP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bCs/>
                <w:noProof/>
                <w:color w:val="000000" w:themeColor="text1"/>
                <w:sz w:val="20"/>
                <w:szCs w:val="20"/>
              </w:rPr>
            </w:pPr>
            <w:r>
              <w:rPr>
                <w:b/>
                <w:bCs/>
                <w:noProof/>
                <w:color w:val="000000" w:themeColor="text1"/>
                <w:sz w:val="20"/>
                <w:szCs w:val="20"/>
              </w:rPr>
              <w:t>EL</w:t>
            </w:r>
          </w:p>
          <w:p w:rsidR="00EF2BC3" w:rsidRDefault="00EF2BC3">
            <w:pPr>
              <w:spacing w:before="2"/>
              <w:rPr>
                <w:b/>
                <w:bCs/>
                <w:noProof/>
                <w:color w:val="000000" w:themeColor="text1"/>
                <w:sz w:val="20"/>
                <w:szCs w:val="20"/>
              </w:rPr>
            </w:pP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4.6 x10</w:t>
            </w:r>
            <w:r>
              <w:rPr>
                <w:noProof/>
                <w:color w:val="000000" w:themeColor="text1"/>
                <w:sz w:val="20"/>
                <w:szCs w:val="20"/>
                <w:vertAlign w:val="superscript"/>
              </w:rPr>
              <w:t>-3</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Next 5 years</w:t>
            </w: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Costs cover for collection and storage</w:t>
            </w:r>
            <w:r>
              <w:rPr>
                <w:noProof/>
                <w:color w:val="000000" w:themeColor="text1"/>
                <w:sz w:val="20"/>
                <w:szCs w:val="20"/>
              </w:rPr>
              <w:t xml:space="preserve"> of disused radioactive sealed source</w:t>
            </w: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tc>
      </w:tr>
      <w:tr w:rsidR="00EF2BC3">
        <w:trPr>
          <w:trHeight w:val="481"/>
        </w:trPr>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PL</w:t>
            </w:r>
          </w:p>
          <w:p w:rsidR="00EF2BC3" w:rsidRDefault="00EF2BC3">
            <w:pPr>
              <w:spacing w:before="2"/>
              <w:rPr>
                <w:b/>
                <w:noProof/>
                <w:color w:val="000000" w:themeColor="text1"/>
                <w:sz w:val="20"/>
                <w:szCs w:val="20"/>
              </w:rPr>
            </w:pP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99x10</w:t>
            </w:r>
            <w:r>
              <w:rPr>
                <w:noProof/>
                <w:color w:val="000000" w:themeColor="text1"/>
                <w:sz w:val="20"/>
                <w:szCs w:val="20"/>
                <w:vertAlign w:val="superscript"/>
              </w:rPr>
              <w:t>-3</w:t>
            </w:r>
          </w:p>
        </w:tc>
        <w:tc>
          <w:tcPr>
            <w:tcW w:w="1555"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2025</w:t>
            </w:r>
          </w:p>
        </w:tc>
        <w:tc>
          <w:tcPr>
            <w:tcW w:w="3209" w:type="dxa"/>
            <w:shd w:val="clear" w:color="auto" w:fill="auto"/>
          </w:tcPr>
          <w:p w:rsidR="00EF2BC3" w:rsidRDefault="00AF3002">
            <w:pPr>
              <w:jc w:val="both"/>
              <w:rPr>
                <w:noProof/>
                <w:color w:val="000000"/>
                <w:sz w:val="20"/>
                <w:szCs w:val="20"/>
              </w:rPr>
            </w:pPr>
            <w:r>
              <w:rPr>
                <w:noProof/>
                <w:color w:val="000000"/>
                <w:sz w:val="20"/>
                <w:szCs w:val="20"/>
              </w:rPr>
              <w:t>The cost excludes future NPP and geological repository</w:t>
            </w:r>
          </w:p>
          <w:p w:rsidR="00EF2BC3" w:rsidRDefault="00EF2BC3">
            <w:pPr>
              <w:spacing w:before="2"/>
              <w:jc w:val="both"/>
              <w:rPr>
                <w:noProof/>
                <w:color w:val="000000" w:themeColor="text1"/>
                <w:sz w:val="20"/>
                <w:szCs w:val="20"/>
              </w:rPr>
            </w:pP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PT</w:t>
            </w:r>
          </w:p>
          <w:p w:rsidR="00EF2BC3" w:rsidRDefault="00EF2BC3">
            <w:pPr>
              <w:spacing w:before="2"/>
              <w:rPr>
                <w:b/>
                <w:noProof/>
                <w:color w:val="000000" w:themeColor="text1"/>
                <w:sz w:val="20"/>
                <w:szCs w:val="20"/>
              </w:rPr>
            </w:pPr>
          </w:p>
        </w:tc>
        <w:tc>
          <w:tcPr>
            <w:tcW w:w="1906"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2.5x10</w:t>
            </w:r>
            <w:r>
              <w:rPr>
                <w:noProof/>
                <w:color w:val="000000" w:themeColor="text1"/>
                <w:sz w:val="20"/>
                <w:szCs w:val="20"/>
                <w:vertAlign w:val="superscript"/>
              </w:rPr>
              <w:t>-3</w:t>
            </w:r>
          </w:p>
        </w:tc>
        <w:tc>
          <w:tcPr>
            <w:tcW w:w="1555" w:type="dxa"/>
            <w:shd w:val="clear" w:color="auto" w:fill="auto"/>
          </w:tcPr>
          <w:p w:rsidR="00EF2BC3" w:rsidRDefault="00EF2BC3">
            <w:pPr>
              <w:spacing w:before="2"/>
              <w:rPr>
                <w:noProof/>
                <w:color w:val="000000" w:themeColor="text1"/>
                <w:sz w:val="20"/>
                <w:szCs w:val="20"/>
              </w:rPr>
            </w:pPr>
          </w:p>
        </w:tc>
        <w:tc>
          <w:tcPr>
            <w:tcW w:w="3209" w:type="dxa"/>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Cost for the spent fuel transfer to USA remaining fuel &amp; decommis</w:t>
            </w:r>
            <w:r>
              <w:rPr>
                <w:noProof/>
                <w:color w:val="000000" w:themeColor="text1"/>
                <w:sz w:val="20"/>
                <w:szCs w:val="20"/>
              </w:rPr>
              <w:softHyphen/>
              <w:t>sioning</w:t>
            </w:r>
          </w:p>
        </w:tc>
        <w:tc>
          <w:tcPr>
            <w:tcW w:w="1610" w:type="dxa"/>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CY</w:t>
            </w:r>
          </w:p>
          <w:p w:rsidR="00EF2BC3" w:rsidRDefault="00EF2BC3">
            <w:pPr>
              <w:spacing w:before="2"/>
              <w:rPr>
                <w:b/>
                <w:noProof/>
                <w:color w:val="000000" w:themeColor="text1"/>
                <w:sz w:val="20"/>
                <w:szCs w:val="20"/>
              </w:rPr>
            </w:pPr>
          </w:p>
        </w:tc>
        <w:tc>
          <w:tcPr>
            <w:tcW w:w="1906" w:type="dxa"/>
            <w:tcBorders>
              <w:bottom w:val="single" w:sz="4" w:space="0" w:color="000000"/>
            </w:tcBorders>
            <w:shd w:val="clear" w:color="auto" w:fill="auto"/>
          </w:tcPr>
          <w:p w:rsidR="00EF2BC3" w:rsidRDefault="00AF3002">
            <w:pPr>
              <w:spacing w:before="2"/>
              <w:rPr>
                <w:noProof/>
                <w:color w:val="000000" w:themeColor="text1"/>
                <w:sz w:val="20"/>
                <w:szCs w:val="20"/>
              </w:rPr>
            </w:pPr>
            <w:r>
              <w:rPr>
                <w:noProof/>
                <w:color w:val="000000" w:themeColor="text1"/>
                <w:sz w:val="20"/>
                <w:szCs w:val="20"/>
              </w:rPr>
              <w:t>0.5 x 10</w:t>
            </w:r>
            <w:r>
              <w:rPr>
                <w:noProof/>
                <w:color w:val="000000" w:themeColor="text1"/>
                <w:sz w:val="20"/>
                <w:szCs w:val="20"/>
                <w:vertAlign w:val="superscript"/>
              </w:rPr>
              <w:t>-3</w:t>
            </w:r>
            <w:r>
              <w:rPr>
                <w:noProof/>
                <w:color w:val="000000" w:themeColor="text1"/>
                <w:sz w:val="20"/>
                <w:szCs w:val="20"/>
              </w:rPr>
              <w:t xml:space="preserve"> (2016)</w:t>
            </w:r>
          </w:p>
        </w:tc>
        <w:tc>
          <w:tcPr>
            <w:tcW w:w="1555" w:type="dxa"/>
            <w:tcBorders>
              <w:bottom w:val="single" w:sz="4" w:space="0" w:color="000000"/>
            </w:tcBorders>
            <w:shd w:val="clear" w:color="auto" w:fill="auto"/>
          </w:tcPr>
          <w:p w:rsidR="00EF2BC3" w:rsidRDefault="00EF2BC3">
            <w:pPr>
              <w:spacing w:before="2"/>
              <w:rPr>
                <w:noProof/>
                <w:color w:val="000000" w:themeColor="text1"/>
                <w:sz w:val="20"/>
                <w:szCs w:val="20"/>
              </w:rPr>
            </w:pPr>
          </w:p>
        </w:tc>
        <w:tc>
          <w:tcPr>
            <w:tcW w:w="3209" w:type="dxa"/>
            <w:tcBorders>
              <w:bottom w:val="single" w:sz="4" w:space="0" w:color="000000"/>
            </w:tcBorders>
            <w:shd w:val="clear" w:color="auto" w:fill="auto"/>
          </w:tcPr>
          <w:p w:rsidR="00EF2BC3" w:rsidRDefault="00AF3002">
            <w:pPr>
              <w:spacing w:before="2"/>
              <w:jc w:val="both"/>
              <w:rPr>
                <w:noProof/>
                <w:color w:val="000000" w:themeColor="text1"/>
                <w:sz w:val="20"/>
                <w:szCs w:val="20"/>
              </w:rPr>
            </w:pPr>
            <w:r>
              <w:rPr>
                <w:noProof/>
                <w:color w:val="000000" w:themeColor="text1"/>
                <w:sz w:val="20"/>
                <w:szCs w:val="20"/>
              </w:rPr>
              <w:t xml:space="preserve">Cost of repatriation or disposal, and operational costs of the storage included in Nicosia General Hospital </w:t>
            </w:r>
          </w:p>
        </w:tc>
        <w:tc>
          <w:tcPr>
            <w:tcW w:w="1610" w:type="dxa"/>
            <w:tcBorders>
              <w:bottom w:val="single" w:sz="4" w:space="0" w:color="000000"/>
            </w:tcBorders>
            <w:shd w:val="clear" w:color="auto" w:fill="auto"/>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EE</w:t>
            </w:r>
          </w:p>
          <w:p w:rsidR="00EF2BC3" w:rsidRDefault="00EF2BC3">
            <w:pPr>
              <w:spacing w:before="2"/>
              <w:rPr>
                <w:b/>
                <w:noProof/>
                <w:color w:val="000000" w:themeColor="text1"/>
                <w:sz w:val="20"/>
                <w:szCs w:val="20"/>
              </w:rPr>
            </w:pPr>
          </w:p>
        </w:tc>
        <w:tc>
          <w:tcPr>
            <w:tcW w:w="1906"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4.6x10</w:t>
            </w:r>
            <w:r>
              <w:rPr>
                <w:noProof/>
                <w:color w:val="000000" w:themeColor="text1"/>
                <w:sz w:val="20"/>
                <w:szCs w:val="20"/>
                <w:vertAlign w:val="superscript"/>
              </w:rPr>
              <w:t>-3</w:t>
            </w:r>
          </w:p>
        </w:tc>
        <w:tc>
          <w:tcPr>
            <w:tcW w:w="1555" w:type="dxa"/>
            <w:shd w:val="clear" w:color="auto" w:fill="FFFFFF" w:themeFill="background1"/>
          </w:tcPr>
          <w:p w:rsidR="00EF2BC3" w:rsidRDefault="00EF2BC3">
            <w:pPr>
              <w:spacing w:before="2"/>
              <w:rPr>
                <w:noProof/>
                <w:color w:val="000000" w:themeColor="text1"/>
                <w:sz w:val="20"/>
                <w:szCs w:val="20"/>
              </w:rPr>
            </w:pPr>
          </w:p>
        </w:tc>
        <w:tc>
          <w:tcPr>
            <w:tcW w:w="3209" w:type="dxa"/>
            <w:shd w:val="clear" w:color="auto" w:fill="FFFFFF" w:themeFill="background1"/>
          </w:tcPr>
          <w:p w:rsidR="00EF2BC3" w:rsidRDefault="00EF2BC3">
            <w:pPr>
              <w:spacing w:before="2"/>
              <w:jc w:val="both"/>
              <w:rPr>
                <w:noProof/>
                <w:color w:val="000000" w:themeColor="text1"/>
                <w:sz w:val="20"/>
                <w:szCs w:val="20"/>
              </w:rPr>
            </w:pPr>
          </w:p>
        </w:tc>
        <w:tc>
          <w:tcPr>
            <w:tcW w:w="1610"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IE</w:t>
            </w:r>
          </w:p>
          <w:p w:rsidR="00EF2BC3" w:rsidRDefault="00EF2BC3">
            <w:pPr>
              <w:spacing w:before="2"/>
              <w:rPr>
                <w:b/>
                <w:noProof/>
                <w:color w:val="000000" w:themeColor="text1"/>
                <w:sz w:val="20"/>
                <w:szCs w:val="20"/>
              </w:rPr>
            </w:pPr>
          </w:p>
        </w:tc>
        <w:tc>
          <w:tcPr>
            <w:tcW w:w="1906"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1555"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FFFFFF" w:themeFill="background1"/>
          </w:tcPr>
          <w:p w:rsidR="00EF2BC3" w:rsidRDefault="00EF2BC3">
            <w:pPr>
              <w:spacing w:before="2"/>
              <w:jc w:val="both"/>
              <w:rPr>
                <w:noProof/>
                <w:color w:val="000000" w:themeColor="text1"/>
                <w:sz w:val="20"/>
                <w:szCs w:val="20"/>
              </w:rPr>
            </w:pPr>
          </w:p>
        </w:tc>
        <w:tc>
          <w:tcPr>
            <w:tcW w:w="1610"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 xml:space="preserve">LV </w:t>
            </w:r>
          </w:p>
          <w:p w:rsidR="00EF2BC3" w:rsidRDefault="00EF2BC3">
            <w:pPr>
              <w:spacing w:before="2"/>
              <w:rPr>
                <w:b/>
                <w:noProof/>
                <w:color w:val="000000" w:themeColor="text1"/>
                <w:sz w:val="20"/>
                <w:szCs w:val="20"/>
              </w:rPr>
            </w:pPr>
          </w:p>
        </w:tc>
        <w:tc>
          <w:tcPr>
            <w:tcW w:w="1906"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1.08</w:t>
            </w:r>
          </w:p>
        </w:tc>
        <w:tc>
          <w:tcPr>
            <w:tcW w:w="1555" w:type="dxa"/>
            <w:shd w:val="clear" w:color="auto" w:fill="FFFFFF" w:themeFill="background1"/>
          </w:tcPr>
          <w:p w:rsidR="00EF2BC3" w:rsidRDefault="00EF2BC3">
            <w:pPr>
              <w:spacing w:before="2"/>
              <w:rPr>
                <w:noProof/>
                <w:color w:val="000000" w:themeColor="text1"/>
                <w:sz w:val="20"/>
                <w:szCs w:val="20"/>
              </w:rPr>
            </w:pPr>
          </w:p>
        </w:tc>
        <w:tc>
          <w:tcPr>
            <w:tcW w:w="3209" w:type="dxa"/>
            <w:shd w:val="clear" w:color="auto" w:fill="FFFFFF" w:themeFill="background1"/>
          </w:tcPr>
          <w:p w:rsidR="00EF2BC3" w:rsidRDefault="00AF3002">
            <w:pPr>
              <w:jc w:val="both"/>
              <w:rPr>
                <w:noProof/>
                <w:color w:val="000000"/>
                <w:sz w:val="20"/>
                <w:szCs w:val="20"/>
              </w:rPr>
            </w:pPr>
            <w:r>
              <w:rPr>
                <w:noProof/>
                <w:color w:val="000000"/>
                <w:sz w:val="20"/>
                <w:szCs w:val="20"/>
              </w:rPr>
              <w:t>2002 costs for construction radioactive waste management, Im</w:t>
            </w:r>
            <w:r>
              <w:rPr>
                <w:noProof/>
                <w:color w:val="000000"/>
                <w:sz w:val="20"/>
                <w:szCs w:val="20"/>
              </w:rPr>
              <w:softHyphen/>
            </w:r>
            <w:r>
              <w:rPr>
                <w:noProof/>
                <w:color w:val="000000"/>
                <w:sz w:val="20"/>
                <w:szCs w:val="20"/>
              </w:rPr>
              <w:t xml:space="preserve">proving safety, compensation to Baldone municipality for radioactive waste storage facility </w:t>
            </w:r>
          </w:p>
          <w:p w:rsidR="00EF2BC3" w:rsidRDefault="00EF2BC3">
            <w:pPr>
              <w:spacing w:before="2"/>
              <w:jc w:val="both"/>
              <w:rPr>
                <w:noProof/>
                <w:color w:val="000000" w:themeColor="text1"/>
                <w:sz w:val="20"/>
                <w:szCs w:val="20"/>
              </w:rPr>
            </w:pPr>
          </w:p>
        </w:tc>
        <w:tc>
          <w:tcPr>
            <w:tcW w:w="1610"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w:t>
            </w:r>
          </w:p>
        </w:tc>
      </w:tr>
      <w:tr w:rsidR="00EF2BC3">
        <w:trPr>
          <w:trHeight w:val="481"/>
        </w:trPr>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 xml:space="preserve">LU </w:t>
            </w:r>
          </w:p>
          <w:p w:rsidR="00EF2BC3" w:rsidRDefault="00EF2BC3">
            <w:pPr>
              <w:spacing w:before="2"/>
              <w:rPr>
                <w:b/>
                <w:noProof/>
                <w:color w:val="000000" w:themeColor="text1"/>
                <w:sz w:val="20"/>
                <w:szCs w:val="20"/>
              </w:rPr>
            </w:pPr>
          </w:p>
        </w:tc>
        <w:tc>
          <w:tcPr>
            <w:tcW w:w="1906"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1555"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FFFFFF" w:themeFill="background1"/>
          </w:tcPr>
          <w:p w:rsidR="00EF2BC3" w:rsidRDefault="00AF3002">
            <w:pPr>
              <w:jc w:val="both"/>
              <w:rPr>
                <w:noProof/>
                <w:color w:val="000000"/>
                <w:sz w:val="20"/>
                <w:szCs w:val="20"/>
              </w:rPr>
            </w:pPr>
            <w:r>
              <w:rPr>
                <w:noProof/>
                <w:color w:val="000000"/>
                <w:sz w:val="20"/>
                <w:szCs w:val="20"/>
              </w:rPr>
              <w:t>Costs for shipment to Belgium. The government states it is capable of covering any cost</w:t>
            </w:r>
          </w:p>
          <w:p w:rsidR="00EF2BC3" w:rsidRDefault="00EF2BC3">
            <w:pPr>
              <w:spacing w:before="2"/>
              <w:jc w:val="both"/>
              <w:rPr>
                <w:noProof/>
                <w:color w:val="000000" w:themeColor="text1"/>
                <w:sz w:val="20"/>
                <w:szCs w:val="20"/>
              </w:rPr>
            </w:pPr>
          </w:p>
        </w:tc>
        <w:tc>
          <w:tcPr>
            <w:tcW w:w="1610"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w:t>
            </w:r>
          </w:p>
        </w:tc>
      </w:tr>
      <w:tr w:rsidR="00EF2BC3">
        <w:tc>
          <w:tcPr>
            <w:tcW w:w="1184" w:type="dxa"/>
            <w:shd w:val="clear" w:color="auto" w:fill="92CDDC" w:themeFill="accent5" w:themeFillTint="99"/>
          </w:tcPr>
          <w:p w:rsidR="00EF2BC3" w:rsidRDefault="00AF3002">
            <w:pPr>
              <w:spacing w:before="2"/>
              <w:rPr>
                <w:b/>
                <w:noProof/>
                <w:color w:val="000000" w:themeColor="text1"/>
                <w:sz w:val="20"/>
                <w:szCs w:val="20"/>
              </w:rPr>
            </w:pPr>
            <w:r>
              <w:rPr>
                <w:b/>
                <w:noProof/>
                <w:color w:val="000000" w:themeColor="text1"/>
                <w:sz w:val="20"/>
                <w:szCs w:val="20"/>
              </w:rPr>
              <w:t>MT</w:t>
            </w:r>
          </w:p>
          <w:p w:rsidR="00EF2BC3" w:rsidRDefault="00EF2BC3">
            <w:pPr>
              <w:spacing w:before="2"/>
              <w:rPr>
                <w:b/>
                <w:noProof/>
                <w:color w:val="000000" w:themeColor="text1"/>
                <w:sz w:val="20"/>
                <w:szCs w:val="20"/>
              </w:rPr>
            </w:pPr>
          </w:p>
        </w:tc>
        <w:tc>
          <w:tcPr>
            <w:tcW w:w="1906"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1555"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No data</w:t>
            </w:r>
          </w:p>
        </w:tc>
        <w:tc>
          <w:tcPr>
            <w:tcW w:w="3209" w:type="dxa"/>
            <w:shd w:val="clear" w:color="auto" w:fill="FFFFFF" w:themeFill="background1"/>
          </w:tcPr>
          <w:p w:rsidR="00EF2BC3" w:rsidRDefault="00EF2BC3">
            <w:pPr>
              <w:spacing w:before="2"/>
              <w:rPr>
                <w:noProof/>
                <w:color w:val="000000" w:themeColor="text1"/>
                <w:sz w:val="20"/>
                <w:szCs w:val="20"/>
              </w:rPr>
            </w:pPr>
          </w:p>
        </w:tc>
        <w:tc>
          <w:tcPr>
            <w:tcW w:w="1610" w:type="dxa"/>
            <w:shd w:val="clear" w:color="auto" w:fill="FFFFFF" w:themeFill="background1"/>
          </w:tcPr>
          <w:p w:rsidR="00EF2BC3" w:rsidRDefault="00AF3002">
            <w:pPr>
              <w:spacing w:before="2"/>
              <w:rPr>
                <w:noProof/>
                <w:color w:val="000000" w:themeColor="text1"/>
                <w:sz w:val="20"/>
                <w:szCs w:val="20"/>
              </w:rPr>
            </w:pPr>
            <w:r>
              <w:rPr>
                <w:noProof/>
                <w:color w:val="000000" w:themeColor="text1"/>
                <w:sz w:val="20"/>
                <w:szCs w:val="20"/>
              </w:rPr>
              <w:t>-</w:t>
            </w:r>
          </w:p>
        </w:tc>
      </w:tr>
    </w:tbl>
    <w:tbl>
      <w:tblPr>
        <w:tblStyle w:val="GridTable3-Accent512"/>
        <w:tblpPr w:leftFromText="180" w:rightFromText="180" w:vertAnchor="text" w:horzAnchor="page" w:tblpX="1450" w:tblpY="-563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245"/>
        <w:gridCol w:w="900"/>
        <w:gridCol w:w="3969"/>
        <w:gridCol w:w="2126"/>
      </w:tblGrid>
      <w:tr w:rsidR="00EF2BC3" w:rsidTr="00EF2BC3">
        <w:trPr>
          <w:cnfStyle w:val="100000000000" w:firstRow="1" w:lastRow="0" w:firstColumn="0" w:lastColumn="0" w:oddVBand="0" w:evenVBand="0" w:oddHBand="0" w:evenHBand="0" w:firstRowFirstColumn="0" w:firstRowLastColumn="0" w:lastRowFirstColumn="0" w:lastRowLastColumn="0"/>
          <w:trHeight w:val="244"/>
        </w:trPr>
        <w:tc>
          <w:tcPr>
            <w:cnfStyle w:val="001000000100" w:firstRow="0" w:lastRow="0" w:firstColumn="1" w:lastColumn="0" w:oddVBand="0" w:evenVBand="0" w:oddHBand="0" w:evenHBand="0" w:firstRowFirstColumn="1" w:firstRowLastColumn="0" w:lastRowFirstColumn="0" w:lastRowLastColumn="0"/>
            <w:tcW w:w="657" w:type="dxa"/>
          </w:tcPr>
          <w:p w:rsidR="00EF2BC3" w:rsidRDefault="00EF2BC3">
            <w:pPr>
              <w:spacing w:before="2"/>
              <w:rPr>
                <w:rFonts w:eastAsia="Times New Roman"/>
                <w:b w:val="0"/>
                <w:i w:val="0"/>
                <w:noProof/>
                <w:color w:val="000000" w:themeColor="text1"/>
                <w:lang w:val="en-GB"/>
              </w:rPr>
            </w:pPr>
          </w:p>
        </w:tc>
        <w:tc>
          <w:tcPr>
            <w:tcW w:w="1245" w:type="dxa"/>
            <w:tcBorders>
              <w:bottom w:val="nil"/>
            </w:tcBorders>
          </w:tcPr>
          <w:p w:rsidR="00EF2BC3" w:rsidRDefault="00EF2BC3">
            <w:pPr>
              <w:spacing w:before="2"/>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lang w:val="en-GB"/>
              </w:rPr>
            </w:pPr>
          </w:p>
        </w:tc>
        <w:tc>
          <w:tcPr>
            <w:tcW w:w="900" w:type="dxa"/>
            <w:tcBorders>
              <w:bottom w:val="nil"/>
            </w:tcBorders>
          </w:tcPr>
          <w:p w:rsidR="00EF2BC3" w:rsidRDefault="00EF2BC3">
            <w:pPr>
              <w:spacing w:before="2"/>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lang w:val="en-GB"/>
              </w:rPr>
            </w:pPr>
          </w:p>
        </w:tc>
        <w:tc>
          <w:tcPr>
            <w:tcW w:w="3969" w:type="dxa"/>
            <w:tcBorders>
              <w:bottom w:val="nil"/>
            </w:tcBorders>
          </w:tcPr>
          <w:p w:rsidR="00EF2BC3" w:rsidRDefault="00EF2BC3">
            <w:pPr>
              <w:spacing w:before="2"/>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lang w:val="en-GB"/>
              </w:rPr>
            </w:pPr>
          </w:p>
        </w:tc>
        <w:tc>
          <w:tcPr>
            <w:tcW w:w="2126" w:type="dxa"/>
            <w:tcBorders>
              <w:bottom w:val="nil"/>
            </w:tcBorders>
          </w:tcPr>
          <w:p w:rsidR="00EF2BC3" w:rsidRDefault="00EF2BC3">
            <w:pPr>
              <w:spacing w:before="2"/>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lang w:val="en-GB"/>
              </w:rPr>
            </w:pPr>
          </w:p>
        </w:tc>
      </w:tr>
    </w:tbl>
    <w:p w:rsidR="00EF2BC3" w:rsidRDefault="00AF3002">
      <w:pPr>
        <w:keepNext/>
        <w:spacing w:before="240" w:after="120"/>
        <w:jc w:val="center"/>
        <w:outlineLvl w:val="0"/>
        <w:rPr>
          <w:b/>
          <w:noProof/>
        </w:rPr>
      </w:pPr>
      <w:bookmarkStart w:id="37" w:name="_Toc474832576"/>
      <w:bookmarkStart w:id="38" w:name="_Toc474832876"/>
      <w:r>
        <w:rPr>
          <w:b/>
          <w:noProof/>
        </w:rPr>
        <w:t xml:space="preserve">Table 10. </w:t>
      </w:r>
      <w:r>
        <w:rPr>
          <w:b/>
          <w:noProof/>
        </w:rPr>
        <w:t>Financial mechanisms and accumulated funds by Member State</w:t>
      </w:r>
      <w:bookmarkEnd w:id="37"/>
      <w:bookmarkEnd w:id="38"/>
    </w:p>
    <w:tbl>
      <w:tblPr>
        <w:tblStyle w:val="GridTable3-Accent513"/>
        <w:tblW w:w="9464"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532"/>
        <w:gridCol w:w="1418"/>
        <w:gridCol w:w="992"/>
        <w:gridCol w:w="997"/>
        <w:gridCol w:w="1270"/>
        <w:gridCol w:w="1253"/>
        <w:gridCol w:w="1315"/>
        <w:gridCol w:w="1687"/>
      </w:tblGrid>
      <w:tr w:rsidR="00EF2BC3" w:rsidTr="00EF2BC3">
        <w:trPr>
          <w:cnfStyle w:val="100000000000" w:firstRow="1" w:lastRow="0" w:firstColumn="0" w:lastColumn="0" w:oddVBand="0" w:evenVBand="0" w:oddHBand="0" w:evenHBand="0" w:firstRowFirstColumn="0" w:firstRowLastColumn="0" w:lastRowFirstColumn="0" w:lastRowLastColumn="0"/>
          <w:trHeight w:val="679"/>
        </w:trPr>
        <w:tc>
          <w:tcPr>
            <w:cnfStyle w:val="001000000100" w:firstRow="0" w:lastRow="0" w:firstColumn="1" w:lastColumn="0" w:oddVBand="0" w:evenVBand="0" w:oddHBand="0" w:evenHBand="0" w:firstRowFirstColumn="1" w:firstRowLastColumn="0" w:lastRowFirstColumn="0" w:lastRowLastColumn="0"/>
            <w:tcW w:w="5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EF2BC3" w:rsidRDefault="00AF3002">
            <w:pPr>
              <w:spacing w:line="276" w:lineRule="auto"/>
              <w:jc w:val="left"/>
              <w:rPr>
                <w:rFonts w:eastAsia="Times New Roman"/>
                <w:i w:val="0"/>
                <w:noProof/>
                <w:color w:val="000000" w:themeColor="text1"/>
                <w:sz w:val="20"/>
                <w:szCs w:val="20"/>
                <w:lang w:val="en-GB"/>
              </w:rPr>
            </w:pPr>
            <w:r>
              <w:rPr>
                <w:rFonts w:eastAsia="Times New Roman"/>
                <w:i w:val="0"/>
                <w:noProof/>
                <w:color w:val="000000" w:themeColor="text1"/>
                <w:sz w:val="20"/>
                <w:szCs w:val="20"/>
                <w:lang w:val="en-GB"/>
              </w:rPr>
              <w:t>MS</w:t>
            </w:r>
          </w:p>
        </w:tc>
        <w:tc>
          <w:tcPr>
            <w:tcW w:w="1418" w:type="dxa"/>
            <w:tcBorders>
              <w:top w:val="single" w:sz="4" w:space="0" w:color="auto"/>
              <w:left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Financial mechanisms</w:t>
            </w:r>
          </w:p>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bCs w:val="0"/>
                <w:noProof/>
                <w:color w:val="000000" w:themeColor="text1"/>
                <w:sz w:val="20"/>
                <w:szCs w:val="20"/>
                <w:lang w:val="en-GB"/>
              </w:rPr>
            </w:pPr>
            <w:r>
              <w:rPr>
                <w:rFonts w:eastAsia="Times New Roman"/>
                <w:noProof/>
                <w:color w:val="000000" w:themeColor="text1"/>
                <w:sz w:val="20"/>
                <w:szCs w:val="20"/>
                <w:lang w:val="en-GB"/>
              </w:rPr>
              <w:t>(organisation)</w:t>
            </w:r>
          </w:p>
        </w:tc>
        <w:tc>
          <w:tcPr>
            <w:tcW w:w="992"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Gradual</w:t>
            </w:r>
          </w:p>
        </w:tc>
        <w:tc>
          <w:tcPr>
            <w:tcW w:w="99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Internal (I)/</w:t>
            </w:r>
          </w:p>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External</w:t>
            </w:r>
          </w:p>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bCs w:val="0"/>
                <w:noProof/>
                <w:color w:val="000000" w:themeColor="text1"/>
                <w:sz w:val="20"/>
                <w:szCs w:val="20"/>
                <w:lang w:val="en-GB"/>
              </w:rPr>
            </w:pPr>
            <w:r>
              <w:rPr>
                <w:rFonts w:eastAsia="Times New Roman"/>
                <w:noProof/>
                <w:color w:val="000000" w:themeColor="text1"/>
                <w:sz w:val="20"/>
                <w:szCs w:val="20"/>
                <w:lang w:val="en-GB"/>
              </w:rPr>
              <w:t>Funds accumu lated (bn €)</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Total accumu</w:t>
            </w:r>
          </w:p>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lated (date)</w:t>
            </w:r>
          </w:p>
        </w:tc>
        <w:tc>
          <w:tcPr>
            <w:tcW w:w="1315" w:type="dxa"/>
            <w:tcBorders>
              <w:top w:val="single" w:sz="4" w:space="0" w:color="auto"/>
              <w:bottom w:val="single" w:sz="4" w:space="0" w:color="auto"/>
            </w:tcBorders>
            <w:shd w:val="clear" w:color="auto" w:fill="C6D9F1" w:themeFill="text2" w:themeFillTint="33"/>
            <w:vAlign w:val="bottom"/>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Preliminary estimate of available funds</w:t>
            </w:r>
            <w:r>
              <w:rPr>
                <w:rStyle w:val="FootnoteReference"/>
                <w:rFonts w:eastAsia="Times New Roman"/>
                <w:noProof/>
                <w:color w:val="000000" w:themeColor="text1"/>
                <w:sz w:val="20"/>
                <w:szCs w:val="20"/>
                <w:lang w:val="en-GB"/>
              </w:rPr>
              <w:footnoteReference w:id="47"/>
            </w:r>
            <w:r>
              <w:rPr>
                <w:rFonts w:eastAsia="Times New Roman"/>
                <w:noProof/>
                <w:color w:val="000000" w:themeColor="text1"/>
                <w:sz w:val="20"/>
                <w:szCs w:val="20"/>
                <w:lang w:val="en-GB"/>
              </w:rPr>
              <w:t xml:space="preserve"> (%)</w:t>
            </w:r>
          </w:p>
        </w:tc>
        <w:tc>
          <w:tcPr>
            <w:tcW w:w="1687" w:type="dxa"/>
            <w:tcBorders>
              <w:top w:val="single" w:sz="4" w:space="0" w:color="auto"/>
              <w:bottom w:val="single" w:sz="4" w:space="0" w:color="auto"/>
              <w:right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Cs w:val="0"/>
                <w:noProof/>
                <w:color w:val="000000" w:themeColor="text1"/>
                <w:sz w:val="20"/>
                <w:szCs w:val="20"/>
                <w:lang w:val="en-GB"/>
              </w:rPr>
            </w:pPr>
            <w:r>
              <w:rPr>
                <w:rFonts w:eastAsia="Times New Roman"/>
                <w:noProof/>
                <w:color w:val="000000" w:themeColor="text1"/>
                <w:sz w:val="20"/>
                <w:szCs w:val="20"/>
                <w:lang w:val="en-GB"/>
              </w:rPr>
              <w:t>Comments</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vMerge w:val="restart"/>
            <w:tcBorders>
              <w:top w:val="single" w:sz="4" w:space="0" w:color="auto"/>
              <w:left w:val="single" w:sz="4" w:space="0" w:color="auto"/>
              <w:right w:val="single" w:sz="4" w:space="0" w:color="auto"/>
            </w:tcBorders>
          </w:tcPr>
          <w:p w:rsidR="00EF2BC3" w:rsidRDefault="00AF3002">
            <w:pPr>
              <w:spacing w:line="276" w:lineRule="auto"/>
              <w:jc w:val="left"/>
              <w:rPr>
                <w:i w:val="0"/>
                <w:iCs w:val="0"/>
                <w:noProof/>
                <w:color w:val="000000" w:themeColor="text1"/>
                <w:sz w:val="20"/>
                <w:szCs w:val="20"/>
                <w:lang w:val="en-GB"/>
              </w:rPr>
            </w:pPr>
            <w:r>
              <w:rPr>
                <w:rFonts w:eastAsia="Times New Roman"/>
                <w:bCs/>
                <w:i w:val="0"/>
                <w:noProof/>
                <w:color w:val="000000" w:themeColor="text1"/>
                <w:sz w:val="20"/>
                <w:szCs w:val="20"/>
                <w:lang w:val="en-GB"/>
              </w:rPr>
              <w:t>BG</w:t>
            </w:r>
          </w:p>
        </w:tc>
        <w:tc>
          <w:tcPr>
            <w:tcW w:w="1418" w:type="dxa"/>
            <w:tcBorders>
              <w:top w:val="single" w:sz="4" w:space="0" w:color="auto"/>
              <w:lef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 xml:space="preserve">Radioactive </w:t>
            </w:r>
            <w:r>
              <w:rPr>
                <w:rFonts w:eastAsia="Times New Roman"/>
                <w:noProof/>
                <w:color w:val="000000" w:themeColor="text1"/>
                <w:sz w:val="20"/>
                <w:szCs w:val="20"/>
                <w:lang w:val="en-GB"/>
              </w:rPr>
              <w:t>waste management fund (SE RAO)</w:t>
            </w:r>
          </w:p>
        </w:tc>
        <w:tc>
          <w:tcPr>
            <w:tcW w:w="992" w:type="dxa"/>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0.845 (2003)</w:t>
            </w:r>
          </w:p>
        </w:tc>
        <w:tc>
          <w:tcPr>
            <w:tcW w:w="1253" w:type="dxa"/>
            <w:vMerge w:val="restart"/>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0.845b€  (2003)</w:t>
            </w:r>
          </w:p>
        </w:tc>
        <w:tc>
          <w:tcPr>
            <w:tcW w:w="1315" w:type="dxa"/>
            <w:vMerge w:val="restart"/>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 19 to 20 (the latter assuming 6 units and LTO)</w:t>
            </w:r>
          </w:p>
        </w:tc>
        <w:tc>
          <w:tcPr>
            <w:tcW w:w="1687" w:type="dxa"/>
            <w:vMerge w:val="restart"/>
            <w:tcBorders>
              <w:top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EU funds for Kozloduy NPP units 1 to 4 are taken into account. Recognised insuffiency of fund to date.</w:t>
            </w:r>
          </w:p>
        </w:tc>
      </w:tr>
      <w:tr w:rsidR="00EF2BC3" w:rsidTr="00EF2BC3">
        <w:tc>
          <w:tcPr>
            <w:cnfStyle w:val="001000000000" w:firstRow="0" w:lastRow="0" w:firstColumn="1" w:lastColumn="0" w:oddVBand="0" w:evenVBand="0" w:oddHBand="0" w:evenHBand="0" w:firstRowFirstColumn="0" w:firstRowLastColumn="0" w:lastRowFirstColumn="0" w:lastRowLastColumn="0"/>
            <w:tcW w:w="532" w:type="dxa"/>
            <w:vMerge/>
            <w:tcBorders>
              <w:top w:val="single" w:sz="4" w:space="0" w:color="auto"/>
              <w:left w:val="single" w:sz="4" w:space="0" w:color="auto"/>
              <w:bottom w:val="single" w:sz="4" w:space="0" w:color="000000"/>
              <w:right w:val="single" w:sz="4" w:space="0" w:color="auto"/>
            </w:tcBorders>
          </w:tcPr>
          <w:p w:rsidR="00EF2BC3" w:rsidRDefault="00EF2BC3">
            <w:pPr>
              <w:spacing w:line="276" w:lineRule="auto"/>
              <w:jc w:val="left"/>
              <w:rPr>
                <w:rFonts w:eastAsia="Times New Roman"/>
                <w:bCs/>
                <w:i w:val="0"/>
                <w:iCs w:val="0"/>
                <w:noProof/>
                <w:color w:val="000000" w:themeColor="text1"/>
                <w:sz w:val="20"/>
                <w:szCs w:val="20"/>
                <w:lang w:val="en-GB"/>
              </w:rPr>
            </w:pPr>
          </w:p>
        </w:tc>
        <w:tc>
          <w:tcPr>
            <w:tcW w:w="1418" w:type="dxa"/>
            <w:tcBorders>
              <w:left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Decommissioning fund (SE RAO)</w:t>
            </w:r>
          </w:p>
        </w:tc>
        <w:tc>
          <w:tcPr>
            <w:tcW w:w="992" w:type="dxa"/>
            <w:tcBorders>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1.4 (2015)</w:t>
            </w:r>
          </w:p>
        </w:tc>
        <w:tc>
          <w:tcPr>
            <w:tcW w:w="1253" w:type="dxa"/>
            <w:vMerge/>
            <w:tcBorders>
              <w:bottom w:val="single" w:sz="4" w:space="0" w:color="000000"/>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315" w:type="dxa"/>
            <w:vMerge/>
            <w:tcBorders>
              <w:bottom w:val="single" w:sz="4" w:space="0" w:color="000000"/>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687" w:type="dxa"/>
            <w:vMerge/>
            <w:tcBorders>
              <w:bottom w:val="single" w:sz="4" w:space="0" w:color="000000"/>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i w:val="0"/>
                <w:iCs w:val="0"/>
                <w:noProof/>
                <w:color w:val="000000" w:themeColor="text1"/>
                <w:sz w:val="20"/>
                <w:szCs w:val="20"/>
                <w:lang w:val="en-GB"/>
              </w:rPr>
            </w:pPr>
            <w:r>
              <w:rPr>
                <w:rFonts w:eastAsia="Times New Roman"/>
                <w:bCs/>
                <w:i w:val="0"/>
                <w:noProof/>
                <w:color w:val="000000" w:themeColor="text1"/>
                <w:sz w:val="20"/>
                <w:szCs w:val="20"/>
                <w:lang w:val="en-GB"/>
              </w:rPr>
              <w:t>CZ</w:t>
            </w:r>
          </w:p>
        </w:tc>
        <w:tc>
          <w:tcPr>
            <w:tcW w:w="1418" w:type="dxa"/>
            <w:tcBorders>
              <w:top w:val="single" w:sz="4" w:space="0" w:color="000000"/>
              <w:left w:val="single" w:sz="4" w:space="0" w:color="000000"/>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Nuclear Account for SF &amp; RAW (Ministry of Finance)</w:t>
            </w:r>
          </w:p>
        </w:tc>
        <w:tc>
          <w:tcPr>
            <w:tcW w:w="992" w:type="dxa"/>
            <w:tcBorders>
              <w:top w:val="single" w:sz="4" w:space="0" w:color="000000"/>
              <w:left w:val="nil"/>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000000"/>
              <w:left w:val="nil"/>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000000"/>
              <w:left w:val="nil"/>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1.4 (2014)</w:t>
            </w:r>
          </w:p>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253" w:type="dxa"/>
            <w:tcBorders>
              <w:top w:val="single" w:sz="4" w:space="0" w:color="000000"/>
              <w:left w:val="nil"/>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1.4 (2014)</w:t>
            </w:r>
          </w:p>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315" w:type="dxa"/>
            <w:tcBorders>
              <w:top w:val="single" w:sz="4" w:space="0" w:color="000000"/>
              <w:left w:val="nil"/>
              <w:bottom w:val="single" w:sz="4" w:space="0" w:color="000000"/>
              <w:right w:val="nil"/>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33</w:t>
            </w:r>
          </w:p>
        </w:tc>
        <w:tc>
          <w:tcPr>
            <w:tcW w:w="1687" w:type="dxa"/>
            <w:tcBorders>
              <w:top w:val="single" w:sz="4" w:space="0" w:color="000000"/>
              <w:left w:val="nil"/>
              <w:bottom w:val="single" w:sz="4" w:space="0" w:color="000000"/>
              <w:right w:val="single" w:sz="4" w:space="0" w:color="000000"/>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37.4b CZK, 2014 ( 0.037 CZK/€)</w:t>
            </w:r>
          </w:p>
        </w:tc>
      </w:tr>
      <w:tr w:rsidR="00EF2BC3" w:rsidTr="00EF2BC3">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auto"/>
              <w:bottom w:val="single" w:sz="4" w:space="0" w:color="000000"/>
              <w:right w:val="single" w:sz="4" w:space="0" w:color="auto"/>
            </w:tcBorders>
          </w:tcPr>
          <w:p w:rsidR="00EF2BC3" w:rsidRDefault="00AF3002">
            <w:pPr>
              <w:spacing w:line="276" w:lineRule="auto"/>
              <w:jc w:val="left"/>
              <w:rPr>
                <w:rFonts w:eastAsia="Times New Roman"/>
                <w:bCs/>
                <w:i w:val="0"/>
                <w:noProof/>
                <w:color w:val="000000" w:themeColor="text1"/>
                <w:sz w:val="20"/>
                <w:szCs w:val="20"/>
                <w:lang w:val="en-GB"/>
              </w:rPr>
            </w:pPr>
            <w:r>
              <w:rPr>
                <w:rFonts w:eastAsia="Times New Roman"/>
                <w:bCs/>
                <w:i w:val="0"/>
                <w:noProof/>
                <w:color w:val="000000" w:themeColor="text1"/>
                <w:sz w:val="20"/>
                <w:szCs w:val="20"/>
                <w:lang w:val="en-GB"/>
              </w:rPr>
              <w:t>HU</w:t>
            </w:r>
          </w:p>
        </w:tc>
        <w:tc>
          <w:tcPr>
            <w:tcW w:w="1418" w:type="dxa"/>
            <w:tcBorders>
              <w:top w:val="single" w:sz="4" w:space="0" w:color="000000"/>
              <w:left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bidi="en-GB"/>
              </w:rPr>
              <w:t>Central Nuclear Financial Fund</w:t>
            </w:r>
          </w:p>
        </w:tc>
        <w:tc>
          <w:tcPr>
            <w:tcW w:w="992" w:type="dxa"/>
            <w:tcBorders>
              <w:top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0.8 (2015)</w:t>
            </w:r>
          </w:p>
        </w:tc>
        <w:tc>
          <w:tcPr>
            <w:tcW w:w="1253" w:type="dxa"/>
            <w:tcBorders>
              <w:top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0.8 (2015)</w:t>
            </w:r>
          </w:p>
        </w:tc>
        <w:tc>
          <w:tcPr>
            <w:tcW w:w="1315" w:type="dxa"/>
            <w:tcBorders>
              <w:top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15</w:t>
            </w:r>
          </w:p>
        </w:tc>
        <w:tc>
          <w:tcPr>
            <w:tcW w:w="1687" w:type="dxa"/>
            <w:tcBorders>
              <w:top w:val="single" w:sz="4" w:space="0" w:color="000000"/>
              <w:bottom w:val="single" w:sz="4" w:space="0" w:color="auto"/>
            </w:tcBorders>
            <w:vAlign w:val="bottom"/>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 xml:space="preserve">Fund to cover the costs </w:t>
            </w:r>
            <w:r>
              <w:rPr>
                <w:noProof/>
                <w:color w:val="000000" w:themeColor="text1"/>
                <w:sz w:val="20"/>
                <w:szCs w:val="20"/>
                <w:lang w:val="en-GB"/>
              </w:rPr>
              <w:t>for management of waste, spent fuel and decommissioning</w:t>
            </w:r>
            <w:r>
              <w:rPr>
                <w:rFonts w:eastAsia="Times New Roman"/>
                <w:noProof/>
                <w:color w:val="000000" w:themeColor="text1"/>
                <w:sz w:val="20"/>
                <w:szCs w:val="20"/>
                <w:lang w:val="en-GB"/>
              </w:rPr>
              <w:t>; 246,386 mill HUF, 2015 (0.0032HUF/€)</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SK</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National Nuclear Fund</w:t>
            </w:r>
          </w:p>
        </w:tc>
        <w:tc>
          <w:tcPr>
            <w:tcW w:w="992"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1.2 (2015)</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1.2 (2015)</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18</w:t>
            </w:r>
          </w:p>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687"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FI</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sz w:val="20"/>
                <w:szCs w:val="20"/>
                <w:lang w:val="en-GB"/>
              </w:rPr>
              <w:t>The State Nuclear Waste Management Fund</w:t>
            </w:r>
          </w:p>
        </w:tc>
        <w:tc>
          <w:tcPr>
            <w:tcW w:w="992"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2.5 ( 2016)</w:t>
            </w:r>
          </w:p>
        </w:tc>
        <w:tc>
          <w:tcPr>
            <w:tcW w:w="1253"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2.5 (2016)</w:t>
            </w: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315" w:type="dxa"/>
            <w:tcBorders>
              <w:top w:val="single" w:sz="4" w:space="0" w:color="auto"/>
              <w:bottom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38</w:t>
            </w: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sz w:val="20"/>
                <w:szCs w:val="20"/>
                <w:lang w:val="en-GB"/>
              </w:rPr>
            </w:pPr>
          </w:p>
        </w:tc>
        <w:tc>
          <w:tcPr>
            <w:tcW w:w="1687"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 xml:space="preserve">Does </w:t>
            </w:r>
            <w:r>
              <w:rPr>
                <w:noProof/>
                <w:color w:val="000000" w:themeColor="text1"/>
                <w:sz w:val="20"/>
                <w:szCs w:val="20"/>
                <w:lang w:val="en-GB"/>
              </w:rPr>
              <w:t>not include new build</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BE</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sz w:val="20"/>
                <w:szCs w:val="20"/>
                <w:lang w:val="en-GB"/>
              </w:rPr>
              <w:t>Long-Term Fund (NIRAS/ONDRAF)</w:t>
            </w:r>
          </w:p>
        </w:tc>
        <w:tc>
          <w:tcPr>
            <w:tcW w:w="992"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w:t>
            </w: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r>
      <w:tr w:rsidR="00EF2BC3" w:rsidTr="00EF2BC3">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DE</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Private generators (NPPs) make provisions</w:t>
            </w:r>
            <w:r>
              <w:rPr>
                <w:rStyle w:val="FootnoteReference"/>
                <w:rFonts w:eastAsia="Times New Roman"/>
                <w:noProof/>
                <w:color w:val="000000" w:themeColor="text1"/>
                <w:sz w:val="20"/>
                <w:szCs w:val="20"/>
                <w:lang w:val="en-GB"/>
              </w:rPr>
              <w:footnoteReference w:id="48"/>
            </w:r>
          </w:p>
        </w:tc>
        <w:tc>
          <w:tcPr>
            <w:tcW w:w="992" w:type="dxa"/>
            <w:tcBorders>
              <w:top w:val="single" w:sz="4" w:space="0" w:color="auto"/>
              <w:bottom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w:t>
            </w:r>
          </w:p>
        </w:tc>
        <w:tc>
          <w:tcPr>
            <w:tcW w:w="1270"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36 (2015) reported for NPPs</w:t>
            </w:r>
          </w:p>
        </w:tc>
        <w:tc>
          <w:tcPr>
            <w:tcW w:w="1253"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36 (2015)</w:t>
            </w:r>
          </w:p>
        </w:tc>
        <w:tc>
          <w:tcPr>
            <w:tcW w:w="1315"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54</w:t>
            </w: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687"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Based on the total cost 66.9 bn</w:t>
            </w:r>
            <w:r>
              <w:rPr>
                <w:rFonts w:eastAsia="Times New Roman"/>
                <w:noProof/>
                <w:color w:val="000000" w:themeColor="text1"/>
                <w:sz w:val="20"/>
                <w:szCs w:val="20"/>
                <w:lang w:val="en-GB"/>
              </w:rPr>
              <w:t xml:space="preserve">€ (as at 2012) </w:t>
            </w:r>
            <w:r>
              <w:rPr>
                <w:noProof/>
                <w:color w:val="000000" w:themeColor="text1"/>
                <w:sz w:val="20"/>
                <w:szCs w:val="20"/>
                <w:lang w:val="en-GB"/>
              </w:rPr>
              <w:t>until 2080 and 2103</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FR</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sz w:val="20"/>
                <w:szCs w:val="20"/>
                <w:lang w:val="en-GB"/>
              </w:rPr>
              <w:t xml:space="preserve">Licensees </w:t>
            </w:r>
            <w:r>
              <w:rPr>
                <w:noProof/>
                <w:sz w:val="20"/>
                <w:szCs w:val="20"/>
                <w:lang w:val="en-GB"/>
              </w:rPr>
              <w:t>create a portfolio of dedicated assets.</w:t>
            </w:r>
          </w:p>
        </w:tc>
        <w:tc>
          <w:tcPr>
            <w:tcW w:w="992"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w:t>
            </w: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43 (2011)</w:t>
            </w:r>
          </w:p>
        </w:tc>
        <w:tc>
          <w:tcPr>
            <w:tcW w:w="1253"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sz w:val="20"/>
                <w:szCs w:val="20"/>
                <w:lang w:val="en-GB"/>
              </w:rPr>
            </w:pPr>
            <w:r>
              <w:rPr>
                <w:rFonts w:eastAsia="Times New Roman"/>
                <w:noProof/>
                <w:sz w:val="20"/>
                <w:szCs w:val="20"/>
                <w:lang w:val="en-GB"/>
              </w:rPr>
              <w:t>48</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sz w:val="20"/>
                <w:szCs w:val="20"/>
                <w:lang w:val="en-GB"/>
              </w:rPr>
              <w:t>As dedicated internal funds &amp; assets</w:t>
            </w:r>
          </w:p>
        </w:tc>
      </w:tr>
      <w:tr w:rsidR="00EF2BC3" w:rsidTr="00EF2BC3">
        <w:trPr>
          <w:trHeight w:val="213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IT</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State pays for state owned facilities. SOGIN manages the funds for waste management</w:t>
            </w:r>
          </w:p>
        </w:tc>
        <w:tc>
          <w:tcPr>
            <w:tcW w:w="992"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w:t>
            </w:r>
          </w:p>
        </w:tc>
        <w:tc>
          <w:tcPr>
            <w:tcW w:w="997" w:type="dxa"/>
            <w:tcBorders>
              <w:top w:val="single" w:sz="4" w:space="0" w:color="auto"/>
              <w:bottom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 xml:space="preserve">The national programme cost is until 2030 </w:t>
            </w:r>
            <w:r>
              <w:rPr>
                <w:noProof/>
                <w:color w:val="000000" w:themeColor="text1"/>
                <w:sz w:val="20"/>
                <w:szCs w:val="20"/>
                <w:lang w:val="en-GB"/>
              </w:rPr>
              <w:t>and exclude geological disposal. Private generators shall pay to a fund (no details on the fund available)</w:t>
            </w:r>
          </w:p>
        </w:tc>
      </w:tr>
      <w:tr w:rsidR="00EF2BC3" w:rsidTr="00EF2BC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LT</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Decommissioning Fund for Ignalina Nuclear Power Plant, State Budget, Ignalina Programme, INPP, Other funds</w:t>
            </w:r>
          </w:p>
        </w:tc>
        <w:tc>
          <w:tcPr>
            <w:tcW w:w="992"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No information</w:t>
            </w:r>
            <w:r>
              <w:rPr>
                <w:noProof/>
                <w:color w:val="000000" w:themeColor="text1"/>
                <w:sz w:val="20"/>
                <w:szCs w:val="20"/>
                <w:lang w:val="en-GB"/>
              </w:rPr>
              <w:t xml:space="preserve"> </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 xml:space="preserve">The national report states that the funds are sufficient SF and RAW management until 2020. </w:t>
            </w:r>
            <w:r>
              <w:rPr>
                <w:rFonts w:eastAsia="Times New Roman"/>
                <w:noProof/>
                <w:color w:val="000000" w:themeColor="text1"/>
                <w:sz w:val="20"/>
                <w:szCs w:val="20"/>
                <w:lang w:val="en-GB"/>
              </w:rPr>
              <w:t>Reliance on EU funds after 2020</w:t>
            </w:r>
            <w:r>
              <w:rPr>
                <w:noProof/>
                <w:color w:val="000000" w:themeColor="text1"/>
                <w:sz w:val="20"/>
                <w:szCs w:val="20"/>
                <w:lang w:val="en-GB"/>
              </w:rPr>
              <w:t xml:space="preserve">. </w:t>
            </w:r>
            <w:r>
              <w:rPr>
                <w:rFonts w:eastAsia="Times New Roman"/>
                <w:noProof/>
                <w:color w:val="000000" w:themeColor="text1"/>
                <w:sz w:val="20"/>
                <w:szCs w:val="20"/>
                <w:lang w:val="en-GB"/>
              </w:rPr>
              <w:t>Decommissioning continues until 2038</w:t>
            </w:r>
          </w:p>
        </w:tc>
      </w:tr>
      <w:tr w:rsidR="00EF2BC3" w:rsidTr="00EF2BC3">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NL</w:t>
            </w:r>
          </w:p>
        </w:tc>
        <w:tc>
          <w:tcPr>
            <w:tcW w:w="1418" w:type="dxa"/>
            <w:tcBorders>
              <w:top w:val="single" w:sz="4" w:space="0" w:color="auto"/>
              <w:left w:val="single" w:sz="4" w:space="0" w:color="000000"/>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Contributions to COVRA </w:t>
            </w:r>
          </w:p>
        </w:tc>
        <w:tc>
          <w:tcPr>
            <w:tcW w:w="992" w:type="dxa"/>
            <w:tcBorders>
              <w:top w:val="single" w:sz="4" w:space="0" w:color="auto"/>
              <w:bottom w:val="single" w:sz="4" w:space="0" w:color="000000"/>
            </w:tcBorders>
          </w:tcPr>
          <w:p w:rsidR="00EF2BC3" w:rsidRDefault="00EF2BC3">
            <w:pPr>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183 mill (2014)</w:t>
            </w:r>
            <w:r>
              <w:rPr>
                <w:rStyle w:val="FootnoteReference"/>
                <w:rFonts w:eastAsia="Times New Roman"/>
                <w:noProof/>
                <w:color w:val="000000" w:themeColor="text1"/>
                <w:sz w:val="20"/>
                <w:szCs w:val="20"/>
                <w:lang w:val="en-GB"/>
              </w:rPr>
              <w:footnoteReference w:id="49"/>
            </w:r>
            <w:r>
              <w:rPr>
                <w:rFonts w:eastAsia="Times New Roman"/>
                <w:noProof/>
                <w:color w:val="000000" w:themeColor="text1"/>
                <w:sz w:val="20"/>
                <w:szCs w:val="20"/>
                <w:highlight w:val="yellow"/>
                <w:lang w:val="en-GB"/>
              </w:rPr>
              <w:t xml:space="preserve"> </w:t>
            </w:r>
          </w:p>
        </w:tc>
        <w:tc>
          <w:tcPr>
            <w:tcW w:w="1253" w:type="dxa"/>
            <w:tcBorders>
              <w:top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8</w:t>
            </w:r>
          </w:p>
        </w:tc>
        <w:tc>
          <w:tcPr>
            <w:tcW w:w="1687" w:type="dxa"/>
            <w:tcBorders>
              <w:top w:val="single" w:sz="4" w:space="0" w:color="auto"/>
              <w:bottom w:val="single" w:sz="4" w:space="0" w:color="000000"/>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Temporary surface storage for at least 100</w:t>
            </w:r>
            <w:r>
              <w:rPr>
                <w:noProof/>
                <w:color w:val="000000" w:themeColor="text1"/>
                <w:sz w:val="20"/>
                <w:szCs w:val="20"/>
                <w:lang w:val="en-GB"/>
              </w:rPr>
              <w:t xml:space="preserve"> years. Operation of geological disposal in 2130.</w:t>
            </w:r>
          </w:p>
        </w:tc>
      </w:tr>
      <w:tr w:rsidR="00EF2BC3" w:rsidTr="00EF2BC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auto"/>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RO</w:t>
            </w:r>
          </w:p>
        </w:tc>
        <w:tc>
          <w:tcPr>
            <w:tcW w:w="1418" w:type="dxa"/>
            <w:tcBorders>
              <w:top w:val="single" w:sz="4" w:space="0" w:color="000000"/>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Waste Disposal Fund (ANDR)</w:t>
            </w:r>
          </w:p>
        </w:tc>
        <w:tc>
          <w:tcPr>
            <w:tcW w:w="992" w:type="dxa"/>
            <w:tcBorders>
              <w:top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000000"/>
              <w:bottom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p w:rsidR="00EF2BC3" w:rsidRDefault="00AF3002">
            <w:pPr>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102 million (2014)</w:t>
            </w:r>
          </w:p>
        </w:tc>
        <w:tc>
          <w:tcPr>
            <w:tcW w:w="1253" w:type="dxa"/>
            <w:tcBorders>
              <w:top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0.15 (2014)</w:t>
            </w:r>
          </w:p>
        </w:tc>
        <w:tc>
          <w:tcPr>
            <w:tcW w:w="1315" w:type="dxa"/>
            <w:tcBorders>
              <w:top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4 - 8 </w:t>
            </w:r>
          </w:p>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687" w:type="dxa"/>
            <w:tcBorders>
              <w:top w:val="single" w:sz="4" w:space="0" w:color="000000"/>
              <w:bottom w:val="single" w:sz="4" w:space="0" w:color="auto"/>
              <w:right w:val="single" w:sz="4" w:space="0" w:color="000000"/>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 xml:space="preserve">4% for new build scenario and 8% without new build. Financing mechanism under revision to address the insufficiency of </w:t>
            </w:r>
            <w:r>
              <w:rPr>
                <w:noProof/>
                <w:color w:val="000000" w:themeColor="text1"/>
                <w:sz w:val="20"/>
                <w:szCs w:val="20"/>
                <w:lang w:val="en-GB"/>
              </w:rPr>
              <w:t>funds</w:t>
            </w:r>
          </w:p>
        </w:tc>
      </w:tr>
    </w:tbl>
    <w:p w:rsidR="00EF2BC3" w:rsidRDefault="00AF3002">
      <w:pPr>
        <w:rPr>
          <w:noProof/>
        </w:rPr>
      </w:pPr>
      <w:r>
        <w:rPr>
          <w:i/>
          <w:iCs/>
          <w:noProof/>
        </w:rPr>
        <w:br w:type="page"/>
      </w:r>
    </w:p>
    <w:tbl>
      <w:tblPr>
        <w:tblStyle w:val="GridTable3-Accent513"/>
        <w:tblW w:w="9464"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532"/>
        <w:gridCol w:w="1418"/>
        <w:gridCol w:w="992"/>
        <w:gridCol w:w="997"/>
        <w:gridCol w:w="1270"/>
        <w:gridCol w:w="1253"/>
        <w:gridCol w:w="1315"/>
        <w:gridCol w:w="1687"/>
      </w:tblGrid>
      <w:tr w:rsidR="00EF2BC3" w:rsidTr="00EF2BC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532" w:type="dxa"/>
            <w:tcBorders>
              <w:top w:val="single" w:sz="4" w:space="0" w:color="auto"/>
              <w:left w:val="single" w:sz="4" w:space="0" w:color="000000"/>
              <w:bottom w:val="single" w:sz="4" w:space="0" w:color="000000"/>
              <w:right w:val="single" w:sz="4" w:space="0" w:color="000000"/>
            </w:tcBorders>
          </w:tcPr>
          <w:p w:rsidR="00EF2BC3" w:rsidRDefault="00EF2BC3">
            <w:pPr>
              <w:spacing w:line="276" w:lineRule="auto"/>
              <w:rPr>
                <w:rFonts w:eastAsia="Times New Roman"/>
                <w:b w:val="0"/>
                <w:bCs w:val="0"/>
                <w:i w:val="0"/>
                <w:noProof/>
                <w:color w:val="000000" w:themeColor="text1"/>
                <w:sz w:val="20"/>
                <w:szCs w:val="20"/>
                <w:lang w:val="en-GB"/>
              </w:rPr>
            </w:pPr>
          </w:p>
        </w:tc>
        <w:tc>
          <w:tcPr>
            <w:tcW w:w="1418" w:type="dxa"/>
            <w:tcBorders>
              <w:top w:val="single" w:sz="4" w:space="0" w:color="auto"/>
              <w:left w:val="single" w:sz="4" w:space="0" w:color="000000"/>
              <w:bottom w:val="single" w:sz="4" w:space="0" w:color="000000"/>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b w:val="0"/>
                <w:noProof/>
                <w:color w:val="000000" w:themeColor="text1"/>
                <w:sz w:val="20"/>
                <w:szCs w:val="20"/>
                <w:lang w:val="en-GB"/>
              </w:rPr>
            </w:pPr>
            <w:r>
              <w:rPr>
                <w:b w:val="0"/>
                <w:noProof/>
                <w:color w:val="000000" w:themeColor="text1"/>
                <w:sz w:val="20"/>
                <w:szCs w:val="20"/>
                <w:lang w:val="en-GB"/>
              </w:rPr>
              <w:t>Decommissioning Fund</w:t>
            </w:r>
          </w:p>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b w:val="0"/>
                <w:noProof/>
                <w:color w:val="000000" w:themeColor="text1"/>
                <w:sz w:val="20"/>
                <w:szCs w:val="20"/>
                <w:lang w:val="en-GB"/>
              </w:rPr>
              <w:t>(ANDR)</w:t>
            </w:r>
          </w:p>
        </w:tc>
        <w:tc>
          <w:tcPr>
            <w:tcW w:w="992" w:type="dxa"/>
            <w:tcBorders>
              <w:top w:val="single" w:sz="4" w:space="0" w:color="auto"/>
              <w:bottom w:val="single" w:sz="4" w:space="0" w:color="000000"/>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Annual fees</w:t>
            </w:r>
          </w:p>
        </w:tc>
        <w:tc>
          <w:tcPr>
            <w:tcW w:w="997" w:type="dxa"/>
            <w:tcBorders>
              <w:top w:val="single" w:sz="4" w:space="0" w:color="auto"/>
              <w:bottom w:val="single" w:sz="4" w:space="0" w:color="000000"/>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E</w:t>
            </w:r>
          </w:p>
        </w:tc>
        <w:tc>
          <w:tcPr>
            <w:tcW w:w="1270" w:type="dxa"/>
            <w:tcBorders>
              <w:top w:val="single" w:sz="4" w:space="0" w:color="auto"/>
              <w:bottom w:val="single" w:sz="4" w:space="0" w:color="000000"/>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b w:val="0"/>
                <w:noProof/>
                <w:color w:val="000000" w:themeColor="text1"/>
                <w:sz w:val="20"/>
                <w:szCs w:val="20"/>
                <w:lang w:val="en-GB"/>
              </w:rPr>
              <w:t>47 million (2014)</w:t>
            </w:r>
          </w:p>
        </w:tc>
        <w:tc>
          <w:tcPr>
            <w:tcW w:w="1253" w:type="dxa"/>
            <w:tcBorders>
              <w:top w:val="single" w:sz="4" w:space="0" w:color="auto"/>
              <w:bottom w:val="single" w:sz="4" w:space="0" w:color="000000"/>
            </w:tcBorders>
            <w:shd w:val="clear" w:color="auto" w:fill="C6D9F1" w:themeFill="text2" w:themeFillTint="33"/>
          </w:tcPr>
          <w:p w:rsidR="00EF2BC3" w:rsidRDefault="00EF2BC3">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315" w:type="dxa"/>
            <w:tcBorders>
              <w:top w:val="single" w:sz="4" w:space="0" w:color="auto"/>
              <w:bottom w:val="single" w:sz="4" w:space="0" w:color="000000"/>
            </w:tcBorders>
            <w:shd w:val="clear" w:color="auto" w:fill="C6D9F1" w:themeFill="text2" w:themeFillTint="33"/>
          </w:tcPr>
          <w:p w:rsidR="00EF2BC3" w:rsidRDefault="00EF2BC3">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687" w:type="dxa"/>
            <w:tcBorders>
              <w:top w:val="single" w:sz="4" w:space="0" w:color="auto"/>
              <w:bottom w:val="single" w:sz="4" w:space="0" w:color="000000"/>
              <w:right w:val="single" w:sz="4" w:space="0" w:color="000000"/>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b w:val="0"/>
                <w:noProof/>
                <w:color w:val="000000" w:themeColor="text1"/>
                <w:sz w:val="20"/>
                <w:szCs w:val="20"/>
                <w:lang w:val="en-GB"/>
              </w:rPr>
              <w:t>209 million Lei (€47 million)</w:t>
            </w:r>
          </w:p>
        </w:tc>
      </w:tr>
      <w:tr w:rsidR="00EF2BC3" w:rsidTr="00EF2BC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shd w:val="clear" w:color="auto" w:fill="auto"/>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ES</w:t>
            </w:r>
          </w:p>
        </w:tc>
        <w:tc>
          <w:tcPr>
            <w:tcW w:w="1418" w:type="dxa"/>
            <w:tcBorders>
              <w:top w:val="single" w:sz="4" w:space="0" w:color="000000"/>
              <w:left w:val="single" w:sz="4" w:space="0" w:color="000000"/>
              <w:bottom w:val="single" w:sz="4" w:space="0" w:color="auto"/>
            </w:tcBorders>
            <w:shd w:val="clear" w:color="auto" w:fill="auto"/>
          </w:tcPr>
          <w:p w:rsidR="00EF2BC3" w:rsidRDefault="00AF3002">
            <w:pPr>
              <w:shd w:val="clear" w:color="auto" w:fill="FFFFFF"/>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noProof/>
                <w:sz w:val="20"/>
                <w:szCs w:val="20"/>
                <w:lang w:val="en-GB"/>
              </w:rPr>
            </w:pPr>
            <w:r>
              <w:rPr>
                <w:noProof/>
                <w:sz w:val="20"/>
                <w:szCs w:val="20"/>
                <w:lang w:val="en-GB"/>
              </w:rPr>
              <w:t xml:space="preserve">Fund for the financing of activities included in the General Radioactive Waste Plan </w:t>
            </w:r>
          </w:p>
        </w:tc>
        <w:tc>
          <w:tcPr>
            <w:tcW w:w="992"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19.96 (from 2015</w:t>
            </w:r>
          </w:p>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onward)</w:t>
            </w:r>
          </w:p>
        </w:tc>
        <w:tc>
          <w:tcPr>
            <w:tcW w:w="1253"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5.2</w:t>
            </w:r>
          </w:p>
        </w:tc>
        <w:tc>
          <w:tcPr>
            <w:tcW w:w="1315"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35</w:t>
            </w:r>
            <w:r>
              <w:rPr>
                <w:rStyle w:val="FootnoteReference"/>
                <w:rFonts w:eastAsia="Times New Roman"/>
                <w:noProof/>
                <w:color w:val="000000" w:themeColor="text1"/>
                <w:sz w:val="20"/>
                <w:szCs w:val="20"/>
                <w:lang w:val="en-GB"/>
              </w:rPr>
              <w:footnoteReference w:id="50"/>
            </w:r>
            <w:r>
              <w:rPr>
                <w:rFonts w:eastAsia="Times New Roman"/>
                <w:noProof/>
                <w:color w:val="000000" w:themeColor="text1"/>
                <w:sz w:val="20"/>
                <w:szCs w:val="20"/>
                <w:lang w:val="en-GB"/>
              </w:rPr>
              <w:t xml:space="preserve"> </w:t>
            </w:r>
          </w:p>
        </w:tc>
        <w:tc>
          <w:tcPr>
            <w:tcW w:w="1687" w:type="dxa"/>
            <w:tcBorders>
              <w:top w:val="single" w:sz="4" w:space="0" w:color="000000"/>
              <w:bottom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 xml:space="preserve">costs to 2085; future costs considered only </w:t>
            </w:r>
          </w:p>
        </w:tc>
      </w:tr>
      <w:tr w:rsidR="00EF2BC3" w:rsidTr="00EF2BC3">
        <w:trPr>
          <w:trHeight w:val="2130"/>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SI</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Fund for Financing the Decommissioning and Management of Radioactive</w:t>
            </w:r>
          </w:p>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Waste from the Krško NPP</w:t>
            </w:r>
          </w:p>
        </w:tc>
        <w:tc>
          <w:tcPr>
            <w:tcW w:w="992"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auto"/>
            </w:tcBorders>
            <w:shd w:val="clear" w:color="auto" w:fill="C6D9F1" w:themeFill="text2" w:themeFillTint="33"/>
          </w:tcPr>
          <w:p w:rsidR="00EF2BC3" w:rsidRDefault="00AF3002">
            <w:pPr>
              <w:tabs>
                <w:tab w:val="left" w:pos="440"/>
              </w:tabs>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b/>
              <w:t>0.04</w:t>
            </w:r>
          </w:p>
          <w:p w:rsidR="00EF2BC3" w:rsidRDefault="00EF2BC3">
            <w:pPr>
              <w:tabs>
                <w:tab w:val="left" w:pos="440"/>
              </w:tabs>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0.04</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13</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Estimates only made for period 2006-2015.</w:t>
            </w:r>
            <w:r>
              <w:rPr>
                <w:noProof/>
                <w:sz w:val="20"/>
                <w:szCs w:val="20"/>
                <w:lang w:val="en-GB"/>
              </w:rPr>
              <w:t xml:space="preserve"> financing the decommissioning of the NPP and for the disposal of NPP radioactive waste </w:t>
            </w:r>
          </w:p>
        </w:tc>
      </w:tr>
      <w:tr w:rsidR="00EF2BC3" w:rsidTr="00EF2BC3">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532" w:type="dxa"/>
            <w:vMerge w:val="restart"/>
            <w:tcBorders>
              <w:top w:val="single" w:sz="4" w:space="0" w:color="000000"/>
              <w:left w:val="single" w:sz="4" w:space="0" w:color="000000"/>
              <w:bottom w:val="single" w:sz="4" w:space="0" w:color="000000"/>
              <w:right w:val="single" w:sz="4" w:space="0" w:color="auto"/>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SE</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Nuclear Waste Fund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sz w:val="20"/>
                <w:szCs w:val="20"/>
                <w:lang w:val="en-GB"/>
              </w:rPr>
              <w:t>SEK 56 bn. and 19 bn SEK guarantees</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76.3 bn</w:t>
            </w:r>
            <w:r>
              <w:rPr>
                <w:noProof/>
                <w:color w:val="000000" w:themeColor="text1"/>
                <w:sz w:val="20"/>
                <w:szCs w:val="20"/>
                <w:lang w:val="en-GB"/>
              </w:rPr>
              <w:t xml:space="preserve"> SEK</w:t>
            </w:r>
            <w:r>
              <w:rPr>
                <w:rFonts w:eastAsia="Times New Roman"/>
                <w:noProof/>
                <w:color w:val="000000" w:themeColor="text1"/>
                <w:sz w:val="20"/>
                <w:szCs w:val="20"/>
                <w:lang w:val="en-GB"/>
              </w:rPr>
              <w:t xml:space="preserve"> (2015)</w:t>
            </w:r>
          </w:p>
        </w:tc>
        <w:tc>
          <w:tcPr>
            <w:tcW w:w="1315" w:type="dxa"/>
            <w:vMerge w:val="restart"/>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75</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 xml:space="preserve">Total of 76.3 bn SEK. </w:t>
            </w:r>
          </w:p>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Only remaining costs considered.</w:t>
            </w:r>
          </w:p>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 xml:space="preserve">56% coverage if </w:t>
            </w:r>
            <w:r>
              <w:rPr>
                <w:rFonts w:eastAsia="Times New Roman"/>
                <w:noProof/>
                <w:color w:val="000000"/>
                <w:sz w:val="20"/>
                <w:szCs w:val="20"/>
                <w:lang w:val="en-GB"/>
              </w:rPr>
              <w:t>guarantees are excluded</w:t>
            </w:r>
          </w:p>
        </w:tc>
      </w:tr>
      <w:tr w:rsidR="00EF2BC3" w:rsidTr="00EF2BC3">
        <w:trPr>
          <w:trHeight w:val="292"/>
        </w:trPr>
        <w:tc>
          <w:tcPr>
            <w:cnfStyle w:val="001000000000" w:firstRow="0" w:lastRow="0" w:firstColumn="1" w:lastColumn="0" w:oddVBand="0" w:evenVBand="0" w:oddHBand="0" w:evenHBand="0" w:firstRowFirstColumn="0" w:firstRowLastColumn="0" w:lastRowFirstColumn="0" w:lastRowLastColumn="0"/>
            <w:tcW w:w="532" w:type="dxa"/>
            <w:vMerge/>
            <w:tcBorders>
              <w:top w:val="single" w:sz="4" w:space="0" w:color="000000"/>
              <w:left w:val="single" w:sz="4" w:space="0" w:color="000000"/>
              <w:bottom w:val="single" w:sz="4" w:space="0" w:color="000000"/>
              <w:right w:val="single" w:sz="4" w:space="0" w:color="000000"/>
            </w:tcBorders>
          </w:tcPr>
          <w:p w:rsidR="00EF2BC3" w:rsidRDefault="00EF2BC3">
            <w:pPr>
              <w:spacing w:line="276" w:lineRule="auto"/>
              <w:jc w:val="left"/>
              <w:rPr>
                <w:rFonts w:eastAsia="Times New Roman"/>
                <w:bCs/>
                <w:i w:val="0"/>
                <w:iCs w:val="0"/>
                <w:noProof/>
                <w:color w:val="000000" w:themeColor="text1"/>
                <w:sz w:val="20"/>
                <w:szCs w:val="20"/>
                <w:lang w:val="en-GB"/>
              </w:rPr>
            </w:pPr>
          </w:p>
        </w:tc>
        <w:tc>
          <w:tcPr>
            <w:tcW w:w="1418" w:type="dxa"/>
            <w:tcBorders>
              <w:top w:val="single" w:sz="4" w:space="0" w:color="auto"/>
              <w:left w:val="single" w:sz="4" w:space="0" w:color="000000"/>
              <w:bottom w:val="single" w:sz="4" w:space="0" w:color="auto"/>
              <w:right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Studsvik Legacy Fund</w:t>
            </w:r>
          </w:p>
        </w:tc>
        <w:tc>
          <w:tcPr>
            <w:tcW w:w="992" w:type="dxa"/>
            <w:tcBorders>
              <w:top w:val="single" w:sz="4" w:space="0" w:color="auto"/>
              <w:left w:val="single" w:sz="4" w:space="0" w:color="auto"/>
              <w:bottom w:val="single" w:sz="4" w:space="0" w:color="auto"/>
              <w:right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left w:val="single" w:sz="4" w:space="0" w:color="auto"/>
              <w:bottom w:val="single" w:sz="4" w:space="0" w:color="auto"/>
              <w:right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w:t>
            </w:r>
          </w:p>
        </w:tc>
        <w:tc>
          <w:tcPr>
            <w:tcW w:w="1270" w:type="dxa"/>
            <w:tcBorders>
              <w:top w:val="single" w:sz="4" w:space="0" w:color="auto"/>
              <w:left w:val="single" w:sz="4" w:space="0" w:color="auto"/>
              <w:bottom w:val="single" w:sz="4" w:space="0" w:color="auto"/>
              <w:right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1.3 bn SEK (2013)</w:t>
            </w:r>
          </w:p>
        </w:tc>
        <w:tc>
          <w:tcPr>
            <w:tcW w:w="1253" w:type="dxa"/>
            <w:vMerge/>
            <w:tcBorders>
              <w:top w:val="single" w:sz="4" w:space="0" w:color="auto"/>
              <w:left w:val="single" w:sz="4" w:space="0" w:color="auto"/>
              <w:bottom w:val="single" w:sz="4" w:space="0" w:color="auto"/>
              <w:right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315" w:type="dxa"/>
            <w:vMerge/>
            <w:tcBorders>
              <w:top w:val="single" w:sz="4" w:space="0" w:color="auto"/>
              <w:left w:val="single" w:sz="4" w:space="0" w:color="auto"/>
              <w:bottom w:val="single" w:sz="4" w:space="0" w:color="auto"/>
              <w:right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687" w:type="dxa"/>
            <w:vMerge/>
            <w:tcBorders>
              <w:top w:val="single" w:sz="4" w:space="0" w:color="auto"/>
              <w:left w:val="single" w:sz="4" w:space="0" w:color="auto"/>
              <w:bottom w:val="single" w:sz="4" w:space="0" w:color="auto"/>
            </w:tcBorders>
            <w:shd w:val="clear" w:color="auto" w:fill="FFFFFF" w:themeFill="background1"/>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2" w:type="dxa"/>
            <w:vMerge/>
            <w:tcBorders>
              <w:top w:val="single" w:sz="4" w:space="0" w:color="000000"/>
              <w:left w:val="single" w:sz="4" w:space="0" w:color="000000"/>
              <w:bottom w:val="single" w:sz="4" w:space="0" w:color="000000"/>
              <w:right w:val="single" w:sz="4" w:space="0" w:color="000000"/>
            </w:tcBorders>
          </w:tcPr>
          <w:p w:rsidR="00EF2BC3" w:rsidRDefault="00EF2BC3">
            <w:pPr>
              <w:spacing w:line="276" w:lineRule="auto"/>
              <w:jc w:val="left"/>
              <w:rPr>
                <w:rFonts w:eastAsia="Times New Roman"/>
                <w:bCs/>
                <w:i w:val="0"/>
                <w:iCs w:val="0"/>
                <w:noProof/>
                <w:color w:val="000000" w:themeColor="text1"/>
                <w:sz w:val="20"/>
                <w:szCs w:val="20"/>
                <w:lang w:val="en-GB"/>
              </w:rPr>
            </w:pPr>
          </w:p>
        </w:tc>
        <w:tc>
          <w:tcPr>
            <w:tcW w:w="1418" w:type="dxa"/>
            <w:tcBorders>
              <w:top w:val="single" w:sz="4" w:space="0" w:color="auto"/>
              <w:left w:val="single" w:sz="4" w:space="0" w:color="000000"/>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sz w:val="20"/>
                <w:szCs w:val="20"/>
                <w:lang w:val="en-GB"/>
              </w:rPr>
              <w:t>Non-nuclear waste ma</w:t>
            </w:r>
            <w:r>
              <w:rPr>
                <w:rFonts w:eastAsia="Times New Roman"/>
                <w:noProof/>
                <w:color w:val="000000"/>
                <w:sz w:val="20"/>
                <w:szCs w:val="20"/>
                <w:lang w:val="en-GB"/>
              </w:rPr>
              <w:softHyphen/>
              <w:t>nage</w:t>
            </w:r>
            <w:r>
              <w:rPr>
                <w:rFonts w:eastAsia="Times New Roman"/>
                <w:noProof/>
                <w:color w:val="000000"/>
                <w:sz w:val="20"/>
                <w:szCs w:val="20"/>
                <w:lang w:val="en-GB"/>
              </w:rPr>
              <w:softHyphen/>
              <w:t>ment of orphan sources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127 mill SEK </w:t>
            </w:r>
          </w:p>
        </w:tc>
        <w:tc>
          <w:tcPr>
            <w:tcW w:w="1253" w:type="dxa"/>
            <w:vMerge/>
            <w:tcBorders>
              <w:top w:val="single" w:sz="4" w:space="0" w:color="auto"/>
              <w:left w:val="single" w:sz="4" w:space="0" w:color="auto"/>
              <w:bottom w:val="single" w:sz="4" w:space="0" w:color="auto"/>
              <w:right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315" w:type="dxa"/>
            <w:vMerge/>
            <w:tcBorders>
              <w:top w:val="single" w:sz="4" w:space="0" w:color="auto"/>
              <w:left w:val="single" w:sz="4" w:space="0" w:color="auto"/>
              <w:bottom w:val="single" w:sz="4" w:space="0" w:color="auto"/>
              <w:right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687" w:type="dxa"/>
            <w:vMerge/>
            <w:tcBorders>
              <w:top w:val="single" w:sz="4" w:space="0" w:color="auto"/>
              <w:left w:val="single" w:sz="4" w:space="0" w:color="auto"/>
              <w:bottom w:val="single" w:sz="4" w:space="0" w:color="auto"/>
            </w:tcBorders>
            <w:shd w:val="clear" w:color="auto" w:fill="FFFFFF" w:themeFill="background1"/>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r>
      <w:tr w:rsidR="00EF2BC3" w:rsidTr="00EF2BC3">
        <w:trPr>
          <w:trHeight w:val="1067"/>
        </w:trPr>
        <w:tc>
          <w:tcPr>
            <w:cnfStyle w:val="001000000000" w:firstRow="0" w:lastRow="0" w:firstColumn="1" w:lastColumn="0" w:oddVBand="0" w:evenVBand="0" w:oddHBand="0" w:evenHBand="0" w:firstRowFirstColumn="0" w:firstRowLastColumn="0" w:lastRowFirstColumn="0" w:lastRowLastColumn="0"/>
            <w:tcW w:w="532" w:type="dxa"/>
            <w:vMerge w:val="restart"/>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UK</w:t>
            </w:r>
          </w:p>
        </w:tc>
        <w:tc>
          <w:tcPr>
            <w:tcW w:w="1418" w:type="dxa"/>
            <w:tcBorders>
              <w:left w:val="single" w:sz="4" w:space="0" w:color="000000"/>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NDA Fund</w:t>
            </w:r>
          </w:p>
        </w:tc>
        <w:tc>
          <w:tcPr>
            <w:tcW w:w="992"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State funds</w:t>
            </w:r>
          </w:p>
        </w:tc>
        <w:tc>
          <w:tcPr>
            <w:tcW w:w="997" w:type="dxa"/>
            <w:tcBorders>
              <w:top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 83.8 (2015)</w:t>
            </w:r>
          </w:p>
        </w:tc>
        <w:tc>
          <w:tcPr>
            <w:tcW w:w="1253"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315"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30-70 depending on the scenarios</w:t>
            </w: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p>
        </w:tc>
        <w:tc>
          <w:tcPr>
            <w:tcW w:w="1687"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rFonts w:eastAsia="Times New Roman"/>
                <w:noProof/>
                <w:color w:val="000000" w:themeColor="text1"/>
                <w:sz w:val="20"/>
                <w:szCs w:val="20"/>
                <w:lang w:val="en-GB"/>
              </w:rPr>
              <w:t xml:space="preserve">67 bn </w:t>
            </w:r>
            <w:r>
              <w:rPr>
                <w:bCs/>
                <w:noProof/>
                <w:color w:val="000000"/>
                <w:sz w:val="20"/>
                <w:szCs w:val="20"/>
                <w:lang w:val="en-GB"/>
              </w:rPr>
              <w:t>£</w:t>
            </w:r>
            <w:r>
              <w:rPr>
                <w:rFonts w:eastAsia="Times New Roman"/>
                <w:noProof/>
                <w:color w:val="000000" w:themeColor="text1"/>
                <w:sz w:val="20"/>
                <w:szCs w:val="20"/>
                <w:lang w:val="en-GB"/>
              </w:rPr>
              <w:t xml:space="preserve"> = (0.8P/€) (activities until 2130, and total NDA cost between 95-218 bn </w:t>
            </w:r>
            <w:r>
              <w:rPr>
                <w:bCs/>
                <w:noProof/>
                <w:color w:val="000000"/>
                <w:sz w:val="20"/>
                <w:szCs w:val="20"/>
                <w:lang w:val="en-GB"/>
              </w:rPr>
              <w:t>£</w:t>
            </w:r>
            <w:r>
              <w:rPr>
                <w:rFonts w:eastAsia="Times New Roman"/>
                <w:noProof/>
                <w:color w:val="000000" w:themeColor="text1"/>
                <w:sz w:val="20"/>
                <w:szCs w:val="20"/>
                <w:lang w:val="en-GB"/>
              </w:rPr>
              <w:t>)</w:t>
            </w:r>
          </w:p>
        </w:tc>
      </w:tr>
      <w:tr w:rsidR="00EF2BC3" w:rsidTr="00EF2BC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532" w:type="dxa"/>
            <w:vMerge/>
            <w:tcBorders>
              <w:top w:val="single" w:sz="4" w:space="0" w:color="000000"/>
              <w:left w:val="single" w:sz="4" w:space="0" w:color="000000"/>
              <w:bottom w:val="single" w:sz="4" w:space="0" w:color="000000"/>
              <w:right w:val="single" w:sz="4" w:space="0" w:color="000000"/>
            </w:tcBorders>
          </w:tcPr>
          <w:p w:rsidR="00EF2BC3" w:rsidRDefault="00EF2BC3">
            <w:pPr>
              <w:spacing w:line="276" w:lineRule="auto"/>
              <w:jc w:val="left"/>
              <w:rPr>
                <w:rFonts w:eastAsia="Times New Roman"/>
                <w:bCs/>
                <w:i w:val="0"/>
                <w:iCs w:val="0"/>
                <w:noProof/>
                <w:color w:val="000000" w:themeColor="text1"/>
                <w:sz w:val="20"/>
                <w:szCs w:val="20"/>
                <w:lang w:val="en-GB"/>
              </w:rPr>
            </w:pP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Nuclear Liabilities Fund</w:t>
            </w:r>
          </w:p>
        </w:tc>
        <w:tc>
          <w:tcPr>
            <w:tcW w:w="992" w:type="dxa"/>
            <w:tcBorders>
              <w:top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w:t>
            </w:r>
          </w:p>
        </w:tc>
        <w:tc>
          <w:tcPr>
            <w:tcW w:w="997" w:type="dxa"/>
            <w:tcBorders>
              <w:top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sz w:val="20"/>
                <w:szCs w:val="20"/>
                <w:lang w:val="en-GB"/>
              </w:rPr>
              <w:t>8.3 (2015)</w:t>
            </w:r>
          </w:p>
        </w:tc>
        <w:tc>
          <w:tcPr>
            <w:tcW w:w="1253" w:type="dxa"/>
            <w:tcBorders>
              <w:top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315" w:type="dxa"/>
            <w:tcBorders>
              <w:top w:val="single" w:sz="4" w:space="0" w:color="auto"/>
            </w:tcBorders>
            <w:shd w:val="clear" w:color="auto" w:fill="C6D9F1" w:themeFill="text2" w:themeFillTint="33"/>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p>
        </w:tc>
        <w:tc>
          <w:tcPr>
            <w:tcW w:w="1687" w:type="dxa"/>
            <w:tcBorders>
              <w:top w:val="single" w:sz="4" w:space="0" w:color="auto"/>
            </w:tcBorders>
            <w:shd w:val="clear" w:color="auto" w:fill="C6D9F1" w:themeFill="text2" w:themeFillTint="33"/>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rFonts w:eastAsia="Times New Roman"/>
                <w:noProof/>
                <w:color w:val="000000"/>
                <w:sz w:val="20"/>
                <w:szCs w:val="20"/>
                <w:lang w:val="en-GB"/>
              </w:rPr>
              <w:t xml:space="preserve">8.3 bn </w:t>
            </w:r>
            <w:r>
              <w:rPr>
                <w:bCs/>
                <w:noProof/>
                <w:color w:val="000000"/>
                <w:sz w:val="20"/>
                <w:szCs w:val="20"/>
                <w:lang w:val="en-GB"/>
              </w:rPr>
              <w:t>£</w:t>
            </w:r>
            <w:r>
              <w:rPr>
                <w:rFonts w:eastAsia="Times New Roman"/>
                <w:noProof/>
                <w:color w:val="000000"/>
                <w:sz w:val="20"/>
                <w:szCs w:val="20"/>
                <w:lang w:val="en-GB"/>
              </w:rPr>
              <w:t xml:space="preserve"> (2015)</w:t>
            </w:r>
          </w:p>
        </w:tc>
      </w:tr>
      <w:tr w:rsidR="00EF2BC3" w:rsidTr="00EF2BC3">
        <w:trPr>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auto"/>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HR</w:t>
            </w:r>
          </w:p>
        </w:tc>
        <w:tc>
          <w:tcPr>
            <w:tcW w:w="1418" w:type="dxa"/>
            <w:tcBorders>
              <w:top w:val="single" w:sz="4" w:space="0" w:color="auto"/>
              <w:left w:val="single" w:sz="4" w:space="0" w:color="auto"/>
              <w:bottom w:val="single" w:sz="4" w:space="0" w:color="auto"/>
              <w:right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Fund for Fi</w:t>
            </w:r>
            <w:r>
              <w:rPr>
                <w:noProof/>
                <w:color w:val="000000" w:themeColor="text1"/>
                <w:sz w:val="20"/>
                <w:szCs w:val="20"/>
                <w:lang w:val="en-GB"/>
              </w:rPr>
              <w:softHyphen/>
              <w:t>nan</w:t>
            </w:r>
            <w:r>
              <w:rPr>
                <w:noProof/>
                <w:color w:val="000000" w:themeColor="text1"/>
                <w:sz w:val="20"/>
                <w:szCs w:val="20"/>
                <w:lang w:val="en-GB"/>
              </w:rPr>
              <w:softHyphen/>
              <w:t>cing the De</w:t>
            </w:r>
            <w:r>
              <w:rPr>
                <w:noProof/>
                <w:color w:val="000000" w:themeColor="text1"/>
                <w:sz w:val="20"/>
                <w:szCs w:val="20"/>
                <w:lang w:val="en-GB"/>
              </w:rPr>
              <w:softHyphen/>
              <w:t>commis</w:t>
            </w:r>
            <w:r>
              <w:rPr>
                <w:noProof/>
                <w:color w:val="000000" w:themeColor="text1"/>
                <w:sz w:val="20"/>
                <w:szCs w:val="20"/>
                <w:lang w:val="en-GB"/>
              </w:rPr>
              <w:softHyphen/>
              <w:t>sioning of the Krško Nuclear Power Plant and the Dis</w:t>
            </w:r>
            <w:r>
              <w:rPr>
                <w:noProof/>
                <w:color w:val="000000" w:themeColor="text1"/>
                <w:sz w:val="20"/>
                <w:szCs w:val="20"/>
                <w:lang w:val="en-GB"/>
              </w:rPr>
              <w:softHyphen/>
              <w:t xml:space="preserve">posal of NPP RAW </w:t>
            </w:r>
            <w:r>
              <w:rPr>
                <w:noProof/>
                <w:color w:val="000000" w:themeColor="text1"/>
                <w:sz w:val="20"/>
                <w:szCs w:val="20"/>
                <w:lang w:val="en-GB"/>
              </w:rPr>
              <w:t>and SF</w:t>
            </w:r>
          </w:p>
        </w:tc>
        <w:tc>
          <w:tcPr>
            <w:tcW w:w="992" w:type="dxa"/>
            <w:tcBorders>
              <w:left w:val="single" w:sz="4" w:space="0" w:color="auto"/>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Annual fees</w:t>
            </w:r>
          </w:p>
        </w:tc>
        <w:tc>
          <w:tcPr>
            <w:tcW w:w="997" w:type="dxa"/>
            <w:tcBorders>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0.2 (2013)</w:t>
            </w:r>
          </w:p>
        </w:tc>
        <w:tc>
          <w:tcPr>
            <w:tcW w:w="1253" w:type="dxa"/>
            <w:tcBorders>
              <w:bottom w:val="single" w:sz="4" w:space="0" w:color="auto"/>
            </w:tcBorders>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315" w:type="dxa"/>
            <w:tcBorders>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22</w:t>
            </w:r>
          </w:p>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687" w:type="dxa"/>
            <w:tcBorders>
              <w:bottom w:val="single" w:sz="4" w:space="0" w:color="auto"/>
            </w:tcBorders>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sz w:val="20"/>
                <w:szCs w:val="20"/>
                <w:lang w:val="en-GB"/>
              </w:rPr>
              <w:t xml:space="preserve">0.16 bn € as at 2013, if reactor extension is up to 2043 then estimated to 0.54bill € </w:t>
            </w:r>
          </w:p>
        </w:tc>
      </w:tr>
    </w:tbl>
    <w:p w:rsidR="00EF2BC3" w:rsidRDefault="00AF3002">
      <w:pPr>
        <w:rPr>
          <w:noProof/>
        </w:rPr>
      </w:pPr>
      <w:r>
        <w:rPr>
          <w:i/>
          <w:iCs/>
          <w:noProof/>
        </w:rPr>
        <w:br w:type="page"/>
      </w:r>
    </w:p>
    <w:tbl>
      <w:tblPr>
        <w:tblStyle w:val="GridTable3-Accent513"/>
        <w:tblW w:w="9464" w:type="dxa"/>
        <w:tblBorders>
          <w:top w:val="none" w:sz="0"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532"/>
        <w:gridCol w:w="1418"/>
        <w:gridCol w:w="1038"/>
        <w:gridCol w:w="951"/>
        <w:gridCol w:w="1270"/>
        <w:gridCol w:w="1253"/>
        <w:gridCol w:w="1315"/>
        <w:gridCol w:w="1687"/>
      </w:tblGrid>
      <w:tr w:rsidR="00EF2BC3" w:rsidTr="00EF2BC3">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 w:val="0"/>
                <w:bCs w:val="0"/>
                <w:i w:val="0"/>
                <w:iCs w:val="0"/>
                <w:noProof/>
                <w:color w:val="000000" w:themeColor="text1"/>
                <w:sz w:val="20"/>
                <w:szCs w:val="20"/>
                <w:lang w:val="en-GB"/>
              </w:rPr>
            </w:pPr>
            <w:r>
              <w:rPr>
                <w:rFonts w:eastAsia="Times New Roman"/>
                <w:b w:val="0"/>
                <w:bCs w:val="0"/>
                <w:i w:val="0"/>
                <w:noProof/>
                <w:color w:val="000000" w:themeColor="text1"/>
                <w:sz w:val="20"/>
                <w:szCs w:val="20"/>
                <w:lang w:val="en-GB"/>
              </w:rPr>
              <w:t>AT</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Final disposal fees paid to the Government</w:t>
            </w:r>
          </w:p>
        </w:tc>
        <w:tc>
          <w:tcPr>
            <w:tcW w:w="1038"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Fees for treat</w:t>
            </w:r>
            <w:r>
              <w:rPr>
                <w:rFonts w:eastAsia="Times New Roman"/>
                <w:b w:val="0"/>
                <w:noProof/>
                <w:color w:val="000000" w:themeColor="text1"/>
                <w:sz w:val="20"/>
                <w:szCs w:val="20"/>
                <w:lang w:val="en-GB"/>
              </w:rPr>
              <w:softHyphen/>
              <w:t>ment and dis</w:t>
            </w:r>
            <w:r>
              <w:rPr>
                <w:rFonts w:eastAsia="Times New Roman"/>
                <w:b w:val="0"/>
                <w:noProof/>
                <w:color w:val="000000" w:themeColor="text1"/>
                <w:sz w:val="20"/>
                <w:szCs w:val="20"/>
                <w:lang w:val="en-GB"/>
              </w:rPr>
              <w:softHyphen/>
              <w:t>po</w:t>
            </w:r>
            <w:r>
              <w:rPr>
                <w:rFonts w:eastAsia="Times New Roman"/>
                <w:b w:val="0"/>
                <w:noProof/>
                <w:color w:val="000000" w:themeColor="text1"/>
                <w:sz w:val="20"/>
                <w:szCs w:val="20"/>
                <w:lang w:val="en-GB"/>
              </w:rPr>
              <w:softHyphen/>
              <w:t>sal</w:t>
            </w:r>
          </w:p>
        </w:tc>
        <w:tc>
          <w:tcPr>
            <w:tcW w:w="951"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rFonts w:eastAsia="Times New Roman"/>
                <w:b w:val="0"/>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r>
              <w:rPr>
                <w:b w:val="0"/>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100000000000" w:firstRow="1" w:lastRow="0" w:firstColumn="0" w:lastColumn="0" w:oddVBand="0" w:evenVBand="0" w:oddHBand="0" w:evenHBand="0" w:firstRowFirstColumn="0" w:firstRowLastColumn="0" w:lastRowFirstColumn="0" w:lastRowLastColumn="0"/>
              <w:rPr>
                <w:b w:val="0"/>
                <w:noProof/>
                <w:color w:val="000000" w:themeColor="text1"/>
                <w:sz w:val="20"/>
                <w:szCs w:val="20"/>
                <w:lang w:val="en-GB"/>
              </w:rPr>
            </w:pPr>
            <w:r>
              <w:rPr>
                <w:b w:val="0"/>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b w:val="0"/>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bCs/>
                <w:i w:val="0"/>
                <w:noProof/>
                <w:color w:val="000000" w:themeColor="text1"/>
                <w:sz w:val="20"/>
                <w:szCs w:val="20"/>
                <w:lang w:val="en-GB"/>
              </w:rPr>
              <w:t>EL</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Fund yet to be established </w:t>
            </w:r>
          </w:p>
        </w:tc>
        <w:tc>
          <w:tcPr>
            <w:tcW w:w="1038"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951"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sz w:val="20"/>
                <w:szCs w:val="20"/>
                <w:lang w:val="en-GB"/>
              </w:rPr>
            </w:pPr>
            <w:r>
              <w:rPr>
                <w:rFonts w:eastAsia="Times New Roman"/>
                <w:noProof/>
                <w:color w:val="000000"/>
                <w:sz w:val="20"/>
                <w:szCs w:val="20"/>
                <w:lang w:val="en-GB"/>
              </w:rPr>
              <w:t xml:space="preserve">4.6 mill€ costs over 5 years for collection &amp; storage of disused radioactive sealed sources. </w:t>
            </w:r>
          </w:p>
        </w:tc>
      </w:tr>
      <w:tr w:rsidR="00EF2BC3" w:rsidTr="00EF2BC3">
        <w:trPr>
          <w:trHeight w:val="213"/>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bCs/>
                <w:i w:val="0"/>
                <w:iCs w:val="0"/>
                <w:noProof/>
                <w:color w:val="000000" w:themeColor="text1"/>
                <w:sz w:val="20"/>
                <w:szCs w:val="20"/>
                <w:lang w:val="en-GB"/>
              </w:rPr>
            </w:pPr>
            <w:r>
              <w:rPr>
                <w:rFonts w:eastAsia="Times New Roman"/>
                <w:i w:val="0"/>
                <w:noProof/>
                <w:color w:val="000000" w:themeColor="text1"/>
                <w:sz w:val="20"/>
                <w:szCs w:val="20"/>
                <w:lang w:val="en-GB"/>
              </w:rPr>
              <w:t>DK</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038"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951"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PT</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Disposal revenue; General state budget and</w:t>
            </w:r>
          </w:p>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IST budget</w:t>
            </w:r>
          </w:p>
        </w:tc>
        <w:tc>
          <w:tcPr>
            <w:tcW w:w="1038"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Fees from pro</w:t>
            </w:r>
            <w:r>
              <w:rPr>
                <w:rFonts w:eastAsia="Times New Roman"/>
                <w:noProof/>
                <w:color w:val="000000" w:themeColor="text1"/>
                <w:sz w:val="20"/>
                <w:szCs w:val="20"/>
                <w:lang w:val="en-GB"/>
              </w:rPr>
              <w:softHyphen/>
            </w:r>
            <w:r>
              <w:rPr>
                <w:rFonts w:eastAsia="Times New Roman"/>
                <w:noProof/>
                <w:color w:val="000000" w:themeColor="text1"/>
                <w:sz w:val="20"/>
                <w:szCs w:val="20"/>
                <w:lang w:val="en-GB"/>
              </w:rPr>
              <w:t>ducers</w:t>
            </w:r>
          </w:p>
        </w:tc>
        <w:tc>
          <w:tcPr>
            <w:tcW w:w="951"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highlight w:val="cyan"/>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highlight w:val="cyan"/>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US transfer of remaining fuel to be covered by the State; increase of fees foreseen in 2015</w:t>
            </w:r>
          </w:p>
        </w:tc>
      </w:tr>
      <w:tr w:rsidR="00EF2BC3" w:rsidTr="00EF2BC3">
        <w:trPr>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PL</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RWMP collects fees</w:t>
            </w:r>
          </w:p>
        </w:tc>
        <w:tc>
          <w:tcPr>
            <w:tcW w:w="1038"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Fees for disposal, decon</w:t>
            </w:r>
            <w:r>
              <w:rPr>
                <w:rFonts w:eastAsia="Times New Roman"/>
                <w:noProof/>
                <w:color w:val="000000" w:themeColor="text1"/>
                <w:sz w:val="20"/>
                <w:szCs w:val="20"/>
                <w:lang w:val="en-GB"/>
              </w:rPr>
              <w:softHyphen/>
              <w:t>tamina</w:t>
            </w:r>
            <w:r>
              <w:rPr>
                <w:rFonts w:eastAsia="Times New Roman"/>
                <w:noProof/>
                <w:color w:val="000000" w:themeColor="text1"/>
                <w:sz w:val="20"/>
                <w:szCs w:val="20"/>
                <w:lang w:val="en-GB"/>
              </w:rPr>
              <w:softHyphen/>
              <w:t>tion, and transport</w:t>
            </w:r>
          </w:p>
        </w:tc>
        <w:tc>
          <w:tcPr>
            <w:tcW w:w="951"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Decommissioning fund for the new build to </w:t>
            </w:r>
            <w:r>
              <w:rPr>
                <w:rFonts w:eastAsia="Times New Roman"/>
                <w:noProof/>
                <w:color w:val="000000" w:themeColor="text1"/>
                <w:sz w:val="20"/>
                <w:szCs w:val="20"/>
                <w:lang w:val="en-GB"/>
              </w:rPr>
              <w:t>be established</w:t>
            </w:r>
          </w:p>
        </w:tc>
      </w:tr>
      <w:tr w:rsidR="00EF2BC3" w:rsidTr="00EF2BC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CY</w:t>
            </w:r>
          </w:p>
        </w:tc>
        <w:tc>
          <w:tcPr>
            <w:tcW w:w="1418" w:type="dxa"/>
            <w:tcBorders>
              <w:top w:val="single" w:sz="4" w:space="0" w:color="auto"/>
              <w:left w:val="single" w:sz="4" w:space="0" w:color="000000"/>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Fund planned </w:t>
            </w:r>
          </w:p>
        </w:tc>
        <w:tc>
          <w:tcPr>
            <w:tcW w:w="1038"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Currently ge</w:t>
            </w:r>
            <w:r>
              <w:rPr>
                <w:rFonts w:eastAsia="Times New Roman"/>
                <w:noProof/>
                <w:color w:val="000000" w:themeColor="text1"/>
                <w:sz w:val="20"/>
                <w:szCs w:val="20"/>
                <w:lang w:val="en-GB"/>
              </w:rPr>
              <w:softHyphen/>
              <w:t>nera</w:t>
            </w:r>
            <w:r>
              <w:rPr>
                <w:rFonts w:eastAsia="Times New Roman"/>
                <w:noProof/>
                <w:color w:val="000000" w:themeColor="text1"/>
                <w:sz w:val="20"/>
                <w:szCs w:val="20"/>
                <w:lang w:val="en-GB"/>
              </w:rPr>
              <w:softHyphen/>
              <w:t>tors’ fees and State budget</w:t>
            </w:r>
          </w:p>
        </w:tc>
        <w:tc>
          <w:tcPr>
            <w:tcW w:w="951"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The fund costs will cover waste management (incl. disposal), decommissioning, R&amp;D, etc.</w:t>
            </w:r>
          </w:p>
        </w:tc>
      </w:tr>
      <w:tr w:rsidR="00EF2BC3" w:rsidTr="00EF2BC3">
        <w:trPr>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EE</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8"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Estonian environmental fees</w:t>
            </w:r>
          </w:p>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EU funds</w:t>
            </w:r>
            <w:r>
              <w:rPr>
                <w:rFonts w:eastAsia="Times New Roman"/>
                <w:noProof/>
                <w:color w:val="000000" w:themeColor="text1"/>
                <w:sz w:val="20"/>
                <w:szCs w:val="20"/>
                <w:lang w:val="en-GB"/>
              </w:rPr>
              <w:t xml:space="preserve"> Fees from waste pro</w:t>
            </w:r>
            <w:r>
              <w:rPr>
                <w:rFonts w:eastAsia="Times New Roman"/>
                <w:noProof/>
                <w:color w:val="000000" w:themeColor="text1"/>
                <w:sz w:val="20"/>
                <w:szCs w:val="20"/>
                <w:lang w:val="en-GB"/>
              </w:rPr>
              <w:softHyphen/>
              <w:t>ducers</w:t>
            </w:r>
          </w:p>
        </w:tc>
        <w:tc>
          <w:tcPr>
            <w:tcW w:w="951"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E</w:t>
            </w: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Reliance on EU funds for historical liabilities</w:t>
            </w:r>
          </w:p>
        </w:tc>
      </w:tr>
      <w:tr w:rsidR="00EF2BC3" w:rsidTr="00EF2BC3">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IE</w:t>
            </w:r>
          </w:p>
        </w:tc>
        <w:tc>
          <w:tcPr>
            <w:tcW w:w="1418" w:type="dxa"/>
            <w:tcBorders>
              <w:top w:val="single" w:sz="4" w:space="0" w:color="auto"/>
              <w:left w:val="single" w:sz="4" w:space="0" w:color="000000"/>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8"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Currently gene</w:t>
            </w:r>
            <w:r>
              <w:rPr>
                <w:rFonts w:eastAsia="Times New Roman"/>
                <w:noProof/>
                <w:color w:val="000000" w:themeColor="text1"/>
                <w:sz w:val="20"/>
                <w:szCs w:val="20"/>
                <w:lang w:val="en-GB"/>
              </w:rPr>
              <w:softHyphen/>
              <w:t>rators’ fees and State budget</w:t>
            </w:r>
          </w:p>
        </w:tc>
        <w:tc>
          <w:tcPr>
            <w:tcW w:w="951"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The state cost cover orphan sources. The regulators income in 2012 was 5.2 mill </w:t>
            </w:r>
            <w:r>
              <w:rPr>
                <w:rFonts w:eastAsia="Times New Roman"/>
                <w:noProof/>
                <w:color w:val="000000"/>
                <w:sz w:val="20"/>
                <w:szCs w:val="20"/>
                <w:lang w:val="en-GB"/>
              </w:rPr>
              <w:t xml:space="preserve">€ but not specifically for </w:t>
            </w:r>
            <w:r>
              <w:rPr>
                <w:rFonts w:eastAsia="Times New Roman"/>
                <w:noProof/>
                <w:color w:val="000000"/>
                <w:sz w:val="20"/>
                <w:szCs w:val="20"/>
                <w:lang w:val="en-GB"/>
              </w:rPr>
              <w:t>radioactive waste</w:t>
            </w:r>
          </w:p>
        </w:tc>
      </w:tr>
      <w:tr w:rsidR="00EF2BC3" w:rsidTr="00EF2BC3">
        <w:trPr>
          <w:trHeight w:val="459"/>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LV</w:t>
            </w:r>
          </w:p>
        </w:tc>
        <w:tc>
          <w:tcPr>
            <w:tcW w:w="1418" w:type="dxa"/>
            <w:tcBorders>
              <w:top w:val="single" w:sz="4" w:space="0" w:color="auto"/>
              <w:left w:val="single" w:sz="4" w:space="0" w:color="000000"/>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038"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Currently gene</w:t>
            </w:r>
            <w:r>
              <w:rPr>
                <w:rFonts w:eastAsia="Times New Roman"/>
                <w:noProof/>
                <w:color w:val="000000" w:themeColor="text1"/>
                <w:sz w:val="20"/>
                <w:szCs w:val="20"/>
                <w:lang w:val="en-GB"/>
              </w:rPr>
              <w:softHyphen/>
              <w:t>rators’ fees and State budget</w:t>
            </w:r>
          </w:p>
        </w:tc>
        <w:tc>
          <w:tcPr>
            <w:tcW w:w="951" w:type="dxa"/>
            <w:tcBorders>
              <w:top w:val="single" w:sz="4" w:space="0" w:color="auto"/>
              <w:bottom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Provisions for Salaspils research reactor assumed by the State</w:t>
            </w:r>
          </w:p>
        </w:tc>
      </w:tr>
      <w:tr w:rsidR="00EF2BC3" w:rsidTr="00EF2BC3">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MT</w:t>
            </w:r>
          </w:p>
        </w:tc>
        <w:tc>
          <w:tcPr>
            <w:tcW w:w="1418" w:type="dxa"/>
            <w:tcBorders>
              <w:top w:val="single" w:sz="4" w:space="0" w:color="auto"/>
              <w:left w:val="single" w:sz="4" w:space="0" w:color="000000"/>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038"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Currently gene</w:t>
            </w:r>
            <w:r>
              <w:rPr>
                <w:rFonts w:eastAsia="Times New Roman"/>
                <w:noProof/>
                <w:color w:val="000000" w:themeColor="text1"/>
                <w:sz w:val="20"/>
                <w:szCs w:val="20"/>
                <w:lang w:val="en-GB"/>
              </w:rPr>
              <w:softHyphen/>
              <w:t xml:space="preserve">rators’ fees </w:t>
            </w:r>
          </w:p>
        </w:tc>
        <w:tc>
          <w:tcPr>
            <w:tcW w:w="951" w:type="dxa"/>
            <w:tcBorders>
              <w:top w:val="single" w:sz="4" w:space="0" w:color="auto"/>
              <w:bottom w:val="single" w:sz="4" w:space="0" w:color="auto"/>
            </w:tcBorders>
          </w:tcPr>
          <w:p w:rsidR="00EF2BC3" w:rsidRDefault="00EF2BC3">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bottom w:val="single" w:sz="4" w:space="0" w:color="auto"/>
            </w:tcBorders>
          </w:tcPr>
          <w:p w:rsidR="00EF2BC3" w:rsidRDefault="00AF300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State to cover the cost of orphan sources</w:t>
            </w:r>
          </w:p>
        </w:tc>
      </w:tr>
      <w:tr w:rsidR="00EF2BC3" w:rsidTr="00EF2BC3">
        <w:trPr>
          <w:trHeight w:val="213"/>
        </w:trPr>
        <w:tc>
          <w:tcPr>
            <w:cnfStyle w:val="001000000000" w:firstRow="0" w:lastRow="0" w:firstColumn="1" w:lastColumn="0" w:oddVBand="0" w:evenVBand="0" w:oddHBand="0" w:evenHBand="0" w:firstRowFirstColumn="0" w:firstRowLastColumn="0" w:lastRowFirstColumn="0" w:lastRowLastColumn="0"/>
            <w:tcW w:w="532" w:type="dxa"/>
            <w:tcBorders>
              <w:top w:val="single" w:sz="4" w:space="0" w:color="000000"/>
              <w:left w:val="single" w:sz="4" w:space="0" w:color="000000"/>
              <w:bottom w:val="single" w:sz="4" w:space="0" w:color="000000"/>
              <w:right w:val="single" w:sz="4" w:space="0" w:color="000000"/>
            </w:tcBorders>
          </w:tcPr>
          <w:p w:rsidR="00EF2BC3" w:rsidRDefault="00AF3002">
            <w:pPr>
              <w:spacing w:line="276" w:lineRule="auto"/>
              <w:jc w:val="left"/>
              <w:rPr>
                <w:rFonts w:eastAsia="Times New Roman"/>
                <w:i w:val="0"/>
                <w:iCs w:val="0"/>
                <w:noProof/>
                <w:color w:val="000000" w:themeColor="text1"/>
                <w:sz w:val="20"/>
                <w:szCs w:val="20"/>
                <w:lang w:val="en-GB"/>
              </w:rPr>
            </w:pPr>
            <w:r>
              <w:rPr>
                <w:rFonts w:eastAsia="Times New Roman"/>
                <w:i w:val="0"/>
                <w:noProof/>
                <w:color w:val="000000" w:themeColor="text1"/>
                <w:sz w:val="20"/>
                <w:szCs w:val="20"/>
                <w:lang w:val="en-GB"/>
              </w:rPr>
              <w:t xml:space="preserve">LU </w:t>
            </w:r>
          </w:p>
        </w:tc>
        <w:tc>
          <w:tcPr>
            <w:tcW w:w="1418" w:type="dxa"/>
            <w:tcBorders>
              <w:top w:val="single" w:sz="4" w:space="0" w:color="auto"/>
              <w:left w:val="single" w:sz="4" w:space="0" w:color="000000"/>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Government will provide necessary resources</w:t>
            </w:r>
          </w:p>
        </w:tc>
        <w:tc>
          <w:tcPr>
            <w:tcW w:w="1038"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Currently gene</w:t>
            </w:r>
            <w:r>
              <w:rPr>
                <w:rFonts w:eastAsia="Times New Roman"/>
                <w:noProof/>
                <w:color w:val="000000" w:themeColor="text1"/>
                <w:sz w:val="20"/>
                <w:szCs w:val="20"/>
                <w:lang w:val="en-GB"/>
              </w:rPr>
              <w:softHyphen/>
              <w:t>rators’ fees</w:t>
            </w:r>
          </w:p>
        </w:tc>
        <w:tc>
          <w:tcPr>
            <w:tcW w:w="951" w:type="dxa"/>
            <w:tcBorders>
              <w:top w:val="single" w:sz="4" w:space="0" w:color="auto"/>
            </w:tcBorders>
            <w:shd w:val="clear" w:color="auto" w:fill="C6D9F1" w:themeFill="text2" w:themeFillTint="33"/>
          </w:tcPr>
          <w:p w:rsidR="00EF2BC3" w:rsidRDefault="00EF2BC3">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c>
          <w:tcPr>
            <w:tcW w:w="1270"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No information</w:t>
            </w:r>
          </w:p>
        </w:tc>
        <w:tc>
          <w:tcPr>
            <w:tcW w:w="1253"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315"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w:t>
            </w:r>
          </w:p>
        </w:tc>
        <w:tc>
          <w:tcPr>
            <w:tcW w:w="1687" w:type="dxa"/>
            <w:tcBorders>
              <w:top w:val="single" w:sz="4" w:space="0" w:color="auto"/>
            </w:tcBorders>
            <w:shd w:val="clear" w:color="auto" w:fill="C6D9F1" w:themeFill="text2" w:themeFillTint="33"/>
          </w:tcPr>
          <w:p w:rsidR="00EF2BC3" w:rsidRDefault="00AF300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Statement for all necessary resource available</w:t>
            </w:r>
          </w:p>
        </w:tc>
      </w:tr>
    </w:tbl>
    <w:p w:rsidR="00EF2BC3" w:rsidRDefault="00EF2BC3">
      <w:pPr>
        <w:pStyle w:val="ListParagraph"/>
        <w:spacing w:before="2"/>
        <w:ind w:left="0"/>
        <w:contextualSpacing w:val="0"/>
        <w:jc w:val="both"/>
        <w:rPr>
          <w:rFonts w:eastAsia="Times New Roman"/>
          <w:noProof/>
          <w:color w:val="000000" w:themeColor="text1"/>
        </w:rPr>
      </w:pPr>
    </w:p>
    <w:p w:rsidR="00EF2BC3" w:rsidRDefault="00AF3002">
      <w:pPr>
        <w:pStyle w:val="ListParagraph"/>
        <w:spacing w:before="120"/>
        <w:ind w:left="0"/>
        <w:contextualSpacing w:val="0"/>
        <w:jc w:val="both"/>
        <w:rPr>
          <w:rFonts w:eastAsia="Times New Roman"/>
          <w:noProof/>
          <w:color w:val="000000" w:themeColor="text1"/>
        </w:rPr>
      </w:pPr>
      <w:r>
        <w:rPr>
          <w:rFonts w:eastAsia="Times New Roman"/>
          <w:noProof/>
          <w:color w:val="000000" w:themeColor="text1"/>
        </w:rPr>
        <w:t xml:space="preserve">Limited information has been reported on the funds' investments and management to ensure availability of funds when needed in the future. </w:t>
      </w:r>
    </w:p>
    <w:p w:rsidR="00EF2BC3" w:rsidRDefault="00AF3002">
      <w:pPr>
        <w:pStyle w:val="ManualHeading3"/>
        <w:spacing w:before="2"/>
        <w:rPr>
          <w:noProof/>
        </w:rPr>
      </w:pPr>
      <w:bookmarkStart w:id="39" w:name="_Toc474832877"/>
      <w:r>
        <w:t>2.2.5.</w:t>
      </w:r>
      <w:r>
        <w:tab/>
      </w:r>
      <w:r>
        <w:rPr>
          <w:noProof/>
        </w:rPr>
        <w:t>Expertise and skills</w:t>
      </w:r>
      <w:bookmarkEnd w:id="39"/>
    </w:p>
    <w:p w:rsidR="00EF2BC3" w:rsidRDefault="00AF3002">
      <w:pPr>
        <w:widowControl w:val="0"/>
        <w:autoSpaceDE w:val="0"/>
        <w:autoSpaceDN w:val="0"/>
        <w:adjustRightInd w:val="0"/>
        <w:spacing w:before="120"/>
        <w:jc w:val="both"/>
        <w:rPr>
          <w:noProof/>
          <w:color w:val="000000" w:themeColor="text1"/>
        </w:rPr>
      </w:pPr>
      <w:r>
        <w:rPr>
          <w:noProof/>
          <w:color w:val="000000" w:themeColor="text1"/>
        </w:rPr>
        <w:t>All parties in Member States have to make arrangements for education and training for the</w:t>
      </w:r>
      <w:r>
        <w:rPr>
          <w:noProof/>
          <w:color w:val="000000" w:themeColor="text1"/>
        </w:rPr>
        <w:t>ir staff, as well as research and development activities to cover the needs of the national programme for spent fuel and radioactive waste management in order to obtain, maintain and to further develop necessary expertise and skills (Article 8 of the Direc</w:t>
      </w:r>
      <w:r>
        <w:rPr>
          <w:noProof/>
          <w:color w:val="000000" w:themeColor="text1"/>
        </w:rPr>
        <w:t>tive).</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The majority of </w:t>
      </w:r>
      <w:r>
        <w:rPr>
          <w:rFonts w:eastAsia="Times New Roman"/>
          <w:noProof/>
        </w:rPr>
        <w:t>Member States</w:t>
      </w:r>
      <w:r>
        <w:rPr>
          <w:rFonts w:eastAsia="Times New Roman"/>
          <w:noProof/>
          <w:color w:val="000000" w:themeColor="text1"/>
        </w:rPr>
        <w:t xml:space="preserve"> have legal requirements for training and education of staff involved in spent fuel and radioactive waste management. About half of </w:t>
      </w:r>
      <w:r>
        <w:rPr>
          <w:rFonts w:eastAsia="Times New Roman"/>
          <w:noProof/>
        </w:rPr>
        <w:t>Member States</w:t>
      </w:r>
      <w:r>
        <w:rPr>
          <w:rFonts w:eastAsia="Times New Roman"/>
          <w:noProof/>
          <w:color w:val="000000" w:themeColor="text1"/>
        </w:rPr>
        <w:t xml:space="preserve"> has presented specific measures in place for maintaining skills and competence of generators, operators and competent authorities, although the emphasis was more on training and competence of regulatory body's staff and less on research and development. </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Overall </w:t>
      </w:r>
      <w:r>
        <w:rPr>
          <w:rFonts w:eastAsia="Times New Roman"/>
          <w:noProof/>
        </w:rPr>
        <w:t>Member States</w:t>
      </w:r>
      <w:r>
        <w:rPr>
          <w:rFonts w:eastAsia="Times New Roman"/>
          <w:noProof/>
          <w:color w:val="000000" w:themeColor="text1"/>
        </w:rPr>
        <w:t xml:space="preserve"> with </w:t>
      </w:r>
      <w:r>
        <w:rPr>
          <w:noProof/>
        </w:rPr>
        <w:t>nuclear power plant</w:t>
      </w:r>
      <w:r>
        <w:rPr>
          <w:rFonts w:eastAsia="Times New Roman"/>
          <w:noProof/>
          <w:color w:val="000000" w:themeColor="text1"/>
        </w:rPr>
        <w:t xml:space="preserve">s have presented more developed practical arrangements for training and education than the remaining </w:t>
      </w:r>
      <w:r>
        <w:rPr>
          <w:rFonts w:eastAsia="Times New Roman"/>
          <w:noProof/>
        </w:rPr>
        <w:t>Member States</w:t>
      </w:r>
      <w:r>
        <w:rPr>
          <w:rFonts w:eastAsia="Times New Roman"/>
          <w:noProof/>
          <w:color w:val="000000" w:themeColor="text1"/>
        </w:rPr>
        <w:t xml:space="preserve">. Some </w:t>
      </w:r>
      <w:r>
        <w:rPr>
          <w:rFonts w:eastAsia="Times New Roman"/>
          <w:noProof/>
        </w:rPr>
        <w:t>Member States</w:t>
      </w:r>
      <w:r>
        <w:rPr>
          <w:rFonts w:eastAsia="Times New Roman"/>
          <w:noProof/>
          <w:color w:val="000000" w:themeColor="text1"/>
        </w:rPr>
        <w:t xml:space="preserve"> presented very detailed training programmes and information on the costs/in</w:t>
      </w:r>
      <w:r>
        <w:rPr>
          <w:rFonts w:eastAsia="Times New Roman"/>
          <w:noProof/>
          <w:color w:val="000000" w:themeColor="text1"/>
        </w:rPr>
        <w:t xml:space="preserve">vestments for training and skills development </w:t>
      </w:r>
    </w:p>
    <w:p w:rsidR="00EF2BC3" w:rsidRDefault="00AF3002">
      <w:pPr>
        <w:spacing w:before="120"/>
        <w:jc w:val="both"/>
        <w:rPr>
          <w:rFonts w:eastAsia="Times New Roman"/>
          <w:noProof/>
          <w:color w:val="000000" w:themeColor="text1"/>
        </w:rPr>
      </w:pPr>
      <w:r>
        <w:rPr>
          <w:rFonts w:eastAsia="Times New Roman"/>
          <w:noProof/>
        </w:rPr>
        <w:t>Member States</w:t>
      </w:r>
      <w:r>
        <w:rPr>
          <w:rFonts w:eastAsia="Times New Roman"/>
          <w:noProof/>
          <w:color w:val="000000" w:themeColor="text1"/>
        </w:rPr>
        <w:t xml:space="preserve"> use national schemes and arrangements that can be summarised as follows:</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 xml:space="preserve">Post-graduate courses at universities; </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 xml:space="preserve">Training centres (basic and specialized, some of which at </w:t>
      </w:r>
      <w:r>
        <w:rPr>
          <w:noProof/>
        </w:rPr>
        <w:t>nuclear power plant</w:t>
      </w:r>
      <w:r>
        <w:rPr>
          <w:rFonts w:eastAsia="Times New Roman"/>
          <w:noProof/>
          <w:color w:val="000000" w:themeColor="text1"/>
        </w:rPr>
        <w:t>s);</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T</w:t>
      </w:r>
      <w:r>
        <w:rPr>
          <w:rFonts w:eastAsia="Times New Roman"/>
          <w:noProof/>
          <w:color w:val="000000" w:themeColor="text1"/>
        </w:rPr>
        <w:t>raining programmes or plans (i.e. at national, facility, or organizational entity level);</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Regular self-assessments of staff and needs analysis;</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Specialised, regular training for different levels of staff (e.g. or on-the job training with experienced staff)</w:t>
      </w:r>
      <w:r>
        <w:rPr>
          <w:rFonts w:eastAsia="Times New Roman"/>
          <w:noProof/>
          <w:color w:val="000000" w:themeColor="text1"/>
        </w:rPr>
        <w:t>;</w:t>
      </w:r>
    </w:p>
    <w:p w:rsidR="00EF2BC3" w:rsidRDefault="00AF3002">
      <w:pPr>
        <w:pStyle w:val="ListParagraph"/>
        <w:numPr>
          <w:ilvl w:val="0"/>
          <w:numId w:val="24"/>
        </w:numPr>
        <w:spacing w:before="120"/>
        <w:ind w:left="714" w:hanging="357"/>
        <w:contextualSpacing w:val="0"/>
        <w:jc w:val="both"/>
        <w:rPr>
          <w:rFonts w:eastAsia="Times New Roman"/>
          <w:noProof/>
          <w:color w:val="000000" w:themeColor="text1"/>
        </w:rPr>
      </w:pPr>
      <w:r>
        <w:rPr>
          <w:rFonts w:eastAsia="Times New Roman"/>
          <w:noProof/>
          <w:color w:val="000000" w:themeColor="text1"/>
        </w:rPr>
        <w:t>Specialized courses (e.g. for newcomers or experienced staff).</w:t>
      </w:r>
    </w:p>
    <w:p w:rsidR="00EF2BC3" w:rsidRDefault="00AF3002">
      <w:pPr>
        <w:spacing w:before="120"/>
        <w:jc w:val="both"/>
        <w:rPr>
          <w:rFonts w:eastAsia="Times New Roman"/>
          <w:noProof/>
          <w:color w:val="000000" w:themeColor="text1"/>
        </w:rPr>
      </w:pPr>
      <w:r>
        <w:rPr>
          <w:rFonts w:eastAsia="Times New Roman"/>
          <w:noProof/>
          <w:color w:val="000000" w:themeColor="text1"/>
        </w:rPr>
        <w:t xml:space="preserve">International exchange of experience through peer reviews, workshops, conferences, visits, etc. has been recognized by Member States as useful tool in particular for non-nuclear </w:t>
      </w:r>
      <w:r>
        <w:rPr>
          <w:rFonts w:eastAsia="Times New Roman"/>
          <w:noProof/>
        </w:rPr>
        <w:t>Member States</w:t>
      </w:r>
      <w:r>
        <w:rPr>
          <w:rFonts w:eastAsia="Times New Roman"/>
          <w:noProof/>
          <w:color w:val="000000" w:themeColor="text1"/>
        </w:rPr>
        <w:t>.</w:t>
      </w:r>
    </w:p>
    <w:p w:rsidR="00EF2BC3" w:rsidRDefault="00AF3002">
      <w:pPr>
        <w:pStyle w:val="ManualHeading3"/>
        <w:spacing w:before="2"/>
        <w:rPr>
          <w:noProof/>
        </w:rPr>
      </w:pPr>
      <w:bookmarkStart w:id="40" w:name="_Toc474832878"/>
      <w:r>
        <w:t>2.2.6.</w:t>
      </w:r>
      <w:r>
        <w:tab/>
      </w:r>
      <w:r>
        <w:rPr>
          <w:noProof/>
        </w:rPr>
        <w:t>Research and development</w:t>
      </w:r>
      <w:bookmarkEnd w:id="40"/>
    </w:p>
    <w:p w:rsidR="00EF2BC3" w:rsidRDefault="00AF3002">
      <w:pPr>
        <w:widowControl w:val="0"/>
        <w:tabs>
          <w:tab w:val="left" w:pos="220"/>
          <w:tab w:val="left" w:pos="720"/>
        </w:tabs>
        <w:autoSpaceDE w:val="0"/>
        <w:autoSpaceDN w:val="0"/>
        <w:adjustRightInd w:val="0"/>
        <w:spacing w:before="120"/>
        <w:jc w:val="both"/>
        <w:rPr>
          <w:noProof/>
          <w:color w:val="000000" w:themeColor="text1"/>
        </w:rPr>
      </w:pPr>
      <w:r>
        <w:rPr>
          <w:noProof/>
          <w:color w:val="000000" w:themeColor="text1"/>
        </w:rPr>
        <w:t xml:space="preserve">Each </w:t>
      </w:r>
      <w:r>
        <w:rPr>
          <w:rFonts w:eastAsia="Times New Roman"/>
          <w:noProof/>
        </w:rPr>
        <w:t>Member State</w:t>
      </w:r>
      <w:r>
        <w:rPr>
          <w:noProof/>
          <w:color w:val="000000" w:themeColor="text1"/>
        </w:rPr>
        <w:t xml:space="preserve"> programme shall include the research, development and demonstration activities needed in order to implement solutions for safe long term management of spent fuel and radioactive waste (see Article 12(1) f</w:t>
      </w:r>
      <w:r>
        <w:rPr>
          <w:noProof/>
          <w:color w:val="000000" w:themeColor="text1"/>
        </w:rPr>
        <w:t xml:space="preserve"> of the Directive).</w:t>
      </w:r>
    </w:p>
    <w:p w:rsidR="00EF2BC3" w:rsidRDefault="00AF3002">
      <w:pPr>
        <w:widowControl w:val="0"/>
        <w:tabs>
          <w:tab w:val="left" w:pos="220"/>
          <w:tab w:val="left" w:pos="720"/>
        </w:tabs>
        <w:autoSpaceDE w:val="0"/>
        <w:autoSpaceDN w:val="0"/>
        <w:adjustRightInd w:val="0"/>
        <w:spacing w:before="120"/>
        <w:jc w:val="both"/>
        <w:rPr>
          <w:noProof/>
          <w:color w:val="000000" w:themeColor="text1"/>
        </w:rPr>
      </w:pPr>
      <w:r>
        <w:rPr>
          <w:noProof/>
          <w:color w:val="000000" w:themeColor="text1"/>
        </w:rPr>
        <w:t xml:space="preserve">To date the research programmes in the EU are at different level stage of implementation depending on the status of implementation of their national programmes. </w:t>
      </w:r>
      <w:r>
        <w:rPr>
          <w:rFonts w:eastAsia="Times New Roman"/>
          <w:noProof/>
        </w:rPr>
        <w:t>Member States</w:t>
      </w:r>
      <w:r>
        <w:rPr>
          <w:noProof/>
          <w:color w:val="000000" w:themeColor="text1"/>
        </w:rPr>
        <w:t xml:space="preserve"> have long experience in national and international projects (</w:t>
      </w:r>
      <w:r>
        <w:rPr>
          <w:noProof/>
          <w:color w:val="000000" w:themeColor="text1"/>
        </w:rPr>
        <w:t xml:space="preserve">including EC research framework programmes) that cover various aspects of predisposal and disposal. </w:t>
      </w:r>
    </w:p>
    <w:p w:rsidR="00EF2BC3" w:rsidRDefault="00AF3002">
      <w:pPr>
        <w:tabs>
          <w:tab w:val="left" w:pos="567"/>
        </w:tabs>
        <w:spacing w:before="120"/>
        <w:jc w:val="both"/>
        <w:rPr>
          <w:rFonts w:eastAsia="Times New Roman"/>
          <w:noProof/>
          <w:color w:val="000000" w:themeColor="text1"/>
        </w:rPr>
      </w:pPr>
      <w:r>
        <w:rPr>
          <w:noProof/>
          <w:color w:val="000000" w:themeColor="text1"/>
        </w:rPr>
        <w:t xml:space="preserve">They are mainly developed by the </w:t>
      </w:r>
      <w:r>
        <w:rPr>
          <w:rFonts w:eastAsia="Times New Roman"/>
          <w:noProof/>
        </w:rPr>
        <w:t>Member States</w:t>
      </w:r>
      <w:r>
        <w:rPr>
          <w:noProof/>
          <w:color w:val="000000" w:themeColor="text1"/>
        </w:rPr>
        <w:t xml:space="preserve"> with nuclear programmes, where four </w:t>
      </w:r>
      <w:r>
        <w:rPr>
          <w:rFonts w:eastAsia="Times New Roman"/>
          <w:noProof/>
        </w:rPr>
        <w:t>Member States</w:t>
      </w:r>
      <w:r>
        <w:rPr>
          <w:rFonts w:eastAsia="Times New Roman"/>
          <w:noProof/>
          <w:color w:val="000000" w:themeColor="text1"/>
        </w:rPr>
        <w:t xml:space="preserve"> currently </w:t>
      </w:r>
      <w:r>
        <w:rPr>
          <w:noProof/>
          <w:color w:val="000000" w:themeColor="text1"/>
        </w:rPr>
        <w:t>operate five underground research laboratories f</w:t>
      </w:r>
      <w:r>
        <w:rPr>
          <w:noProof/>
          <w:color w:val="000000" w:themeColor="text1"/>
        </w:rPr>
        <w:t>or</w:t>
      </w:r>
      <w:r>
        <w:rPr>
          <w:rFonts w:eastAsia="Times New Roman"/>
          <w:noProof/>
          <w:color w:val="000000" w:themeColor="text1"/>
        </w:rPr>
        <w:t xml:space="preserve"> spent fuel, HLW and ILW</w:t>
      </w:r>
      <w:r>
        <w:rPr>
          <w:noProof/>
          <w:color w:val="000000" w:themeColor="text1"/>
        </w:rPr>
        <w:t xml:space="preserve"> disposal and four more Member States plan to develop such laboratories after 2020-2030 period </w:t>
      </w:r>
      <w:r>
        <w:rPr>
          <w:rFonts w:eastAsia="Times New Roman"/>
          <w:noProof/>
          <w:color w:val="000000" w:themeColor="text1"/>
        </w:rPr>
        <w:t xml:space="preserve">to support the national geological disposal projects </w:t>
      </w:r>
      <w:r>
        <w:rPr>
          <w:noProof/>
          <w:color w:val="000000" w:themeColor="text1"/>
        </w:rPr>
        <w:t>(see Table 11).</w:t>
      </w:r>
    </w:p>
    <w:p w:rsidR="00EF2BC3" w:rsidRDefault="00EF2BC3">
      <w:pPr>
        <w:spacing w:after="120" w:line="276" w:lineRule="auto"/>
        <w:jc w:val="center"/>
        <w:rPr>
          <w:rFonts w:eastAsia="Times New Roman"/>
          <w:noProof/>
          <w:color w:val="000000" w:themeColor="text1"/>
        </w:rPr>
      </w:pPr>
    </w:p>
    <w:p w:rsidR="00EF2BC3" w:rsidRDefault="00AF3002">
      <w:pPr>
        <w:spacing w:after="120" w:line="276" w:lineRule="auto"/>
        <w:jc w:val="center"/>
        <w:rPr>
          <w:rFonts w:eastAsia="Times New Roman"/>
          <w:noProof/>
          <w:color w:val="000000" w:themeColor="text1"/>
        </w:rPr>
      </w:pPr>
      <w:r>
        <w:rPr>
          <w:b/>
          <w:noProof/>
        </w:rPr>
        <w:t>Table 11. Underground research laboratories (URL) for Disposal of</w:t>
      </w:r>
      <w:r>
        <w:rPr>
          <w:b/>
          <w:noProof/>
        </w:rPr>
        <w:t xml:space="preserve"> HLW/Spent Fuel in EU</w:t>
      </w:r>
      <w:r>
        <w:rPr>
          <w:rStyle w:val="FootnoteReference"/>
          <w:b/>
          <w:noProof/>
        </w:rPr>
        <w:footnoteReference w:id="51"/>
      </w:r>
    </w:p>
    <w:tbl>
      <w:tblPr>
        <w:tblStyle w:val="GridTable2-Accent11"/>
        <w:tblW w:w="9606" w:type="dxa"/>
        <w:shd w:val="clear" w:color="auto" w:fill="C6D9F1" w:themeFill="text2" w:themeFillTint="33"/>
        <w:tblLayout w:type="fixed"/>
        <w:tblLook w:val="04A0" w:firstRow="1" w:lastRow="0" w:firstColumn="1" w:lastColumn="0" w:noHBand="0" w:noVBand="1"/>
      </w:tblPr>
      <w:tblGrid>
        <w:gridCol w:w="815"/>
        <w:gridCol w:w="1276"/>
        <w:gridCol w:w="1320"/>
        <w:gridCol w:w="1657"/>
        <w:gridCol w:w="2663"/>
        <w:gridCol w:w="1875"/>
      </w:tblGrid>
      <w:tr w:rsidR="00EF2BC3" w:rsidTr="00EF2B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rPr>
                <w:rFonts w:eastAsia="Times New Roman"/>
                <w:noProof/>
                <w:color w:val="FFFFFF" w:themeColor="background1"/>
                <w:sz w:val="20"/>
                <w:szCs w:val="20"/>
                <w:lang w:val="en-GB"/>
              </w:rPr>
            </w:pPr>
            <w:r>
              <w:rPr>
                <w:rFonts w:eastAsia="Times New Roman"/>
                <w:noProof/>
                <w:color w:val="FFFFFF" w:themeColor="background1"/>
                <w:sz w:val="20"/>
                <w:szCs w:val="20"/>
                <w:lang w:val="en-GB"/>
              </w:rPr>
              <w:t>MS</w:t>
            </w:r>
          </w:p>
        </w:tc>
        <w:tc>
          <w:tcPr>
            <w:tcW w:w="1276"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FFFFFF" w:themeColor="background1"/>
                <w:sz w:val="20"/>
                <w:szCs w:val="20"/>
                <w:lang w:val="en-GB"/>
              </w:rPr>
            </w:pPr>
            <w:r>
              <w:rPr>
                <w:rFonts w:eastAsia="Times New Roman"/>
                <w:noProof/>
                <w:color w:val="FFFFFF" w:themeColor="background1"/>
                <w:sz w:val="20"/>
                <w:szCs w:val="20"/>
                <w:lang w:val="en-GB"/>
              </w:rPr>
              <w:t>URL</w:t>
            </w:r>
          </w:p>
        </w:tc>
        <w:tc>
          <w:tcPr>
            <w:tcW w:w="1320"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FFFF" w:themeColor="background1"/>
                <w:sz w:val="20"/>
                <w:szCs w:val="20"/>
                <w:lang w:val="en-GB"/>
              </w:rPr>
            </w:pPr>
            <w:r>
              <w:rPr>
                <w:rFonts w:eastAsia="Times New Roman"/>
                <w:noProof/>
                <w:color w:val="FFFFFF" w:themeColor="background1"/>
                <w:sz w:val="20"/>
                <w:szCs w:val="20"/>
                <w:lang w:val="en-GB"/>
              </w:rPr>
              <w:t>Site</w:t>
            </w:r>
          </w:p>
        </w:tc>
        <w:tc>
          <w:tcPr>
            <w:tcW w:w="1657"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FFFF" w:themeColor="background1"/>
                <w:sz w:val="20"/>
                <w:szCs w:val="20"/>
                <w:lang w:val="en-GB"/>
              </w:rPr>
            </w:pPr>
            <w:r>
              <w:rPr>
                <w:rFonts w:eastAsia="Times New Roman"/>
                <w:noProof/>
                <w:color w:val="FFFFFF" w:themeColor="background1"/>
                <w:sz w:val="20"/>
                <w:szCs w:val="20"/>
                <w:lang w:val="en-GB"/>
              </w:rPr>
              <w:t>Status</w:t>
            </w:r>
          </w:p>
        </w:tc>
        <w:tc>
          <w:tcPr>
            <w:tcW w:w="2663"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FFFF" w:themeColor="background1"/>
                <w:sz w:val="20"/>
                <w:szCs w:val="20"/>
                <w:lang w:val="en-GB"/>
              </w:rPr>
            </w:pPr>
            <w:r>
              <w:rPr>
                <w:rFonts w:eastAsia="Times New Roman"/>
                <w:noProof/>
                <w:color w:val="FFFFFF" w:themeColor="background1"/>
                <w:sz w:val="20"/>
                <w:szCs w:val="20"/>
                <w:lang w:val="en-GB"/>
              </w:rPr>
              <w:t>Purpose</w:t>
            </w:r>
          </w:p>
        </w:tc>
        <w:tc>
          <w:tcPr>
            <w:tcW w:w="187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center"/>
              <w:cnfStyle w:val="100000000000" w:firstRow="1" w:lastRow="0" w:firstColumn="0" w:lastColumn="0" w:oddVBand="0" w:evenVBand="0" w:oddHBand="0" w:evenHBand="0" w:firstRowFirstColumn="0" w:firstRowLastColumn="0" w:lastRowFirstColumn="0" w:lastRowLastColumn="0"/>
              <w:rPr>
                <w:rFonts w:eastAsia="Times New Roman"/>
                <w:b w:val="0"/>
                <w:noProof/>
                <w:color w:val="FFFFFF" w:themeColor="background1"/>
                <w:sz w:val="20"/>
                <w:szCs w:val="20"/>
                <w:lang w:val="en-GB"/>
              </w:rPr>
            </w:pPr>
            <w:r>
              <w:rPr>
                <w:rFonts w:eastAsia="Times New Roman"/>
                <w:noProof/>
                <w:color w:val="FFFFFF" w:themeColor="background1"/>
                <w:sz w:val="20"/>
                <w:szCs w:val="20"/>
                <w:lang w:val="en-GB"/>
              </w:rPr>
              <w:t>Responsible organization for facility development</w:t>
            </w:r>
          </w:p>
        </w:tc>
      </w:tr>
      <w:tr w:rsidR="00EF2BC3" w:rsidTr="00EF2BC3">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BE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noProof/>
                <w:color w:val="000000" w:themeColor="text1"/>
                <w:sz w:val="20"/>
                <w:szCs w:val="20"/>
                <w:lang w:val="en-GB"/>
              </w:rPr>
            </w:pPr>
            <w:r>
              <w:rPr>
                <w:noProof/>
                <w:color w:val="000000" w:themeColor="text1"/>
                <w:sz w:val="20"/>
                <w:szCs w:val="20"/>
                <w:lang w:val="en-GB"/>
              </w:rPr>
              <w:t>HADES</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themeColor="text1"/>
                <w:sz w:val="20"/>
                <w:szCs w:val="20"/>
                <w:lang w:val="da-DK"/>
              </w:rPr>
            </w:pPr>
            <w:r>
              <w:rPr>
                <w:noProof/>
                <w:color w:val="000000" w:themeColor="text1"/>
                <w:sz w:val="20"/>
                <w:szCs w:val="20"/>
                <w:lang w:val="da-DK"/>
              </w:rPr>
              <w:t>SCK•CEN site at Mol</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In operation</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 xml:space="preserve">Methodological and non-site-specific URL in Boom clay (poorly-indurated) at ~ 230 m depth on; has been extended as part of ongoing PRACLAY project. </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p>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 xml:space="preserve">EURIDICE (cooperation of ONDRAF/NIRAS &amp; SCK CEN) </w:t>
            </w:r>
          </w:p>
        </w:tc>
      </w:tr>
      <w:tr w:rsidR="00EF2BC3" w:rsidTr="00EF2BC3">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CZ</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themeColor="text1"/>
                <w:sz w:val="20"/>
                <w:szCs w:val="20"/>
                <w:lang w:val="en-GB"/>
              </w:rPr>
            </w:pPr>
            <w:r>
              <w:rPr>
                <w:rFonts w:eastAsia="Times New Roman"/>
                <w:bCs/>
                <w:noProof/>
                <w:color w:val="000000" w:themeColor="text1"/>
                <w:sz w:val="20"/>
                <w:szCs w:val="20"/>
                <w:lang w:val="en-GB"/>
              </w:rPr>
              <w:t>To be selected</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2030</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 xml:space="preserve">Long term site </w:t>
            </w:r>
            <w:r>
              <w:rPr>
                <w:rFonts w:eastAsia="Times New Roman"/>
                <w:noProof/>
                <w:color w:val="000000" w:themeColor="text1"/>
                <w:sz w:val="20"/>
                <w:szCs w:val="20"/>
                <w:lang w:val="en-GB"/>
              </w:rPr>
              <w:t>investigations</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SURAO</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DE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4F81BD" w:themeColor="accent1"/>
                <w:sz w:val="20"/>
                <w:szCs w:val="20"/>
                <w:lang w:val="en-GB"/>
              </w:rPr>
            </w:pPr>
            <w:r>
              <w:rPr>
                <w:rFonts w:eastAsia="Times New Roman"/>
                <w:bCs/>
                <w:noProof/>
                <w:color w:val="4F81BD" w:themeColor="accent1"/>
                <w:sz w:val="20"/>
                <w:szCs w:val="20"/>
                <w:lang w:val="en-GB"/>
              </w:rPr>
              <w:t>Gorleben</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4F81BD" w:themeColor="accent1"/>
                <w:sz w:val="20"/>
                <w:szCs w:val="20"/>
                <w:lang w:val="en-GB"/>
              </w:rPr>
            </w:pPr>
            <w:r>
              <w:rPr>
                <w:rFonts w:eastAsia="Times New Roman"/>
                <w:bCs/>
                <w:noProof/>
                <w:color w:val="4F81BD" w:themeColor="accent1"/>
                <w:sz w:val="20"/>
                <w:szCs w:val="20"/>
                <w:lang w:val="en-GB"/>
              </w:rPr>
              <w:t>Gorleben</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4F81BD" w:themeColor="accent1"/>
                <w:sz w:val="20"/>
                <w:szCs w:val="20"/>
                <w:lang w:val="en-GB"/>
              </w:rPr>
            </w:pPr>
            <w:r>
              <w:rPr>
                <w:noProof/>
                <w:color w:val="4F81BD" w:themeColor="accent1"/>
                <w:sz w:val="20"/>
                <w:szCs w:val="20"/>
                <w:lang w:val="en-GB"/>
              </w:rPr>
              <w:t>Exploration started in 1986. Discontinued in 2013</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4F81BD" w:themeColor="accent1"/>
                <w:lang w:val="en-GB"/>
              </w:rPr>
            </w:pPr>
            <w:r>
              <w:rPr>
                <w:rFonts w:ascii="Times New Roman" w:hAnsi="Times New Roman"/>
                <w:noProof/>
                <w:color w:val="4F81BD" w:themeColor="accent1"/>
                <w:lang w:val="en-GB"/>
              </w:rPr>
              <w:t>Salt formation</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4F81BD" w:themeColor="accent1"/>
                <w:sz w:val="20"/>
                <w:szCs w:val="20"/>
                <w:lang w:val="en-GB"/>
              </w:rPr>
            </w:pPr>
            <w:r>
              <w:rPr>
                <w:rFonts w:eastAsia="Times New Roman"/>
                <w:noProof/>
                <w:color w:val="4F81BD" w:themeColor="accent1"/>
                <w:sz w:val="20"/>
                <w:szCs w:val="20"/>
                <w:lang w:val="en-GB"/>
              </w:rPr>
              <w:t>BfS/DBE</w:t>
            </w:r>
          </w:p>
        </w:tc>
      </w:tr>
      <w:tr w:rsidR="00EF2BC3" w:rsidTr="00EF2BC3">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FI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ONKALO</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Eurajoki </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themeColor="text1"/>
                <w:sz w:val="20"/>
                <w:szCs w:val="20"/>
                <w:lang w:val="en-GB"/>
              </w:rPr>
            </w:pPr>
            <w:r>
              <w:rPr>
                <w:rFonts w:eastAsia="Times New Roman"/>
                <w:bCs/>
                <w:noProof/>
                <w:color w:val="000000" w:themeColor="text1"/>
                <w:sz w:val="20"/>
                <w:szCs w:val="20"/>
                <w:lang w:val="en-GB"/>
              </w:rPr>
              <w:t xml:space="preserve">In operation </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 xml:space="preserve">Waste characterization, 420 m depth, planned to be incorporated into disposal facility with first </w:t>
            </w:r>
            <w:r>
              <w:rPr>
                <w:rFonts w:ascii="Times New Roman" w:hAnsi="Times New Roman"/>
                <w:noProof/>
                <w:color w:val="000000" w:themeColor="text1"/>
                <w:lang w:val="en-GB"/>
              </w:rPr>
              <w:t>disposal about 2025</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POSIVA</w:t>
            </w:r>
          </w:p>
        </w:tc>
      </w:tr>
      <w:tr w:rsidR="00EF2BC3" w:rsidTr="00EF2BC3">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815" w:type="dxa"/>
            <w:vMerge w:val="restart"/>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FR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Bure</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themeColor="text1"/>
                <w:sz w:val="20"/>
                <w:szCs w:val="20"/>
                <w:lang w:val="en-GB"/>
              </w:rPr>
            </w:pPr>
            <w:r>
              <w:rPr>
                <w:noProof/>
                <w:color w:val="000000" w:themeColor="text1"/>
                <w:sz w:val="20"/>
                <w:szCs w:val="20"/>
                <w:lang w:val="en-GB"/>
              </w:rPr>
              <w:t>Meuse/Haute Marne</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themeColor="text1"/>
                <w:sz w:val="20"/>
                <w:szCs w:val="20"/>
                <w:lang w:val="en-GB"/>
              </w:rPr>
            </w:pPr>
            <w:r>
              <w:rPr>
                <w:rFonts w:eastAsia="Times New Roman"/>
                <w:bCs/>
                <w:noProof/>
                <w:color w:val="000000" w:themeColor="text1"/>
                <w:sz w:val="20"/>
                <w:szCs w:val="20"/>
                <w:lang w:val="en-GB"/>
              </w:rPr>
              <w:t>In operation since 2006</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Callovo-Oxfordian clay (hard) at ~ 450 - 500 m depth</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ANDRA</w:t>
            </w:r>
          </w:p>
        </w:tc>
      </w:tr>
      <w:tr w:rsidR="00EF2BC3" w:rsidTr="00EF2BC3">
        <w:tc>
          <w:tcPr>
            <w:cnfStyle w:val="001000000000" w:firstRow="0" w:lastRow="0" w:firstColumn="1" w:lastColumn="0" w:oddVBand="0" w:evenVBand="0" w:oddHBand="0" w:evenHBand="0" w:firstRowFirstColumn="0" w:firstRowLastColumn="0" w:lastRowFirstColumn="0" w:lastRowLastColumn="0"/>
            <w:tcW w:w="815" w:type="dxa"/>
            <w:vMerge/>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EF2BC3">
            <w:pPr>
              <w:spacing w:before="2"/>
              <w:jc w:val="both"/>
              <w:rPr>
                <w:rFonts w:eastAsia="Times New Roman"/>
                <w:noProof/>
                <w:color w:val="000000" w:themeColor="text1"/>
                <w:sz w:val="20"/>
                <w:szCs w:val="2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Tournemire</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
                <w:bCs/>
                <w:noProof/>
                <w:color w:val="000000" w:themeColor="text1"/>
                <w:sz w:val="20"/>
                <w:szCs w:val="20"/>
                <w:lang w:val="en-GB"/>
              </w:rPr>
            </w:pPr>
          </w:p>
          <w:p w:rsidR="00EF2BC3" w:rsidRDefault="00AF3002">
            <w:pPr>
              <w:cnfStyle w:val="000000000000" w:firstRow="0" w:lastRow="0" w:firstColumn="0" w:lastColumn="0" w:oddVBand="0" w:evenVBand="0" w:oddHBand="0" w:evenHBand="0" w:firstRowFirstColumn="0" w:firstRowLastColumn="0" w:lastRowFirstColumn="0" w:lastRowLastColumn="0"/>
              <w:rPr>
                <w:rFonts w:eastAsia="Times New Roman"/>
                <w:noProof/>
                <w:sz w:val="20"/>
                <w:szCs w:val="20"/>
                <w:lang w:val="en-GB"/>
              </w:rPr>
            </w:pPr>
            <w:r>
              <w:rPr>
                <w:rFonts w:eastAsia="Times New Roman"/>
                <w:bCs/>
                <w:noProof/>
                <w:color w:val="000000" w:themeColor="text1"/>
                <w:sz w:val="20"/>
                <w:szCs w:val="20"/>
                <w:lang w:val="en-GB"/>
              </w:rPr>
              <w:t>Southern Aveyron</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In operation since 1990</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 xml:space="preserve">methodological laboratory (former train tunnel) in sediments (hard clay), 250m depth </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IRSN</w:t>
            </w: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val="restart"/>
            <w:tcBorders>
              <w:top w:val="single" w:sz="4" w:space="0" w:color="auto"/>
              <w:left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HU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
                <w:bCs/>
                <w:noProof/>
                <w:color w:val="000000" w:themeColor="text1"/>
                <w:sz w:val="20"/>
                <w:szCs w:val="20"/>
                <w:lang w:val="en-GB"/>
              </w:rPr>
            </w:pPr>
            <w:r>
              <w:rPr>
                <w:rFonts w:eastAsia="Times New Roman"/>
                <w:bCs/>
                <w:noProof/>
                <w:color w:val="000000" w:themeColor="text1"/>
                <w:sz w:val="20"/>
                <w:szCs w:val="20"/>
                <w:lang w:val="en-GB"/>
              </w:rPr>
              <w:t>Western Mecsek</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 xml:space="preserve">Planned </w:t>
            </w:r>
            <w:r>
              <w:rPr>
                <w:noProof/>
                <w:color w:val="000000" w:themeColor="text1"/>
                <w:sz w:val="20"/>
                <w:szCs w:val="20"/>
                <w:lang w:val="en-GB"/>
              </w:rPr>
              <w:t>from 2020 to 2055</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color w:val="000000" w:themeColor="text1"/>
                <w:sz w:val="20"/>
                <w:szCs w:val="20"/>
                <w:lang w:val="en-GB"/>
              </w:rPr>
              <w:t>Preparation for implementation of the geological disposal programme</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PURAM</w:t>
            </w:r>
          </w:p>
        </w:tc>
      </w:tr>
      <w:tr w:rsidR="00EF2BC3" w:rsidTr="00EF2BC3">
        <w:tc>
          <w:tcPr>
            <w:cnfStyle w:val="001000000000" w:firstRow="0" w:lastRow="0" w:firstColumn="1" w:lastColumn="0" w:oddVBand="0" w:evenVBand="0" w:oddHBand="0" w:evenHBand="0" w:firstRowFirstColumn="0" w:firstRowLastColumn="0" w:lastRowFirstColumn="0" w:lastRowLastColumn="0"/>
            <w:tcW w:w="815" w:type="dxa"/>
            <w:vMerge/>
            <w:tcBorders>
              <w:left w:val="single" w:sz="4" w:space="0" w:color="auto"/>
              <w:bottom w:val="single" w:sz="4" w:space="0" w:color="auto"/>
              <w:right w:val="single" w:sz="4" w:space="0" w:color="auto"/>
            </w:tcBorders>
            <w:shd w:val="clear" w:color="auto" w:fill="1F497D" w:themeFill="text2"/>
          </w:tcPr>
          <w:p w:rsidR="00EF2BC3" w:rsidRDefault="00EF2BC3">
            <w:pPr>
              <w:spacing w:before="2"/>
              <w:jc w:val="both"/>
              <w:rPr>
                <w:rFonts w:eastAsia="Times New Roman"/>
                <w:noProof/>
                <w:color w:val="FFFFFF" w:themeColor="background1"/>
                <w:sz w:val="20"/>
                <w:szCs w:val="2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4F81BD" w:themeColor="accent1"/>
                <w:sz w:val="20"/>
                <w:szCs w:val="20"/>
                <w:lang w:val="en-GB"/>
              </w:rPr>
            </w:pPr>
            <w:r>
              <w:rPr>
                <w:rFonts w:eastAsia="Times New Roman"/>
                <w:bCs/>
                <w:noProof/>
                <w:color w:val="4F81BD" w:themeColor="accent1"/>
                <w:sz w:val="20"/>
                <w:szCs w:val="20"/>
                <w:lang w:val="en-GB"/>
              </w:rPr>
              <w:t>BCF</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
                <w:bCs/>
                <w:noProof/>
                <w:color w:val="4F81BD" w:themeColor="accent1"/>
                <w:sz w:val="20"/>
                <w:szCs w:val="20"/>
                <w:lang w:val="en-GB"/>
              </w:rPr>
            </w:pPr>
            <w:r>
              <w:rPr>
                <w:rFonts w:eastAsia="Times New Roman"/>
                <w:bCs/>
                <w:noProof/>
                <w:color w:val="4F81BD" w:themeColor="accent1"/>
                <w:sz w:val="20"/>
                <w:szCs w:val="20"/>
                <w:lang w:val="en-GB"/>
              </w:rPr>
              <w:t>Western Mecsek</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4F81BD" w:themeColor="accent1"/>
                <w:sz w:val="20"/>
                <w:szCs w:val="20"/>
                <w:lang w:val="en-GB"/>
              </w:rPr>
            </w:pPr>
            <w:r>
              <w:rPr>
                <w:rFonts w:eastAsia="Times New Roman"/>
                <w:bCs/>
                <w:noProof/>
                <w:color w:val="4F81BD" w:themeColor="accent1"/>
                <w:sz w:val="20"/>
                <w:szCs w:val="20"/>
                <w:lang w:val="en-GB"/>
              </w:rPr>
              <w:t xml:space="preserve">Discontinued in </w:t>
            </w:r>
            <w:r>
              <w:rPr>
                <w:rFonts w:eastAsia="Times New Roman"/>
                <w:bCs/>
                <w:noProof/>
                <w:color w:val="4F81BD" w:themeColor="accent1"/>
                <w:sz w:val="20"/>
                <w:szCs w:val="20"/>
                <w:lang w:val="en-GB"/>
              </w:rPr>
              <w:t>1998</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4F81BD" w:themeColor="accent1"/>
                <w:sz w:val="20"/>
                <w:szCs w:val="20"/>
                <w:lang w:val="en-GB"/>
              </w:rPr>
            </w:pP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4F81BD" w:themeColor="accen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PL</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PURL</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Planned</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Research for the DGR</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noProof/>
                <w:sz w:val="20"/>
                <w:szCs w:val="20"/>
                <w:lang w:val="en-GB"/>
              </w:rPr>
              <w:t>Minister of Economy, Polish Geological Institute – National Research Institute and other interested institutes</w:t>
            </w:r>
            <w:r>
              <w:rPr>
                <w:rStyle w:val="FootnoteReference"/>
                <w:noProof/>
                <w:sz w:val="20"/>
                <w:szCs w:val="20"/>
                <w:lang w:val="en-GB"/>
              </w:rPr>
              <w:footnoteReference w:id="52"/>
            </w:r>
          </w:p>
        </w:tc>
      </w:tr>
      <w:tr w:rsidR="00EF2BC3" w:rsidTr="00EF2BC3">
        <w:tc>
          <w:tcPr>
            <w:cnfStyle w:val="001000000000" w:firstRow="0" w:lastRow="0" w:firstColumn="1" w:lastColumn="0" w:oddVBand="0" w:evenVBand="0" w:oddHBand="0" w:evenHBand="0" w:firstRowFirstColumn="0" w:firstRowLastColumn="0" w:lastRowFirstColumn="0" w:lastRowLastColumn="0"/>
            <w:tcW w:w="815" w:type="dxa"/>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RO</w:t>
            </w:r>
            <w:r>
              <w:rPr>
                <w:rStyle w:val="FootnoteReference"/>
                <w:bCs w:val="0"/>
                <w:noProof/>
                <w:color w:val="000000" w:themeColor="text1"/>
                <w:sz w:val="20"/>
                <w:szCs w:val="20"/>
                <w:lang w:val="en-GB"/>
              </w:rPr>
              <w:footnoteReference w:id="53"/>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bCs/>
                <w:noProof/>
                <w:color w:val="000000" w:themeColor="text1"/>
                <w:lang w:val="en-GB"/>
              </w:rPr>
              <w:t>Planned</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On the selected site</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2030</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beforeAutospacing="1" w:after="100" w:afterAutospacing="1"/>
              <w:cnfStyle w:val="000000000000" w:firstRow="0" w:lastRow="0" w:firstColumn="0" w:lastColumn="0" w:oddVBand="0" w:evenVBand="0" w:oddHBand="0" w:evenHBand="0" w:firstRowFirstColumn="0" w:firstRowLastColumn="0" w:lastRowFirstColumn="0" w:lastRowLastColumn="0"/>
              <w:rPr>
                <w:noProof/>
                <w:sz w:val="20"/>
                <w:szCs w:val="20"/>
                <w:lang w:val="en-GB"/>
              </w:rPr>
            </w:pPr>
            <w:r>
              <w:rPr>
                <w:noProof/>
                <w:sz w:val="20"/>
                <w:szCs w:val="20"/>
                <w:lang w:val="en-GB"/>
              </w:rPr>
              <w:t xml:space="preserve">Confirm the suitability of the underground conditions </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0000" w:themeColor="text1"/>
                <w:sz w:val="20"/>
                <w:szCs w:val="20"/>
                <w:lang w:val="en-GB"/>
              </w:rPr>
            </w:pPr>
          </w:p>
        </w:tc>
      </w:tr>
      <w:tr w:rsidR="00EF2BC3" w:rsidTr="00EF2B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5" w:type="dxa"/>
            <w:vMerge w:val="restart"/>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AF3002">
            <w:pPr>
              <w:spacing w:before="2"/>
              <w:jc w:val="both"/>
              <w:rPr>
                <w:rFonts w:eastAsia="Times New Roman"/>
                <w:noProof/>
                <w:color w:val="FFFFFF" w:themeColor="background1"/>
                <w:sz w:val="20"/>
                <w:szCs w:val="20"/>
                <w:lang w:val="en-GB"/>
              </w:rPr>
            </w:pPr>
            <w:r>
              <w:rPr>
                <w:rFonts w:eastAsia="Times New Roman"/>
                <w:noProof/>
                <w:color w:val="FFFFFF" w:themeColor="background1"/>
                <w:sz w:val="20"/>
                <w:szCs w:val="20"/>
                <w:lang w:val="en-GB"/>
              </w:rPr>
              <w:t>SE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 xml:space="preserve">Äspö HRL </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noProof/>
                <w:color w:val="262626"/>
                <w:sz w:val="20"/>
                <w:szCs w:val="20"/>
                <w:lang w:val="en-GB"/>
              </w:rPr>
              <w:t>North of Oskarshamn</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bCs/>
                <w:noProof/>
                <w:color w:val="000000" w:themeColor="text1"/>
                <w:sz w:val="20"/>
                <w:szCs w:val="20"/>
                <w:lang w:val="en-GB"/>
              </w:rPr>
            </w:pPr>
            <w:r>
              <w:rPr>
                <w:rFonts w:eastAsia="Times New Roman"/>
                <w:bCs/>
                <w:noProof/>
                <w:color w:val="000000" w:themeColor="text1"/>
                <w:sz w:val="20"/>
                <w:szCs w:val="20"/>
                <w:lang w:val="en-GB"/>
              </w:rPr>
              <w:t>In operation since 1995</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000000" w:themeColor="text1"/>
                <w:lang w:val="en-GB"/>
              </w:rPr>
            </w:pPr>
            <w:r>
              <w:rPr>
                <w:rFonts w:ascii="Times New Roman" w:hAnsi="Times New Roman"/>
                <w:noProof/>
                <w:color w:val="000000" w:themeColor="text1"/>
                <w:lang w:val="en-GB"/>
              </w:rPr>
              <w:t>Granite, 200 - 500 m depth; Used for research activities on performance of barriers for spent fuel disposal.</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themeColor="text1"/>
                <w:sz w:val="20"/>
                <w:szCs w:val="20"/>
                <w:lang w:val="en-GB"/>
              </w:rPr>
            </w:pPr>
            <w:r>
              <w:rPr>
                <w:rFonts w:eastAsia="Times New Roman"/>
                <w:noProof/>
                <w:color w:val="000000" w:themeColor="text1"/>
                <w:sz w:val="20"/>
                <w:szCs w:val="20"/>
                <w:lang w:val="en-GB"/>
              </w:rPr>
              <w:t>SKB</w:t>
            </w:r>
          </w:p>
        </w:tc>
      </w:tr>
      <w:tr w:rsidR="00EF2BC3" w:rsidTr="00EF2BC3">
        <w:trPr>
          <w:trHeight w:val="657"/>
        </w:trPr>
        <w:tc>
          <w:tcPr>
            <w:cnfStyle w:val="001000000000" w:firstRow="0" w:lastRow="0" w:firstColumn="1" w:lastColumn="0" w:oddVBand="0" w:evenVBand="0" w:oddHBand="0" w:evenHBand="0" w:firstRowFirstColumn="0" w:firstRowLastColumn="0" w:lastRowFirstColumn="0" w:lastRowLastColumn="0"/>
            <w:tcW w:w="815" w:type="dxa"/>
            <w:vMerge/>
            <w:tcBorders>
              <w:top w:val="single" w:sz="4" w:space="0" w:color="auto"/>
              <w:left w:val="single" w:sz="4" w:space="0" w:color="auto"/>
              <w:bottom w:val="single" w:sz="4" w:space="0" w:color="auto"/>
              <w:right w:val="single" w:sz="4" w:space="0" w:color="auto"/>
            </w:tcBorders>
            <w:shd w:val="clear" w:color="auto" w:fill="1F497D" w:themeFill="text2"/>
          </w:tcPr>
          <w:p w:rsidR="00EF2BC3" w:rsidRDefault="00EF2BC3">
            <w:pPr>
              <w:spacing w:before="2"/>
              <w:jc w:val="both"/>
              <w:rPr>
                <w:rFonts w:eastAsia="Times New Roman"/>
                <w:noProof/>
                <w:color w:val="000000" w:themeColor="text1"/>
                <w:sz w:val="20"/>
                <w:szCs w:val="20"/>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70C0"/>
                <w:lang w:val="en-GB"/>
              </w:rPr>
            </w:pPr>
            <w:r>
              <w:rPr>
                <w:rFonts w:ascii="Times New Roman" w:hAnsi="Times New Roman"/>
                <w:noProof/>
                <w:color w:val="0070C0"/>
                <w:lang w:val="en-GB"/>
              </w:rPr>
              <w:t xml:space="preserve">Stripa mine </w:t>
            </w:r>
          </w:p>
        </w:tc>
        <w:tc>
          <w:tcPr>
            <w:tcW w:w="1320"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EF2BC3">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70C0"/>
                <w:sz w:val="20"/>
                <w:szCs w:val="20"/>
                <w:lang w:val="en-GB"/>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bCs/>
                <w:noProof/>
                <w:color w:val="0070C0"/>
                <w:sz w:val="20"/>
                <w:szCs w:val="20"/>
                <w:lang w:val="en-GB"/>
              </w:rPr>
            </w:pPr>
            <w:r>
              <w:rPr>
                <w:rFonts w:eastAsia="Times New Roman"/>
                <w:bCs/>
                <w:noProof/>
                <w:color w:val="0070C0"/>
                <w:sz w:val="20"/>
                <w:szCs w:val="20"/>
                <w:lang w:val="en-GB"/>
              </w:rPr>
              <w:t xml:space="preserve">Closed in </w:t>
            </w:r>
            <w:r>
              <w:rPr>
                <w:rFonts w:eastAsia="Times New Roman"/>
                <w:bCs/>
                <w:noProof/>
                <w:color w:val="0070C0"/>
                <w:sz w:val="20"/>
                <w:szCs w:val="20"/>
                <w:lang w:val="en-GB"/>
              </w:rPr>
              <w:t>1991</w:t>
            </w:r>
          </w:p>
        </w:tc>
        <w:tc>
          <w:tcPr>
            <w:tcW w:w="2663"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pStyle w:val="NormalWeb"/>
              <w:spacing w:before="2"/>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70C0"/>
                <w:lang w:val="en-GB"/>
              </w:rPr>
            </w:pPr>
            <w:r>
              <w:rPr>
                <w:rFonts w:ascii="Times New Roman" w:hAnsi="Times New Roman"/>
                <w:noProof/>
                <w:color w:val="0070C0"/>
                <w:lang w:val="en-GB"/>
              </w:rPr>
              <w:t>Granite, former iron ore mine at 360 - 410 m research from 1977 - 1991</w:t>
            </w:r>
          </w:p>
        </w:tc>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tcPr>
          <w:p w:rsidR="00EF2BC3" w:rsidRDefault="00AF3002">
            <w:pPr>
              <w:spacing w:before="2"/>
              <w:jc w:val="both"/>
              <w:cnfStyle w:val="000000000000" w:firstRow="0" w:lastRow="0" w:firstColumn="0" w:lastColumn="0" w:oddVBand="0" w:evenVBand="0" w:oddHBand="0" w:evenHBand="0" w:firstRowFirstColumn="0" w:firstRowLastColumn="0" w:lastRowFirstColumn="0" w:lastRowLastColumn="0"/>
              <w:rPr>
                <w:rFonts w:eastAsia="Times New Roman"/>
                <w:noProof/>
                <w:color w:val="0070C0"/>
                <w:sz w:val="20"/>
                <w:szCs w:val="20"/>
                <w:lang w:val="en-GB"/>
              </w:rPr>
            </w:pPr>
            <w:r>
              <w:rPr>
                <w:rFonts w:eastAsia="Times New Roman"/>
                <w:noProof/>
                <w:color w:val="0070C0"/>
                <w:sz w:val="20"/>
                <w:szCs w:val="20"/>
                <w:lang w:val="en-GB"/>
              </w:rPr>
              <w:t>SKB</w:t>
            </w:r>
          </w:p>
        </w:tc>
      </w:tr>
    </w:tbl>
    <w:p w:rsidR="00EF2BC3" w:rsidRDefault="00AF3002">
      <w:pPr>
        <w:spacing w:before="240"/>
        <w:jc w:val="both"/>
        <w:rPr>
          <w:rFonts w:eastAsia="Times New Roman"/>
          <w:bCs/>
          <w:noProof/>
          <w:color w:val="000000" w:themeColor="text1"/>
        </w:rPr>
      </w:pPr>
      <w:r>
        <w:rPr>
          <w:rFonts w:eastAsia="Times New Roman"/>
          <w:noProof/>
        </w:rPr>
        <w:t>Member States</w:t>
      </w:r>
      <w:r>
        <w:rPr>
          <w:rFonts w:eastAsia="Times New Roman"/>
          <w:noProof/>
          <w:color w:val="000000" w:themeColor="text1"/>
        </w:rPr>
        <w:t xml:space="preserve"> with nuclear programmes have presented in different level of detail their research programmes, towards development of disposal solutions for spent fuel and radioactive waste.</w:t>
      </w:r>
      <w:r>
        <w:rPr>
          <w:rFonts w:eastAsia="Times New Roman"/>
          <w:bCs/>
          <w:noProof/>
          <w:color w:val="000000" w:themeColor="text1"/>
        </w:rPr>
        <w:t xml:space="preserve"> France, Finland and Sweden have advanced research plans and detailed milestones </w:t>
      </w:r>
      <w:r>
        <w:rPr>
          <w:rFonts w:eastAsia="Times New Roman"/>
          <w:bCs/>
          <w:noProof/>
          <w:color w:val="000000" w:themeColor="text1"/>
        </w:rPr>
        <w:t xml:space="preserve">for their deep geological disposal of </w:t>
      </w:r>
      <w:r>
        <w:rPr>
          <w:rFonts w:eastAsia="Times New Roman"/>
          <w:noProof/>
          <w:color w:val="000000" w:themeColor="text1"/>
        </w:rPr>
        <w:t>spent fuel</w:t>
      </w:r>
      <w:r>
        <w:rPr>
          <w:rFonts w:eastAsia="Times New Roman"/>
          <w:bCs/>
          <w:noProof/>
          <w:color w:val="000000" w:themeColor="text1"/>
        </w:rPr>
        <w:t xml:space="preserve"> with the aim to start the geological facilities operation by 2030. In light of the longer timescales for the other </w:t>
      </w:r>
      <w:r>
        <w:rPr>
          <w:noProof/>
        </w:rPr>
        <w:t>nuclear power plant</w:t>
      </w:r>
      <w:r>
        <w:rPr>
          <w:rFonts w:eastAsia="Times New Roman"/>
          <w:bCs/>
          <w:noProof/>
          <w:color w:val="000000" w:themeColor="text1"/>
        </w:rPr>
        <w:t xml:space="preserve"> countries (see Table 7) they presented in more general terms the researc</w:t>
      </w:r>
      <w:r>
        <w:rPr>
          <w:rFonts w:eastAsia="Times New Roman"/>
          <w:bCs/>
          <w:noProof/>
          <w:color w:val="000000" w:themeColor="text1"/>
        </w:rPr>
        <w:t xml:space="preserve">h and development activities and timeframes concerning final disposal of ILW, HLW and </w:t>
      </w:r>
      <w:r>
        <w:rPr>
          <w:rFonts w:eastAsia="Times New Roman"/>
          <w:noProof/>
          <w:color w:val="000000" w:themeColor="text1"/>
        </w:rPr>
        <w:t>spent fuel</w:t>
      </w:r>
      <w:r>
        <w:rPr>
          <w:rFonts w:eastAsia="Times New Roman"/>
          <w:bCs/>
          <w:noProof/>
          <w:color w:val="000000" w:themeColor="text1"/>
        </w:rPr>
        <w:t xml:space="preserve">. A few </w:t>
      </w:r>
      <w:r>
        <w:rPr>
          <w:rFonts w:eastAsia="Times New Roman"/>
          <w:noProof/>
        </w:rPr>
        <w:t>Member States</w:t>
      </w:r>
      <w:r>
        <w:rPr>
          <w:rFonts w:eastAsia="Times New Roman"/>
          <w:bCs/>
          <w:noProof/>
          <w:color w:val="000000" w:themeColor="text1"/>
        </w:rPr>
        <w:t xml:space="preserve"> recognize the need for research in management of exotic waste/fuel, while the institutional waste is usually not mentioned separately.</w:t>
      </w:r>
    </w:p>
    <w:p w:rsidR="00EF2BC3" w:rsidRDefault="00AF3002">
      <w:pPr>
        <w:tabs>
          <w:tab w:val="left" w:pos="567"/>
        </w:tabs>
        <w:spacing w:before="120"/>
        <w:jc w:val="both"/>
        <w:rPr>
          <w:rFonts w:eastAsia="Times New Roman"/>
          <w:noProof/>
          <w:color w:val="000000" w:themeColor="text1"/>
        </w:rPr>
      </w:pPr>
      <w:r>
        <w:rPr>
          <w:noProof/>
        </w:rPr>
        <w:t>The</w:t>
      </w:r>
      <w:r>
        <w:rPr>
          <w:noProof/>
        </w:rPr>
        <w:t xml:space="preserve"> majority </w:t>
      </w:r>
      <w:r>
        <w:rPr>
          <w:noProof/>
          <w:color w:val="000000" w:themeColor="text1"/>
        </w:rPr>
        <w:t xml:space="preserve">of research activities in </w:t>
      </w:r>
      <w:r>
        <w:rPr>
          <w:rFonts w:eastAsia="Times New Roman"/>
          <w:noProof/>
        </w:rPr>
        <w:t>Member States'</w:t>
      </w:r>
      <w:r>
        <w:rPr>
          <w:noProof/>
          <w:color w:val="000000" w:themeColor="text1"/>
        </w:rPr>
        <w:t xml:space="preserve"> with </w:t>
      </w:r>
      <w:r>
        <w:rPr>
          <w:noProof/>
        </w:rPr>
        <w:t>nuclear programmes</w:t>
      </w:r>
      <w:r>
        <w:rPr>
          <w:noProof/>
          <w:color w:val="000000" w:themeColor="text1"/>
        </w:rPr>
        <w:t xml:space="preserve"> are undertaken by the licensee and/or dedicated research organisations. </w:t>
      </w:r>
      <w:r>
        <w:rPr>
          <w:rFonts w:eastAsia="Times New Roman"/>
          <w:noProof/>
          <w:color w:val="000000" w:themeColor="text1"/>
        </w:rPr>
        <w:t xml:space="preserve">In some Member States (less than a third) the competent authorities </w:t>
      </w:r>
      <w:r>
        <w:rPr>
          <w:noProof/>
          <w:color w:val="000000" w:themeColor="text1"/>
        </w:rPr>
        <w:t>have their own research programmes (inclu</w:t>
      </w:r>
      <w:r>
        <w:rPr>
          <w:noProof/>
          <w:color w:val="000000" w:themeColor="text1"/>
        </w:rPr>
        <w:t xml:space="preserve">ding funding) that support the independent regulatory oversight. </w:t>
      </w:r>
    </w:p>
    <w:p w:rsidR="00EF2BC3" w:rsidRDefault="00AF3002">
      <w:pPr>
        <w:spacing w:before="120"/>
        <w:jc w:val="both"/>
        <w:rPr>
          <w:rFonts w:eastAsia="Times New Roman"/>
          <w:bCs/>
          <w:noProof/>
          <w:color w:val="000000"/>
        </w:rPr>
      </w:pPr>
      <w:r>
        <w:rPr>
          <w:rFonts w:eastAsia="Times New Roman"/>
          <w:noProof/>
        </w:rPr>
        <w:t>Member States</w:t>
      </w:r>
      <w:r>
        <w:rPr>
          <w:rFonts w:eastAsia="Times New Roman"/>
          <w:noProof/>
          <w:color w:val="000000" w:themeColor="text1"/>
        </w:rPr>
        <w:t xml:space="preserve"> with research reactors </w:t>
      </w:r>
      <w:r>
        <w:rPr>
          <w:rFonts w:eastAsia="Times New Roman"/>
          <w:bCs/>
          <w:noProof/>
          <w:color w:val="000000"/>
        </w:rPr>
        <w:t xml:space="preserve">address the research and development measures in the reports, however in most cases without clear roadmap/milestones for final disposal. </w:t>
      </w:r>
      <w:r>
        <w:rPr>
          <w:rFonts w:eastAsia="Times New Roman"/>
          <w:noProof/>
        </w:rPr>
        <w:t>Member States</w:t>
      </w:r>
      <w:r>
        <w:rPr>
          <w:rFonts w:eastAsia="Times New Roman"/>
          <w:noProof/>
          <w:color w:val="000000" w:themeColor="text1"/>
        </w:rPr>
        <w:t xml:space="preserve"> using radioactive sources only do not have their own research programmes as most of them rely on shared disposal solutions, and participate or plant to take part in international programmes or projects (e.g. the International Atomic Energy Agency, Europea</w:t>
      </w:r>
      <w:r>
        <w:rPr>
          <w:rFonts w:eastAsia="Times New Roman"/>
          <w:noProof/>
          <w:color w:val="000000" w:themeColor="text1"/>
        </w:rPr>
        <w:t xml:space="preserve">n Commission) in line with their radioactive waste management needs. </w:t>
      </w:r>
    </w:p>
    <w:p w:rsidR="00EF2BC3" w:rsidRDefault="00AF3002">
      <w:pPr>
        <w:pStyle w:val="ManualHeading3"/>
        <w:spacing w:before="2"/>
        <w:rPr>
          <w:noProof/>
        </w:rPr>
      </w:pPr>
      <w:bookmarkStart w:id="41" w:name="_Toc474832879"/>
      <w:r>
        <w:t>2.2.7.</w:t>
      </w:r>
      <w:r>
        <w:tab/>
      </w:r>
      <w:r>
        <w:rPr>
          <w:noProof/>
        </w:rPr>
        <w:t>Transparency</w:t>
      </w:r>
      <w:bookmarkEnd w:id="41"/>
      <w:r>
        <w:rPr>
          <w:noProof/>
        </w:rPr>
        <w:t xml:space="preserve"> </w:t>
      </w:r>
    </w:p>
    <w:p w:rsidR="00EF2BC3" w:rsidRDefault="00AF3002">
      <w:pPr>
        <w:spacing w:before="120"/>
        <w:jc w:val="both"/>
        <w:rPr>
          <w:noProof/>
          <w:color w:val="000000" w:themeColor="text1"/>
        </w:rPr>
      </w:pPr>
      <w:r>
        <w:rPr>
          <w:rFonts w:eastAsia="Times New Roman"/>
          <w:noProof/>
        </w:rPr>
        <w:t xml:space="preserve">Member States’ programmes shall include the national policy/process for transparency required by Article 10 of the Directive. </w:t>
      </w:r>
      <w:r>
        <w:rPr>
          <w:noProof/>
        </w:rPr>
        <w:t>They shall ensure that necessary inform</w:t>
      </w:r>
      <w:r>
        <w:rPr>
          <w:noProof/>
        </w:rPr>
        <w:t xml:space="preserve">ation on the </w:t>
      </w:r>
      <w:r>
        <w:rPr>
          <w:noProof/>
          <w:color w:val="000000" w:themeColor="text1"/>
        </w:rPr>
        <w:t>management of spent fuel and radioactive waste is made available to workers and the public (including the one from the competent regulatory authority) and that the public is given the necessary opportunities to participate effectively in the d</w:t>
      </w:r>
      <w:r>
        <w:rPr>
          <w:noProof/>
          <w:color w:val="000000" w:themeColor="text1"/>
        </w:rPr>
        <w:t xml:space="preserve">ecision-making process in accordance with national legislation and international obligations. </w:t>
      </w:r>
    </w:p>
    <w:p w:rsidR="00EF2BC3" w:rsidRDefault="00AF3002">
      <w:pPr>
        <w:spacing w:before="120"/>
        <w:jc w:val="both"/>
        <w:rPr>
          <w:noProof/>
        </w:rPr>
      </w:pPr>
      <w:r>
        <w:rPr>
          <w:noProof/>
          <w:color w:val="000000" w:themeColor="text1"/>
        </w:rPr>
        <w:t xml:space="preserve">Overall the majority of </w:t>
      </w:r>
      <w:r>
        <w:rPr>
          <w:rFonts w:eastAsia="Times New Roman"/>
          <w:noProof/>
        </w:rPr>
        <w:t xml:space="preserve">Member States </w:t>
      </w:r>
      <w:r>
        <w:rPr>
          <w:noProof/>
          <w:color w:val="000000" w:themeColor="text1"/>
        </w:rPr>
        <w:t>have reported on the policy frameworks they have put in place in order to ensure transparency. This information covered the</w:t>
      </w:r>
      <w:r>
        <w:rPr>
          <w:noProof/>
          <w:color w:val="000000" w:themeColor="text1"/>
        </w:rPr>
        <w:t xml:space="preserve"> relevant legislation, mechanisms for public information, consultation and public participation.</w:t>
      </w:r>
      <w:r>
        <w:rPr>
          <w:noProof/>
        </w:rPr>
        <w:t xml:space="preserve"> </w:t>
      </w:r>
    </w:p>
    <w:p w:rsidR="00EF2BC3" w:rsidRDefault="00AF3002">
      <w:pPr>
        <w:spacing w:before="120"/>
        <w:jc w:val="both"/>
        <w:rPr>
          <w:noProof/>
        </w:rPr>
      </w:pPr>
      <w:r>
        <w:rPr>
          <w:noProof/>
        </w:rPr>
        <w:t xml:space="preserve">According to </w:t>
      </w:r>
      <w:r>
        <w:rPr>
          <w:rFonts w:eastAsia="Times New Roman"/>
          <w:noProof/>
        </w:rPr>
        <w:t>Member States'</w:t>
      </w:r>
      <w:r>
        <w:rPr>
          <w:noProof/>
        </w:rPr>
        <w:t xml:space="preserve"> notifications transparency is required at the national level by the constitution, general laws, environmental laws, nuclear laws, radioactive waste management, radiation protection or energy laws.</w:t>
      </w:r>
    </w:p>
    <w:p w:rsidR="00EF2BC3" w:rsidRDefault="00AF3002">
      <w:pPr>
        <w:spacing w:before="120"/>
        <w:jc w:val="both"/>
        <w:rPr>
          <w:noProof/>
        </w:rPr>
      </w:pPr>
      <w:r>
        <w:rPr>
          <w:rFonts w:eastAsia="Times New Roman"/>
          <w:noProof/>
        </w:rPr>
        <w:t xml:space="preserve">Member States </w:t>
      </w:r>
      <w:r>
        <w:rPr>
          <w:noProof/>
        </w:rPr>
        <w:t>apply the transparency requirements via diff</w:t>
      </w:r>
      <w:r>
        <w:rPr>
          <w:noProof/>
        </w:rPr>
        <w:t>erent mechanisms adopted to allow information and involvement of the public, local communities and other stakeholders in spent fuel and radioactive waste management presented in Table 12 below.</w:t>
      </w:r>
    </w:p>
    <w:p w:rsidR="00EF2BC3" w:rsidRDefault="00AF3002">
      <w:pPr>
        <w:keepNext/>
        <w:spacing w:before="240" w:after="120"/>
        <w:jc w:val="center"/>
        <w:outlineLvl w:val="0"/>
        <w:rPr>
          <w:b/>
          <w:noProof/>
        </w:rPr>
      </w:pPr>
      <w:bookmarkStart w:id="42" w:name="_Toc474832580"/>
      <w:bookmarkStart w:id="43" w:name="_Toc474832880"/>
      <w:r>
        <w:rPr>
          <w:b/>
          <w:noProof/>
        </w:rPr>
        <w:t>Table 12. Overview of main information and involvement mechani</w:t>
      </w:r>
      <w:r>
        <w:rPr>
          <w:b/>
          <w:noProof/>
        </w:rPr>
        <w:t>sms</w:t>
      </w:r>
      <w:bookmarkEnd w:id="42"/>
      <w:bookmarkEnd w:id="43"/>
      <w:r>
        <w:rPr>
          <w:b/>
          <w:noProof/>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3469"/>
        <w:gridCol w:w="2455"/>
      </w:tblGrid>
      <w:tr w:rsidR="00EF2BC3">
        <w:trPr>
          <w:jc w:val="center"/>
        </w:trPr>
        <w:tc>
          <w:tcPr>
            <w:tcW w:w="2525" w:type="dxa"/>
            <w:tcBorders>
              <w:bottom w:val="single" w:sz="4" w:space="0" w:color="auto"/>
            </w:tcBorders>
          </w:tcPr>
          <w:p w:rsidR="00EF2BC3" w:rsidRDefault="00AF3002">
            <w:pPr>
              <w:spacing w:before="120"/>
              <w:jc w:val="both"/>
              <w:rPr>
                <w:i/>
                <w:noProof/>
              </w:rPr>
            </w:pPr>
            <w:r>
              <w:rPr>
                <w:i/>
                <w:noProof/>
              </w:rPr>
              <w:t>1. Information</w:t>
            </w:r>
          </w:p>
        </w:tc>
        <w:tc>
          <w:tcPr>
            <w:tcW w:w="3469" w:type="dxa"/>
            <w:tcBorders>
              <w:bottom w:val="single" w:sz="4" w:space="0" w:color="auto"/>
            </w:tcBorders>
          </w:tcPr>
          <w:p w:rsidR="00EF2BC3" w:rsidRDefault="00AF3002">
            <w:pPr>
              <w:spacing w:before="120"/>
              <w:jc w:val="both"/>
              <w:rPr>
                <w:i/>
                <w:noProof/>
              </w:rPr>
            </w:pPr>
            <w:r>
              <w:rPr>
                <w:i/>
                <w:noProof/>
              </w:rPr>
              <w:t>2. Consultation</w:t>
            </w:r>
          </w:p>
        </w:tc>
        <w:tc>
          <w:tcPr>
            <w:tcW w:w="2455" w:type="dxa"/>
            <w:tcBorders>
              <w:bottom w:val="single" w:sz="4" w:space="0" w:color="auto"/>
            </w:tcBorders>
          </w:tcPr>
          <w:p w:rsidR="00EF2BC3" w:rsidRDefault="00AF3002">
            <w:pPr>
              <w:spacing w:before="120"/>
              <w:jc w:val="both"/>
              <w:rPr>
                <w:i/>
                <w:noProof/>
              </w:rPr>
            </w:pPr>
            <w:r>
              <w:rPr>
                <w:i/>
                <w:noProof/>
              </w:rPr>
              <w:t>3. Participation</w:t>
            </w:r>
          </w:p>
        </w:tc>
      </w:tr>
      <w:tr w:rsidR="00EF2BC3">
        <w:trPr>
          <w:jc w:val="center"/>
        </w:trPr>
        <w:tc>
          <w:tcPr>
            <w:tcW w:w="2525" w:type="dxa"/>
            <w:tcBorders>
              <w:top w:val="single" w:sz="4" w:space="0" w:color="auto"/>
            </w:tcBorders>
          </w:tcPr>
          <w:p w:rsidR="00EF2BC3" w:rsidRDefault="00AF3002">
            <w:pPr>
              <w:spacing w:before="120"/>
              <w:jc w:val="both"/>
              <w:rPr>
                <w:noProof/>
                <w:lang w:val="fr-BE"/>
              </w:rPr>
            </w:pPr>
            <w:r>
              <w:rPr>
                <w:noProof/>
                <w:lang w:val="fr-BE"/>
              </w:rPr>
              <w:t>a. Internet</w:t>
            </w:r>
          </w:p>
          <w:p w:rsidR="00EF2BC3" w:rsidRDefault="00AF3002">
            <w:pPr>
              <w:spacing w:before="120"/>
              <w:jc w:val="both"/>
              <w:rPr>
                <w:noProof/>
                <w:lang w:val="fr-BE"/>
              </w:rPr>
            </w:pPr>
            <w:r>
              <w:rPr>
                <w:noProof/>
                <w:lang w:val="fr-BE"/>
              </w:rPr>
              <w:t>b. Printed information</w:t>
            </w:r>
          </w:p>
          <w:p w:rsidR="00EF2BC3" w:rsidRDefault="00AF3002">
            <w:pPr>
              <w:spacing w:before="120"/>
              <w:jc w:val="both"/>
              <w:rPr>
                <w:noProof/>
                <w:lang w:val="fr-BE"/>
              </w:rPr>
            </w:pPr>
            <w:r>
              <w:rPr>
                <w:noProof/>
                <w:lang w:val="fr-BE"/>
              </w:rPr>
              <w:t>c. Public events</w:t>
            </w:r>
          </w:p>
          <w:p w:rsidR="00EF2BC3" w:rsidRDefault="00AF3002">
            <w:pPr>
              <w:spacing w:before="120"/>
              <w:jc w:val="both"/>
              <w:rPr>
                <w:noProof/>
                <w:lang w:val="fr-BE"/>
              </w:rPr>
            </w:pPr>
            <w:r>
              <w:rPr>
                <w:noProof/>
                <w:lang w:val="fr-BE"/>
              </w:rPr>
              <w:t>d. Media relations</w:t>
            </w:r>
          </w:p>
          <w:p w:rsidR="00EF2BC3" w:rsidRDefault="00AF3002">
            <w:pPr>
              <w:spacing w:before="120"/>
              <w:jc w:val="both"/>
              <w:rPr>
                <w:noProof/>
              </w:rPr>
            </w:pPr>
            <w:r>
              <w:rPr>
                <w:noProof/>
              </w:rPr>
              <w:t>e. Other tools</w:t>
            </w:r>
          </w:p>
        </w:tc>
        <w:tc>
          <w:tcPr>
            <w:tcW w:w="3469" w:type="dxa"/>
            <w:tcBorders>
              <w:top w:val="single" w:sz="4" w:space="0" w:color="auto"/>
            </w:tcBorders>
          </w:tcPr>
          <w:p w:rsidR="00EF2BC3" w:rsidRDefault="00AF3002">
            <w:pPr>
              <w:spacing w:before="120"/>
              <w:rPr>
                <w:noProof/>
              </w:rPr>
            </w:pPr>
            <w:r>
              <w:rPr>
                <w:noProof/>
              </w:rPr>
              <w:t>a. Public meetings and workshops</w:t>
            </w:r>
          </w:p>
          <w:p w:rsidR="00EF2BC3" w:rsidRDefault="00AF3002">
            <w:pPr>
              <w:spacing w:before="120"/>
              <w:rPr>
                <w:noProof/>
              </w:rPr>
            </w:pPr>
            <w:r>
              <w:rPr>
                <w:noProof/>
              </w:rPr>
              <w:t>b. Surveys and opinion polls</w:t>
            </w:r>
          </w:p>
          <w:p w:rsidR="00EF2BC3" w:rsidRDefault="00AF3002">
            <w:pPr>
              <w:spacing w:before="120"/>
              <w:rPr>
                <w:noProof/>
              </w:rPr>
            </w:pPr>
            <w:r>
              <w:rPr>
                <w:noProof/>
              </w:rPr>
              <w:t>c. Public consultations/hearings</w:t>
            </w:r>
          </w:p>
          <w:p w:rsidR="00EF2BC3" w:rsidRDefault="00AF3002">
            <w:pPr>
              <w:spacing w:before="120"/>
              <w:rPr>
                <w:noProof/>
              </w:rPr>
            </w:pPr>
            <w:r>
              <w:rPr>
                <w:noProof/>
              </w:rPr>
              <w:t>d. Other tools</w:t>
            </w:r>
          </w:p>
        </w:tc>
        <w:tc>
          <w:tcPr>
            <w:tcW w:w="2455" w:type="dxa"/>
            <w:tcBorders>
              <w:top w:val="single" w:sz="4" w:space="0" w:color="auto"/>
            </w:tcBorders>
          </w:tcPr>
          <w:p w:rsidR="00EF2BC3" w:rsidRDefault="00AF3002">
            <w:pPr>
              <w:spacing w:before="120"/>
              <w:jc w:val="both"/>
              <w:rPr>
                <w:noProof/>
              </w:rPr>
            </w:pPr>
            <w:r>
              <w:rPr>
                <w:noProof/>
              </w:rPr>
              <w:t xml:space="preserve">a. </w:t>
            </w:r>
            <w:r>
              <w:rPr>
                <w:noProof/>
              </w:rPr>
              <w:t>Working groups</w:t>
            </w:r>
          </w:p>
          <w:p w:rsidR="00EF2BC3" w:rsidRDefault="00AF3002">
            <w:pPr>
              <w:spacing w:before="120"/>
              <w:rPr>
                <w:noProof/>
              </w:rPr>
            </w:pPr>
            <w:r>
              <w:rPr>
                <w:noProof/>
              </w:rPr>
              <w:t xml:space="preserve">b. Voluntary arrangements </w:t>
            </w:r>
          </w:p>
          <w:p w:rsidR="00EF2BC3" w:rsidRDefault="00AF3002">
            <w:pPr>
              <w:spacing w:before="120"/>
              <w:rPr>
                <w:noProof/>
              </w:rPr>
            </w:pPr>
            <w:r>
              <w:rPr>
                <w:noProof/>
              </w:rPr>
              <w:t>c. National commissions</w:t>
            </w:r>
          </w:p>
          <w:p w:rsidR="00EF2BC3" w:rsidRDefault="00AF3002">
            <w:pPr>
              <w:spacing w:before="120"/>
              <w:rPr>
                <w:noProof/>
              </w:rPr>
            </w:pPr>
            <w:r>
              <w:rPr>
                <w:noProof/>
              </w:rPr>
              <w:t>d. Advisory bodies</w:t>
            </w:r>
          </w:p>
          <w:p w:rsidR="00EF2BC3" w:rsidRDefault="00EF2BC3">
            <w:pPr>
              <w:spacing w:before="120"/>
              <w:rPr>
                <w:noProof/>
              </w:rPr>
            </w:pPr>
          </w:p>
        </w:tc>
      </w:tr>
    </w:tbl>
    <w:p w:rsidR="00EF2BC3" w:rsidRDefault="00AF3002">
      <w:pPr>
        <w:spacing w:before="120"/>
        <w:jc w:val="both"/>
        <w:rPr>
          <w:noProof/>
        </w:rPr>
      </w:pPr>
      <w:r>
        <w:rPr>
          <w:noProof/>
        </w:rPr>
        <w:t xml:space="preserve">In general, the </w:t>
      </w:r>
      <w:r>
        <w:rPr>
          <w:rFonts w:eastAsia="Times New Roman"/>
          <w:noProof/>
        </w:rPr>
        <w:t>Member States'</w:t>
      </w:r>
      <w:r>
        <w:rPr>
          <w:noProof/>
        </w:rPr>
        <w:t xml:space="preserve"> national programmes and reports contain a details on how </w:t>
      </w:r>
      <w:r>
        <w:rPr>
          <w:rFonts w:eastAsia="Times New Roman"/>
          <w:noProof/>
        </w:rPr>
        <w:t>Member States</w:t>
      </w:r>
      <w:r>
        <w:rPr>
          <w:noProof/>
        </w:rPr>
        <w:t xml:space="preserve"> allow and provide information and ensure opportunities for public c</w:t>
      </w:r>
      <w:r>
        <w:rPr>
          <w:noProof/>
        </w:rPr>
        <w:t>onsultation (e.g. in the framework of SEA and environmental impact assessment (EIA) procedures). The Commission noted that in some case, information on the transparency policy and its implementation in practice has not been included in the national program</w:t>
      </w:r>
      <w:r>
        <w:rPr>
          <w:noProof/>
        </w:rPr>
        <w:t xml:space="preserve">me as required by Article 12(1)j of the Directive but rather in the </w:t>
      </w:r>
      <w:r>
        <w:rPr>
          <w:rFonts w:eastAsia="Times New Roman"/>
          <w:noProof/>
        </w:rPr>
        <w:t>Member State's</w:t>
      </w:r>
      <w:r>
        <w:rPr>
          <w:noProof/>
        </w:rPr>
        <w:t xml:space="preserve"> report, or vice versa.</w:t>
      </w:r>
    </w:p>
    <w:p w:rsidR="00EF2BC3" w:rsidRDefault="00AF3002">
      <w:pPr>
        <w:spacing w:before="120"/>
        <w:jc w:val="both"/>
        <w:rPr>
          <w:noProof/>
        </w:rPr>
      </w:pPr>
      <w:r>
        <w:rPr>
          <w:noProof/>
        </w:rPr>
        <w:t xml:space="preserve">Almost all </w:t>
      </w:r>
      <w:r>
        <w:rPr>
          <w:rFonts w:eastAsia="Times New Roman"/>
          <w:noProof/>
        </w:rPr>
        <w:t>Member States</w:t>
      </w:r>
      <w:r>
        <w:rPr>
          <w:noProof/>
        </w:rPr>
        <w:t xml:space="preserve"> have clearly indicated the responsibility of the national regulator to provide information to the public about the safety and</w:t>
      </w:r>
      <w:r>
        <w:rPr>
          <w:noProof/>
        </w:rPr>
        <w:t xml:space="preserve"> security of nuclear energy decisions and activities, including spent fuel and radioactive waste management. In some cases, </w:t>
      </w:r>
      <w:r>
        <w:rPr>
          <w:rFonts w:eastAsia="Times New Roman"/>
          <w:noProof/>
        </w:rPr>
        <w:t xml:space="preserve">Member States </w:t>
      </w:r>
      <w:r>
        <w:rPr>
          <w:noProof/>
        </w:rPr>
        <w:t>specify that the public can access the regulator's acts on the basis of the right of public access to official records</w:t>
      </w:r>
      <w:r>
        <w:rPr>
          <w:noProof/>
        </w:rPr>
        <w:t xml:space="preserve"> if such acts are not covered by secrecy. Some </w:t>
      </w:r>
      <w:r>
        <w:rPr>
          <w:rFonts w:eastAsia="Times New Roman"/>
          <w:noProof/>
        </w:rPr>
        <w:t xml:space="preserve">Member States </w:t>
      </w:r>
      <w:r>
        <w:rPr>
          <w:noProof/>
        </w:rPr>
        <w:t>have reported that documents about the licensing procedure of nuclear and radioactive waste management facilities are made public and easily accessible on the authorities' websites as requested b</w:t>
      </w:r>
      <w:r>
        <w:rPr>
          <w:noProof/>
        </w:rPr>
        <w:t>y national laws. National laws also assign a legal obligation of information to the licence holders (i.e. operator of nuclear facilities or implementer for radioactive waste management facilities): e.g. licence holders have a duty to inform the general pub</w:t>
      </w:r>
      <w:r>
        <w:rPr>
          <w:noProof/>
        </w:rPr>
        <w:t>lic and the affected local community. Finally, other bodies (usually at ministerial level) may also be responsible for the provision of information.</w:t>
      </w:r>
    </w:p>
    <w:p w:rsidR="00EF2BC3" w:rsidRDefault="00AF3002">
      <w:pPr>
        <w:spacing w:before="120"/>
        <w:jc w:val="both"/>
        <w:rPr>
          <w:noProof/>
        </w:rPr>
      </w:pPr>
      <w:r>
        <w:rPr>
          <w:noProof/>
        </w:rPr>
        <w:t xml:space="preserve">Information to the public and other stakeholder is provided by </w:t>
      </w:r>
      <w:r>
        <w:rPr>
          <w:rFonts w:eastAsia="Times New Roman"/>
          <w:noProof/>
        </w:rPr>
        <w:t>Member States</w:t>
      </w:r>
      <w:r>
        <w:rPr>
          <w:noProof/>
        </w:rPr>
        <w:t xml:space="preserve"> through several mechanisms tha</w:t>
      </w:r>
      <w:r>
        <w:rPr>
          <w:noProof/>
        </w:rPr>
        <w:t>t can be summarized as follows:</w:t>
      </w:r>
    </w:p>
    <w:p w:rsidR="00EF2BC3" w:rsidRDefault="00AF3002">
      <w:pPr>
        <w:pStyle w:val="ListParagraph"/>
        <w:numPr>
          <w:ilvl w:val="0"/>
          <w:numId w:val="25"/>
        </w:numPr>
        <w:spacing w:before="120"/>
        <w:contextualSpacing w:val="0"/>
        <w:jc w:val="both"/>
        <w:rPr>
          <w:noProof/>
        </w:rPr>
      </w:pPr>
      <w:r>
        <w:rPr>
          <w:noProof/>
        </w:rPr>
        <w:t>Internet – mostly reported tool, mainly in the form of corporate websites;</w:t>
      </w:r>
    </w:p>
    <w:p w:rsidR="00EF2BC3" w:rsidRDefault="00AF3002">
      <w:pPr>
        <w:pStyle w:val="ListParagraph"/>
        <w:numPr>
          <w:ilvl w:val="0"/>
          <w:numId w:val="25"/>
        </w:numPr>
        <w:spacing w:before="120"/>
        <w:contextualSpacing w:val="0"/>
        <w:jc w:val="both"/>
        <w:rPr>
          <w:noProof/>
        </w:rPr>
      </w:pPr>
      <w:r>
        <w:rPr>
          <w:noProof/>
        </w:rPr>
        <w:t>Printed information – e.g. newsletters (or e-newsletter), leaflets, brochures and publications; studies and reports (e.g., annual reports, progress r</w:t>
      </w:r>
      <w:r>
        <w:rPr>
          <w:noProof/>
        </w:rPr>
        <w:t>eports and technical reports;</w:t>
      </w:r>
    </w:p>
    <w:p w:rsidR="00EF2BC3" w:rsidRDefault="00AF3002">
      <w:pPr>
        <w:pStyle w:val="ListParagraph"/>
        <w:numPr>
          <w:ilvl w:val="0"/>
          <w:numId w:val="25"/>
        </w:numPr>
        <w:spacing w:before="120"/>
        <w:contextualSpacing w:val="0"/>
        <w:jc w:val="both"/>
        <w:rPr>
          <w:noProof/>
        </w:rPr>
      </w:pPr>
      <w:r>
        <w:rPr>
          <w:noProof/>
        </w:rPr>
        <w:t>Public events – e.g. exhibitions, public conferences and presentations;</w:t>
      </w:r>
    </w:p>
    <w:p w:rsidR="00EF2BC3" w:rsidRDefault="00AF3002">
      <w:pPr>
        <w:pStyle w:val="ListParagraph"/>
        <w:numPr>
          <w:ilvl w:val="0"/>
          <w:numId w:val="25"/>
        </w:numPr>
        <w:spacing w:before="120"/>
        <w:contextualSpacing w:val="0"/>
        <w:jc w:val="both"/>
        <w:rPr>
          <w:noProof/>
        </w:rPr>
      </w:pPr>
      <w:r>
        <w:rPr>
          <w:noProof/>
        </w:rPr>
        <w:t xml:space="preserve">Media relations – e.g. press releases, press conferences, TV programmes, newspaper article or insert, etc. Official journals are also used for </w:t>
      </w:r>
      <w:r>
        <w:rPr>
          <w:noProof/>
        </w:rPr>
        <w:t>information, for instance about new legislation and regulation;</w:t>
      </w:r>
    </w:p>
    <w:p w:rsidR="00EF2BC3" w:rsidRDefault="00AF3002">
      <w:pPr>
        <w:pStyle w:val="ListParagraph"/>
        <w:numPr>
          <w:ilvl w:val="0"/>
          <w:numId w:val="25"/>
        </w:numPr>
        <w:spacing w:before="120"/>
        <w:contextualSpacing w:val="0"/>
        <w:jc w:val="both"/>
        <w:rPr>
          <w:noProof/>
        </w:rPr>
      </w:pPr>
      <w:r>
        <w:rPr>
          <w:noProof/>
        </w:rPr>
        <w:t xml:space="preserve">Other tools - social media and blogs as their channel of communication with the public; information centres (for instance those located in a given facility's site) and open days (such as site </w:t>
      </w:r>
      <w:r>
        <w:rPr>
          <w:noProof/>
        </w:rPr>
        <w:t>visits).</w:t>
      </w:r>
    </w:p>
    <w:p w:rsidR="00EF2BC3" w:rsidRDefault="00AF3002">
      <w:pPr>
        <w:pStyle w:val="ListParagraph"/>
        <w:spacing w:before="120"/>
        <w:ind w:left="0"/>
        <w:contextualSpacing w:val="0"/>
        <w:jc w:val="both"/>
        <w:rPr>
          <w:noProof/>
        </w:rPr>
      </w:pPr>
      <w:r>
        <w:rPr>
          <w:noProof/>
        </w:rPr>
        <w:t xml:space="preserve">Most </w:t>
      </w:r>
      <w:r>
        <w:rPr>
          <w:rFonts w:eastAsia="Times New Roman"/>
          <w:noProof/>
        </w:rPr>
        <w:t>Member States'</w:t>
      </w:r>
      <w:r>
        <w:rPr>
          <w:noProof/>
        </w:rPr>
        <w:t xml:space="preserve"> national programmes are public documents that have been used as an instrument for informing the general public about national policy and plans for spent fuel and radioactive waste management. Although the techniques for informa</w:t>
      </w:r>
      <w:r>
        <w:rPr>
          <w:noProof/>
        </w:rPr>
        <w:t xml:space="preserve">tion are similar both in Member States with nuclear power plants and without nuclear power plants, these techniques and their use are explained more in detail by </w:t>
      </w:r>
      <w:r>
        <w:rPr>
          <w:rFonts w:eastAsia="Times New Roman"/>
          <w:noProof/>
        </w:rPr>
        <w:t>Member States</w:t>
      </w:r>
      <w:r>
        <w:rPr>
          <w:noProof/>
        </w:rPr>
        <w:t xml:space="preserve"> with nuclear power plants. </w:t>
      </w:r>
    </w:p>
    <w:p w:rsidR="00EF2BC3" w:rsidRDefault="00AF3002">
      <w:pPr>
        <w:widowControl w:val="0"/>
        <w:shd w:val="clear" w:color="auto" w:fill="FFFFFF" w:themeFill="background1"/>
        <w:autoSpaceDE w:val="0"/>
        <w:autoSpaceDN w:val="0"/>
        <w:adjustRightInd w:val="0"/>
        <w:spacing w:before="120" w:line="300" w:lineRule="atLeast"/>
        <w:jc w:val="both"/>
        <w:rPr>
          <w:noProof/>
        </w:rPr>
      </w:pPr>
      <w:r>
        <w:rPr>
          <w:noProof/>
        </w:rPr>
        <w:t>The majority of Member States have mechanisms in pla</w:t>
      </w:r>
      <w:r>
        <w:rPr>
          <w:noProof/>
        </w:rPr>
        <w:t xml:space="preserve">ce to ensure public information and opportunities for public consultation in line with Article 10 of the Directive (e.g. in the framework of strategic environmental assessment and environmental impact assessment procedures). </w:t>
      </w:r>
    </w:p>
    <w:p w:rsidR="00EF2BC3" w:rsidRDefault="00AF3002">
      <w:pPr>
        <w:widowControl w:val="0"/>
        <w:shd w:val="clear" w:color="auto" w:fill="FFFFFF" w:themeFill="background1"/>
        <w:autoSpaceDE w:val="0"/>
        <w:autoSpaceDN w:val="0"/>
        <w:adjustRightInd w:val="0"/>
        <w:spacing w:before="120" w:line="300" w:lineRule="atLeast"/>
        <w:jc w:val="both"/>
        <w:rPr>
          <w:noProof/>
        </w:rPr>
      </w:pPr>
      <w:r>
        <w:rPr>
          <w:noProof/>
        </w:rPr>
        <w:t>However, about half of the Mem</w:t>
      </w:r>
      <w:r>
        <w:rPr>
          <w:noProof/>
        </w:rPr>
        <w:t>ber States have not reported on mechanisms in place to ensure public participation in the decision-making process beyond public consultation, such as working groups, advisory bodies or national commissions. Member States should in the future present or exp</w:t>
      </w:r>
      <w:r>
        <w:rPr>
          <w:noProof/>
        </w:rPr>
        <w:t>lain further the extent of public involvement in the decision-making for spent fuel and radioactive waste management.</w:t>
      </w:r>
    </w:p>
    <w:p w:rsidR="00EF2BC3" w:rsidRDefault="00AF3002">
      <w:pPr>
        <w:spacing w:before="120"/>
        <w:jc w:val="both"/>
        <w:rPr>
          <w:noProof/>
        </w:rPr>
      </w:pPr>
      <w:r>
        <w:rPr>
          <w:noProof/>
        </w:rPr>
        <w:t>In general institutions exist at the local level (e.g., municipalities) and regional level (e.g., counties) to ensure representation of lo</w:t>
      </w:r>
      <w:r>
        <w:rPr>
          <w:noProof/>
        </w:rPr>
        <w:t>cal interests in the national policy-making. In addition, mechanisms for participation have been reported aiming to enhance participation of citizens in the decisions about radioactive waste management, particularly in the case of those localities that are</w:t>
      </w:r>
      <w:r>
        <w:rPr>
          <w:noProof/>
        </w:rPr>
        <w:t xml:space="preserve"> directly involved in the storage and disposal of radioactive waste. These mechanisms of participation of stakeholders are:</w:t>
      </w:r>
    </w:p>
    <w:p w:rsidR="00EF2BC3" w:rsidRDefault="00AF3002">
      <w:pPr>
        <w:pStyle w:val="ListParagraph"/>
        <w:numPr>
          <w:ilvl w:val="0"/>
          <w:numId w:val="27"/>
        </w:numPr>
        <w:spacing w:before="120"/>
        <w:contextualSpacing w:val="0"/>
        <w:jc w:val="both"/>
        <w:rPr>
          <w:noProof/>
        </w:rPr>
      </w:pPr>
      <w:r>
        <w:rPr>
          <w:noProof/>
        </w:rPr>
        <w:t>Working groups - involving (in a formal way) representatives from a broad range of interests, from state authorities, regulators and</w:t>
      </w:r>
      <w:r>
        <w:rPr>
          <w:noProof/>
        </w:rPr>
        <w:t xml:space="preserve"> implementers to associations from the civil society and non-governmental organisations; focus on a specific project (e.g., deep geological disposal) or can be used for the preparation of strategic documents. Bodies for local information (called "commissio</w:t>
      </w:r>
      <w:r>
        <w:rPr>
          <w:noProof/>
        </w:rPr>
        <w:t xml:space="preserve">ns", "committees", etc.) are also established in several </w:t>
      </w:r>
      <w:r>
        <w:rPr>
          <w:rFonts w:eastAsia="Times New Roman"/>
          <w:noProof/>
        </w:rPr>
        <w:t>Member States</w:t>
      </w:r>
      <w:r>
        <w:rPr>
          <w:noProof/>
        </w:rPr>
        <w:t xml:space="preserve"> on specific nuclear power plant or radioactive waste management sites, as well as associations of local governments created with the purpose of information and social monitoring of give</w:t>
      </w:r>
      <w:r>
        <w:rPr>
          <w:noProof/>
        </w:rPr>
        <w:t>n Radioactive Waste management facilities.</w:t>
      </w:r>
    </w:p>
    <w:p w:rsidR="00EF2BC3" w:rsidRDefault="00AF3002">
      <w:pPr>
        <w:pStyle w:val="ListParagraph"/>
        <w:numPr>
          <w:ilvl w:val="0"/>
          <w:numId w:val="27"/>
        </w:numPr>
        <w:spacing w:before="120"/>
        <w:contextualSpacing w:val="0"/>
        <w:jc w:val="both"/>
        <w:rPr>
          <w:noProof/>
        </w:rPr>
      </w:pPr>
      <w:r>
        <w:rPr>
          <w:noProof/>
        </w:rPr>
        <w:t>Voluntary arrangements – allowing local communities to express their support or dissent about radioactive waste management projects.</w:t>
      </w:r>
    </w:p>
    <w:p w:rsidR="00EF2BC3" w:rsidRDefault="00AF3002">
      <w:pPr>
        <w:pStyle w:val="ListParagraph"/>
        <w:numPr>
          <w:ilvl w:val="0"/>
          <w:numId w:val="27"/>
        </w:numPr>
        <w:spacing w:before="120"/>
        <w:contextualSpacing w:val="0"/>
        <w:jc w:val="both"/>
        <w:rPr>
          <w:noProof/>
        </w:rPr>
      </w:pPr>
      <w:r>
        <w:rPr>
          <w:noProof/>
        </w:rPr>
        <w:t>National commissions - promoting public participation in radioactive waste manag</w:t>
      </w:r>
      <w:r>
        <w:rPr>
          <w:noProof/>
        </w:rPr>
        <w:t>ement.</w:t>
      </w:r>
    </w:p>
    <w:p w:rsidR="00EF2BC3" w:rsidRDefault="00AF3002">
      <w:pPr>
        <w:pStyle w:val="ListParagraph"/>
        <w:numPr>
          <w:ilvl w:val="0"/>
          <w:numId w:val="27"/>
        </w:numPr>
        <w:spacing w:before="120"/>
        <w:contextualSpacing w:val="0"/>
        <w:jc w:val="both"/>
        <w:rPr>
          <w:noProof/>
        </w:rPr>
      </w:pPr>
      <w:r>
        <w:rPr>
          <w:noProof/>
        </w:rPr>
        <w:t>Advisory bodies - involving state and non-state actors (often at the national level).</w:t>
      </w:r>
    </w:p>
    <w:p w:rsidR="00EF2BC3" w:rsidRDefault="00AF3002">
      <w:pPr>
        <w:spacing w:before="120"/>
        <w:jc w:val="both"/>
        <w:rPr>
          <w:noProof/>
        </w:rPr>
      </w:pPr>
      <w:r>
        <w:rPr>
          <w:noProof/>
        </w:rPr>
        <w:t xml:space="preserve">With regard to the principle of public information and participation in international law, less than half of </w:t>
      </w:r>
      <w:r>
        <w:rPr>
          <w:rFonts w:eastAsia="Times New Roman"/>
          <w:noProof/>
        </w:rPr>
        <w:t>Member States</w:t>
      </w:r>
      <w:r>
        <w:rPr>
          <w:noProof/>
        </w:rPr>
        <w:t xml:space="preserve"> refer explicitly to the application of t</w:t>
      </w:r>
      <w:r>
        <w:rPr>
          <w:noProof/>
        </w:rPr>
        <w:t xml:space="preserve">he Aarhus and Espoo Conventions in their programmes and reports, although all EU </w:t>
      </w:r>
      <w:r>
        <w:rPr>
          <w:rFonts w:eastAsia="Times New Roman"/>
          <w:noProof/>
        </w:rPr>
        <w:t>Member States</w:t>
      </w:r>
      <w:r>
        <w:rPr>
          <w:noProof/>
        </w:rPr>
        <w:t xml:space="preserve"> are parties to these international legal instruments.</w:t>
      </w:r>
    </w:p>
    <w:p w:rsidR="00EF2BC3" w:rsidRDefault="00AF3002">
      <w:pPr>
        <w:pStyle w:val="ManualHeading1"/>
        <w:spacing w:before="2"/>
        <w:rPr>
          <w:noProof/>
        </w:rPr>
      </w:pPr>
      <w:bookmarkStart w:id="44" w:name="_Toc474832881"/>
      <w:r>
        <w:t>3.</w:t>
      </w:r>
      <w:r>
        <w:tab/>
      </w:r>
      <w:r>
        <w:rPr>
          <w:noProof/>
        </w:rPr>
        <w:t>CONCLUSION</w:t>
      </w:r>
      <w:bookmarkEnd w:id="44"/>
    </w:p>
    <w:p w:rsidR="00EF2BC3" w:rsidRDefault="00AF3002">
      <w:pPr>
        <w:spacing w:before="120"/>
        <w:jc w:val="both"/>
        <w:rPr>
          <w:rFonts w:eastAsia="Times New Roman"/>
          <w:noProof/>
          <w:color w:val="000000" w:themeColor="text1"/>
        </w:rPr>
      </w:pPr>
      <w:r>
        <w:rPr>
          <w:rFonts w:eastAsia="Times New Roman"/>
          <w:noProof/>
          <w:color w:val="000000" w:themeColor="text1"/>
        </w:rPr>
        <w:t>The Commission has reviewed the notified national reports of all Member States and the nation</w:t>
      </w:r>
      <w:r>
        <w:rPr>
          <w:rFonts w:eastAsia="Times New Roman"/>
          <w:noProof/>
          <w:color w:val="000000" w:themeColor="text1"/>
        </w:rPr>
        <w:t>al programmes of 27 Member States submitted until September 2016. Having reviewed these notifications, the Commission prepared its first report to the Council and the European Parliament on implementation of this Directive. It identified progress, trends a</w:t>
      </w:r>
      <w:r>
        <w:rPr>
          <w:rFonts w:eastAsia="Times New Roman"/>
          <w:noProof/>
          <w:color w:val="000000" w:themeColor="text1"/>
        </w:rPr>
        <w:t xml:space="preserve">nd challenges in the spent fuel and radioactive waste management. </w:t>
      </w:r>
    </w:p>
    <w:p w:rsidR="00EF2BC3" w:rsidRDefault="00AF3002">
      <w:pPr>
        <w:spacing w:before="120"/>
        <w:jc w:val="both"/>
        <w:rPr>
          <w:rFonts w:eastAsia="Times New Roman"/>
          <w:b/>
          <w:noProof/>
        </w:rPr>
      </w:pPr>
      <w:r>
        <w:rPr>
          <w:rFonts w:eastAsia="Times New Roman"/>
          <w:noProof/>
          <w:color w:val="000000" w:themeColor="text1"/>
        </w:rPr>
        <w:t xml:space="preserve">The next Member States reports to be submitted to the Commission are due by 23 August 2018. </w:t>
      </w:r>
    </w:p>
    <w:sectPr w:rsidR="00EF2BC3">
      <w:headerReference w:type="even" r:id="rId19"/>
      <w:headerReference w:type="default" r:id="rId20"/>
      <w:footerReference w:type="even" r:id="rId21"/>
      <w:footerReference w:type="default" r:id="rId22"/>
      <w:headerReference w:type="first" r:id="rId23"/>
      <w:footerReference w:type="first" r:id="rId24"/>
      <w:pgSz w:w="11907" w:h="16839" w:code="9"/>
      <w:pgMar w:top="1214" w:right="747" w:bottom="1134" w:left="1702" w:header="1080" w:footer="709" w:gutter="0"/>
      <w:pgNumType w:start="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C3" w:rsidRDefault="00AF3002">
      <w:r>
        <w:separator/>
      </w:r>
    </w:p>
  </w:endnote>
  <w:endnote w:type="continuationSeparator" w:id="0">
    <w:p w:rsidR="00EF2BC3" w:rsidRDefault="00AF3002">
      <w:r>
        <w:continuationSeparator/>
      </w:r>
    </w:p>
  </w:endnote>
  <w:endnote w:type="continuationNotice" w:id="1">
    <w:p w:rsidR="00EF2BC3" w:rsidRDefault="00EF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Footer"/>
      <w:spacing w:before="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AF3002">
    <w:pPr>
      <w:pStyle w:val="FooterCoverPage"/>
      <w:spacing w:before="2"/>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FooterCoverPage"/>
      <w:spacing w:before="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AF3002">
    <w:pPr>
      <w:pStyle w:val="Footer"/>
      <w:framePr w:wrap="none" w:vAnchor="text" w:hAnchor="margin" w:xAlign="right" w:y="1"/>
      <w:spacing w:before="2"/>
      <w:rPr>
        <w:rStyle w:val="PageNumber"/>
      </w:rPr>
    </w:pPr>
    <w:r>
      <w:rPr>
        <w:rStyle w:val="PageNumber"/>
      </w:rPr>
      <w:fldChar w:fldCharType="begin"/>
    </w:r>
    <w:r>
      <w:rPr>
        <w:rStyle w:val="PageNumber"/>
      </w:rPr>
      <w:instrText xml:space="preserve">PAGE  </w:instrText>
    </w:r>
    <w:r>
      <w:rPr>
        <w:rStyle w:val="PageNumber"/>
      </w:rPr>
      <w:fldChar w:fldCharType="end"/>
    </w:r>
  </w:p>
  <w:p w:rsidR="00EF2BC3" w:rsidRDefault="00EF2BC3">
    <w:pPr>
      <w:pStyle w:val="Footer"/>
      <w:spacing w:before="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73705"/>
      <w:docPartObj>
        <w:docPartGallery w:val="Page Numbers (Bottom of Page)"/>
        <w:docPartUnique/>
      </w:docPartObj>
    </w:sdtPr>
    <w:sdtEndPr>
      <w:rPr>
        <w:noProof/>
      </w:rPr>
    </w:sdtEndPr>
    <w:sdtContent>
      <w:p w:rsidR="00EF2BC3" w:rsidRDefault="00AF3002">
        <w:pPr>
          <w:pStyle w:val="Footer"/>
          <w:spacing w:before="2"/>
          <w:jc w:val="center"/>
        </w:pPr>
        <w:r>
          <w:fldChar w:fldCharType="begin"/>
        </w:r>
        <w:r>
          <w:instrText xml:space="preserve"> PAGE   \* MERGEFORMAT </w:instrText>
        </w:r>
        <w:r>
          <w:fldChar w:fldCharType="separate"/>
        </w:r>
        <w:r>
          <w:rPr>
            <w:noProof/>
          </w:rPr>
          <w:t>3</w:t>
        </w:r>
        <w:r>
          <w:rPr>
            <w:noProof/>
          </w:rPr>
          <w:fldChar w:fldCharType="end"/>
        </w:r>
      </w:p>
    </w:sdtContent>
  </w:sdt>
  <w:p w:rsidR="00EF2BC3" w:rsidRDefault="00EF2BC3">
    <w:pPr>
      <w:pStyle w:val="Footer"/>
      <w:spacing w:before="2"/>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Footer"/>
      <w:spacing w:before="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C3" w:rsidRDefault="00AF3002">
      <w:r>
        <w:separator/>
      </w:r>
    </w:p>
  </w:footnote>
  <w:footnote w:type="continuationSeparator" w:id="0">
    <w:p w:rsidR="00EF2BC3" w:rsidRDefault="00AF3002">
      <w:r>
        <w:continuationSeparator/>
      </w:r>
    </w:p>
  </w:footnote>
  <w:footnote w:type="continuationNotice" w:id="1">
    <w:p w:rsidR="00EF2BC3" w:rsidRDefault="00EF2BC3"/>
  </w:footnote>
  <w:footnote w:id="2">
    <w:p w:rsidR="00EF2BC3" w:rsidRDefault="00AF3002">
      <w:pPr>
        <w:pStyle w:val="Default"/>
        <w:spacing w:before="2"/>
        <w:ind w:left="720" w:hanging="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bCs/>
          <w:sz w:val="20"/>
          <w:szCs w:val="20"/>
        </w:rPr>
        <w:t xml:space="preserve">Council Directive 2011/70/EURATOM of 19 </w:t>
      </w:r>
      <w:r>
        <w:rPr>
          <w:rFonts w:ascii="Times New Roman" w:hAnsi="Times New Roman" w:cs="Times New Roman"/>
          <w:bCs/>
          <w:sz w:val="20"/>
          <w:szCs w:val="20"/>
        </w:rPr>
        <w:t>July 2011 establishing a Community framework for the responsible and safe management of spent fuel and radioactive waste.</w:t>
      </w:r>
    </w:p>
  </w:footnote>
  <w:footnote w:id="3">
    <w:p w:rsidR="00EF2BC3" w:rsidRDefault="00AF3002">
      <w:pPr>
        <w:pStyle w:val="FootnoteText"/>
        <w:spacing w:before="2"/>
        <w:rPr>
          <w:lang w:val="en-GB"/>
        </w:rPr>
      </w:pPr>
      <w:r>
        <w:rPr>
          <w:rStyle w:val="FootnoteReference"/>
        </w:rPr>
        <w:footnoteRef/>
      </w:r>
      <w:r>
        <w:t xml:space="preserve"> </w:t>
      </w:r>
      <w:r>
        <w:rPr>
          <w:lang w:val="en-GB"/>
        </w:rPr>
        <w:tab/>
      </w:r>
      <w:r>
        <w:t>Article 13(1) and Art</w:t>
      </w:r>
      <w:r>
        <w:rPr>
          <w:lang w:val="en-US"/>
        </w:rPr>
        <w:t>icle</w:t>
      </w:r>
      <w:r>
        <w:t xml:space="preserve"> 15(4) of the Directive</w:t>
      </w:r>
      <w:r>
        <w:rPr>
          <w:lang w:val="en-GB"/>
        </w:rPr>
        <w:t>.</w:t>
      </w:r>
    </w:p>
  </w:footnote>
  <w:footnote w:id="4">
    <w:p w:rsidR="00EF2BC3" w:rsidRDefault="00AF3002">
      <w:pPr>
        <w:pStyle w:val="FootnoteText"/>
        <w:spacing w:before="2"/>
        <w:rPr>
          <w:lang w:val="en-GB"/>
        </w:rPr>
      </w:pPr>
      <w:r>
        <w:rPr>
          <w:rStyle w:val="FootnoteReference"/>
        </w:rPr>
        <w:footnoteRef/>
      </w:r>
      <w:r>
        <w:t xml:space="preserve"> </w:t>
      </w:r>
      <w:r>
        <w:rPr>
          <w:lang w:val="en-GB"/>
        </w:rPr>
        <w:tab/>
      </w:r>
      <w:r>
        <w:t>Art</w:t>
      </w:r>
      <w:r>
        <w:rPr>
          <w:lang w:val="en-US"/>
        </w:rPr>
        <w:t>icle</w:t>
      </w:r>
      <w:r>
        <w:t xml:space="preserve"> 14(1) of the Directive</w:t>
      </w:r>
      <w:r>
        <w:rPr>
          <w:lang w:val="en-GB"/>
        </w:rPr>
        <w:t>.</w:t>
      </w:r>
    </w:p>
  </w:footnote>
  <w:footnote w:id="5">
    <w:p w:rsidR="00EF2BC3" w:rsidRDefault="00AF3002">
      <w:pPr>
        <w:pStyle w:val="FootnoteText"/>
        <w:spacing w:before="2"/>
        <w:rPr>
          <w:lang w:val="en-US"/>
        </w:rPr>
      </w:pPr>
      <w:r>
        <w:rPr>
          <w:rStyle w:val="FootnoteReference"/>
        </w:rPr>
        <w:footnoteRef/>
      </w:r>
      <w:r>
        <w:t xml:space="preserve"> </w:t>
      </w:r>
      <w:r>
        <w:rPr>
          <w:lang w:val="en-GB"/>
        </w:rPr>
        <w:tab/>
      </w:r>
      <w:r>
        <w:rPr>
          <w:lang w:val="en-US"/>
        </w:rPr>
        <w:t xml:space="preserve">The final programme of Hungary and revised </w:t>
      </w:r>
      <w:r>
        <w:rPr>
          <w:lang w:val="en-US"/>
        </w:rPr>
        <w:t>programme of Slovenia have not been taken into account and are under assessment.</w:t>
      </w:r>
    </w:p>
  </w:footnote>
  <w:footnote w:id="6">
    <w:p w:rsidR="00EF2BC3" w:rsidRDefault="00AF3002">
      <w:pPr>
        <w:pStyle w:val="FootnoteText"/>
        <w:spacing w:before="2"/>
        <w:rPr>
          <w:rFonts w:ascii="Times" w:hAnsi="Times"/>
          <w:lang w:val="en-GB"/>
        </w:rPr>
      </w:pPr>
      <w:r>
        <w:rPr>
          <w:rStyle w:val="FootnoteReference"/>
          <w:rFonts w:ascii="Times" w:hAnsi="Times"/>
        </w:rPr>
        <w:footnoteRef/>
      </w:r>
      <w:r>
        <w:rPr>
          <w:rFonts w:ascii="Times" w:hAnsi="Times"/>
        </w:rPr>
        <w:t xml:space="preserve"> </w:t>
      </w:r>
      <w:r>
        <w:rPr>
          <w:rFonts w:ascii="Times" w:hAnsi="Times"/>
          <w:lang w:val="en-GB"/>
        </w:rPr>
        <w:tab/>
      </w:r>
      <w:r>
        <w:rPr>
          <w:color w:val="000000" w:themeColor="text1"/>
        </w:rPr>
        <w:t>Recital 33 of the Directive 2011/70/Euratom</w:t>
      </w:r>
      <w:r>
        <w:rPr>
          <w:color w:val="000000" w:themeColor="text1"/>
          <w:lang w:val="en-GB"/>
        </w:rPr>
        <w:t>.</w:t>
      </w:r>
      <w:r>
        <w:t xml:space="preserve"> Luxembourg has recently concluded an agreement with Belgium for the management of its radioactive waste.</w:t>
      </w:r>
    </w:p>
  </w:footnote>
  <w:footnote w:id="7">
    <w:p w:rsidR="00EF2BC3" w:rsidRDefault="00AF3002">
      <w:pPr>
        <w:pStyle w:val="FootnoteText"/>
        <w:spacing w:before="2"/>
        <w:rPr>
          <w:lang w:val="en-US"/>
        </w:rPr>
      </w:pPr>
      <w:r>
        <w:rPr>
          <w:rStyle w:val="FootnoteReference"/>
        </w:rPr>
        <w:footnoteRef/>
      </w:r>
      <w:r>
        <w:t xml:space="preserve"> </w:t>
      </w:r>
      <w:r>
        <w:rPr>
          <w:lang w:val="en-GB"/>
        </w:rPr>
        <w:tab/>
      </w:r>
      <w:r>
        <w:rPr>
          <w:lang w:val="en-US"/>
        </w:rPr>
        <w:t xml:space="preserve">Radioactive waste </w:t>
      </w:r>
      <w:r>
        <w:rPr>
          <w:lang w:val="en-US"/>
        </w:rPr>
        <w:t>generated outside of the nuclear fuel cycle facilities.</w:t>
      </w:r>
    </w:p>
  </w:footnote>
  <w:footnote w:id="8">
    <w:p w:rsidR="00EF2BC3" w:rsidRDefault="00AF3002">
      <w:pPr>
        <w:pStyle w:val="FootnoteText"/>
        <w:spacing w:before="2"/>
        <w:rPr>
          <w:lang w:val="en-GB"/>
        </w:rPr>
      </w:pPr>
      <w:r>
        <w:rPr>
          <w:rStyle w:val="FootnoteReference"/>
          <w:lang w:val="en-GB"/>
        </w:rPr>
        <w:footnoteRef/>
      </w:r>
      <w:r>
        <w:rPr>
          <w:lang w:val="en-GB"/>
        </w:rPr>
        <w:t xml:space="preserve"> </w:t>
      </w:r>
      <w:r>
        <w:rPr>
          <w:lang w:val="en-GB"/>
        </w:rPr>
        <w:tab/>
        <w:t>The revised Slovenian programme was adopted in April 2016 and submitted to the Commission at the end of September 2016. France and Spain are working on the update of their existing programmes.</w:t>
      </w:r>
    </w:p>
  </w:footnote>
  <w:footnote w:id="9">
    <w:p w:rsidR="00EF2BC3" w:rsidRDefault="00AF3002">
      <w:pPr>
        <w:pStyle w:val="FootnoteText"/>
        <w:spacing w:before="2"/>
        <w:rPr>
          <w:lang w:val="en-US"/>
        </w:rPr>
      </w:pPr>
      <w:r>
        <w:rPr>
          <w:rStyle w:val="FootnoteReference"/>
        </w:rPr>
        <w:footnoteRef/>
      </w:r>
      <w:r>
        <w:t xml:space="preserve"> </w:t>
      </w:r>
      <w:r>
        <w:rPr>
          <w:lang w:val="en-GB"/>
        </w:rPr>
        <w:tab/>
      </w:r>
      <w:r>
        <w:rPr>
          <w:lang w:val="en-US"/>
        </w:rPr>
        <w:t>T</w:t>
      </w:r>
      <w:r>
        <w:rPr>
          <w:lang w:val="en-US"/>
        </w:rPr>
        <w:t>he information in this table takes into account the data provided by Member States in ENSREG Working Group 2.</w:t>
      </w:r>
    </w:p>
  </w:footnote>
  <w:footnote w:id="10">
    <w:p w:rsidR="00EF2BC3" w:rsidRDefault="00AF3002">
      <w:pPr>
        <w:pStyle w:val="FootnoteText"/>
        <w:spacing w:before="2"/>
        <w:rPr>
          <w:lang w:val="en-GB"/>
        </w:rPr>
      </w:pPr>
      <w:r>
        <w:rPr>
          <w:rStyle w:val="FootnoteReference"/>
        </w:rPr>
        <w:footnoteRef/>
      </w:r>
      <w:r>
        <w:t xml:space="preserve"> </w:t>
      </w:r>
      <w:r>
        <w:rPr>
          <w:lang w:val="en-US"/>
        </w:rPr>
        <w:tab/>
      </w:r>
      <w:r>
        <w:rPr>
          <w:lang w:val="en-GB"/>
        </w:rPr>
        <w:t>Member States (MS) abbreviations in this report are as follows: Austria (AT), Belgium (BE), Bulgaria (BG), Czech Republic (CZ), Germany (DE), F</w:t>
      </w:r>
      <w:r>
        <w:rPr>
          <w:lang w:val="en-GB"/>
        </w:rPr>
        <w:t>inland (FI), France (FR), Hungary (HU), Italy (IT), Lithuania (LT), Latvia (LV), The Netherlands (NL), Slovenia (SI), Slovakia (SK), Spain (ES), Sweden (SE), Romania (RO) and the United Kingdom (UK).</w:t>
      </w:r>
    </w:p>
  </w:footnote>
  <w:footnote w:id="11">
    <w:p w:rsidR="00EF2BC3" w:rsidRDefault="00AF3002">
      <w:pPr>
        <w:pStyle w:val="FootnoteText"/>
        <w:spacing w:before="2"/>
        <w:rPr>
          <w:color w:val="000000" w:themeColor="text1"/>
          <w:lang w:val="en-US"/>
        </w:rPr>
      </w:pPr>
      <w:r>
        <w:rPr>
          <w:rStyle w:val="FootnoteReference"/>
          <w:color w:val="000000" w:themeColor="text1"/>
        </w:rPr>
        <w:footnoteRef/>
      </w:r>
      <w:r>
        <w:rPr>
          <w:color w:val="000000" w:themeColor="text1"/>
        </w:rPr>
        <w:t xml:space="preserve"> </w:t>
      </w:r>
      <w:r>
        <w:rPr>
          <w:color w:val="000000" w:themeColor="text1"/>
          <w:lang w:val="en-US"/>
        </w:rPr>
        <w:tab/>
      </w:r>
      <w:r>
        <w:rPr>
          <w:color w:val="000000" w:themeColor="text1"/>
        </w:rPr>
        <w:t>The Ministry of Environment issued the 2003 Concept</w:t>
      </w:r>
      <w:r>
        <w:rPr>
          <w:color w:val="000000" w:themeColor="text1"/>
          <w:lang w:val="en-US"/>
        </w:rPr>
        <w:t xml:space="preserve"> </w:t>
      </w:r>
      <w:r>
        <w:rPr>
          <w:color w:val="000000" w:themeColor="text1"/>
        </w:rPr>
        <w:t>o</w:t>
      </w:r>
      <w:r>
        <w:rPr>
          <w:color w:val="000000" w:themeColor="text1"/>
        </w:rPr>
        <w:t>f Radioactive Waste Storage</w:t>
      </w:r>
      <w:r>
        <w:rPr>
          <w:color w:val="000000" w:themeColor="text1"/>
          <w:lang w:val="en-US"/>
        </w:rPr>
        <w:t xml:space="preserve"> after approval by the Cabinet.</w:t>
      </w:r>
      <w:r>
        <w:rPr>
          <w:color w:val="000000" w:themeColor="text1"/>
        </w:rPr>
        <w:t xml:space="preserve"> </w:t>
      </w:r>
    </w:p>
  </w:footnote>
  <w:footnote w:id="12">
    <w:p w:rsidR="00EF2BC3" w:rsidRDefault="00AF3002">
      <w:pPr>
        <w:pStyle w:val="FootnoteText"/>
        <w:spacing w:before="2"/>
        <w:rPr>
          <w:color w:val="000000" w:themeColor="text1"/>
          <w:lang w:val="en-GB"/>
        </w:rPr>
      </w:pPr>
      <w:r>
        <w:rPr>
          <w:rStyle w:val="FootnoteReference"/>
          <w:color w:val="000000" w:themeColor="text1"/>
        </w:rPr>
        <w:footnoteRef/>
      </w:r>
      <w:r>
        <w:rPr>
          <w:color w:val="000000" w:themeColor="text1"/>
        </w:rPr>
        <w:t xml:space="preserve"> </w:t>
      </w:r>
      <w:r>
        <w:rPr>
          <w:color w:val="000000" w:themeColor="text1"/>
          <w:lang w:val="en-US"/>
        </w:rPr>
        <w:tab/>
      </w:r>
      <w:r>
        <w:rPr>
          <w:bCs/>
          <w:iCs/>
          <w:color w:val="000000" w:themeColor="text1"/>
        </w:rPr>
        <w:t>ARAO provides the technical basis for the revision of the Programme and based on this, SNSA prepares a draft National Programme which is adopted by National Assembly</w:t>
      </w:r>
      <w:r>
        <w:rPr>
          <w:bCs/>
          <w:iCs/>
          <w:color w:val="000000" w:themeColor="text1"/>
          <w:lang w:val="en-GB"/>
        </w:rPr>
        <w:t>.</w:t>
      </w:r>
    </w:p>
  </w:footnote>
  <w:footnote w:id="13">
    <w:p w:rsidR="00EF2BC3" w:rsidRDefault="00AF3002">
      <w:pPr>
        <w:pStyle w:val="FootnoteText"/>
        <w:spacing w:before="2"/>
        <w:rPr>
          <w:lang w:val="en-GB"/>
        </w:rPr>
      </w:pPr>
      <w:r>
        <w:rPr>
          <w:rStyle w:val="FootnoteReference"/>
        </w:rPr>
        <w:footnoteRef/>
      </w:r>
      <w:r>
        <w:t xml:space="preserve"> </w:t>
      </w:r>
      <w:r>
        <w:rPr>
          <w:lang w:val="en-US"/>
        </w:rPr>
        <w:tab/>
      </w:r>
      <w:r>
        <w:t>The legal basis require</w:t>
      </w:r>
      <w:r>
        <w:t>s ENRESA to submit to the</w:t>
      </w:r>
      <w:r>
        <w:rPr>
          <w:lang w:val="en-US"/>
        </w:rPr>
        <w:t xml:space="preserve"> </w:t>
      </w:r>
      <w:r>
        <w:rPr>
          <w:color w:val="000000" w:themeColor="text1"/>
          <w:lang w:val="en"/>
        </w:rPr>
        <w:t>Ministry of Industry, Energy and Tourism</w:t>
      </w:r>
      <w:r>
        <w:t xml:space="preserve"> every 4 years, or whenever so required by th</w:t>
      </w:r>
      <w:r>
        <w:rPr>
          <w:lang w:val="en-US"/>
        </w:rPr>
        <w:t>is Ministry</w:t>
      </w:r>
      <w:r>
        <w:t>, a draft update of the programme</w:t>
      </w:r>
      <w:r>
        <w:rPr>
          <w:lang w:val="en-GB"/>
        </w:rPr>
        <w:t>.</w:t>
      </w:r>
    </w:p>
  </w:footnote>
  <w:footnote w:id="14">
    <w:p w:rsidR="00EF2BC3" w:rsidRDefault="00AF3002">
      <w:pPr>
        <w:pStyle w:val="FootnoteText"/>
        <w:spacing w:before="2"/>
        <w:rPr>
          <w:color w:val="000000" w:themeColor="text1"/>
          <w:lang w:val="en-GB"/>
        </w:rPr>
      </w:pPr>
      <w:r>
        <w:rPr>
          <w:rStyle w:val="FootnoteReference"/>
          <w:color w:val="000000" w:themeColor="text1"/>
        </w:rPr>
        <w:footnoteRef/>
      </w:r>
      <w:r>
        <w:rPr>
          <w:color w:val="000000" w:themeColor="text1"/>
        </w:rPr>
        <w:t xml:space="preserve"> </w:t>
      </w:r>
      <w:r>
        <w:rPr>
          <w:color w:val="000000" w:themeColor="text1"/>
          <w:lang w:val="en-GB"/>
        </w:rPr>
        <w:tab/>
        <w:t>The programme states that SEA is available.</w:t>
      </w:r>
    </w:p>
  </w:footnote>
  <w:footnote w:id="15">
    <w:p w:rsidR="00EF2BC3" w:rsidRDefault="00AF3002">
      <w:pPr>
        <w:pStyle w:val="FootnoteText"/>
        <w:spacing w:before="2"/>
        <w:rPr>
          <w:color w:val="000000" w:themeColor="text1"/>
          <w:lang w:val="en-US"/>
        </w:rPr>
      </w:pPr>
      <w:r>
        <w:rPr>
          <w:rStyle w:val="FootnoteReference"/>
          <w:color w:val="000000" w:themeColor="text1"/>
        </w:rPr>
        <w:footnoteRef/>
      </w:r>
      <w:r>
        <w:rPr>
          <w:color w:val="000000" w:themeColor="text1"/>
        </w:rPr>
        <w:t xml:space="preserve"> </w:t>
      </w:r>
      <w:r>
        <w:rPr>
          <w:color w:val="000000" w:themeColor="text1"/>
          <w:lang w:val="en-GB"/>
        </w:rPr>
        <w:tab/>
      </w:r>
      <w:r>
        <w:rPr>
          <w:color w:val="000000" w:themeColor="text1"/>
          <w:lang w:val="en-US"/>
        </w:rPr>
        <w:t xml:space="preserve">At the time of reporting to the Commission </w:t>
      </w:r>
      <w:r>
        <w:rPr>
          <w:color w:val="000000" w:themeColor="text1"/>
          <w:lang w:val="en-US"/>
        </w:rPr>
        <w:t>(2015).</w:t>
      </w:r>
    </w:p>
  </w:footnote>
  <w:footnote w:id="16">
    <w:p w:rsidR="00EF2BC3" w:rsidRDefault="00AF3002">
      <w:pPr>
        <w:pStyle w:val="FootnoteText"/>
        <w:spacing w:before="2"/>
        <w:rPr>
          <w:lang w:val="en-GB"/>
        </w:rPr>
      </w:pPr>
      <w:r>
        <w:rPr>
          <w:rStyle w:val="FootnoteReference"/>
        </w:rPr>
        <w:footnoteRef/>
      </w:r>
      <w:r>
        <w:t xml:space="preserve"> </w:t>
      </w:r>
      <w:r>
        <w:rPr>
          <w:lang w:val="en-GB"/>
        </w:rPr>
        <w:tab/>
      </w:r>
      <w:r>
        <w:t xml:space="preserve">At the time of reporting to the Commission, the Magnox reactor was planned for shutdown in 2015 and the Sizewell/B (PWR) - in 2055. Currently there are 15 operating nuclear power reactors in the UK. </w:t>
      </w:r>
      <w:r>
        <w:rPr>
          <w:lang w:val="en-GB"/>
        </w:rPr>
        <w:t xml:space="preserve">In addition, new reactors are planned to be built. </w:t>
      </w:r>
    </w:p>
  </w:footnote>
  <w:footnote w:id="17">
    <w:p w:rsidR="00EF2BC3" w:rsidRDefault="00AF3002">
      <w:pPr>
        <w:pStyle w:val="FootnoteText"/>
        <w:spacing w:before="2"/>
        <w:rPr>
          <w:color w:val="000000" w:themeColor="text1"/>
          <w:lang w:val="en-US"/>
        </w:rPr>
      </w:pPr>
      <w:r>
        <w:rPr>
          <w:rStyle w:val="FootnoteReference"/>
          <w:color w:val="000000" w:themeColor="text1"/>
        </w:rPr>
        <w:footnoteRef/>
      </w:r>
      <w:r>
        <w:rPr>
          <w:color w:val="000000" w:themeColor="text1"/>
        </w:rPr>
        <w:t xml:space="preserve"> </w:t>
      </w:r>
      <w:r>
        <w:rPr>
          <w:color w:val="000000" w:themeColor="text1"/>
          <w:lang w:val="en-GB"/>
        </w:rPr>
        <w:tab/>
      </w:r>
      <w:r>
        <w:rPr>
          <w:color w:val="000000" w:themeColor="text1"/>
          <w:lang w:val="en-US"/>
        </w:rPr>
        <w:t xml:space="preserve">Owned by the NPP operators </w:t>
      </w:r>
      <w:r>
        <w:rPr>
          <w:color w:val="000000" w:themeColor="text1"/>
          <w:lang w:val="en"/>
        </w:rPr>
        <w:t>Teollisuuden Voima Oyj and Fortum Power &amp; Heat Oy.</w:t>
      </w:r>
    </w:p>
  </w:footnote>
  <w:footnote w:id="18">
    <w:p w:rsidR="00EF2BC3" w:rsidRDefault="00AF3002">
      <w:pPr>
        <w:pStyle w:val="FootnoteText"/>
        <w:spacing w:before="2"/>
        <w:rPr>
          <w:lang w:val="en-GB"/>
        </w:rPr>
      </w:pPr>
      <w:r>
        <w:rPr>
          <w:rStyle w:val="FootnoteReference"/>
        </w:rPr>
        <w:footnoteRef/>
      </w:r>
      <w:r>
        <w:t xml:space="preserve"> </w:t>
      </w:r>
      <w:r>
        <w:rPr>
          <w:lang w:val="en-GB"/>
        </w:rPr>
        <w:tab/>
      </w:r>
      <w:r>
        <w:t>State-owned company CIEMAT (80%) and SEPI (20%)</w:t>
      </w:r>
      <w:r>
        <w:rPr>
          <w:lang w:val="en-GB"/>
        </w:rPr>
        <w:t>.</w:t>
      </w:r>
    </w:p>
  </w:footnote>
  <w:footnote w:id="19">
    <w:p w:rsidR="00EF2BC3" w:rsidRDefault="00AF3002">
      <w:pPr>
        <w:pStyle w:val="FootnoteText"/>
        <w:spacing w:before="2"/>
        <w:rPr>
          <w:lang w:val="en-US"/>
        </w:rPr>
      </w:pPr>
      <w:r>
        <w:rPr>
          <w:rStyle w:val="FootnoteReference"/>
        </w:rPr>
        <w:footnoteRef/>
      </w:r>
      <w:r>
        <w:t xml:space="preserve"> </w:t>
      </w:r>
      <w:r>
        <w:rPr>
          <w:lang w:val="en-GB"/>
        </w:rPr>
        <w:tab/>
      </w:r>
      <w:r>
        <w:rPr>
          <w:lang w:val="en-US"/>
        </w:rPr>
        <w:t>Reactors licensees.</w:t>
      </w:r>
    </w:p>
  </w:footnote>
  <w:footnote w:id="20">
    <w:p w:rsidR="00EF2BC3" w:rsidRDefault="00AF3002">
      <w:pPr>
        <w:pStyle w:val="FootnoteText"/>
        <w:spacing w:before="2"/>
        <w:rPr>
          <w:lang w:val="en-GB"/>
        </w:rPr>
      </w:pPr>
      <w:r>
        <w:rPr>
          <w:rStyle w:val="FootnoteReference"/>
        </w:rPr>
        <w:footnoteRef/>
      </w:r>
      <w:r>
        <w:t xml:space="preserve"> </w:t>
      </w:r>
      <w:r>
        <w:rPr>
          <w:lang w:val="en-GB"/>
        </w:rPr>
        <w:tab/>
      </w:r>
      <w:r>
        <w:t>The data does not include staff of separate t</w:t>
      </w:r>
      <w:r>
        <w:t xml:space="preserve">echnical support organisations </w:t>
      </w:r>
      <w:r>
        <w:rPr>
          <w:lang w:val="en-GB"/>
        </w:rPr>
        <w:t>that exist in some Member States.</w:t>
      </w:r>
    </w:p>
  </w:footnote>
  <w:footnote w:id="21">
    <w:p w:rsidR="00EF2BC3" w:rsidRDefault="00AF3002">
      <w:pPr>
        <w:spacing w:before="120"/>
        <w:ind w:left="720" w:hanging="720"/>
        <w:jc w:val="both"/>
      </w:pPr>
      <w:r>
        <w:rPr>
          <w:rStyle w:val="FootnoteReference"/>
          <w:rFonts w:ascii="Times" w:hAnsi="Times"/>
          <w:sz w:val="20"/>
          <w:szCs w:val="20"/>
        </w:rPr>
        <w:footnoteRef/>
      </w:r>
      <w:r>
        <w:rPr>
          <w:rFonts w:ascii="Times" w:hAnsi="Times"/>
          <w:sz w:val="20"/>
          <w:szCs w:val="20"/>
        </w:rPr>
        <w:t xml:space="preserve"> </w:t>
      </w:r>
      <w:r>
        <w:rPr>
          <w:rFonts w:ascii="Times" w:hAnsi="Times"/>
          <w:sz w:val="20"/>
          <w:szCs w:val="20"/>
        </w:rPr>
        <w:tab/>
      </w:r>
      <w:r>
        <w:rPr>
          <w:rFonts w:ascii="Times" w:hAnsi="Times" w:cs="Arial"/>
          <w:sz w:val="20"/>
          <w:szCs w:val="20"/>
        </w:rPr>
        <w:t xml:space="preserve">Germany as a federal state, the “regulatory body” and consists of authorities of the Federation and the </w:t>
      </w:r>
      <w:r>
        <w:rPr>
          <w:rFonts w:ascii="Times" w:hAnsi="Times" w:cs="Times"/>
          <w:sz w:val="20"/>
          <w:szCs w:val="20"/>
        </w:rPr>
        <w:t>Länder – the regulatory structure comprised of BMUB, BfE, BfS and the Land Ministry.</w:t>
      </w:r>
      <w:r>
        <w:rPr>
          <w:rFonts w:ascii="Times" w:hAnsi="Times" w:cs="Times"/>
          <w:sz w:val="20"/>
          <w:szCs w:val="20"/>
        </w:rPr>
        <w:t xml:space="preserve"> </w:t>
      </w:r>
      <w:r>
        <w:rPr>
          <w:sz w:val="20"/>
          <w:szCs w:val="20"/>
        </w:rPr>
        <w:t>The Federal Office of Economics and Export Control (BAFA) is responsible for the import and export of radioactive materials.</w:t>
      </w:r>
    </w:p>
  </w:footnote>
  <w:footnote w:id="22">
    <w:p w:rsidR="00EF2BC3" w:rsidRDefault="00AF3002">
      <w:pPr>
        <w:pStyle w:val="FootnoteText"/>
        <w:spacing w:beforeLines="0"/>
        <w:rPr>
          <w:rFonts w:ascii="Times" w:hAnsi="Times"/>
          <w:lang w:val="en-GB"/>
        </w:rPr>
      </w:pPr>
      <w:r>
        <w:rPr>
          <w:rStyle w:val="FootnoteReference"/>
          <w:rFonts w:ascii="Times" w:hAnsi="Times"/>
        </w:rPr>
        <w:footnoteRef/>
      </w:r>
      <w:r>
        <w:rPr>
          <w:rFonts w:ascii="Times" w:hAnsi="Times"/>
        </w:rPr>
        <w:t xml:space="preserve"> </w:t>
      </w:r>
      <w:r>
        <w:rPr>
          <w:rFonts w:ascii="Times" w:hAnsi="Times"/>
          <w:lang w:val="en-GB"/>
        </w:rPr>
        <w:tab/>
      </w:r>
      <w:r>
        <w:rPr>
          <w:rFonts w:ascii="Times" w:hAnsi="Times"/>
        </w:rPr>
        <w:t>Department of Safety of Nuclear Waste Management and its six divisions</w:t>
      </w:r>
      <w:r>
        <w:rPr>
          <w:rFonts w:ascii="Times" w:hAnsi="Times"/>
          <w:lang w:val="en-GB"/>
        </w:rPr>
        <w:t>. It is supported by 30 independent experts.</w:t>
      </w:r>
    </w:p>
  </w:footnote>
  <w:footnote w:id="23">
    <w:p w:rsidR="00EF2BC3" w:rsidRDefault="00AF3002">
      <w:pPr>
        <w:pStyle w:val="FootnoteText"/>
        <w:spacing w:beforeLines="0"/>
        <w:rPr>
          <w:rFonts w:ascii="Times" w:hAnsi="Times"/>
          <w:lang w:val="en-GB"/>
        </w:rPr>
      </w:pPr>
      <w:r>
        <w:rPr>
          <w:rStyle w:val="FootnoteReference"/>
          <w:rFonts w:ascii="Times" w:hAnsi="Times"/>
        </w:rPr>
        <w:footnoteRef/>
      </w:r>
      <w:r>
        <w:rPr>
          <w:rFonts w:ascii="Times" w:hAnsi="Times"/>
        </w:rPr>
        <w:t xml:space="preserve"> </w:t>
      </w:r>
      <w:r>
        <w:rPr>
          <w:rFonts w:ascii="Times" w:hAnsi="Times"/>
          <w:lang w:val="en-GB"/>
        </w:rPr>
        <w:tab/>
      </w:r>
      <w:r>
        <w:rPr>
          <w:rFonts w:ascii="Times" w:hAnsi="Times"/>
        </w:rPr>
        <w:t>Directorate RS III (Nuclear Fuel Cycle)</w:t>
      </w:r>
      <w:r>
        <w:rPr>
          <w:rFonts w:ascii="Times" w:hAnsi="Times"/>
          <w:lang w:val="en-GB"/>
        </w:rPr>
        <w:t>.</w:t>
      </w:r>
    </w:p>
  </w:footnote>
  <w:footnote w:id="24">
    <w:p w:rsidR="00EF2BC3" w:rsidRDefault="00AF3002">
      <w:pPr>
        <w:widowControl w:val="0"/>
        <w:autoSpaceDE w:val="0"/>
        <w:autoSpaceDN w:val="0"/>
        <w:adjustRightInd w:val="0"/>
        <w:ind w:left="720" w:hanging="720"/>
        <w:rPr>
          <w:rFonts w:ascii="Times" w:hAnsi="Times" w:cs="Times"/>
          <w:sz w:val="20"/>
          <w:szCs w:val="20"/>
        </w:rPr>
      </w:pPr>
      <w:r>
        <w:rPr>
          <w:rStyle w:val="FootnoteReference"/>
          <w:rFonts w:ascii="Times" w:hAnsi="Times"/>
          <w:sz w:val="20"/>
          <w:szCs w:val="20"/>
        </w:rPr>
        <w:footnoteRef/>
      </w:r>
      <w:r>
        <w:rPr>
          <w:rFonts w:ascii="Times" w:hAnsi="Times"/>
          <w:sz w:val="20"/>
          <w:szCs w:val="20"/>
        </w:rPr>
        <w:t xml:space="preserve"> </w:t>
      </w:r>
      <w:r>
        <w:rPr>
          <w:rFonts w:ascii="Times" w:hAnsi="Times"/>
          <w:sz w:val="20"/>
          <w:szCs w:val="20"/>
        </w:rPr>
        <w:tab/>
      </w:r>
      <w:r>
        <w:rPr>
          <w:rFonts w:ascii="Times" w:hAnsi="Times" w:cs="Arial"/>
          <w:sz w:val="20"/>
          <w:szCs w:val="20"/>
        </w:rPr>
        <w:t xml:space="preserve">About 120 staff working on radioactive waste management and 150 staff working on support the nuclear authorities of the </w:t>
      </w:r>
      <w:r>
        <w:rPr>
          <w:rFonts w:ascii="Times" w:hAnsi="Times" w:cs="Times"/>
          <w:sz w:val="20"/>
          <w:szCs w:val="20"/>
        </w:rPr>
        <w:t xml:space="preserve">Länder </w:t>
      </w:r>
      <w:r>
        <w:rPr>
          <w:rFonts w:ascii="Times" w:hAnsi="Times" w:cs="Arial"/>
          <w:sz w:val="20"/>
          <w:szCs w:val="20"/>
        </w:rPr>
        <w:t>either at subordinate authorities or as authorised experts.</w:t>
      </w:r>
    </w:p>
    <w:p w:rsidR="00EF2BC3" w:rsidRDefault="00EF2BC3">
      <w:pPr>
        <w:pStyle w:val="FootnoteText"/>
        <w:spacing w:before="2"/>
        <w:rPr>
          <w:lang w:val="en-GB"/>
        </w:rPr>
      </w:pPr>
    </w:p>
  </w:footnote>
  <w:footnote w:id="25">
    <w:p w:rsidR="00EF2BC3" w:rsidRDefault="00AF3002">
      <w:pPr>
        <w:pStyle w:val="NormalWeb"/>
        <w:spacing w:beforeLines="0"/>
        <w:ind w:left="720" w:hanging="720"/>
        <w:jc w:val="both"/>
        <w:rPr>
          <w:rFonts w:eastAsiaTheme="minorHAnsi"/>
        </w:rPr>
      </w:pPr>
      <w:r>
        <w:rPr>
          <w:rStyle w:val="FootnoteReference"/>
        </w:rPr>
        <w:footnoteRef/>
      </w:r>
      <w:r>
        <w:t xml:space="preserve"> </w:t>
      </w:r>
      <w:r>
        <w:tab/>
      </w:r>
      <w:r>
        <w:rPr>
          <w:rFonts w:eastAsiaTheme="minorHAnsi" w:cs="Arial"/>
        </w:rPr>
        <w:t>The environment agenc</w:t>
      </w:r>
      <w:r>
        <w:rPr>
          <w:rFonts w:eastAsiaTheme="minorHAnsi" w:cs="Arial"/>
        </w:rPr>
        <w:t>ies regulate the accumulation of radioactive substances and the disposal of radioactive wastes at all sites, with the exception of radioactive wastes at nuclear sites which are regulated by ONR.</w:t>
      </w:r>
    </w:p>
  </w:footnote>
  <w:footnote w:id="26">
    <w:p w:rsidR="00EF2BC3" w:rsidRDefault="00AF3002">
      <w:pPr>
        <w:pStyle w:val="FootnoteText"/>
        <w:spacing w:beforeLines="0"/>
        <w:rPr>
          <w:lang w:val="en-GB"/>
        </w:rPr>
      </w:pPr>
      <w:r>
        <w:rPr>
          <w:rStyle w:val="FootnoteReference"/>
        </w:rPr>
        <w:footnoteRef/>
      </w:r>
      <w:r>
        <w:t xml:space="preserve"> </w:t>
      </w:r>
      <w:r>
        <w:rPr>
          <w:lang w:val="en-GB"/>
        </w:rPr>
        <w:tab/>
        <w:t>Nuclear safety specialists.</w:t>
      </w:r>
    </w:p>
  </w:footnote>
  <w:footnote w:id="27">
    <w:p w:rsidR="00EF2BC3" w:rsidRDefault="00AF3002">
      <w:pPr>
        <w:pStyle w:val="FootnoteText"/>
        <w:spacing w:before="2"/>
        <w:rPr>
          <w:lang w:val="en-GB"/>
        </w:rPr>
      </w:pPr>
      <w:r>
        <w:rPr>
          <w:rStyle w:val="FootnoteReference"/>
        </w:rPr>
        <w:footnoteRef/>
      </w:r>
      <w:r>
        <w:t xml:space="preserve"> </w:t>
      </w:r>
      <w:r>
        <w:rPr>
          <w:lang w:val="en-GB"/>
        </w:rPr>
        <w:tab/>
      </w:r>
      <w:r>
        <w:rPr>
          <w:rFonts w:ascii="Times" w:hAnsi="Times"/>
          <w:color w:val="000000" w:themeColor="text1"/>
        </w:rPr>
        <w:t xml:space="preserve">When interim </w:t>
      </w:r>
      <w:r>
        <w:rPr>
          <w:rFonts w:ascii="Times" w:hAnsi="Times"/>
          <w:color w:val="000000" w:themeColor="text1"/>
          <w:lang w:val="en-US"/>
        </w:rPr>
        <w:t>s</w:t>
      </w:r>
      <w:r>
        <w:rPr>
          <w:rFonts w:ascii="Times" w:hAnsi="Times"/>
          <w:color w:val="000000" w:themeColor="text1"/>
        </w:rPr>
        <w:t xml:space="preserve">pent </w:t>
      </w:r>
      <w:r>
        <w:rPr>
          <w:rFonts w:ascii="Times" w:hAnsi="Times"/>
          <w:color w:val="000000" w:themeColor="text1"/>
          <w:lang w:val="en-US"/>
        </w:rPr>
        <w:t>f</w:t>
      </w:r>
      <w:r>
        <w:rPr>
          <w:rFonts w:ascii="Times" w:hAnsi="Times"/>
          <w:color w:val="000000" w:themeColor="text1"/>
        </w:rPr>
        <w:t>uel /HL</w:t>
      </w:r>
      <w:r>
        <w:rPr>
          <w:rFonts w:ascii="Times" w:hAnsi="Times"/>
          <w:color w:val="000000" w:themeColor="text1"/>
        </w:rPr>
        <w:t>W storage facility is available</w:t>
      </w:r>
      <w:r>
        <w:rPr>
          <w:rFonts w:ascii="Times" w:hAnsi="Times"/>
          <w:color w:val="000000" w:themeColor="text1"/>
          <w:lang w:val="en-GB"/>
        </w:rPr>
        <w:t>.</w:t>
      </w:r>
    </w:p>
  </w:footnote>
  <w:footnote w:id="28">
    <w:p w:rsidR="00EF2BC3" w:rsidRDefault="00AF3002">
      <w:pPr>
        <w:pStyle w:val="FootnoteText"/>
        <w:spacing w:before="2"/>
      </w:pPr>
      <w:r>
        <w:rPr>
          <w:rStyle w:val="FootnoteReference"/>
        </w:rPr>
        <w:footnoteRef/>
      </w:r>
      <w:r>
        <w:t xml:space="preserve"> </w:t>
      </w:r>
      <w:r>
        <w:rPr>
          <w:lang w:val="en-US"/>
        </w:rPr>
        <w:tab/>
      </w:r>
      <w:r>
        <w:rPr>
          <w:rFonts w:ascii="Times" w:hAnsi="Times"/>
          <w:lang w:val="en-GB"/>
        </w:rPr>
        <w:t>Integrated Regulatory Review Service of the International Atomic Energy Agency.</w:t>
      </w:r>
    </w:p>
  </w:footnote>
  <w:footnote w:id="29">
    <w:p w:rsidR="00EF2BC3" w:rsidRDefault="00AF3002">
      <w:pPr>
        <w:pStyle w:val="FootnoteText"/>
        <w:spacing w:before="2"/>
      </w:pPr>
      <w:r>
        <w:rPr>
          <w:rStyle w:val="FootnoteReference"/>
        </w:rPr>
        <w:footnoteRef/>
      </w:r>
      <w:r>
        <w:t xml:space="preserve"> </w:t>
      </w:r>
      <w:r>
        <w:rPr>
          <w:lang w:val="en-US"/>
        </w:rPr>
        <w:tab/>
      </w:r>
      <w:r>
        <w:rPr>
          <w:rFonts w:ascii="Times" w:hAnsi="Times"/>
          <w:lang w:val="en-GB"/>
        </w:rPr>
        <w:t xml:space="preserve">Since 2014 the Commission is supporting the development of a self-assessment tool by the IAEA for the ARTEMIS review service to assist </w:t>
      </w:r>
      <w:r>
        <w:rPr>
          <w:rFonts w:ascii="Times" w:hAnsi="Times"/>
          <w:lang w:val="en-GB"/>
        </w:rPr>
        <w:t>those Member States that decide to use this international peer review service.</w:t>
      </w:r>
    </w:p>
  </w:footnote>
  <w:footnote w:id="30">
    <w:p w:rsidR="00EF2BC3" w:rsidRDefault="00AF3002">
      <w:pPr>
        <w:pStyle w:val="FootnoteText"/>
        <w:spacing w:before="2"/>
        <w:ind w:left="840" w:hanging="840"/>
        <w:rPr>
          <w:lang w:val="en-GB"/>
        </w:rPr>
      </w:pPr>
      <w:r>
        <w:rPr>
          <w:rStyle w:val="FootnoteReference"/>
        </w:rPr>
        <w:footnoteRef/>
      </w:r>
      <w:r>
        <w:t xml:space="preserve"> </w:t>
      </w:r>
      <w:r>
        <w:rPr>
          <w:lang w:val="en-US"/>
        </w:rPr>
        <w:tab/>
      </w:r>
      <w:r>
        <w:rPr>
          <w:lang w:val="en-GB"/>
        </w:rPr>
        <w:t>The information in grey is provided by Member State through the ENSREG Working Group 2 or other source (e.g. IAEA), however not included in the national programmes and report</w:t>
      </w:r>
      <w:r>
        <w:rPr>
          <w:lang w:val="en-GB"/>
        </w:rPr>
        <w:t>s of Member States.</w:t>
      </w:r>
    </w:p>
  </w:footnote>
  <w:footnote w:id="31">
    <w:p w:rsidR="00EF2BC3" w:rsidRDefault="00AF3002">
      <w:pPr>
        <w:pStyle w:val="FootnoteText"/>
        <w:tabs>
          <w:tab w:val="left" w:pos="284"/>
        </w:tabs>
        <w:spacing w:before="2"/>
        <w:ind w:left="840" w:hanging="840"/>
        <w:rPr>
          <w:rFonts w:ascii="Times" w:hAnsi="Times"/>
          <w:lang w:val="en-GB"/>
        </w:rPr>
      </w:pPr>
      <w:r>
        <w:rPr>
          <w:rStyle w:val="FootnoteReference"/>
          <w:rFonts w:ascii="Times" w:hAnsi="Times"/>
        </w:rPr>
        <w:footnoteRef/>
      </w:r>
      <w:r>
        <w:rPr>
          <w:rFonts w:ascii="Times" w:hAnsi="Times"/>
        </w:rPr>
        <w:t xml:space="preserve"> </w:t>
      </w:r>
      <w:r>
        <w:rPr>
          <w:rFonts w:ascii="Times" w:hAnsi="Times"/>
        </w:rPr>
        <w:tab/>
      </w:r>
      <w:r>
        <w:rPr>
          <w:rFonts w:ascii="Times" w:hAnsi="Times"/>
          <w:lang w:val="en-GB"/>
        </w:rPr>
        <w:tab/>
        <w:t>IAEA</w:t>
      </w:r>
      <w:r>
        <w:rPr>
          <w:rFonts w:ascii="Times" w:hAnsi="Times" w:cs="Lucida Grande"/>
        </w:rPr>
        <w:t xml:space="preserve"> Operational Safety Review Team for peer reviews of operational safety performance at a nuclear power plants</w:t>
      </w:r>
      <w:r>
        <w:rPr>
          <w:rFonts w:ascii="Times" w:hAnsi="Times" w:cs="Lucida Grande"/>
          <w:color w:val="535353"/>
        </w:rPr>
        <w:t>.</w:t>
      </w:r>
    </w:p>
  </w:footnote>
  <w:footnote w:id="32">
    <w:p w:rsidR="00EF2BC3" w:rsidRDefault="00AF3002">
      <w:pPr>
        <w:pStyle w:val="FootnoteText"/>
        <w:spacing w:before="2"/>
        <w:ind w:left="840" w:hanging="840"/>
        <w:rPr>
          <w:lang w:val="en-GB"/>
        </w:rPr>
      </w:pPr>
      <w:r>
        <w:rPr>
          <w:rStyle w:val="FootnoteReference"/>
          <w:rFonts w:ascii="Times" w:hAnsi="Times"/>
        </w:rPr>
        <w:footnoteRef/>
      </w:r>
      <w:r>
        <w:rPr>
          <w:rFonts w:ascii="Times" w:hAnsi="Times"/>
        </w:rPr>
        <w:t xml:space="preserve"> </w:t>
      </w:r>
      <w:r>
        <w:rPr>
          <w:rFonts w:ascii="Times" w:hAnsi="Times"/>
          <w:lang w:val="en-US"/>
        </w:rPr>
        <w:tab/>
        <w:t xml:space="preserve">Information to </w:t>
      </w:r>
      <w:r>
        <w:rPr>
          <w:rFonts w:ascii="Times" w:hAnsi="Times"/>
          <w:lang w:val="en-GB"/>
        </w:rPr>
        <w:t>Commission after the</w:t>
      </w:r>
      <w:r>
        <w:rPr>
          <w:lang w:val="en-GB"/>
        </w:rPr>
        <w:t xml:space="preserve"> notification of the Polish programme and report.</w:t>
      </w:r>
    </w:p>
  </w:footnote>
  <w:footnote w:id="33">
    <w:p w:rsidR="00EF2BC3" w:rsidRDefault="00AF3002">
      <w:pPr>
        <w:pStyle w:val="FootnoteText"/>
        <w:spacing w:before="2"/>
        <w:rPr>
          <w:lang w:val="en-GB"/>
        </w:rPr>
      </w:pPr>
      <w:r>
        <w:rPr>
          <w:rStyle w:val="FootnoteReference"/>
        </w:rPr>
        <w:footnoteRef/>
      </w:r>
      <w:r>
        <w:rPr>
          <w:lang w:val="en-GB"/>
        </w:rPr>
        <w:tab/>
        <w:t>Joint Convention on the Safe</w:t>
      </w:r>
      <w:r>
        <w:rPr>
          <w:lang w:val="en-GB"/>
        </w:rPr>
        <w:t>ty of Spent Fuel Management and on the Safety of Radioactive Management.</w:t>
      </w:r>
    </w:p>
  </w:footnote>
  <w:footnote w:id="34">
    <w:p w:rsidR="00EF2BC3" w:rsidRDefault="00AF3002">
      <w:pPr>
        <w:pStyle w:val="FootnoteText"/>
        <w:spacing w:before="2"/>
        <w:rPr>
          <w:lang w:val="en-US"/>
        </w:rPr>
      </w:pPr>
      <w:r>
        <w:rPr>
          <w:rStyle w:val="FootnoteReference"/>
        </w:rPr>
        <w:footnoteRef/>
      </w:r>
      <w:r>
        <w:t xml:space="preserve"> </w:t>
      </w:r>
      <w:r>
        <w:tab/>
      </w:r>
      <w:r>
        <w:rPr>
          <w:lang w:val="en-US"/>
        </w:rPr>
        <w:t>The updated national programme of Slovenia has not been taken into account, as it is currently under assessment.</w:t>
      </w:r>
    </w:p>
  </w:footnote>
  <w:footnote w:id="35">
    <w:p w:rsidR="00EF2BC3" w:rsidRDefault="00AF3002">
      <w:pPr>
        <w:pStyle w:val="FootnoteText"/>
        <w:tabs>
          <w:tab w:val="left" w:pos="720"/>
        </w:tabs>
        <w:spacing w:before="2"/>
        <w:rPr>
          <w:lang w:val="en-GB"/>
        </w:rPr>
      </w:pPr>
      <w:r>
        <w:rPr>
          <w:rStyle w:val="FootnoteReference"/>
        </w:rPr>
        <w:footnoteRef/>
      </w:r>
      <w:r>
        <w:tab/>
        <w:t xml:space="preserve">The terms near surface, intermediate depth and deep geological </w:t>
      </w:r>
      <w:r>
        <w:t>disposal are used in the meaning of IAEA Safety Guide GSG-1 “Classification of Radioactive Waste”, 2009</w:t>
      </w:r>
      <w:r>
        <w:rPr>
          <w:lang w:val="en-GB"/>
        </w:rPr>
        <w:t>.</w:t>
      </w:r>
    </w:p>
  </w:footnote>
  <w:footnote w:id="36">
    <w:p w:rsidR="00EF2BC3" w:rsidRDefault="00AF3002">
      <w:pPr>
        <w:pStyle w:val="FootnoteText"/>
        <w:tabs>
          <w:tab w:val="left" w:pos="720"/>
        </w:tabs>
        <w:spacing w:before="2"/>
        <w:rPr>
          <w:lang w:val="en-US"/>
        </w:rPr>
      </w:pPr>
      <w:r>
        <w:rPr>
          <w:rStyle w:val="FootnoteReference"/>
        </w:rPr>
        <w:footnoteRef/>
      </w:r>
      <w:r>
        <w:t xml:space="preserve"> </w:t>
      </w:r>
      <w:r>
        <w:tab/>
      </w:r>
      <w:r>
        <w:rPr>
          <w:lang w:val="en-US"/>
        </w:rPr>
        <w:t>Otherwise specified.</w:t>
      </w:r>
    </w:p>
  </w:footnote>
  <w:footnote w:id="37">
    <w:p w:rsidR="00EF2BC3" w:rsidRDefault="00AF3002">
      <w:pPr>
        <w:pStyle w:val="FootnoteText"/>
        <w:tabs>
          <w:tab w:val="left" w:pos="720"/>
        </w:tabs>
        <w:spacing w:before="2"/>
        <w:rPr>
          <w:lang w:val="en-GB"/>
        </w:rPr>
      </w:pPr>
      <w:r>
        <w:rPr>
          <w:rStyle w:val="FootnoteReference"/>
        </w:rPr>
        <w:footnoteRef/>
      </w:r>
      <w:r>
        <w:t xml:space="preserve"> </w:t>
      </w:r>
      <w:r>
        <w:tab/>
        <w:t>Law on reversibility (100 years) passed in 2016</w:t>
      </w:r>
      <w:r>
        <w:rPr>
          <w:lang w:val="en-GB"/>
        </w:rPr>
        <w:t>.</w:t>
      </w:r>
    </w:p>
  </w:footnote>
  <w:footnote w:id="38">
    <w:p w:rsidR="00EF2BC3" w:rsidRDefault="00AF3002">
      <w:pPr>
        <w:pStyle w:val="FootnoteText"/>
        <w:tabs>
          <w:tab w:val="left" w:pos="720"/>
        </w:tabs>
        <w:spacing w:before="2"/>
        <w:rPr>
          <w:lang w:val="en-GB"/>
        </w:rPr>
      </w:pPr>
      <w:r>
        <w:rPr>
          <w:rStyle w:val="FootnoteReference"/>
        </w:rPr>
        <w:footnoteRef/>
      </w:r>
      <w:r>
        <w:rPr>
          <w:color w:val="000000"/>
        </w:rPr>
        <w:t xml:space="preserve"> </w:t>
      </w:r>
      <w:r>
        <w:rPr>
          <w:color w:val="000000"/>
        </w:rPr>
        <w:tab/>
        <w:t>http://cigeo.com/en/project-cost</w:t>
      </w:r>
      <w:r>
        <w:rPr>
          <w:color w:val="000000"/>
          <w:lang w:val="en-GB"/>
        </w:rPr>
        <w:t>.</w:t>
      </w:r>
    </w:p>
  </w:footnote>
  <w:footnote w:id="39">
    <w:p w:rsidR="00EF2BC3" w:rsidRDefault="00AF3002">
      <w:pPr>
        <w:pStyle w:val="FootnoteText"/>
        <w:spacing w:before="2"/>
        <w:rPr>
          <w:lang w:val="en-GB"/>
        </w:rPr>
      </w:pPr>
      <w:r>
        <w:rPr>
          <w:rStyle w:val="FootnoteReference"/>
        </w:rPr>
        <w:footnoteRef/>
      </w:r>
      <w:r>
        <w:t xml:space="preserve"> </w:t>
      </w:r>
      <w:r>
        <w:tab/>
      </w:r>
      <w:r>
        <w:rPr>
          <w:lang w:val="en-GB"/>
        </w:rPr>
        <w:t>If Hungary opts for reprocessing of</w:t>
      </w:r>
      <w:r>
        <w:rPr>
          <w:lang w:val="en-GB"/>
        </w:rPr>
        <w:t xml:space="preserve"> the spent fuel of the new-built, the operation of the deep geological disposal will be 50-60 years instead.</w:t>
      </w:r>
    </w:p>
  </w:footnote>
  <w:footnote w:id="40">
    <w:p w:rsidR="00EF2BC3" w:rsidRDefault="00AF3002">
      <w:pPr>
        <w:pStyle w:val="FootnoteText"/>
        <w:spacing w:before="2"/>
        <w:rPr>
          <w:lang w:val="en-GB"/>
        </w:rPr>
      </w:pPr>
      <w:r>
        <w:rPr>
          <w:rStyle w:val="FootnoteReference"/>
        </w:rPr>
        <w:footnoteRef/>
      </w:r>
      <w:r>
        <w:t xml:space="preserve"> </w:t>
      </w:r>
      <w:r>
        <w:tab/>
      </w:r>
      <w:r>
        <w:rPr>
          <w:lang w:val="en-GB"/>
        </w:rPr>
        <w:t xml:space="preserve">Could be 2114-2124. </w:t>
      </w:r>
    </w:p>
  </w:footnote>
  <w:footnote w:id="41">
    <w:p w:rsidR="00EF2BC3" w:rsidRDefault="00AF3002">
      <w:pPr>
        <w:pStyle w:val="FootnoteText"/>
        <w:spacing w:before="2"/>
        <w:rPr>
          <w:lang w:val="en-US"/>
        </w:rPr>
      </w:pPr>
      <w:r>
        <w:rPr>
          <w:rStyle w:val="FootnoteReference"/>
        </w:rPr>
        <w:footnoteRef/>
      </w:r>
      <w:r>
        <w:t xml:space="preserve"> </w:t>
      </w:r>
      <w:r>
        <w:tab/>
      </w:r>
      <w:r>
        <w:rPr>
          <w:lang w:val="en-US"/>
        </w:rPr>
        <w:t>Data from the 6</w:t>
      </w:r>
      <w:r>
        <w:rPr>
          <w:vertAlign w:val="superscript"/>
          <w:lang w:val="en-US"/>
        </w:rPr>
        <w:t>th</w:t>
      </w:r>
      <w:r>
        <w:rPr>
          <w:lang w:val="en-US"/>
        </w:rPr>
        <w:t xml:space="preserve"> General Radioactive Waste Plan. In addition, the estimated total cost for spent fuel management is abo</w:t>
      </w:r>
      <w:r>
        <w:rPr>
          <w:lang w:val="en-US"/>
        </w:rPr>
        <w:t>ut 7 bn (2015) for a 40 years NPP operation scenario.</w:t>
      </w:r>
    </w:p>
  </w:footnote>
  <w:footnote w:id="42">
    <w:p w:rsidR="00EF2BC3" w:rsidRDefault="00AF3002">
      <w:pPr>
        <w:pStyle w:val="FootnoteText"/>
        <w:spacing w:before="2"/>
        <w:rPr>
          <w:lang w:val="en-GB"/>
        </w:rPr>
      </w:pPr>
      <w:r>
        <w:rPr>
          <w:rStyle w:val="FootnoteReference"/>
        </w:rPr>
        <w:footnoteRef/>
      </w:r>
      <w:r>
        <w:t xml:space="preserve"> </w:t>
      </w:r>
      <w:r>
        <w:tab/>
        <w:t>“</w:t>
      </w:r>
      <w:r>
        <w:rPr>
          <w:rFonts w:ascii="Times" w:hAnsi="Times"/>
          <w:color w:val="000000" w:themeColor="text1"/>
        </w:rPr>
        <w:t>RADON” type facilities for institutional waste built in the 1960s</w:t>
      </w:r>
      <w:r>
        <w:rPr>
          <w:rFonts w:ascii="Times" w:hAnsi="Times"/>
          <w:color w:val="000000" w:themeColor="text1"/>
          <w:lang w:val="en-GB"/>
        </w:rPr>
        <w:t>.</w:t>
      </w:r>
    </w:p>
  </w:footnote>
  <w:footnote w:id="43">
    <w:p w:rsidR="00EF2BC3" w:rsidRDefault="00AF3002">
      <w:pPr>
        <w:pStyle w:val="FootnoteText"/>
        <w:tabs>
          <w:tab w:val="left" w:pos="600"/>
        </w:tabs>
        <w:spacing w:before="2"/>
        <w:rPr>
          <w:lang w:val="en-GB"/>
        </w:rPr>
      </w:pPr>
      <w:r>
        <w:rPr>
          <w:rStyle w:val="FootnoteReference"/>
        </w:rPr>
        <w:footnoteRef/>
      </w:r>
      <w:r>
        <w:t xml:space="preserve"> </w:t>
      </w:r>
      <w:r>
        <w:rPr>
          <w:lang w:val="en-GB"/>
        </w:rPr>
        <w:tab/>
        <w:t>Asse II salt mine remediation is planned around 2033.</w:t>
      </w:r>
    </w:p>
  </w:footnote>
  <w:footnote w:id="44">
    <w:p w:rsidR="00EF2BC3" w:rsidRDefault="00AF3002">
      <w:pPr>
        <w:pStyle w:val="FootnoteText"/>
        <w:spacing w:before="2"/>
      </w:pPr>
      <w:r>
        <w:rPr>
          <w:rStyle w:val="FootnoteReference"/>
        </w:rPr>
        <w:footnoteRef/>
      </w:r>
      <w:r>
        <w:t xml:space="preserve"> </w:t>
      </w:r>
      <w:r>
        <w:tab/>
        <w:t>Assuming average cost of 20 to 30 cents per kWh</w:t>
      </w:r>
      <w:r>
        <w:rPr>
          <w:lang w:val="en-GB"/>
        </w:rPr>
        <w:t>.</w:t>
      </w:r>
    </w:p>
  </w:footnote>
  <w:footnote w:id="45">
    <w:p w:rsidR="00EF2BC3" w:rsidRDefault="00AF3002">
      <w:pPr>
        <w:pStyle w:val="FootnoteText"/>
        <w:spacing w:before="2"/>
        <w:rPr>
          <w:lang w:val="en-US"/>
        </w:rPr>
      </w:pPr>
      <w:r>
        <w:rPr>
          <w:rStyle w:val="FootnoteReference"/>
        </w:rPr>
        <w:footnoteRef/>
      </w:r>
      <w:r>
        <w:t xml:space="preserve"> </w:t>
      </w:r>
      <w:r>
        <w:tab/>
      </w:r>
      <w:r>
        <w:rPr>
          <w:rStyle w:val="FootnoteTextChar"/>
        </w:rPr>
        <w:t xml:space="preserve">Communication from </w:t>
      </w:r>
      <w:r>
        <w:rPr>
          <w:rStyle w:val="FootnoteTextChar"/>
        </w:rPr>
        <w:t>the Commission Nuclear Illustrative Programme presented under Article 40 of the Euratom Treaty for the opinion of the European Economic and Social Committee {</w:t>
      </w:r>
      <w:r>
        <w:rPr>
          <w:rStyle w:val="FootnoteTextChar"/>
          <w:lang w:val="en-US"/>
        </w:rPr>
        <w:t>COM</w:t>
      </w:r>
      <w:r>
        <w:rPr>
          <w:rStyle w:val="FootnoteTextChar"/>
        </w:rPr>
        <w:t>(201</w:t>
      </w:r>
      <w:r>
        <w:rPr>
          <w:rStyle w:val="FootnoteTextChar"/>
          <w:lang w:val="en-GB"/>
        </w:rPr>
        <w:t>7</w:t>
      </w:r>
      <w:r>
        <w:rPr>
          <w:rStyle w:val="FootnoteTextChar"/>
        </w:rPr>
        <w:t>)</w:t>
      </w:r>
      <w:r>
        <w:rPr>
          <w:rStyle w:val="FootnoteTextChar"/>
          <w:lang w:val="en-US"/>
        </w:rPr>
        <w:t>237</w:t>
      </w:r>
      <w:r>
        <w:rPr>
          <w:rStyle w:val="FootnoteTextChar"/>
        </w:rPr>
        <w:t>}.</w:t>
      </w:r>
    </w:p>
  </w:footnote>
  <w:footnote w:id="46">
    <w:p w:rsidR="00EF2BC3" w:rsidRDefault="00AF3002">
      <w:pPr>
        <w:pStyle w:val="FootnoteText"/>
        <w:spacing w:before="2"/>
        <w:rPr>
          <w:b/>
          <w:lang w:val="en-US"/>
        </w:rPr>
      </w:pPr>
      <w:r>
        <w:rPr>
          <w:rStyle w:val="FootnoteReference"/>
        </w:rPr>
        <w:footnoteRef/>
      </w:r>
      <w:r>
        <w:t xml:space="preserve"> </w:t>
      </w:r>
      <w:r>
        <w:rPr>
          <w:lang w:val="en-US"/>
        </w:rPr>
        <w:tab/>
        <w:t>Based on data</w:t>
      </w:r>
      <w:r>
        <w:t xml:space="preserve"> provided by the Belgian Ministry of Economy </w:t>
      </w:r>
      <w:r>
        <w:rPr>
          <w:lang w:val="en-US"/>
        </w:rPr>
        <w:t>the cost for radioacti</w:t>
      </w:r>
      <w:r>
        <w:rPr>
          <w:lang w:val="en-US"/>
        </w:rPr>
        <w:t xml:space="preserve">ve waste management in Belgium is </w:t>
      </w:r>
      <w:r>
        <w:rPr>
          <w:color w:val="000000" w:themeColor="text1"/>
          <w:lang w:val="en-GB"/>
        </w:rPr>
        <w:t>€</w:t>
      </w:r>
      <w:r>
        <w:t>9</w:t>
      </w:r>
      <w:r>
        <w:rPr>
          <w:lang w:val="en-US"/>
        </w:rPr>
        <w:t>.</w:t>
      </w:r>
      <w:r>
        <w:t>2</w:t>
      </w:r>
      <w:r>
        <w:rPr>
          <w:lang w:val="en-US"/>
        </w:rPr>
        <w:t xml:space="preserve"> bn and </w:t>
      </w:r>
      <w:r>
        <w:rPr>
          <w:color w:val="000000" w:themeColor="text1"/>
          <w:lang w:val="en-GB"/>
        </w:rPr>
        <w:t xml:space="preserve">for decommissioning – </w:t>
      </w:r>
      <w:r>
        <w:rPr>
          <w:lang w:val="en-US"/>
        </w:rPr>
        <w:t xml:space="preserve">4.6 bn </w:t>
      </w:r>
      <w:r>
        <w:rPr>
          <w:color w:val="000000" w:themeColor="text1"/>
          <w:lang w:val="en-GB"/>
        </w:rPr>
        <w:t xml:space="preserve">€, in total €13.8 </w:t>
      </w:r>
      <w:r>
        <w:rPr>
          <w:lang w:val="en-US"/>
        </w:rPr>
        <w:t>bn</w:t>
      </w:r>
      <w:r>
        <w:rPr>
          <w:color w:val="000000" w:themeColor="text1"/>
          <w:lang w:val="en-GB"/>
        </w:rPr>
        <w:t xml:space="preserve"> </w:t>
      </w:r>
      <w:r>
        <w:rPr>
          <w:lang w:val="en-US"/>
        </w:rPr>
        <w:t>(see footnote 132 of PINC SWD(2017)158).</w:t>
      </w:r>
    </w:p>
  </w:footnote>
  <w:footnote w:id="47">
    <w:p w:rsidR="00EF2BC3" w:rsidRDefault="00AF3002">
      <w:pPr>
        <w:pStyle w:val="FootnoteText"/>
        <w:spacing w:before="2"/>
        <w:rPr>
          <w:rStyle w:val="FootnoteReference"/>
          <w:color w:val="000000" w:themeColor="text1"/>
        </w:rPr>
      </w:pPr>
      <w:r>
        <w:rPr>
          <w:rStyle w:val="FootnoteReference"/>
          <w:color w:val="000000" w:themeColor="text1"/>
        </w:rPr>
        <w:t xml:space="preserve">47 </w:t>
      </w:r>
      <w:r>
        <w:rPr>
          <w:color w:val="000000" w:themeColor="text1"/>
          <w:lang w:val="de-DE"/>
        </w:rPr>
        <w:tab/>
      </w:r>
      <w:r>
        <w:rPr>
          <w:rStyle w:val="FootnoteReference"/>
          <w:color w:val="000000" w:themeColor="text1"/>
          <w:vertAlign w:val="baseline"/>
        </w:rPr>
        <w:t>The costs notified by Member States have not been verified by the Commission. The figure in the column is indicativ</w:t>
      </w:r>
      <w:r>
        <w:rPr>
          <w:rStyle w:val="FootnoteReference"/>
          <w:color w:val="000000" w:themeColor="text1"/>
          <w:vertAlign w:val="baseline"/>
        </w:rPr>
        <w:t>e and is based on the available financial resources vs total costs in the national programme and report reported by a Member State.</w:t>
      </w:r>
    </w:p>
  </w:footnote>
  <w:footnote w:id="48">
    <w:p w:rsidR="00EF2BC3" w:rsidRDefault="00AF3002">
      <w:pPr>
        <w:pStyle w:val="FootnoteText"/>
        <w:spacing w:before="2"/>
        <w:ind w:left="840" w:hanging="840"/>
        <w:rPr>
          <w:color w:val="000000" w:themeColor="text1"/>
          <w:lang w:val="en-GB"/>
        </w:rPr>
      </w:pPr>
      <w:r>
        <w:rPr>
          <w:rStyle w:val="FootnoteReference"/>
          <w:color w:val="000000" w:themeColor="text1"/>
        </w:rPr>
        <w:footnoteRef/>
      </w:r>
      <w:r>
        <w:rPr>
          <w:color w:val="000000" w:themeColor="text1"/>
        </w:rPr>
        <w:t xml:space="preserve"> </w:t>
      </w:r>
      <w:r>
        <w:rPr>
          <w:color w:val="000000" w:themeColor="text1"/>
        </w:rPr>
        <w:tab/>
        <w:t>For public generators of spent fuel/radioactive waste, resources are entered in the respective current budget for the dec</w:t>
      </w:r>
      <w:r>
        <w:rPr>
          <w:color w:val="000000" w:themeColor="text1"/>
        </w:rPr>
        <w:t>ommissioning and dismantling costs</w:t>
      </w:r>
      <w:r>
        <w:rPr>
          <w:color w:val="000000" w:themeColor="text1"/>
          <w:lang w:val="en-GB"/>
        </w:rPr>
        <w:t>.</w:t>
      </w:r>
    </w:p>
  </w:footnote>
  <w:footnote w:id="49">
    <w:p w:rsidR="00EF2BC3" w:rsidRDefault="00AF3002">
      <w:pPr>
        <w:ind w:left="840" w:hanging="840"/>
        <w:jc w:val="both"/>
        <w:rPr>
          <w:lang w:val="en-US"/>
        </w:rPr>
      </w:pPr>
      <w:r>
        <w:rPr>
          <w:rStyle w:val="FootnoteReference"/>
          <w:color w:val="000000" w:themeColor="text1"/>
          <w:sz w:val="20"/>
          <w:szCs w:val="20"/>
        </w:rPr>
        <w:footnoteRef/>
      </w:r>
      <w:r>
        <w:rPr>
          <w:color w:val="000000" w:themeColor="text1"/>
          <w:sz w:val="20"/>
          <w:szCs w:val="20"/>
        </w:rPr>
        <w:t xml:space="preserve"> </w:t>
      </w:r>
      <w:r>
        <w:rPr>
          <w:color w:val="000000" w:themeColor="text1"/>
          <w:sz w:val="20"/>
          <w:szCs w:val="20"/>
        </w:rPr>
        <w:tab/>
      </w:r>
      <w:r>
        <w:rPr>
          <w:iCs/>
          <w:color w:val="000000" w:themeColor="text1"/>
          <w:sz w:val="20"/>
          <w:szCs w:val="20"/>
        </w:rPr>
        <w:t xml:space="preserve">Ministry report states that "final storage" reserves at the end 2014 € 68 mill, "long term storage" reserves € 102 mill, and additional costs of € 13 mill. The long-term reserves are made increased yearly by 4.3 % (2.3% real+ 2% inflation). </w:t>
      </w:r>
    </w:p>
  </w:footnote>
  <w:footnote w:id="50">
    <w:p w:rsidR="00EF2BC3" w:rsidRDefault="00AF3002">
      <w:pPr>
        <w:pStyle w:val="FootnoteText"/>
        <w:spacing w:before="2"/>
        <w:rPr>
          <w:lang w:val="en-GB"/>
        </w:rPr>
      </w:pPr>
      <w:r>
        <w:rPr>
          <w:rStyle w:val="FootnoteReference"/>
        </w:rPr>
        <w:footnoteRef/>
      </w:r>
      <w:r>
        <w:t xml:space="preserve"> </w:t>
      </w:r>
      <w:r>
        <w:rPr>
          <w:lang w:val="en-US"/>
        </w:rPr>
        <w:tab/>
      </w:r>
      <w:r>
        <w:rPr>
          <w:noProof/>
          <w:color w:val="000000"/>
          <w:lang w:val="en-US"/>
        </w:rPr>
        <w:t>F</w:t>
      </w:r>
      <w:r>
        <w:rPr>
          <w:noProof/>
          <w:color w:val="000000"/>
        </w:rPr>
        <w:t>uture cost</w:t>
      </w:r>
      <w:r>
        <w:rPr>
          <w:noProof/>
          <w:color w:val="000000"/>
        </w:rPr>
        <w:t>s</w:t>
      </w:r>
      <w:r>
        <w:rPr>
          <w:noProof/>
          <w:color w:val="000000"/>
          <w:lang w:val="en-US"/>
        </w:rPr>
        <w:t xml:space="preserve"> (</w:t>
      </w:r>
      <w:r>
        <w:rPr>
          <w:iCs/>
          <w:color w:val="000000" w:themeColor="text1"/>
        </w:rPr>
        <w:t>€</w:t>
      </w:r>
      <w:r>
        <w:rPr>
          <w:noProof/>
          <w:color w:val="000000"/>
          <w:lang w:val="en-US"/>
        </w:rPr>
        <w:t>14.7 bn)</w:t>
      </w:r>
      <w:r>
        <w:rPr>
          <w:noProof/>
          <w:color w:val="000000"/>
        </w:rPr>
        <w:t xml:space="preserve"> considered only</w:t>
      </w:r>
      <w:r>
        <w:rPr>
          <w:noProof/>
          <w:color w:val="000000"/>
          <w:lang w:val="en-GB"/>
        </w:rPr>
        <w:t>.</w:t>
      </w:r>
    </w:p>
  </w:footnote>
  <w:footnote w:id="51">
    <w:p w:rsidR="00EF2BC3" w:rsidRDefault="00AF3002">
      <w:pPr>
        <w:pStyle w:val="FootnoteText"/>
        <w:spacing w:before="2"/>
        <w:rPr>
          <w:lang w:val="en-GB"/>
        </w:rPr>
      </w:pPr>
      <w:r>
        <w:rPr>
          <w:rStyle w:val="FootnoteReference"/>
        </w:rPr>
        <w:footnoteRef/>
      </w:r>
      <w:r>
        <w:t xml:space="preserve"> </w:t>
      </w:r>
      <w:r>
        <w:tab/>
      </w:r>
      <w:r>
        <w:rPr>
          <w:rFonts w:ascii="Times" w:hAnsi="Times"/>
          <w:color w:val="000000" w:themeColor="text1"/>
        </w:rPr>
        <w:t xml:space="preserve">Several Member States carry out experimental work in the </w:t>
      </w:r>
      <w:r>
        <w:rPr>
          <w:rFonts w:cs="Arial"/>
          <w:color w:val="000000" w:themeColor="text1"/>
        </w:rPr>
        <w:t>Grimsel Test Site</w:t>
      </w:r>
      <w:r>
        <w:rPr>
          <w:rFonts w:ascii="Times" w:hAnsi="Times"/>
          <w:color w:val="000000" w:themeColor="text1"/>
        </w:rPr>
        <w:t xml:space="preserve"> (Switzerland), which is in operation since 1984. The facilities in grey are not in operation any longer.</w:t>
      </w:r>
    </w:p>
  </w:footnote>
  <w:footnote w:id="52">
    <w:p w:rsidR="00EF2BC3" w:rsidRDefault="00AF3002">
      <w:pPr>
        <w:pStyle w:val="FootnoteText"/>
        <w:spacing w:before="2"/>
        <w:rPr>
          <w:lang w:val="en-GB"/>
        </w:rPr>
      </w:pPr>
      <w:r>
        <w:rPr>
          <w:rStyle w:val="FootnoteReference"/>
        </w:rPr>
        <w:footnoteRef/>
      </w:r>
      <w:r>
        <w:t xml:space="preserve"> </w:t>
      </w:r>
      <w:r>
        <w:tab/>
        <w:t xml:space="preserve">The </w:t>
      </w:r>
      <w:r>
        <w:rPr>
          <w:lang w:val="en-GB"/>
        </w:rPr>
        <w:t>minister responsible for the economy</w:t>
      </w:r>
      <w:r>
        <w:rPr>
          <w:lang w:val="en-GB"/>
        </w:rPr>
        <w:t>, the Polish Geological Institute – National Research Institute (PIG-PIB) and other interested institutions to sign an agreement for supporting the concept of deep disposal of radioactive waste and the construction of an URL and initiating integrated resea</w:t>
      </w:r>
      <w:r>
        <w:rPr>
          <w:lang w:val="en-GB"/>
        </w:rPr>
        <w:t>rch in these areas.</w:t>
      </w:r>
    </w:p>
  </w:footnote>
  <w:footnote w:id="53">
    <w:p w:rsidR="00EF2BC3" w:rsidRDefault="00AF3002">
      <w:pPr>
        <w:pStyle w:val="FootnoteText"/>
        <w:spacing w:before="2"/>
        <w:rPr>
          <w:color w:val="000000" w:themeColor="text1"/>
          <w:lang w:val="en-GB"/>
        </w:rPr>
      </w:pPr>
      <w:r>
        <w:rPr>
          <w:rStyle w:val="FootnoteReference"/>
          <w:color w:val="000000" w:themeColor="text1"/>
        </w:rPr>
        <w:footnoteRef/>
      </w:r>
      <w:r>
        <w:rPr>
          <w:color w:val="000000" w:themeColor="text1"/>
        </w:rPr>
        <w:t xml:space="preserve"> </w:t>
      </w:r>
      <w:r>
        <w:rPr>
          <w:color w:val="000000" w:themeColor="text1"/>
        </w:rPr>
        <w:tab/>
        <w:t>The National Agency for Radioactive Waste is responsible for the research and development</w:t>
      </w:r>
      <w:r>
        <w:rPr>
          <w:color w:val="000000" w:themeColor="text1"/>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
      <w:spacing w:before="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CoverPage"/>
      <w:spacing w:before="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CoverPage"/>
      <w:spacing w:before="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
      <w:spacing w:before="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
      <w:spacing w:before="2" w:after="360"/>
      <w:jc w:val="center"/>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BC3" w:rsidRDefault="00EF2BC3">
    <w:pPr>
      <w:pStyle w:val="Header"/>
      <w:spacing w:before="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BE0BD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1C89486"/>
    <w:lvl w:ilvl="0">
      <w:start w:val="1"/>
      <w:numFmt w:val="decimal"/>
      <w:pStyle w:val="ListNumber3"/>
      <w:lvlText w:val="%1."/>
      <w:lvlJc w:val="left"/>
      <w:pPr>
        <w:tabs>
          <w:tab w:val="num" w:pos="926"/>
        </w:tabs>
        <w:ind w:left="926" w:hanging="360"/>
      </w:pPr>
    </w:lvl>
  </w:abstractNum>
  <w:abstractNum w:abstractNumId="2">
    <w:nsid w:val="FFFFFF7F"/>
    <w:multiLevelType w:val="singleLevel"/>
    <w:tmpl w:val="F5C06AF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38BB0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CCC167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52637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4F83770"/>
    <w:lvl w:ilvl="0">
      <w:start w:val="1"/>
      <w:numFmt w:val="decimal"/>
      <w:pStyle w:val="ListNumber"/>
      <w:lvlText w:val="%1."/>
      <w:lvlJc w:val="left"/>
      <w:pPr>
        <w:tabs>
          <w:tab w:val="num" w:pos="360"/>
        </w:tabs>
        <w:ind w:left="360" w:hanging="360"/>
      </w:pPr>
    </w:lvl>
  </w:abstractNum>
  <w:abstractNum w:abstractNumId="7">
    <w:nsid w:val="FFFFFF89"/>
    <w:multiLevelType w:val="singleLevel"/>
    <w:tmpl w:val="74AC4B64"/>
    <w:name w:val="0.3440777"/>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9">
    <w:nsid w:val="2E570928"/>
    <w:multiLevelType w:val="multilevel"/>
    <w:tmpl w:val="60BA42A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1">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2">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3">
    <w:nsid w:val="41CB4301"/>
    <w:multiLevelType w:val="hybridMultilevel"/>
    <w:tmpl w:val="8A4648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5">
    <w:nsid w:val="50F87C5B"/>
    <w:multiLevelType w:val="hybridMultilevel"/>
    <w:tmpl w:val="1D08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7">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8">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9">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1">
    <w:nsid w:val="63BB5908"/>
    <w:multiLevelType w:val="hybridMultilevel"/>
    <w:tmpl w:val="A712E28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23">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4">
    <w:nsid w:val="6D9F2DA2"/>
    <w:multiLevelType w:val="hybridMultilevel"/>
    <w:tmpl w:val="BAC46880"/>
    <w:lvl w:ilvl="0" w:tplc="BFEC6A28">
      <w:start w:val="12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1167E2"/>
    <w:multiLevelType w:val="multilevel"/>
    <w:tmpl w:val="C3843A7A"/>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5C26F71"/>
    <w:multiLevelType w:val="multilevel"/>
    <w:tmpl w:val="CDA83E0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rPr>
        <w:i w:val="0"/>
      </w:r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BE95D7F"/>
    <w:multiLevelType w:val="multilevel"/>
    <w:tmpl w:val="F126F78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lvlOverride w:ilvl="0">
      <w:startOverride w:val="1"/>
    </w:lvlOverride>
  </w:num>
  <w:num w:numId="4">
    <w:abstractNumId w:val="5"/>
  </w:num>
  <w:num w:numId="5">
    <w:abstractNumId w:val="4"/>
  </w:num>
  <w:num w:numId="6">
    <w:abstractNumId w:val="3"/>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1"/>
  </w:num>
  <w:num w:numId="11">
    <w:abstractNumId w:val="10"/>
  </w:num>
  <w:num w:numId="12">
    <w:abstractNumId w:val="20"/>
  </w:num>
  <w:num w:numId="13">
    <w:abstractNumId w:val="12"/>
  </w:num>
  <w:num w:numId="14">
    <w:abstractNumId w:val="1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19"/>
  </w:num>
  <w:num w:numId="20">
    <w:abstractNumId w:val="18"/>
  </w:num>
  <w:num w:numId="21">
    <w:abstractNumId w:val="14"/>
  </w:num>
  <w:num w:numId="22">
    <w:abstractNumId w:val="22"/>
    <w:lvlOverride w:ilvl="0">
      <w:startOverride w:val="1"/>
    </w:lvlOverride>
  </w:num>
  <w:num w:numId="23">
    <w:abstractNumId w:val="23"/>
  </w:num>
  <w:num w:numId="24">
    <w:abstractNumId w:val="15"/>
  </w:num>
  <w:num w:numId="25">
    <w:abstractNumId w:val="21"/>
  </w:num>
  <w:num w:numId="26">
    <w:abstractNumId w:val="13"/>
  </w:num>
  <w:num w:numId="27">
    <w:abstractNumId w:val="24"/>
  </w:num>
  <w:num w:numId="28">
    <w:abstractNumId w:val="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68DE7A000A4440C9966B719CA1316747"/>
    <w:docVar w:name="LW_CROSSREFERENCE" w:val="{COM(2017) 236 final}_x000b_{SWD(2017) 161 final}"/>
    <w:docVar w:name="LW_DocType" w:val="NORMAL"/>
    <w:docVar w:name="LW_EMISSION" w:val="15.5.2017"/>
    <w:docVar w:name="LW_EMISSION_ISODATE" w:val="2017-05-15"/>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on progress of implementation of Council Directive 2011/70/EURATOM and an inventory of radioactive waste and spent fuel present in the Community's territory and the future prospects"/>
    <w:docVar w:name="LW_PART_NBR" w:val="1"/>
    <w:docVar w:name="LW_PART_NBR_TOTAL" w:val="1"/>
    <w:docVar w:name="LW_REF.INST.NEW" w:val="SWD"/>
    <w:docVar w:name="LW_REF.INST.NEW_ADOPTED" w:val="final"/>
    <w:docVar w:name="LW_REF.INST.NEW_TEXT" w:val="(2017) 159"/>
    <w:docVar w:name="LW_REF.INTERNE" w:val="&lt;UNUSED&gt;"/>
    <w:docVar w:name="LW_SUPERTITRE" w:val="&lt;UNUSED&gt;"/>
    <w:docVar w:name="LW_TITRE.OBJ.CP" w:val="Progress of implementation of Council Directive 2011/70/EURATOM"/>
    <w:docVar w:name="LW_TYPE.DOC.CP" w:val="COMMISSION STAFF WORKING DOCUMENT"/>
    <w:docVar w:name="LW_TYPEACTEPRINCIPAL.CP" w:val="REPORT FROM THE COMMISSION TO THE COUNCIL AND THE EUROPEAN PARLIAMENT"/>
  </w:docVars>
  <w:rsids>
    <w:rsidRoot w:val="00EF2BC3"/>
    <w:rsid w:val="00AF3002"/>
    <w:rsid w:val="00EF2B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Text1"/>
    <w:link w:val="Heading1Char"/>
    <w:uiPriority w:val="9"/>
    <w:qFormat/>
    <w:pPr>
      <w:keepNext/>
      <w:numPr>
        <w:numId w:val="1"/>
      </w:numPr>
      <w:spacing w:before="360" w:after="120"/>
      <w:jc w:val="both"/>
      <w:outlineLvl w:val="0"/>
    </w:pPr>
    <w:rPr>
      <w:rFonts w:eastAsia="Times New Roman"/>
      <w:b/>
      <w:bCs/>
      <w:smallCaps/>
      <w:szCs w:val="32"/>
    </w:rPr>
  </w:style>
  <w:style w:type="paragraph" w:styleId="Heading2">
    <w:name w:val="heading 2"/>
    <w:basedOn w:val="Normal"/>
    <w:next w:val="Text1"/>
    <w:link w:val="Heading2Char"/>
    <w:uiPriority w:val="9"/>
    <w:unhideWhenUsed/>
    <w:qFormat/>
    <w:pPr>
      <w:keepNext/>
      <w:numPr>
        <w:ilvl w:val="1"/>
        <w:numId w:val="1"/>
      </w:numPr>
      <w:spacing w:before="120" w:after="120"/>
      <w:jc w:val="both"/>
      <w:outlineLvl w:val="1"/>
    </w:pPr>
    <w:rPr>
      <w:rFonts w:eastAsia="Times New Roman"/>
      <w:b/>
      <w:bCs/>
      <w:iCs/>
      <w:szCs w:val="28"/>
      <w:lang w:val="x-none"/>
    </w:rPr>
  </w:style>
  <w:style w:type="paragraph" w:styleId="Heading3">
    <w:name w:val="heading 3"/>
    <w:basedOn w:val="Normal"/>
    <w:next w:val="Text1"/>
    <w:link w:val="Heading3Char"/>
    <w:uiPriority w:val="9"/>
    <w:unhideWhenUsed/>
    <w:qFormat/>
    <w:pPr>
      <w:keepNext/>
      <w:numPr>
        <w:ilvl w:val="2"/>
        <w:numId w:val="1"/>
      </w:numPr>
      <w:spacing w:before="120" w:after="120"/>
      <w:jc w:val="both"/>
      <w:outlineLvl w:val="2"/>
    </w:pPr>
    <w:rPr>
      <w:rFonts w:eastAsia="Times New Roman"/>
      <w:bCs/>
      <w:i/>
      <w:szCs w:val="26"/>
    </w:rPr>
  </w:style>
  <w:style w:type="paragraph" w:styleId="Heading4">
    <w:name w:val="heading 4"/>
    <w:basedOn w:val="Normal"/>
    <w:next w:val="Text1"/>
    <w:link w:val="Heading4Char"/>
    <w:uiPriority w:val="9"/>
    <w:semiHidden/>
    <w:unhideWhenUsed/>
    <w:qFormat/>
    <w:pPr>
      <w:keepNext/>
      <w:numPr>
        <w:ilvl w:val="3"/>
        <w:numId w:val="1"/>
      </w:numPr>
      <w:spacing w:before="120" w:after="120"/>
      <w:jc w:val="both"/>
      <w:outlineLvl w:val="3"/>
    </w:pPr>
    <w:rPr>
      <w:rFonts w:eastAsia="Times New Roman"/>
      <w:bCs/>
      <w:szCs w:val="28"/>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outlineLvl w:val="8"/>
    </w:pPr>
    <w:rPr>
      <w:rFonts w:eastAsiaTheme="minorEastAsia"/>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lang w:val="x-non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sz w:val="24"/>
      <w:szCs w:val="28"/>
      <w:lang w:val="en-US"/>
    </w:rPr>
  </w:style>
  <w:style w:type="numbering" w:customStyle="1" w:styleId="NoList1">
    <w:name w:val="No List1"/>
    <w:next w:val="No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1">
    <w:name w:val="Text 1"/>
    <w:basedOn w:val="Normal"/>
    <w:pPr>
      <w:spacing w:beforeLines="1"/>
      <w:ind w:left="850"/>
      <w:jc w:val="both"/>
    </w:pPr>
    <w:rPr>
      <w:rFonts w:eastAsia="Times New Roman"/>
    </w:rPr>
  </w:style>
  <w:style w:type="paragraph" w:styleId="NormalWeb">
    <w:name w:val="Normal (Web)"/>
    <w:basedOn w:val="Normal"/>
    <w:uiPriority w:val="99"/>
    <w:unhideWhenUsed/>
    <w:pPr>
      <w:spacing w:beforeLines="1"/>
    </w:pPr>
    <w:rPr>
      <w:rFonts w:ascii="Times" w:eastAsia="Times New Roman" w:hAnsi="Times"/>
      <w:sz w:val="20"/>
      <w:szCs w:val="20"/>
    </w:rPr>
  </w:style>
  <w:style w:type="paragraph" w:styleId="TOC1">
    <w:name w:val="toc 1"/>
    <w:basedOn w:val="Normal"/>
    <w:next w:val="Normal"/>
    <w:autoRedefine/>
    <w:uiPriority w:val="39"/>
    <w:unhideWhenUsed/>
    <w:qFormat/>
    <w:pPr>
      <w:tabs>
        <w:tab w:val="right" w:leader="dot" w:pos="9071"/>
      </w:tabs>
      <w:spacing w:beforeLines="50" w:before="120"/>
      <w:ind w:left="851" w:hanging="851"/>
    </w:pPr>
    <w:rPr>
      <w:rFonts w:eastAsia="Times New Roman"/>
    </w:rPr>
  </w:style>
  <w:style w:type="paragraph" w:styleId="TOC2">
    <w:name w:val="toc 2"/>
    <w:basedOn w:val="Normal"/>
    <w:next w:val="Normal"/>
    <w:autoRedefine/>
    <w:uiPriority w:val="39"/>
    <w:unhideWhenUsed/>
    <w:qFormat/>
    <w:pPr>
      <w:tabs>
        <w:tab w:val="right" w:leader="dot" w:pos="9071"/>
      </w:tabs>
      <w:spacing w:beforeLines="1" w:before="2"/>
      <w:ind w:left="850" w:hanging="850"/>
    </w:pPr>
    <w:rPr>
      <w:rFonts w:eastAsia="Times New Roman"/>
      <w:noProof/>
    </w:rPr>
  </w:style>
  <w:style w:type="paragraph" w:styleId="TOC3">
    <w:name w:val="toc 3"/>
    <w:basedOn w:val="Normal"/>
    <w:next w:val="Normal"/>
    <w:autoRedefine/>
    <w:uiPriority w:val="39"/>
    <w:unhideWhenUsed/>
    <w:qFormat/>
    <w:pPr>
      <w:tabs>
        <w:tab w:val="right" w:leader="dot" w:pos="9071"/>
      </w:tabs>
      <w:spacing w:beforeLines="1"/>
      <w:ind w:left="850" w:hanging="850"/>
    </w:pPr>
    <w:rPr>
      <w:rFonts w:eastAsia="Times New Roman"/>
    </w:rPr>
  </w:style>
  <w:style w:type="paragraph" w:styleId="TOC4">
    <w:name w:val="toc 4"/>
    <w:basedOn w:val="Normal"/>
    <w:next w:val="Normal"/>
    <w:autoRedefine/>
    <w:uiPriority w:val="99"/>
    <w:semiHidden/>
    <w:unhideWhenUsed/>
    <w:pPr>
      <w:tabs>
        <w:tab w:val="right" w:leader="dot" w:pos="9071"/>
      </w:tabs>
      <w:spacing w:beforeLines="1"/>
      <w:ind w:left="850" w:hanging="850"/>
    </w:pPr>
    <w:rPr>
      <w:rFonts w:eastAsia="Times New Roman"/>
    </w:rPr>
  </w:style>
  <w:style w:type="paragraph" w:styleId="TOC5">
    <w:name w:val="toc 5"/>
    <w:basedOn w:val="Normal"/>
    <w:next w:val="Normal"/>
    <w:autoRedefine/>
    <w:uiPriority w:val="99"/>
    <w:semiHidden/>
    <w:unhideWhenUsed/>
    <w:pPr>
      <w:tabs>
        <w:tab w:val="right" w:leader="dot" w:pos="9071"/>
      </w:tabs>
      <w:spacing w:beforeLines="1"/>
    </w:pPr>
    <w:rPr>
      <w:rFonts w:eastAsia="Times New Roman"/>
    </w:rPr>
  </w:style>
  <w:style w:type="paragraph" w:styleId="TOC6">
    <w:name w:val="toc 6"/>
    <w:basedOn w:val="Normal"/>
    <w:next w:val="Normal"/>
    <w:autoRedefine/>
    <w:uiPriority w:val="99"/>
    <w:semiHidden/>
    <w:unhideWhenUsed/>
    <w:pPr>
      <w:tabs>
        <w:tab w:val="right" w:leader="dot" w:pos="9071"/>
      </w:tabs>
      <w:spacing w:beforeLines="1"/>
    </w:pPr>
    <w:rPr>
      <w:rFonts w:eastAsia="Times New Roman"/>
    </w:rPr>
  </w:style>
  <w:style w:type="paragraph" w:styleId="TOC7">
    <w:name w:val="toc 7"/>
    <w:basedOn w:val="Normal"/>
    <w:next w:val="Normal"/>
    <w:autoRedefine/>
    <w:uiPriority w:val="99"/>
    <w:semiHidden/>
    <w:unhideWhenUsed/>
    <w:pPr>
      <w:tabs>
        <w:tab w:val="right" w:leader="dot" w:pos="9071"/>
      </w:tabs>
      <w:spacing w:beforeLines="1"/>
    </w:pPr>
    <w:rPr>
      <w:rFonts w:eastAsia="Times New Roman"/>
    </w:rPr>
  </w:style>
  <w:style w:type="paragraph" w:styleId="TOC8">
    <w:name w:val="toc 8"/>
    <w:basedOn w:val="Normal"/>
    <w:next w:val="Normal"/>
    <w:autoRedefine/>
    <w:uiPriority w:val="99"/>
    <w:semiHidden/>
    <w:unhideWhenUsed/>
    <w:pPr>
      <w:tabs>
        <w:tab w:val="right" w:leader="dot" w:pos="9071"/>
      </w:tabs>
      <w:spacing w:beforeLines="1"/>
    </w:pPr>
    <w:rPr>
      <w:rFonts w:eastAsia="Times New Roman"/>
    </w:rPr>
  </w:style>
  <w:style w:type="paragraph" w:styleId="TOC9">
    <w:name w:val="toc 9"/>
    <w:basedOn w:val="Normal"/>
    <w:next w:val="Normal"/>
    <w:autoRedefine/>
    <w:uiPriority w:val="39"/>
    <w:semiHidden/>
    <w:unhideWhenUsed/>
    <w:pPr>
      <w:tabs>
        <w:tab w:val="right" w:leader="dot" w:pos="9071"/>
      </w:tabs>
      <w:spacing w:beforeLines="1"/>
      <w:jc w:val="both"/>
    </w:pPr>
    <w:rPr>
      <w:rFonts w:eastAsia="Times New Roman"/>
    </w:rPr>
  </w:style>
  <w:style w:type="paragraph" w:styleId="FootnoteText">
    <w:name w:val="footnote text"/>
    <w:basedOn w:val="Normal"/>
    <w:link w:val="FootnoteTextChar"/>
    <w:uiPriority w:val="99"/>
    <w:unhideWhenUsed/>
    <w:pPr>
      <w:spacing w:beforeLines="1"/>
      <w:ind w:left="720" w:hanging="720"/>
      <w:jc w:val="both"/>
    </w:pPr>
    <w:rPr>
      <w:rFonts w:eastAsia="Times New Roman"/>
      <w:sz w:val="20"/>
      <w:szCs w:val="20"/>
      <w:lang w:val="x-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x-none"/>
    </w:rPr>
  </w:style>
  <w:style w:type="paragraph" w:styleId="CommentText">
    <w:name w:val="annotation text"/>
    <w:basedOn w:val="Normal"/>
    <w:link w:val="CommentTextChar"/>
    <w:uiPriority w:val="99"/>
    <w:semiHidden/>
    <w:unhideWhenUsed/>
    <w:pPr>
      <w:spacing w:beforeLines="1"/>
      <w:jc w:val="both"/>
    </w:pPr>
    <w:rPr>
      <w:rFonts w:eastAsia="Times New Roman"/>
      <w:sz w:val="20"/>
      <w:szCs w:val="20"/>
      <w:lang w:val="x-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pPr>
      <w:tabs>
        <w:tab w:val="center" w:pos="4535"/>
        <w:tab w:val="right" w:pos="9071"/>
      </w:tabs>
      <w:spacing w:beforeLines="1"/>
      <w:jc w:val="both"/>
    </w:pPr>
    <w:rPr>
      <w:rFonts w:eastAsia="Calibri"/>
      <w:szCs w:val="22"/>
      <w:lang w:val="x-none"/>
    </w:rPr>
  </w:style>
  <w:style w:type="character" w:customStyle="1" w:styleId="HeaderChar">
    <w:name w:val="Header Char"/>
    <w:basedOn w:val="DefaultParagraphFont"/>
    <w:link w:val="Header"/>
    <w:uiPriority w:val="99"/>
    <w:rPr>
      <w:rFonts w:ascii="Times New Roman" w:eastAsia="Calibri" w:hAnsi="Times New Roman" w:cs="Times New Roman"/>
      <w:sz w:val="24"/>
      <w:lang w:val="x-none"/>
    </w:rPr>
  </w:style>
  <w:style w:type="paragraph" w:styleId="Footer">
    <w:name w:val="footer"/>
    <w:basedOn w:val="Normal"/>
    <w:link w:val="FooterChar"/>
    <w:uiPriority w:val="99"/>
    <w:unhideWhenUsed/>
    <w:pPr>
      <w:tabs>
        <w:tab w:val="center" w:pos="4535"/>
        <w:tab w:val="right" w:pos="9071"/>
        <w:tab w:val="right" w:pos="9921"/>
      </w:tabs>
      <w:spacing w:beforeLines="1"/>
      <w:ind w:left="-850" w:right="-850"/>
    </w:pPr>
    <w:rPr>
      <w:rFonts w:eastAsia="Times New Roman"/>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pPr>
      <w:spacing w:beforeLines="1"/>
      <w:jc w:val="both"/>
    </w:pPr>
    <w:rPr>
      <w:rFonts w:eastAsia="Times New Roman"/>
      <w:b/>
      <w:bCs/>
      <w:sz w:val="20"/>
      <w:szCs w:val="20"/>
    </w:rPr>
  </w:style>
  <w:style w:type="paragraph" w:styleId="TableofFigures">
    <w:name w:val="table of figures"/>
    <w:basedOn w:val="Normal"/>
    <w:next w:val="Normal"/>
    <w:uiPriority w:val="99"/>
    <w:semiHidden/>
    <w:unhideWhenUsed/>
    <w:pPr>
      <w:spacing w:beforeLines="1"/>
      <w:jc w:val="both"/>
    </w:pPr>
    <w:rPr>
      <w:rFonts w:eastAsia="Times New Roman"/>
    </w:rPr>
  </w:style>
  <w:style w:type="paragraph" w:styleId="ListBullet">
    <w:name w:val="List Bullet"/>
    <w:basedOn w:val="Normal"/>
    <w:uiPriority w:val="99"/>
    <w:semiHidden/>
    <w:unhideWhenUsed/>
    <w:pPr>
      <w:numPr>
        <w:numId w:val="2"/>
      </w:numPr>
      <w:tabs>
        <w:tab w:val="num" w:pos="283"/>
      </w:tabs>
      <w:spacing w:beforeLines="1"/>
      <w:ind w:left="283" w:hanging="283"/>
      <w:jc w:val="both"/>
    </w:pPr>
    <w:rPr>
      <w:rFonts w:eastAsia="Times New Roman"/>
      <w:noProof/>
    </w:rPr>
  </w:style>
  <w:style w:type="paragraph" w:styleId="ListNumber">
    <w:name w:val="List Number"/>
    <w:basedOn w:val="Normal"/>
    <w:uiPriority w:val="99"/>
    <w:semiHidden/>
    <w:unhideWhenUsed/>
    <w:pPr>
      <w:numPr>
        <w:numId w:val="3"/>
      </w:numPr>
      <w:spacing w:beforeLines="1"/>
      <w:contextualSpacing/>
      <w:jc w:val="both"/>
    </w:pPr>
    <w:rPr>
      <w:rFonts w:eastAsia="Times New Roman"/>
    </w:rPr>
  </w:style>
  <w:style w:type="paragraph" w:styleId="ListBullet2">
    <w:name w:val="List Bullet 2"/>
    <w:basedOn w:val="Normal"/>
    <w:uiPriority w:val="99"/>
    <w:semiHidden/>
    <w:unhideWhenUsed/>
    <w:pPr>
      <w:numPr>
        <w:numId w:val="4"/>
      </w:numPr>
      <w:spacing w:beforeLines="1"/>
      <w:contextualSpacing/>
      <w:jc w:val="both"/>
    </w:pPr>
    <w:rPr>
      <w:rFonts w:eastAsia="Times New Roman"/>
    </w:rPr>
  </w:style>
  <w:style w:type="paragraph" w:styleId="ListBullet3">
    <w:name w:val="List Bullet 3"/>
    <w:basedOn w:val="Normal"/>
    <w:uiPriority w:val="99"/>
    <w:semiHidden/>
    <w:unhideWhenUsed/>
    <w:pPr>
      <w:numPr>
        <w:numId w:val="5"/>
      </w:numPr>
      <w:spacing w:beforeLines="1"/>
      <w:contextualSpacing/>
      <w:jc w:val="both"/>
    </w:pPr>
    <w:rPr>
      <w:rFonts w:eastAsia="Times New Roman"/>
    </w:rPr>
  </w:style>
  <w:style w:type="paragraph" w:styleId="ListBullet4">
    <w:name w:val="List Bullet 4"/>
    <w:basedOn w:val="Normal"/>
    <w:uiPriority w:val="99"/>
    <w:semiHidden/>
    <w:unhideWhenUsed/>
    <w:pPr>
      <w:numPr>
        <w:numId w:val="6"/>
      </w:numPr>
      <w:spacing w:beforeLines="1"/>
      <w:contextualSpacing/>
      <w:jc w:val="both"/>
    </w:pPr>
    <w:rPr>
      <w:rFonts w:eastAsia="Times New Roman"/>
    </w:rPr>
  </w:style>
  <w:style w:type="paragraph" w:styleId="ListNumber2">
    <w:name w:val="List Number 2"/>
    <w:basedOn w:val="Normal"/>
    <w:uiPriority w:val="99"/>
    <w:semiHidden/>
    <w:unhideWhenUsed/>
    <w:pPr>
      <w:numPr>
        <w:numId w:val="7"/>
      </w:numPr>
      <w:spacing w:beforeLines="1"/>
      <w:contextualSpacing/>
      <w:jc w:val="both"/>
    </w:pPr>
    <w:rPr>
      <w:rFonts w:eastAsia="Times New Roman"/>
    </w:rPr>
  </w:style>
  <w:style w:type="paragraph" w:styleId="ListNumber3">
    <w:name w:val="List Number 3"/>
    <w:basedOn w:val="Normal"/>
    <w:uiPriority w:val="99"/>
    <w:semiHidden/>
    <w:unhideWhenUsed/>
    <w:pPr>
      <w:numPr>
        <w:numId w:val="8"/>
      </w:numPr>
      <w:spacing w:beforeLines="1"/>
      <w:contextualSpacing/>
      <w:jc w:val="both"/>
    </w:pPr>
    <w:rPr>
      <w:rFonts w:eastAsia="Times New Roman"/>
    </w:rPr>
  </w:style>
  <w:style w:type="paragraph" w:styleId="ListNumber4">
    <w:name w:val="List Number 4"/>
    <w:basedOn w:val="Normal"/>
    <w:uiPriority w:val="99"/>
    <w:semiHidden/>
    <w:unhideWhenUsed/>
    <w:pPr>
      <w:numPr>
        <w:numId w:val="9"/>
      </w:numPr>
      <w:spacing w:beforeLines="1"/>
      <w:contextualSpacing/>
      <w:jc w:val="both"/>
    </w:pPr>
    <w:rPr>
      <w:rFonts w:eastAsia="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semiHidden/>
    <w:unhideWhenUsed/>
    <w:pPr>
      <w:spacing w:beforeLines="1"/>
      <w:jc w:val="both"/>
    </w:pPr>
    <w:rPr>
      <w:rFonts w:ascii="Tahoma" w:eastAsia="Times New Roman" w:hAnsi="Tahoma"/>
      <w:sz w:val="16"/>
      <w:szCs w:val="16"/>
      <w:lang w:val="x-none"/>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lang w:val="x-none"/>
    </w:rPr>
  </w:style>
  <w:style w:type="paragraph" w:customStyle="1" w:styleId="HeaderLandscape">
    <w:name w:val="HeaderLandscape"/>
    <w:basedOn w:val="Normal"/>
    <w:uiPriority w:val="99"/>
    <w:pPr>
      <w:tabs>
        <w:tab w:val="center" w:pos="7285"/>
        <w:tab w:val="right" w:pos="14003"/>
      </w:tabs>
      <w:spacing w:beforeLines="1"/>
      <w:jc w:val="both"/>
    </w:pPr>
    <w:rPr>
      <w:rFonts w:eastAsia="Calibri"/>
      <w:szCs w:val="22"/>
    </w:rPr>
  </w:style>
  <w:style w:type="paragraph" w:customStyle="1" w:styleId="FooterLandscape">
    <w:name w:val="FooterLandscape"/>
    <w:basedOn w:val="Normal"/>
    <w:uiPriority w:val="99"/>
    <w:pPr>
      <w:tabs>
        <w:tab w:val="center" w:pos="7285"/>
        <w:tab w:val="center" w:pos="10913"/>
        <w:tab w:val="right" w:pos="15137"/>
      </w:tabs>
      <w:spacing w:beforeLines="1"/>
      <w:ind w:left="-567" w:right="-567"/>
    </w:pPr>
    <w:rPr>
      <w:rFonts w:eastAsia="Times New Roman"/>
    </w:rPr>
  </w:style>
  <w:style w:type="paragraph" w:customStyle="1" w:styleId="Text2">
    <w:name w:val="Text 2"/>
    <w:basedOn w:val="Normal"/>
    <w:uiPriority w:val="99"/>
    <w:pPr>
      <w:spacing w:beforeLines="1"/>
      <w:ind w:left="1417"/>
      <w:jc w:val="both"/>
    </w:pPr>
    <w:rPr>
      <w:rFonts w:eastAsia="Times New Roman"/>
    </w:rPr>
  </w:style>
  <w:style w:type="paragraph" w:customStyle="1" w:styleId="Text3">
    <w:name w:val="Text 3"/>
    <w:basedOn w:val="Normal"/>
    <w:uiPriority w:val="99"/>
    <w:pPr>
      <w:spacing w:beforeLines="1"/>
      <w:ind w:left="1984"/>
      <w:jc w:val="both"/>
    </w:pPr>
    <w:rPr>
      <w:rFonts w:eastAsia="Times New Roman"/>
    </w:rPr>
  </w:style>
  <w:style w:type="paragraph" w:customStyle="1" w:styleId="Text4">
    <w:name w:val="Text 4"/>
    <w:basedOn w:val="Normal"/>
    <w:uiPriority w:val="99"/>
    <w:pPr>
      <w:spacing w:beforeLines="1"/>
      <w:ind w:left="2551"/>
      <w:jc w:val="both"/>
    </w:pPr>
    <w:rPr>
      <w:rFonts w:eastAsia="Times New Roman"/>
    </w:rPr>
  </w:style>
  <w:style w:type="paragraph" w:customStyle="1" w:styleId="NormalCentered">
    <w:name w:val="Normal Centered"/>
    <w:basedOn w:val="Normal"/>
    <w:uiPriority w:val="99"/>
    <w:pPr>
      <w:spacing w:beforeLines="1"/>
      <w:jc w:val="center"/>
    </w:pPr>
    <w:rPr>
      <w:rFonts w:eastAsia="Times New Roman"/>
    </w:rPr>
  </w:style>
  <w:style w:type="paragraph" w:customStyle="1" w:styleId="NormalLeft">
    <w:name w:val="Normal Left"/>
    <w:basedOn w:val="Normal"/>
    <w:uiPriority w:val="99"/>
    <w:pPr>
      <w:spacing w:beforeLines="1"/>
    </w:pPr>
    <w:rPr>
      <w:rFonts w:eastAsia="Times New Roman"/>
    </w:rPr>
  </w:style>
  <w:style w:type="paragraph" w:customStyle="1" w:styleId="NormalRight">
    <w:name w:val="Normal Right"/>
    <w:basedOn w:val="Normal"/>
    <w:uiPriority w:val="99"/>
    <w:pPr>
      <w:spacing w:beforeLines="1"/>
      <w:jc w:val="right"/>
    </w:pPr>
    <w:rPr>
      <w:rFonts w:eastAsia="Times New Roman"/>
    </w:rPr>
  </w:style>
  <w:style w:type="paragraph" w:customStyle="1" w:styleId="QuotedText">
    <w:name w:val="Quoted Text"/>
    <w:basedOn w:val="Normal"/>
    <w:uiPriority w:val="99"/>
    <w:pPr>
      <w:spacing w:beforeLines="1"/>
      <w:ind w:left="1417"/>
      <w:jc w:val="both"/>
    </w:pPr>
    <w:rPr>
      <w:rFonts w:eastAsia="Times New Roman"/>
    </w:rPr>
  </w:style>
  <w:style w:type="paragraph" w:customStyle="1" w:styleId="Point0">
    <w:name w:val="Point 0"/>
    <w:basedOn w:val="Normal"/>
    <w:uiPriority w:val="99"/>
    <w:pPr>
      <w:spacing w:beforeLines="1"/>
      <w:ind w:left="850" w:hanging="850"/>
      <w:jc w:val="both"/>
    </w:pPr>
    <w:rPr>
      <w:rFonts w:eastAsia="Times New Roman"/>
    </w:rPr>
  </w:style>
  <w:style w:type="paragraph" w:customStyle="1" w:styleId="Point1">
    <w:name w:val="Point 1"/>
    <w:basedOn w:val="Normal"/>
    <w:uiPriority w:val="99"/>
    <w:pPr>
      <w:spacing w:beforeLines="1"/>
      <w:ind w:left="1417" w:hanging="567"/>
      <w:jc w:val="both"/>
    </w:pPr>
    <w:rPr>
      <w:rFonts w:eastAsia="Times New Roman"/>
    </w:rPr>
  </w:style>
  <w:style w:type="paragraph" w:customStyle="1" w:styleId="Point2">
    <w:name w:val="Point 2"/>
    <w:basedOn w:val="Normal"/>
    <w:uiPriority w:val="99"/>
    <w:pPr>
      <w:spacing w:beforeLines="1"/>
      <w:ind w:left="1984" w:hanging="567"/>
      <w:jc w:val="both"/>
    </w:pPr>
    <w:rPr>
      <w:rFonts w:eastAsia="Times New Roman"/>
    </w:rPr>
  </w:style>
  <w:style w:type="paragraph" w:customStyle="1" w:styleId="Point3">
    <w:name w:val="Point 3"/>
    <w:basedOn w:val="Normal"/>
    <w:uiPriority w:val="99"/>
    <w:pPr>
      <w:spacing w:beforeLines="1"/>
      <w:ind w:left="2551" w:hanging="567"/>
      <w:jc w:val="both"/>
    </w:pPr>
    <w:rPr>
      <w:rFonts w:eastAsia="Times New Roman"/>
    </w:rPr>
  </w:style>
  <w:style w:type="paragraph" w:customStyle="1" w:styleId="Point4">
    <w:name w:val="Point 4"/>
    <w:basedOn w:val="Normal"/>
    <w:uiPriority w:val="99"/>
    <w:pPr>
      <w:spacing w:beforeLines="1"/>
      <w:ind w:left="3118" w:hanging="567"/>
      <w:jc w:val="both"/>
    </w:pPr>
    <w:rPr>
      <w:rFonts w:eastAsia="Times New Roman"/>
    </w:rPr>
  </w:style>
  <w:style w:type="paragraph" w:customStyle="1" w:styleId="Tiret0">
    <w:name w:val="Tiret 0"/>
    <w:basedOn w:val="Point0"/>
    <w:uiPriority w:val="99"/>
    <w:pPr>
      <w:numPr>
        <w:numId w:val="10"/>
      </w:numPr>
    </w:pPr>
  </w:style>
  <w:style w:type="paragraph" w:customStyle="1" w:styleId="Tiret1">
    <w:name w:val="Tiret 1"/>
    <w:basedOn w:val="Point1"/>
    <w:uiPriority w:val="99"/>
    <w:pPr>
      <w:numPr>
        <w:numId w:val="11"/>
      </w:numPr>
    </w:pPr>
  </w:style>
  <w:style w:type="paragraph" w:customStyle="1" w:styleId="Tiret2">
    <w:name w:val="Tiret 2"/>
    <w:basedOn w:val="Point2"/>
    <w:uiPriority w:val="99"/>
    <w:pPr>
      <w:numPr>
        <w:numId w:val="12"/>
      </w:numPr>
    </w:pPr>
  </w:style>
  <w:style w:type="paragraph" w:customStyle="1" w:styleId="Tiret3">
    <w:name w:val="Tiret 3"/>
    <w:basedOn w:val="Point3"/>
    <w:uiPriority w:val="99"/>
    <w:pPr>
      <w:numPr>
        <w:numId w:val="13"/>
      </w:numPr>
    </w:pPr>
  </w:style>
  <w:style w:type="paragraph" w:customStyle="1" w:styleId="Tiret4">
    <w:name w:val="Tiret 4"/>
    <w:basedOn w:val="Point4"/>
    <w:uiPriority w:val="99"/>
    <w:pPr>
      <w:numPr>
        <w:numId w:val="14"/>
      </w:numPr>
    </w:pPr>
  </w:style>
  <w:style w:type="paragraph" w:customStyle="1" w:styleId="PointDouble0">
    <w:name w:val="PointDouble 0"/>
    <w:basedOn w:val="Normal"/>
    <w:uiPriority w:val="99"/>
    <w:pPr>
      <w:tabs>
        <w:tab w:val="left" w:pos="850"/>
      </w:tabs>
      <w:spacing w:beforeLines="1"/>
      <w:ind w:left="1417" w:hanging="1417"/>
      <w:jc w:val="both"/>
    </w:pPr>
    <w:rPr>
      <w:rFonts w:eastAsia="Times New Roman"/>
    </w:rPr>
  </w:style>
  <w:style w:type="paragraph" w:customStyle="1" w:styleId="PointDouble1">
    <w:name w:val="PointDouble 1"/>
    <w:basedOn w:val="Normal"/>
    <w:uiPriority w:val="99"/>
    <w:pPr>
      <w:tabs>
        <w:tab w:val="left" w:pos="1417"/>
      </w:tabs>
      <w:spacing w:beforeLines="1"/>
      <w:ind w:left="1984" w:hanging="1134"/>
      <w:jc w:val="both"/>
    </w:pPr>
    <w:rPr>
      <w:rFonts w:eastAsia="Times New Roman"/>
    </w:rPr>
  </w:style>
  <w:style w:type="paragraph" w:customStyle="1" w:styleId="PointDouble2">
    <w:name w:val="PointDouble 2"/>
    <w:basedOn w:val="Normal"/>
    <w:uiPriority w:val="99"/>
    <w:pPr>
      <w:tabs>
        <w:tab w:val="left" w:pos="1984"/>
      </w:tabs>
      <w:spacing w:beforeLines="1"/>
      <w:ind w:left="2551" w:hanging="1134"/>
      <w:jc w:val="both"/>
    </w:pPr>
    <w:rPr>
      <w:rFonts w:eastAsia="Times New Roman"/>
    </w:rPr>
  </w:style>
  <w:style w:type="paragraph" w:customStyle="1" w:styleId="PointDouble3">
    <w:name w:val="PointDouble 3"/>
    <w:basedOn w:val="Normal"/>
    <w:uiPriority w:val="99"/>
    <w:pPr>
      <w:tabs>
        <w:tab w:val="left" w:pos="2551"/>
      </w:tabs>
      <w:spacing w:beforeLines="1"/>
      <w:ind w:left="3118" w:hanging="1134"/>
      <w:jc w:val="both"/>
    </w:pPr>
    <w:rPr>
      <w:rFonts w:eastAsia="Times New Roman"/>
    </w:rPr>
  </w:style>
  <w:style w:type="paragraph" w:customStyle="1" w:styleId="PointDouble4">
    <w:name w:val="PointDouble 4"/>
    <w:basedOn w:val="Normal"/>
    <w:uiPriority w:val="99"/>
    <w:pPr>
      <w:tabs>
        <w:tab w:val="left" w:pos="3118"/>
      </w:tabs>
      <w:spacing w:beforeLines="1"/>
      <w:ind w:left="3685" w:hanging="1134"/>
      <w:jc w:val="both"/>
    </w:pPr>
    <w:rPr>
      <w:rFonts w:eastAsia="Times New Roman"/>
    </w:rPr>
  </w:style>
  <w:style w:type="paragraph" w:customStyle="1" w:styleId="PointTriple0">
    <w:name w:val="PointTriple 0"/>
    <w:basedOn w:val="Normal"/>
    <w:uiPriority w:val="99"/>
    <w:pPr>
      <w:tabs>
        <w:tab w:val="left" w:pos="850"/>
        <w:tab w:val="left" w:pos="1417"/>
      </w:tabs>
      <w:spacing w:beforeLines="1"/>
      <w:ind w:left="1984" w:hanging="1984"/>
      <w:jc w:val="both"/>
    </w:pPr>
    <w:rPr>
      <w:rFonts w:eastAsia="Times New Roman"/>
    </w:rPr>
  </w:style>
  <w:style w:type="paragraph" w:customStyle="1" w:styleId="PointTriple1">
    <w:name w:val="PointTriple 1"/>
    <w:basedOn w:val="Normal"/>
    <w:uiPriority w:val="99"/>
    <w:pPr>
      <w:tabs>
        <w:tab w:val="left" w:pos="1417"/>
        <w:tab w:val="left" w:pos="1984"/>
      </w:tabs>
      <w:spacing w:beforeLines="1"/>
      <w:ind w:left="2551" w:hanging="1701"/>
      <w:jc w:val="both"/>
    </w:pPr>
    <w:rPr>
      <w:rFonts w:eastAsia="Times New Roman"/>
    </w:rPr>
  </w:style>
  <w:style w:type="paragraph" w:customStyle="1" w:styleId="PointTriple2">
    <w:name w:val="PointTriple 2"/>
    <w:basedOn w:val="Normal"/>
    <w:uiPriority w:val="99"/>
    <w:pPr>
      <w:tabs>
        <w:tab w:val="left" w:pos="1984"/>
        <w:tab w:val="left" w:pos="2551"/>
      </w:tabs>
      <w:spacing w:beforeLines="1"/>
      <w:ind w:left="3118" w:hanging="1701"/>
      <w:jc w:val="both"/>
    </w:pPr>
    <w:rPr>
      <w:rFonts w:eastAsia="Times New Roman"/>
    </w:rPr>
  </w:style>
  <w:style w:type="paragraph" w:customStyle="1" w:styleId="PointTriple3">
    <w:name w:val="PointTriple 3"/>
    <w:basedOn w:val="Normal"/>
    <w:uiPriority w:val="99"/>
    <w:pPr>
      <w:tabs>
        <w:tab w:val="left" w:pos="2551"/>
        <w:tab w:val="left" w:pos="3118"/>
      </w:tabs>
      <w:spacing w:beforeLines="1"/>
      <w:ind w:left="3685" w:hanging="1701"/>
      <w:jc w:val="both"/>
    </w:pPr>
    <w:rPr>
      <w:rFonts w:eastAsia="Times New Roman"/>
    </w:rPr>
  </w:style>
  <w:style w:type="paragraph" w:customStyle="1" w:styleId="PointTriple4">
    <w:name w:val="PointTriple 4"/>
    <w:basedOn w:val="Normal"/>
    <w:uiPriority w:val="99"/>
    <w:pPr>
      <w:tabs>
        <w:tab w:val="left" w:pos="3118"/>
        <w:tab w:val="left" w:pos="3685"/>
      </w:tabs>
      <w:spacing w:beforeLines="1"/>
      <w:ind w:left="4252" w:hanging="1701"/>
      <w:jc w:val="both"/>
    </w:pPr>
    <w:rPr>
      <w:rFonts w:eastAsia="Times New Roman"/>
    </w:rPr>
  </w:style>
  <w:style w:type="paragraph" w:customStyle="1" w:styleId="NumPar1">
    <w:name w:val="NumPar 1"/>
    <w:basedOn w:val="Normal"/>
    <w:next w:val="Text1"/>
    <w:uiPriority w:val="99"/>
    <w:pPr>
      <w:numPr>
        <w:numId w:val="15"/>
      </w:numPr>
      <w:spacing w:beforeLines="1"/>
      <w:jc w:val="both"/>
    </w:pPr>
    <w:rPr>
      <w:rFonts w:eastAsia="Times New Roman"/>
    </w:rPr>
  </w:style>
  <w:style w:type="paragraph" w:customStyle="1" w:styleId="NumPar2">
    <w:name w:val="NumPar 2"/>
    <w:basedOn w:val="Normal"/>
    <w:next w:val="Text1"/>
    <w:uiPriority w:val="99"/>
    <w:pPr>
      <w:numPr>
        <w:ilvl w:val="1"/>
        <w:numId w:val="15"/>
      </w:numPr>
      <w:spacing w:beforeLines="1"/>
      <w:jc w:val="both"/>
    </w:pPr>
    <w:rPr>
      <w:rFonts w:eastAsia="Times New Roman"/>
    </w:rPr>
  </w:style>
  <w:style w:type="paragraph" w:customStyle="1" w:styleId="NumPar3">
    <w:name w:val="NumPar 3"/>
    <w:basedOn w:val="Normal"/>
    <w:next w:val="Text1"/>
    <w:uiPriority w:val="99"/>
    <w:pPr>
      <w:numPr>
        <w:ilvl w:val="2"/>
        <w:numId w:val="15"/>
      </w:numPr>
      <w:spacing w:beforeLines="1"/>
      <w:jc w:val="both"/>
    </w:pPr>
    <w:rPr>
      <w:rFonts w:eastAsia="Times New Roman"/>
    </w:rPr>
  </w:style>
  <w:style w:type="paragraph" w:customStyle="1" w:styleId="NumPar4">
    <w:name w:val="NumPar 4"/>
    <w:basedOn w:val="Normal"/>
    <w:next w:val="Text1"/>
    <w:uiPriority w:val="99"/>
    <w:pPr>
      <w:numPr>
        <w:ilvl w:val="3"/>
        <w:numId w:val="15"/>
      </w:numPr>
      <w:spacing w:beforeLines="1"/>
      <w:jc w:val="both"/>
    </w:pPr>
    <w:rPr>
      <w:rFonts w:eastAsia="Times New Roman"/>
    </w:rPr>
  </w:style>
  <w:style w:type="paragraph" w:customStyle="1" w:styleId="ManualNumPar1">
    <w:name w:val="Manual NumPar 1"/>
    <w:basedOn w:val="Normal"/>
    <w:next w:val="Text1"/>
    <w:uiPriority w:val="99"/>
    <w:pPr>
      <w:spacing w:beforeLines="1"/>
      <w:ind w:left="850" w:hanging="850"/>
      <w:jc w:val="both"/>
    </w:pPr>
    <w:rPr>
      <w:rFonts w:eastAsia="Times New Roman"/>
    </w:rPr>
  </w:style>
  <w:style w:type="paragraph" w:customStyle="1" w:styleId="ManualNumPar2">
    <w:name w:val="Manual NumPar 2"/>
    <w:basedOn w:val="Normal"/>
    <w:next w:val="Text1"/>
    <w:uiPriority w:val="99"/>
    <w:pPr>
      <w:spacing w:beforeLines="1"/>
      <w:ind w:left="850" w:hanging="850"/>
      <w:jc w:val="both"/>
    </w:pPr>
    <w:rPr>
      <w:rFonts w:eastAsia="Times New Roman"/>
    </w:rPr>
  </w:style>
  <w:style w:type="paragraph" w:customStyle="1" w:styleId="ManualNumPar3">
    <w:name w:val="Manual NumPar 3"/>
    <w:basedOn w:val="Normal"/>
    <w:next w:val="Text1"/>
    <w:uiPriority w:val="99"/>
    <w:pPr>
      <w:spacing w:beforeLines="1"/>
      <w:ind w:left="850" w:hanging="850"/>
      <w:jc w:val="both"/>
    </w:pPr>
    <w:rPr>
      <w:rFonts w:eastAsia="Times New Roman"/>
    </w:rPr>
  </w:style>
  <w:style w:type="paragraph" w:customStyle="1" w:styleId="ManualNumPar4">
    <w:name w:val="Manual NumPar 4"/>
    <w:basedOn w:val="Normal"/>
    <w:next w:val="Text1"/>
    <w:uiPriority w:val="99"/>
    <w:pPr>
      <w:spacing w:beforeLines="1"/>
      <w:ind w:left="850" w:hanging="850"/>
      <w:jc w:val="both"/>
    </w:pPr>
    <w:rPr>
      <w:rFonts w:eastAsia="Times New Roman"/>
    </w:rPr>
  </w:style>
  <w:style w:type="paragraph" w:customStyle="1" w:styleId="QuotedNumPar">
    <w:name w:val="Quoted NumPar"/>
    <w:basedOn w:val="Normal"/>
    <w:uiPriority w:val="99"/>
    <w:pPr>
      <w:spacing w:beforeLines="1"/>
      <w:ind w:left="1417" w:hanging="567"/>
      <w:jc w:val="both"/>
    </w:pPr>
    <w:rPr>
      <w:rFonts w:eastAsia="Times New Roman"/>
    </w:rPr>
  </w:style>
  <w:style w:type="paragraph" w:customStyle="1" w:styleId="ManualHeading1">
    <w:name w:val="Manual Heading 1"/>
    <w:basedOn w:val="Normal"/>
    <w:next w:val="Text1"/>
    <w:uiPriority w:val="99"/>
    <w:pPr>
      <w:keepNext/>
      <w:tabs>
        <w:tab w:val="left" w:pos="850"/>
      </w:tabs>
      <w:spacing w:beforeLines="1"/>
      <w:ind w:left="850" w:hanging="850"/>
      <w:jc w:val="both"/>
      <w:outlineLvl w:val="0"/>
    </w:pPr>
    <w:rPr>
      <w:rFonts w:eastAsia="Times New Roman"/>
      <w:b/>
      <w:smallCaps/>
    </w:rPr>
  </w:style>
  <w:style w:type="paragraph" w:customStyle="1" w:styleId="ManualHeading2">
    <w:name w:val="Manual Heading 2"/>
    <w:basedOn w:val="Normal"/>
    <w:next w:val="Text1"/>
    <w:uiPriority w:val="99"/>
    <w:pPr>
      <w:keepNext/>
      <w:tabs>
        <w:tab w:val="left" w:pos="850"/>
      </w:tabs>
      <w:spacing w:beforeLines="1"/>
      <w:ind w:left="850" w:hanging="850"/>
      <w:jc w:val="both"/>
      <w:outlineLvl w:val="1"/>
    </w:pPr>
    <w:rPr>
      <w:rFonts w:eastAsia="Times New Roman"/>
      <w:b/>
    </w:rPr>
  </w:style>
  <w:style w:type="paragraph" w:customStyle="1" w:styleId="ManualHeading3">
    <w:name w:val="Manual Heading 3"/>
    <w:basedOn w:val="Normal"/>
    <w:next w:val="Text1"/>
    <w:uiPriority w:val="99"/>
    <w:pPr>
      <w:keepNext/>
      <w:tabs>
        <w:tab w:val="left" w:pos="850"/>
      </w:tabs>
      <w:spacing w:beforeLines="1"/>
      <w:ind w:left="850" w:hanging="850"/>
      <w:jc w:val="both"/>
      <w:outlineLvl w:val="2"/>
    </w:pPr>
    <w:rPr>
      <w:rFonts w:eastAsia="Times New Roman"/>
      <w:i/>
    </w:rPr>
  </w:style>
  <w:style w:type="paragraph" w:customStyle="1" w:styleId="ManualHeading4">
    <w:name w:val="Manual Heading 4"/>
    <w:basedOn w:val="Normal"/>
    <w:next w:val="Text1"/>
    <w:uiPriority w:val="99"/>
    <w:pPr>
      <w:keepNext/>
      <w:tabs>
        <w:tab w:val="left" w:pos="850"/>
      </w:tabs>
      <w:spacing w:beforeLines="1"/>
      <w:ind w:left="850" w:hanging="850"/>
      <w:jc w:val="both"/>
      <w:outlineLvl w:val="3"/>
    </w:pPr>
    <w:rPr>
      <w:rFonts w:eastAsia="Times New Roman"/>
    </w:rPr>
  </w:style>
  <w:style w:type="paragraph" w:customStyle="1" w:styleId="ChapterTitle">
    <w:name w:val="ChapterTitle"/>
    <w:basedOn w:val="Normal"/>
    <w:next w:val="Normal"/>
    <w:uiPriority w:val="99"/>
    <w:pPr>
      <w:keepNext/>
      <w:spacing w:beforeLines="1"/>
      <w:jc w:val="center"/>
    </w:pPr>
    <w:rPr>
      <w:rFonts w:eastAsia="Times New Roman"/>
      <w:b/>
      <w:sz w:val="32"/>
    </w:rPr>
  </w:style>
  <w:style w:type="paragraph" w:customStyle="1" w:styleId="PartTitle">
    <w:name w:val="PartTitle"/>
    <w:basedOn w:val="Normal"/>
    <w:next w:val="ChapterTitle"/>
    <w:uiPriority w:val="99"/>
    <w:pPr>
      <w:keepNext/>
      <w:pageBreakBefore/>
      <w:spacing w:beforeLines="1"/>
      <w:jc w:val="center"/>
    </w:pPr>
    <w:rPr>
      <w:rFonts w:eastAsia="Times New Roman"/>
      <w:b/>
      <w:sz w:val="36"/>
    </w:rPr>
  </w:style>
  <w:style w:type="paragraph" w:customStyle="1" w:styleId="SectionTitle">
    <w:name w:val="SectionTitle"/>
    <w:basedOn w:val="Normal"/>
    <w:next w:val="Heading1"/>
    <w:uiPriority w:val="99"/>
    <w:pPr>
      <w:keepNext/>
      <w:spacing w:beforeLines="1"/>
      <w:jc w:val="center"/>
    </w:pPr>
    <w:rPr>
      <w:rFonts w:eastAsia="Times New Roman"/>
      <w:b/>
      <w:smallCaps/>
      <w:sz w:val="28"/>
    </w:rPr>
  </w:style>
  <w:style w:type="paragraph" w:customStyle="1" w:styleId="TableTitle">
    <w:name w:val="Table Title"/>
    <w:basedOn w:val="Normal"/>
    <w:next w:val="Normal"/>
    <w:uiPriority w:val="99"/>
    <w:pPr>
      <w:spacing w:beforeLines="1"/>
      <w:jc w:val="center"/>
    </w:pPr>
    <w:rPr>
      <w:rFonts w:eastAsia="Times New Roman"/>
      <w:b/>
    </w:rPr>
  </w:style>
  <w:style w:type="paragraph" w:styleId="TOCHeading">
    <w:name w:val="TOC Heading"/>
    <w:basedOn w:val="Normal"/>
    <w:next w:val="Normal"/>
    <w:uiPriority w:val="39"/>
    <w:unhideWhenUsed/>
    <w:qFormat/>
    <w:pPr>
      <w:spacing w:beforeLines="1"/>
      <w:jc w:val="center"/>
    </w:pPr>
    <w:rPr>
      <w:rFonts w:eastAsia="Times New Roman"/>
      <w:b/>
      <w:sz w:val="28"/>
    </w:rPr>
  </w:style>
  <w:style w:type="paragraph" w:customStyle="1" w:styleId="Point0number">
    <w:name w:val="Point 0 (number)"/>
    <w:basedOn w:val="Normal"/>
    <w:uiPriority w:val="99"/>
    <w:pPr>
      <w:numPr>
        <w:numId w:val="16"/>
      </w:numPr>
      <w:spacing w:beforeLines="1"/>
      <w:jc w:val="both"/>
    </w:pPr>
    <w:rPr>
      <w:rFonts w:eastAsia="Times New Roman"/>
    </w:rPr>
  </w:style>
  <w:style w:type="paragraph" w:customStyle="1" w:styleId="Point1number">
    <w:name w:val="Point 1 (number)"/>
    <w:basedOn w:val="Normal"/>
    <w:uiPriority w:val="99"/>
    <w:pPr>
      <w:numPr>
        <w:ilvl w:val="2"/>
        <w:numId w:val="16"/>
      </w:numPr>
      <w:spacing w:beforeLines="1"/>
      <w:jc w:val="both"/>
    </w:pPr>
    <w:rPr>
      <w:rFonts w:eastAsia="Times New Roman"/>
    </w:rPr>
  </w:style>
  <w:style w:type="paragraph" w:customStyle="1" w:styleId="Point2number">
    <w:name w:val="Point 2 (number)"/>
    <w:basedOn w:val="Normal"/>
    <w:uiPriority w:val="99"/>
    <w:pPr>
      <w:numPr>
        <w:ilvl w:val="4"/>
        <w:numId w:val="16"/>
      </w:numPr>
      <w:spacing w:beforeLines="1"/>
      <w:jc w:val="both"/>
    </w:pPr>
    <w:rPr>
      <w:rFonts w:eastAsia="Times New Roman"/>
    </w:rPr>
  </w:style>
  <w:style w:type="paragraph" w:customStyle="1" w:styleId="Point3number">
    <w:name w:val="Point 3 (number)"/>
    <w:basedOn w:val="Normal"/>
    <w:uiPriority w:val="99"/>
    <w:pPr>
      <w:numPr>
        <w:ilvl w:val="6"/>
        <w:numId w:val="16"/>
      </w:numPr>
      <w:spacing w:beforeLines="1"/>
      <w:jc w:val="both"/>
    </w:pPr>
    <w:rPr>
      <w:rFonts w:eastAsia="Times New Roman"/>
    </w:rPr>
  </w:style>
  <w:style w:type="paragraph" w:customStyle="1" w:styleId="Point0letter">
    <w:name w:val="Point 0 (letter)"/>
    <w:basedOn w:val="Normal"/>
    <w:uiPriority w:val="99"/>
    <w:pPr>
      <w:numPr>
        <w:ilvl w:val="1"/>
        <w:numId w:val="16"/>
      </w:numPr>
      <w:spacing w:beforeLines="1"/>
      <w:jc w:val="both"/>
    </w:pPr>
    <w:rPr>
      <w:rFonts w:eastAsia="Times New Roman"/>
    </w:rPr>
  </w:style>
  <w:style w:type="paragraph" w:customStyle="1" w:styleId="Point1letter">
    <w:name w:val="Point 1 (letter)"/>
    <w:basedOn w:val="Normal"/>
    <w:uiPriority w:val="99"/>
    <w:pPr>
      <w:numPr>
        <w:ilvl w:val="3"/>
        <w:numId w:val="16"/>
      </w:numPr>
      <w:spacing w:beforeLines="1"/>
      <w:jc w:val="both"/>
    </w:pPr>
    <w:rPr>
      <w:rFonts w:eastAsia="Times New Roman"/>
    </w:rPr>
  </w:style>
  <w:style w:type="paragraph" w:customStyle="1" w:styleId="Point2letter">
    <w:name w:val="Point 2 (letter)"/>
    <w:basedOn w:val="Normal"/>
    <w:uiPriority w:val="99"/>
    <w:pPr>
      <w:numPr>
        <w:ilvl w:val="5"/>
        <w:numId w:val="16"/>
      </w:numPr>
      <w:spacing w:beforeLines="1"/>
      <w:jc w:val="both"/>
    </w:pPr>
    <w:rPr>
      <w:rFonts w:eastAsia="Times New Roman"/>
    </w:rPr>
  </w:style>
  <w:style w:type="paragraph" w:customStyle="1" w:styleId="Point3letter">
    <w:name w:val="Point 3 (letter)"/>
    <w:basedOn w:val="Normal"/>
    <w:uiPriority w:val="99"/>
    <w:pPr>
      <w:numPr>
        <w:ilvl w:val="7"/>
        <w:numId w:val="16"/>
      </w:numPr>
      <w:spacing w:beforeLines="1"/>
      <w:jc w:val="both"/>
    </w:pPr>
    <w:rPr>
      <w:rFonts w:eastAsia="Times New Roman"/>
    </w:rPr>
  </w:style>
  <w:style w:type="paragraph" w:customStyle="1" w:styleId="Point4letter">
    <w:name w:val="Point 4 (letter)"/>
    <w:basedOn w:val="Normal"/>
    <w:uiPriority w:val="99"/>
    <w:pPr>
      <w:numPr>
        <w:ilvl w:val="8"/>
        <w:numId w:val="16"/>
      </w:numPr>
      <w:spacing w:beforeLines="1"/>
      <w:jc w:val="both"/>
    </w:pPr>
    <w:rPr>
      <w:rFonts w:eastAsia="Times New Roman"/>
    </w:rPr>
  </w:style>
  <w:style w:type="paragraph" w:customStyle="1" w:styleId="Bullet0">
    <w:name w:val="Bullet 0"/>
    <w:basedOn w:val="Normal"/>
    <w:uiPriority w:val="99"/>
    <w:pPr>
      <w:numPr>
        <w:numId w:val="17"/>
      </w:numPr>
      <w:spacing w:beforeLines="1"/>
      <w:jc w:val="both"/>
    </w:pPr>
    <w:rPr>
      <w:rFonts w:eastAsia="Times New Roman"/>
    </w:rPr>
  </w:style>
  <w:style w:type="paragraph" w:customStyle="1" w:styleId="Bullet1">
    <w:name w:val="Bullet 1"/>
    <w:basedOn w:val="Normal"/>
    <w:uiPriority w:val="99"/>
    <w:pPr>
      <w:numPr>
        <w:numId w:val="18"/>
      </w:numPr>
      <w:spacing w:beforeLines="1"/>
      <w:jc w:val="both"/>
    </w:pPr>
    <w:rPr>
      <w:rFonts w:eastAsia="Times New Roman"/>
    </w:rPr>
  </w:style>
  <w:style w:type="paragraph" w:customStyle="1" w:styleId="Bullet2">
    <w:name w:val="Bullet 2"/>
    <w:basedOn w:val="Normal"/>
    <w:uiPriority w:val="99"/>
    <w:pPr>
      <w:numPr>
        <w:numId w:val="19"/>
      </w:numPr>
      <w:spacing w:beforeLines="1"/>
      <w:jc w:val="both"/>
    </w:pPr>
    <w:rPr>
      <w:rFonts w:eastAsia="Times New Roman"/>
    </w:rPr>
  </w:style>
  <w:style w:type="paragraph" w:customStyle="1" w:styleId="Bullet3">
    <w:name w:val="Bullet 3"/>
    <w:basedOn w:val="Normal"/>
    <w:uiPriority w:val="99"/>
    <w:pPr>
      <w:numPr>
        <w:numId w:val="20"/>
      </w:numPr>
      <w:spacing w:beforeLines="1"/>
      <w:jc w:val="both"/>
    </w:pPr>
    <w:rPr>
      <w:rFonts w:eastAsia="Times New Roman"/>
    </w:rPr>
  </w:style>
  <w:style w:type="paragraph" w:customStyle="1" w:styleId="Bullet4">
    <w:name w:val="Bullet 4"/>
    <w:basedOn w:val="Normal"/>
    <w:uiPriority w:val="99"/>
    <w:pPr>
      <w:numPr>
        <w:numId w:val="21"/>
      </w:numPr>
      <w:spacing w:beforeLines="1"/>
      <w:jc w:val="both"/>
    </w:pPr>
    <w:rPr>
      <w:rFonts w:eastAsia="Times New Roman"/>
    </w:rPr>
  </w:style>
  <w:style w:type="paragraph" w:customStyle="1" w:styleId="Annexetitreexpos">
    <w:name w:val="Annexe titre (exposé)"/>
    <w:basedOn w:val="Normal"/>
    <w:next w:val="Normal"/>
    <w:uiPriority w:val="99"/>
    <w:pPr>
      <w:spacing w:beforeLines="1"/>
      <w:jc w:val="center"/>
    </w:pPr>
    <w:rPr>
      <w:rFonts w:eastAsia="Times New Roman"/>
      <w:b/>
      <w:u w:val="single"/>
    </w:rPr>
  </w:style>
  <w:style w:type="paragraph" w:customStyle="1" w:styleId="Annexetitre">
    <w:name w:val="Annexe titre"/>
    <w:basedOn w:val="Normal"/>
    <w:next w:val="Normal"/>
    <w:uiPriority w:val="99"/>
    <w:pPr>
      <w:spacing w:beforeLines="1"/>
      <w:jc w:val="center"/>
    </w:pPr>
    <w:rPr>
      <w:rFonts w:eastAsia="Times New Roman"/>
      <w:b/>
      <w:u w:val="single"/>
    </w:rPr>
  </w:style>
  <w:style w:type="paragraph" w:customStyle="1" w:styleId="Annexetitrefichefinancire">
    <w:name w:val="Annexe titre (fiche financière)"/>
    <w:basedOn w:val="Normal"/>
    <w:next w:val="Normal"/>
    <w:uiPriority w:val="99"/>
    <w:pPr>
      <w:spacing w:beforeLines="1"/>
      <w:jc w:val="center"/>
    </w:pPr>
    <w:rPr>
      <w:rFonts w:eastAsia="Times New Roman"/>
      <w:b/>
      <w:u w:val="single"/>
    </w:rPr>
  </w:style>
  <w:style w:type="paragraph" w:customStyle="1" w:styleId="Fait">
    <w:name w:val="Fait à"/>
    <w:basedOn w:val="Normal"/>
    <w:next w:val="Institutionquisigne"/>
    <w:uiPriority w:val="99"/>
    <w:pPr>
      <w:keepNext/>
      <w:spacing w:beforeLines="1"/>
      <w:jc w:val="both"/>
    </w:pPr>
    <w:rPr>
      <w:rFonts w:eastAsia="Times New Roman"/>
    </w:rPr>
  </w:style>
  <w:style w:type="paragraph" w:customStyle="1" w:styleId="Applicationdirecte">
    <w:name w:val="Application directe"/>
    <w:basedOn w:val="Normal"/>
    <w:next w:val="Fait"/>
    <w:uiPriority w:val="99"/>
    <w:pPr>
      <w:spacing w:beforeLines="1"/>
      <w:jc w:val="both"/>
    </w:pPr>
    <w:rPr>
      <w:rFonts w:eastAsia="Times New Roman"/>
    </w:rPr>
  </w:style>
  <w:style w:type="paragraph" w:customStyle="1" w:styleId="Avertissementtitre">
    <w:name w:val="Avertissement titre"/>
    <w:basedOn w:val="Normal"/>
    <w:next w:val="Normal"/>
    <w:uiPriority w:val="99"/>
    <w:pPr>
      <w:keepNext/>
      <w:spacing w:beforeLines="1"/>
      <w:jc w:val="both"/>
    </w:pPr>
    <w:rPr>
      <w:rFonts w:eastAsia="Times New Roman"/>
      <w:u w:val="single"/>
    </w:rPr>
  </w:style>
  <w:style w:type="paragraph" w:customStyle="1" w:styleId="Confidence">
    <w:name w:val="Confidence"/>
    <w:basedOn w:val="Normal"/>
    <w:next w:val="Normal"/>
    <w:uiPriority w:val="99"/>
    <w:pPr>
      <w:spacing w:beforeLines="1"/>
      <w:jc w:val="center"/>
    </w:pPr>
    <w:rPr>
      <w:rFonts w:eastAsia="Times New Roman"/>
    </w:rPr>
  </w:style>
  <w:style w:type="paragraph" w:customStyle="1" w:styleId="TypedudocumentPagedecouverture">
    <w:name w:val="Type du document (Page de couverture)"/>
    <w:basedOn w:val="Typedudocument"/>
    <w:next w:val="TitreobjetPagedecouverture"/>
    <w:uiPriority w:val="99"/>
  </w:style>
  <w:style w:type="paragraph" w:customStyle="1" w:styleId="Confidentialit">
    <w:name w:val="Confidentialité"/>
    <w:basedOn w:val="Normal"/>
    <w:next w:val="TypedudocumentPagedecouverture"/>
    <w:uiPriority w:val="99"/>
    <w:pPr>
      <w:spacing w:beforeLines="1"/>
      <w:ind w:left="5103"/>
      <w:jc w:val="both"/>
    </w:pPr>
    <w:rPr>
      <w:rFonts w:eastAsia="Times New Roman"/>
      <w:i/>
      <w:sz w:val="32"/>
    </w:rPr>
  </w:style>
  <w:style w:type="paragraph" w:customStyle="1" w:styleId="Considrant">
    <w:name w:val="Considérant"/>
    <w:basedOn w:val="Normal"/>
    <w:uiPriority w:val="99"/>
    <w:pPr>
      <w:numPr>
        <w:numId w:val="22"/>
      </w:numPr>
      <w:spacing w:beforeLines="1"/>
      <w:jc w:val="both"/>
    </w:pPr>
    <w:rPr>
      <w:rFonts w:eastAsia="Times New Roman"/>
    </w:rPr>
  </w:style>
  <w:style w:type="paragraph" w:customStyle="1" w:styleId="Corrigendum">
    <w:name w:val="Corrigendum"/>
    <w:basedOn w:val="Normal"/>
    <w:next w:val="Normal"/>
    <w:uiPriority w:val="99"/>
    <w:pPr>
      <w:spacing w:beforeLines="1"/>
    </w:pPr>
    <w:rPr>
      <w:rFonts w:eastAsia="Times New Roman"/>
    </w:rPr>
  </w:style>
  <w:style w:type="paragraph" w:customStyle="1" w:styleId="Titreobjet">
    <w:name w:val="Titre objet"/>
    <w:basedOn w:val="Normal"/>
    <w:next w:val="Sous-titreobjet"/>
    <w:uiPriority w:val="99"/>
    <w:pPr>
      <w:spacing w:beforeLines="1"/>
      <w:jc w:val="center"/>
    </w:pPr>
    <w:rPr>
      <w:rFonts w:eastAsia="Times New Roman"/>
      <w:b/>
    </w:rPr>
  </w:style>
  <w:style w:type="paragraph" w:customStyle="1" w:styleId="Datedadoption">
    <w:name w:val="Date d'adoption"/>
    <w:basedOn w:val="Normal"/>
    <w:next w:val="Titreobjet"/>
    <w:uiPriority w:val="99"/>
    <w:pPr>
      <w:spacing w:beforeLines="1"/>
      <w:jc w:val="center"/>
    </w:pPr>
    <w:rPr>
      <w:rFonts w:eastAsia="Times New Roman"/>
      <w:b/>
    </w:rPr>
  </w:style>
  <w:style w:type="paragraph" w:customStyle="1" w:styleId="Rfrenceinstitutionnelle">
    <w:name w:val="Référence institutionnelle"/>
    <w:basedOn w:val="Normal"/>
    <w:next w:val="Confidentialit"/>
    <w:uiPriority w:val="99"/>
    <w:pPr>
      <w:spacing w:beforeLines="1"/>
      <w:ind w:left="5103"/>
    </w:pPr>
    <w:rPr>
      <w:rFonts w:eastAsia="Times New Roman"/>
    </w:rPr>
  </w:style>
  <w:style w:type="paragraph" w:customStyle="1" w:styleId="Emission">
    <w:name w:val="Emission"/>
    <w:basedOn w:val="Normal"/>
    <w:next w:val="Rfrenceinstitutionnelle"/>
    <w:uiPriority w:val="99"/>
    <w:pPr>
      <w:spacing w:beforeLines="1"/>
      <w:ind w:left="5103"/>
    </w:pPr>
    <w:rPr>
      <w:rFonts w:eastAsia="Times New Roman"/>
    </w:rPr>
  </w:style>
  <w:style w:type="paragraph" w:customStyle="1" w:styleId="Exposdesmotifstitre">
    <w:name w:val="Exposé des motifs titre"/>
    <w:basedOn w:val="Normal"/>
    <w:next w:val="Normal"/>
    <w:uiPriority w:val="99"/>
    <w:pPr>
      <w:spacing w:beforeLines="1"/>
      <w:jc w:val="center"/>
    </w:pPr>
    <w:rPr>
      <w:rFonts w:eastAsia="Times New Roman"/>
      <w:b/>
      <w:u w:val="single"/>
    </w:rPr>
  </w:style>
  <w:style w:type="paragraph" w:customStyle="1" w:styleId="Institutionquisigne">
    <w:name w:val="Institution qui signe"/>
    <w:basedOn w:val="Normal"/>
    <w:next w:val="Personnequisigne"/>
    <w:uiPriority w:val="99"/>
    <w:pPr>
      <w:keepNext/>
      <w:tabs>
        <w:tab w:val="left" w:pos="4252"/>
      </w:tabs>
      <w:spacing w:beforeLines="1"/>
      <w:jc w:val="both"/>
    </w:pPr>
    <w:rPr>
      <w:rFonts w:eastAsia="Times New Roman"/>
      <w:i/>
    </w:rPr>
  </w:style>
  <w:style w:type="paragraph" w:customStyle="1" w:styleId="Titrearticle">
    <w:name w:val="Titre article"/>
    <w:basedOn w:val="Normal"/>
    <w:next w:val="Normal"/>
    <w:uiPriority w:val="99"/>
    <w:pPr>
      <w:keepNext/>
      <w:spacing w:beforeLines="1"/>
      <w:jc w:val="center"/>
    </w:pPr>
    <w:rPr>
      <w:rFonts w:eastAsia="Times New Roman"/>
      <w:i/>
    </w:rPr>
  </w:style>
  <w:style w:type="paragraph" w:customStyle="1" w:styleId="Formuledadoption">
    <w:name w:val="Formule d'adoption"/>
    <w:basedOn w:val="Normal"/>
    <w:next w:val="Titrearticle"/>
    <w:uiPriority w:val="99"/>
    <w:pPr>
      <w:keepNext/>
      <w:spacing w:beforeLines="1"/>
      <w:jc w:val="both"/>
    </w:pPr>
    <w:rPr>
      <w:rFonts w:eastAsia="Times New Roman"/>
    </w:rPr>
  </w:style>
  <w:style w:type="paragraph" w:customStyle="1" w:styleId="Institutionquiagit">
    <w:name w:val="Institution qui agit"/>
    <w:basedOn w:val="Normal"/>
    <w:next w:val="Normal"/>
    <w:uiPriority w:val="99"/>
    <w:pPr>
      <w:keepNext/>
      <w:spacing w:beforeLines="1"/>
      <w:jc w:val="both"/>
    </w:pPr>
    <w:rPr>
      <w:rFonts w:eastAsia="Times New Roman"/>
    </w:rPr>
  </w:style>
  <w:style w:type="paragraph" w:customStyle="1" w:styleId="Personnequisigne">
    <w:name w:val="Personne qui signe"/>
    <w:basedOn w:val="Normal"/>
    <w:next w:val="Institutionquisigne"/>
    <w:uiPriority w:val="99"/>
    <w:pPr>
      <w:tabs>
        <w:tab w:val="left" w:pos="4252"/>
      </w:tabs>
      <w:spacing w:beforeLines="1"/>
    </w:pPr>
    <w:rPr>
      <w:rFonts w:eastAsia="Times New Roman"/>
      <w:i/>
    </w:rPr>
  </w:style>
  <w:style w:type="paragraph" w:customStyle="1" w:styleId="Rfrenceinterne">
    <w:name w:val="Référence interne"/>
    <w:basedOn w:val="Normal"/>
    <w:next w:val="Rfrenceinterinstitutionnelle"/>
    <w:uiPriority w:val="99"/>
    <w:pPr>
      <w:spacing w:beforeLines="1"/>
      <w:ind w:left="5103"/>
    </w:pPr>
    <w:rPr>
      <w:rFonts w:eastAsia="Times New Roman"/>
    </w:rPr>
  </w:style>
  <w:style w:type="paragraph" w:customStyle="1" w:styleId="Langue">
    <w:name w:val="Langue"/>
    <w:basedOn w:val="Normal"/>
    <w:next w:val="Rfrenceinterne"/>
    <w:uiPriority w:val="99"/>
    <w:pPr>
      <w:framePr w:wrap="around" w:vAnchor="page" w:hAnchor="text" w:xAlign="center" w:y="14741"/>
      <w:spacing w:beforeLines="1"/>
      <w:jc w:val="center"/>
    </w:pPr>
    <w:rPr>
      <w:rFonts w:eastAsia="Times New Roman"/>
      <w:b/>
      <w:caps/>
    </w:rPr>
  </w:style>
  <w:style w:type="paragraph" w:customStyle="1" w:styleId="ManualConsidrant">
    <w:name w:val="Manual Considérant"/>
    <w:basedOn w:val="Normal"/>
    <w:uiPriority w:val="99"/>
    <w:pPr>
      <w:spacing w:beforeLines="1"/>
      <w:ind w:left="709" w:hanging="709"/>
      <w:jc w:val="both"/>
    </w:pPr>
    <w:rPr>
      <w:rFonts w:eastAsia="Times New Roman"/>
    </w:rPr>
  </w:style>
  <w:style w:type="paragraph" w:customStyle="1" w:styleId="Nomdelinstitution">
    <w:name w:val="Nom de l'institution"/>
    <w:basedOn w:val="Normal"/>
    <w:next w:val="Emission"/>
    <w:uiPriority w:val="99"/>
    <w:pPr>
      <w:spacing w:beforeLines="1"/>
    </w:pPr>
    <w:rPr>
      <w:rFonts w:ascii="Arial" w:eastAsia="Times New Roman" w:hAnsi="Arial" w:cs="Arial"/>
    </w:rPr>
  </w:style>
  <w:style w:type="paragraph" w:customStyle="1" w:styleId="Statut">
    <w:name w:val="Statut"/>
    <w:basedOn w:val="Normal"/>
    <w:next w:val="Typedudocument"/>
    <w:uiPriority w:val="99"/>
    <w:pPr>
      <w:spacing w:beforeLines="1"/>
      <w:jc w:val="center"/>
    </w:pPr>
    <w:rPr>
      <w:rFonts w:eastAsia="Times New Roman"/>
    </w:rPr>
  </w:style>
  <w:style w:type="paragraph" w:customStyle="1" w:styleId="Rfrenceinterinstitutionnelle">
    <w:name w:val="Référence interinstitutionnelle"/>
    <w:basedOn w:val="Normal"/>
    <w:next w:val="Statut"/>
    <w:uiPriority w:val="99"/>
    <w:pPr>
      <w:spacing w:beforeLines="1"/>
      <w:ind w:left="5103"/>
    </w:pPr>
    <w:rPr>
      <w:rFonts w:eastAsia="Times New Roman"/>
    </w:rPr>
  </w:style>
  <w:style w:type="paragraph" w:customStyle="1" w:styleId="Sous-titreobjet">
    <w:name w:val="Sous-titre objet"/>
    <w:basedOn w:val="Normal"/>
    <w:uiPriority w:val="99"/>
    <w:pPr>
      <w:spacing w:beforeLines="1"/>
      <w:jc w:val="center"/>
    </w:pPr>
    <w:rPr>
      <w:rFonts w:eastAsia="Times New Roman"/>
      <w:b/>
    </w:rPr>
  </w:style>
  <w:style w:type="paragraph" w:customStyle="1" w:styleId="Typedudocument">
    <w:name w:val="Type du document"/>
    <w:basedOn w:val="Normal"/>
    <w:next w:val="Titreobjet"/>
    <w:uiPriority w:val="99"/>
    <w:pPr>
      <w:spacing w:beforeLines="1"/>
      <w:jc w:val="center"/>
    </w:pPr>
    <w:rPr>
      <w:rFonts w:eastAsia="Times New Roman"/>
      <w:b/>
    </w:rPr>
  </w:style>
  <w:style w:type="paragraph" w:customStyle="1" w:styleId="Address">
    <w:name w:val="Address"/>
    <w:basedOn w:val="Normal"/>
    <w:next w:val="Normal"/>
    <w:uiPriority w:val="99"/>
    <w:pPr>
      <w:keepLines/>
      <w:spacing w:beforeLines="1" w:line="360" w:lineRule="auto"/>
      <w:ind w:left="3402"/>
    </w:pPr>
    <w:rPr>
      <w:rFonts w:eastAsia="Times New Roman"/>
    </w:rPr>
  </w:style>
  <w:style w:type="paragraph" w:customStyle="1" w:styleId="Objetexterne">
    <w:name w:val="Objet externe"/>
    <w:basedOn w:val="Normal"/>
    <w:next w:val="Normal"/>
    <w:uiPriority w:val="99"/>
    <w:pPr>
      <w:spacing w:beforeLines="1"/>
      <w:jc w:val="both"/>
    </w:pPr>
    <w:rPr>
      <w:rFonts w:eastAsia="Times New Roman"/>
      <w:i/>
      <w:caps/>
    </w:rPr>
  </w:style>
  <w:style w:type="paragraph" w:customStyle="1" w:styleId="Pagedecouverture">
    <w:name w:val="Page de couverture"/>
    <w:basedOn w:val="Normal"/>
    <w:next w:val="Normal"/>
    <w:pPr>
      <w:spacing w:beforeLines="1"/>
      <w:jc w:val="both"/>
    </w:pPr>
    <w:rPr>
      <w:rFonts w:eastAsia="Times New Roman"/>
    </w:rPr>
  </w:style>
  <w:style w:type="paragraph" w:customStyle="1" w:styleId="Supertitre">
    <w:name w:val="Supertitre"/>
    <w:basedOn w:val="Normal"/>
    <w:next w:val="Normal"/>
    <w:uiPriority w:val="99"/>
    <w:pPr>
      <w:spacing w:beforeLines="1"/>
      <w:jc w:val="center"/>
    </w:pPr>
    <w:rPr>
      <w:rFonts w:eastAsia="Times New Roman"/>
      <w:b/>
    </w:rPr>
  </w:style>
  <w:style w:type="paragraph" w:customStyle="1" w:styleId="Languesfaisantfoi">
    <w:name w:val="Langues faisant foi"/>
    <w:basedOn w:val="Normal"/>
    <w:next w:val="Normal"/>
    <w:uiPriority w:val="99"/>
    <w:pPr>
      <w:spacing w:beforeLines="1"/>
      <w:jc w:val="center"/>
    </w:pPr>
    <w:rPr>
      <w:rFonts w:eastAsia="Times New Roman"/>
    </w:rPr>
  </w:style>
  <w:style w:type="paragraph" w:customStyle="1" w:styleId="Rfrencecroise">
    <w:name w:val="Référence croisée"/>
    <w:basedOn w:val="Normal"/>
    <w:uiPriority w:val="99"/>
    <w:pPr>
      <w:spacing w:beforeLines="1"/>
      <w:jc w:val="center"/>
    </w:pPr>
    <w:rPr>
      <w:rFonts w:eastAsia="Times New Roman"/>
    </w:rPr>
  </w:style>
  <w:style w:type="paragraph" w:customStyle="1" w:styleId="Fichefinanciretitre">
    <w:name w:val="Fiche financière titre"/>
    <w:basedOn w:val="Normal"/>
    <w:next w:val="Normal"/>
    <w:uiPriority w:val="99"/>
    <w:pPr>
      <w:spacing w:beforeLines="1"/>
      <w:jc w:val="center"/>
    </w:pPr>
    <w:rPr>
      <w:rFonts w:eastAsia="Times New Roman"/>
      <w:b/>
      <w:u w:val="single"/>
    </w:rPr>
  </w:style>
  <w:style w:type="paragraph" w:customStyle="1" w:styleId="TitreobjetPagedecouverture">
    <w:name w:val="Titre objet (Page de couverture)"/>
    <w:basedOn w:val="Titreobjet"/>
    <w:next w:val="Sous-titreobjetPagedecouverture"/>
    <w:uiPriority w:val="99"/>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Volume">
    <w:name w:val="Volume"/>
    <w:basedOn w:val="Normal"/>
    <w:next w:val="Confidentialit"/>
    <w:uiPriority w:val="99"/>
    <w:pPr>
      <w:spacing w:beforeLines="1"/>
      <w:ind w:left="5103"/>
    </w:pPr>
    <w:rPr>
      <w:rFonts w:eastAsia="Times New Roman"/>
    </w:rPr>
  </w:style>
  <w:style w:type="paragraph" w:customStyle="1" w:styleId="IntrtEEE">
    <w:name w:val="Intérêt EEE"/>
    <w:basedOn w:val="Languesfaisantfoi"/>
    <w:next w:val="Normal"/>
    <w:uiPriority w:val="99"/>
  </w:style>
  <w:style w:type="paragraph" w:customStyle="1" w:styleId="Typeacteprincipal">
    <w:name w:val="Type acte principal"/>
    <w:basedOn w:val="Normal"/>
    <w:next w:val="Objetacteprincipal"/>
    <w:uiPriority w:val="99"/>
    <w:pPr>
      <w:spacing w:beforeLines="1"/>
      <w:jc w:val="center"/>
    </w:pPr>
    <w:rPr>
      <w:rFonts w:eastAsia="Times New Roman"/>
      <w:b/>
    </w:rPr>
  </w:style>
  <w:style w:type="paragraph" w:customStyle="1" w:styleId="Accompagnant">
    <w:name w:val="Accompagnant"/>
    <w:basedOn w:val="Normal"/>
    <w:next w:val="Typeacteprincipal"/>
    <w:uiPriority w:val="99"/>
    <w:pPr>
      <w:spacing w:beforeLines="1"/>
      <w:jc w:val="center"/>
    </w:pPr>
    <w:rPr>
      <w:rFonts w:eastAsia="Times New Roman"/>
      <w:b/>
      <w:i/>
    </w:rPr>
  </w:style>
  <w:style w:type="paragraph" w:customStyle="1" w:styleId="Objetacteprincipal">
    <w:name w:val="Objet acte principal"/>
    <w:basedOn w:val="Normal"/>
    <w:next w:val="Titrearticle"/>
    <w:uiPriority w:val="99"/>
    <w:pPr>
      <w:spacing w:beforeLines="1"/>
      <w:jc w:val="center"/>
    </w:pPr>
    <w:rPr>
      <w:rFonts w:eastAsia="Times New Roman"/>
      <w:b/>
    </w:rPr>
  </w:style>
  <w:style w:type="paragraph" w:customStyle="1" w:styleId="IntrtEEEPagedecouverture">
    <w:name w:val="Intérêt EEE (Page de couverture)"/>
    <w:basedOn w:val="IntrtEEE"/>
    <w:next w:val="Rfrencecrois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Lines="1"/>
      <w:jc w:val="center"/>
    </w:pPr>
    <w:rPr>
      <w:rFonts w:eastAsia="Times New Roman"/>
    </w:rPr>
  </w:style>
  <w:style w:type="paragraph" w:customStyle="1" w:styleId="ListBullet1">
    <w:name w:val="List Bullet 1"/>
    <w:basedOn w:val="Normal"/>
    <w:uiPriority w:val="99"/>
    <w:pPr>
      <w:numPr>
        <w:numId w:val="23"/>
      </w:numPr>
      <w:spacing w:beforeLines="1"/>
      <w:jc w:val="both"/>
    </w:pPr>
    <w:rPr>
      <w:rFonts w:eastAsia="Times New Roman"/>
      <w:lang w:eastAsia="de-DE"/>
    </w:rPr>
  </w:style>
  <w:style w:type="character" w:styleId="FootnoteReference">
    <w:name w:val="footnote reference"/>
    <w:aliases w:val="BVI fnr,E FNZ,-E Fußnotenzeichen,SUPERS"/>
    <w:uiPriority w:val="99"/>
    <w:unhideWhenUsed/>
    <w:rPr>
      <w:vertAlign w:val="superscript"/>
    </w:rPr>
  </w:style>
  <w:style w:type="character" w:styleId="CommentReference">
    <w:name w:val="annotation reference"/>
    <w:uiPriority w:val="99"/>
    <w:semiHidden/>
    <w:unhideWhenUsed/>
    <w:rPr>
      <w:sz w:val="16"/>
      <w:szCs w:val="16"/>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CoverPage">
    <w:name w:val="Footer Cover Page"/>
    <w:basedOn w:val="Normal"/>
    <w:link w:val="FooterCoverPageChar"/>
    <w:pPr>
      <w:tabs>
        <w:tab w:val="center" w:pos="4535"/>
        <w:tab w:val="right" w:pos="9071"/>
        <w:tab w:val="right" w:pos="9921"/>
      </w:tabs>
      <w:spacing w:beforeLines="1" w:before="360"/>
      <w:ind w:left="-850" w:right="-850"/>
    </w:pPr>
    <w:rPr>
      <w:rFonts w:eastAsia="Times New Roman"/>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pPr>
      <w:tabs>
        <w:tab w:val="center" w:pos="4535"/>
        <w:tab w:val="right" w:pos="9071"/>
      </w:tabs>
      <w:spacing w:beforeLines="1" w:after="120"/>
      <w:jc w:val="both"/>
    </w:pPr>
    <w:rPr>
      <w:rFonts w:eastAsia="Times New Roman"/>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4"/>
    </w:rPr>
  </w:style>
  <w:style w:type="paragraph" w:styleId="ListParagraph">
    <w:name w:val="List Paragraph"/>
    <w:basedOn w:val="Normal"/>
    <w:uiPriority w:val="1"/>
    <w:qFormat/>
    <w:pPr>
      <w:ind w:left="720"/>
      <w:contextualSpacing/>
    </w:pPr>
    <w:rPr>
      <w:rFonts w:eastAsiaTheme="minorEastAsia"/>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PageNumber">
    <w:name w:val="page number"/>
    <w:basedOn w:val="DefaultParagraphFont"/>
    <w:uiPriority w:val="99"/>
    <w:semiHidden/>
    <w:unhideWhenUsed/>
  </w:style>
  <w:style w:type="paragraph" w:customStyle="1" w:styleId="TableCaption">
    <w:name w:val="Table Caption"/>
    <w:basedOn w:val="Normal"/>
    <w:pPr>
      <w:spacing w:before="240" w:after="120" w:line="240" w:lineRule="exact"/>
    </w:pPr>
    <w:rPr>
      <w:rFonts w:ascii="Arial" w:hAnsi="Arial" w:cs="Arial"/>
      <w:sz w:val="20"/>
      <w:szCs w:val="20"/>
    </w:rPr>
  </w:style>
  <w:style w:type="table" w:customStyle="1" w:styleId="GridTable3-Accent51">
    <w:name w:val="Grid Table 3 - Accent 51"/>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sl-SI" w:eastAsia="sl-SI"/>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en-US"/>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en-US"/>
    </w:rPr>
  </w:style>
  <w:style w:type="paragraph" w:styleId="Title">
    <w:name w:val="Title"/>
    <w:basedOn w:val="Normal"/>
    <w:next w:val="Normal"/>
    <w:link w:val="TitleChar"/>
    <w:uiPriority w:val="10"/>
    <w:qFormat/>
    <w:pPr>
      <w:spacing w:before="720"/>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en-US"/>
    </w:rPr>
  </w:style>
  <w:style w:type="paragraph" w:styleId="Subtitle">
    <w:name w:val="Subtitle"/>
    <w:basedOn w:val="Normal"/>
    <w:next w:val="Normal"/>
    <w:link w:val="SubtitleChar"/>
    <w:uiPriority w:val="11"/>
    <w:qFormat/>
    <w:pPr>
      <w:spacing w:after="1000"/>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en-US"/>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en-US"/>
    </w:rPr>
  </w:style>
  <w:style w:type="paragraph" w:styleId="Quote">
    <w:name w:val="Quote"/>
    <w:basedOn w:val="Normal"/>
    <w:next w:val="Normal"/>
    <w:link w:val="QuoteChar"/>
    <w:uiPriority w:val="29"/>
    <w:qFormat/>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en-US"/>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ind w:left="1296" w:right="1152"/>
      <w:jc w:val="both"/>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en-US"/>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table" w:customStyle="1" w:styleId="GridTable2-Accent11">
    <w:name w:val="Grid Table 2 - Accent 11"/>
    <w:basedOn w:val="TableNormal"/>
    <w:uiPriority w:val="47"/>
    <w:pPr>
      <w:spacing w:after="0" w:line="240" w:lineRule="auto"/>
    </w:pPr>
    <w:rPr>
      <w:sz w:val="24"/>
      <w:szCs w:val="24"/>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en-US"/>
    </w:rPr>
  </w:style>
  <w:style w:type="table" w:customStyle="1" w:styleId="GridTable3-Accent52">
    <w:name w:val="Grid Table 3 - Accent 52"/>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Revision">
    <w:name w:val="Revision"/>
    <w:hidden/>
    <w:uiPriority w:val="99"/>
    <w:semiHidden/>
    <w:pPr>
      <w:spacing w:after="0" w:line="240" w:lineRule="auto"/>
    </w:pPr>
  </w:style>
  <w:style w:type="table" w:customStyle="1" w:styleId="GridTable3-Accent511">
    <w:name w:val="Grid Table 3 - Accent 511"/>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Corpsdutexte125">
    <w:name w:val="Corps du texte (12)5"/>
    <w:basedOn w:val="DefaultParagraphFont"/>
    <w:uiPriority w:val="99"/>
    <w:rPr>
      <w:rFonts w:ascii="Arial" w:hAnsi="Arial" w:cs="Arial"/>
      <w:b/>
      <w:bCs/>
      <w:color w:val="4D7CB0"/>
      <w:u w:val="none"/>
    </w:rPr>
  </w:style>
  <w:style w:type="table" w:customStyle="1" w:styleId="GridTable3-Accent512">
    <w:name w:val="Grid Table 3 - Accent 512"/>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3">
    <w:name w:val="Grid Table 3 - Accent 513"/>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1">
    <w:name w:val="heading 1"/>
    <w:basedOn w:val="Normal"/>
    <w:next w:val="Text1"/>
    <w:link w:val="Heading1Char"/>
    <w:uiPriority w:val="9"/>
    <w:qFormat/>
    <w:pPr>
      <w:keepNext/>
      <w:numPr>
        <w:numId w:val="1"/>
      </w:numPr>
      <w:spacing w:before="360" w:after="120"/>
      <w:jc w:val="both"/>
      <w:outlineLvl w:val="0"/>
    </w:pPr>
    <w:rPr>
      <w:rFonts w:eastAsia="Times New Roman"/>
      <w:b/>
      <w:bCs/>
      <w:smallCaps/>
      <w:szCs w:val="32"/>
    </w:rPr>
  </w:style>
  <w:style w:type="paragraph" w:styleId="Heading2">
    <w:name w:val="heading 2"/>
    <w:basedOn w:val="Normal"/>
    <w:next w:val="Text1"/>
    <w:link w:val="Heading2Char"/>
    <w:uiPriority w:val="9"/>
    <w:unhideWhenUsed/>
    <w:qFormat/>
    <w:pPr>
      <w:keepNext/>
      <w:numPr>
        <w:ilvl w:val="1"/>
        <w:numId w:val="1"/>
      </w:numPr>
      <w:spacing w:before="120" w:after="120"/>
      <w:jc w:val="both"/>
      <w:outlineLvl w:val="1"/>
    </w:pPr>
    <w:rPr>
      <w:rFonts w:eastAsia="Times New Roman"/>
      <w:b/>
      <w:bCs/>
      <w:iCs/>
      <w:szCs w:val="28"/>
      <w:lang w:val="x-none"/>
    </w:rPr>
  </w:style>
  <w:style w:type="paragraph" w:styleId="Heading3">
    <w:name w:val="heading 3"/>
    <w:basedOn w:val="Normal"/>
    <w:next w:val="Text1"/>
    <w:link w:val="Heading3Char"/>
    <w:uiPriority w:val="9"/>
    <w:unhideWhenUsed/>
    <w:qFormat/>
    <w:pPr>
      <w:keepNext/>
      <w:numPr>
        <w:ilvl w:val="2"/>
        <w:numId w:val="1"/>
      </w:numPr>
      <w:spacing w:before="120" w:after="120"/>
      <w:jc w:val="both"/>
      <w:outlineLvl w:val="2"/>
    </w:pPr>
    <w:rPr>
      <w:rFonts w:eastAsia="Times New Roman"/>
      <w:bCs/>
      <w:i/>
      <w:szCs w:val="26"/>
    </w:rPr>
  </w:style>
  <w:style w:type="paragraph" w:styleId="Heading4">
    <w:name w:val="heading 4"/>
    <w:basedOn w:val="Normal"/>
    <w:next w:val="Text1"/>
    <w:link w:val="Heading4Char"/>
    <w:uiPriority w:val="9"/>
    <w:semiHidden/>
    <w:unhideWhenUsed/>
    <w:qFormat/>
    <w:pPr>
      <w:keepNext/>
      <w:numPr>
        <w:ilvl w:val="3"/>
        <w:numId w:val="1"/>
      </w:numPr>
      <w:spacing w:before="120" w:after="120"/>
      <w:jc w:val="both"/>
      <w:outlineLvl w:val="3"/>
    </w:pPr>
    <w:rPr>
      <w:rFonts w:eastAsia="Times New Roman"/>
      <w:bCs/>
      <w:szCs w:val="28"/>
    </w:rPr>
  </w:style>
  <w:style w:type="paragraph" w:styleId="Heading5">
    <w:name w:val="heading 5"/>
    <w:basedOn w:val="Normal"/>
    <w:next w:val="Normal"/>
    <w:link w:val="Heading5Char"/>
    <w:uiPriority w:val="9"/>
    <w:semiHidden/>
    <w:unhideWhenUsed/>
    <w:qFormat/>
    <w:pPr>
      <w:pBdr>
        <w:bottom w:val="single" w:sz="6" w:space="1" w:color="4F81BD" w:themeColor="accent1"/>
      </w:pBdr>
      <w:spacing w:before="300"/>
      <w:outlineLvl w:val="4"/>
    </w:pPr>
    <w:rPr>
      <w:rFonts w:eastAsiaTheme="minorEastAsia"/>
      <w:caps/>
      <w:color w:val="365F91"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F81BD" w:themeColor="accent1"/>
      </w:pBdr>
      <w:spacing w:before="300"/>
      <w:outlineLvl w:val="5"/>
    </w:pPr>
    <w:rPr>
      <w:rFonts w:eastAsiaTheme="minorEastAsia"/>
      <w:caps/>
      <w:color w:val="365F91" w:themeColor="accent1" w:themeShade="BF"/>
      <w:spacing w:val="10"/>
    </w:rPr>
  </w:style>
  <w:style w:type="paragraph" w:styleId="Heading7">
    <w:name w:val="heading 7"/>
    <w:basedOn w:val="Normal"/>
    <w:next w:val="Normal"/>
    <w:link w:val="Heading7Char"/>
    <w:uiPriority w:val="9"/>
    <w:semiHidden/>
    <w:unhideWhenUsed/>
    <w:qFormat/>
    <w:pPr>
      <w:spacing w:before="300"/>
      <w:outlineLvl w:val="6"/>
    </w:pPr>
    <w:rPr>
      <w:rFonts w:eastAsiaTheme="minorEastAsia"/>
      <w:caps/>
      <w:color w:val="365F91" w:themeColor="accent1" w:themeShade="BF"/>
      <w:spacing w:val="10"/>
    </w:rPr>
  </w:style>
  <w:style w:type="paragraph" w:styleId="Heading8">
    <w:name w:val="heading 8"/>
    <w:basedOn w:val="Normal"/>
    <w:next w:val="Normal"/>
    <w:link w:val="Heading8Char"/>
    <w:uiPriority w:val="9"/>
    <w:semiHidden/>
    <w:unhideWhenUsed/>
    <w:qFormat/>
    <w:pPr>
      <w:spacing w:before="300"/>
      <w:outlineLvl w:val="7"/>
    </w:pPr>
    <w:rPr>
      <w:rFonts w:eastAsiaTheme="minorEastAsia"/>
      <w:caps/>
      <w:spacing w:val="10"/>
      <w:sz w:val="18"/>
      <w:szCs w:val="18"/>
    </w:rPr>
  </w:style>
  <w:style w:type="paragraph" w:styleId="Heading9">
    <w:name w:val="heading 9"/>
    <w:basedOn w:val="Normal"/>
    <w:next w:val="Normal"/>
    <w:link w:val="Heading9Char"/>
    <w:uiPriority w:val="9"/>
    <w:semiHidden/>
    <w:unhideWhenUsed/>
    <w:qFormat/>
    <w:pPr>
      <w:spacing w:before="300"/>
      <w:outlineLvl w:val="8"/>
    </w:pPr>
    <w:rPr>
      <w:rFonts w:eastAsiaTheme="minorEastAsia"/>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Cs/>
      <w:sz w:val="24"/>
      <w:szCs w:val="28"/>
      <w:lang w:val="x-none"/>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sz w:val="24"/>
      <w:szCs w:val="28"/>
      <w:lang w:val="en-US"/>
    </w:rPr>
  </w:style>
  <w:style w:type="numbering" w:customStyle="1" w:styleId="NoList1">
    <w:name w:val="No List1"/>
    <w:next w:val="No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1">
    <w:name w:val="Text 1"/>
    <w:basedOn w:val="Normal"/>
    <w:pPr>
      <w:spacing w:beforeLines="1"/>
      <w:ind w:left="850"/>
      <w:jc w:val="both"/>
    </w:pPr>
    <w:rPr>
      <w:rFonts w:eastAsia="Times New Roman"/>
    </w:rPr>
  </w:style>
  <w:style w:type="paragraph" w:styleId="NormalWeb">
    <w:name w:val="Normal (Web)"/>
    <w:basedOn w:val="Normal"/>
    <w:uiPriority w:val="99"/>
    <w:unhideWhenUsed/>
    <w:pPr>
      <w:spacing w:beforeLines="1"/>
    </w:pPr>
    <w:rPr>
      <w:rFonts w:ascii="Times" w:eastAsia="Times New Roman" w:hAnsi="Times"/>
      <w:sz w:val="20"/>
      <w:szCs w:val="20"/>
    </w:rPr>
  </w:style>
  <w:style w:type="paragraph" w:styleId="TOC1">
    <w:name w:val="toc 1"/>
    <w:basedOn w:val="Normal"/>
    <w:next w:val="Normal"/>
    <w:autoRedefine/>
    <w:uiPriority w:val="39"/>
    <w:unhideWhenUsed/>
    <w:qFormat/>
    <w:pPr>
      <w:tabs>
        <w:tab w:val="right" w:leader="dot" w:pos="9071"/>
      </w:tabs>
      <w:spacing w:beforeLines="50" w:before="120"/>
      <w:ind w:left="851" w:hanging="851"/>
    </w:pPr>
    <w:rPr>
      <w:rFonts w:eastAsia="Times New Roman"/>
    </w:rPr>
  </w:style>
  <w:style w:type="paragraph" w:styleId="TOC2">
    <w:name w:val="toc 2"/>
    <w:basedOn w:val="Normal"/>
    <w:next w:val="Normal"/>
    <w:autoRedefine/>
    <w:uiPriority w:val="39"/>
    <w:unhideWhenUsed/>
    <w:qFormat/>
    <w:pPr>
      <w:tabs>
        <w:tab w:val="right" w:leader="dot" w:pos="9071"/>
      </w:tabs>
      <w:spacing w:beforeLines="1" w:before="2"/>
      <w:ind w:left="850" w:hanging="850"/>
    </w:pPr>
    <w:rPr>
      <w:rFonts w:eastAsia="Times New Roman"/>
      <w:noProof/>
    </w:rPr>
  </w:style>
  <w:style w:type="paragraph" w:styleId="TOC3">
    <w:name w:val="toc 3"/>
    <w:basedOn w:val="Normal"/>
    <w:next w:val="Normal"/>
    <w:autoRedefine/>
    <w:uiPriority w:val="39"/>
    <w:unhideWhenUsed/>
    <w:qFormat/>
    <w:pPr>
      <w:tabs>
        <w:tab w:val="right" w:leader="dot" w:pos="9071"/>
      </w:tabs>
      <w:spacing w:beforeLines="1"/>
      <w:ind w:left="850" w:hanging="850"/>
    </w:pPr>
    <w:rPr>
      <w:rFonts w:eastAsia="Times New Roman"/>
    </w:rPr>
  </w:style>
  <w:style w:type="paragraph" w:styleId="TOC4">
    <w:name w:val="toc 4"/>
    <w:basedOn w:val="Normal"/>
    <w:next w:val="Normal"/>
    <w:autoRedefine/>
    <w:uiPriority w:val="99"/>
    <w:semiHidden/>
    <w:unhideWhenUsed/>
    <w:pPr>
      <w:tabs>
        <w:tab w:val="right" w:leader="dot" w:pos="9071"/>
      </w:tabs>
      <w:spacing w:beforeLines="1"/>
      <w:ind w:left="850" w:hanging="850"/>
    </w:pPr>
    <w:rPr>
      <w:rFonts w:eastAsia="Times New Roman"/>
    </w:rPr>
  </w:style>
  <w:style w:type="paragraph" w:styleId="TOC5">
    <w:name w:val="toc 5"/>
    <w:basedOn w:val="Normal"/>
    <w:next w:val="Normal"/>
    <w:autoRedefine/>
    <w:uiPriority w:val="99"/>
    <w:semiHidden/>
    <w:unhideWhenUsed/>
    <w:pPr>
      <w:tabs>
        <w:tab w:val="right" w:leader="dot" w:pos="9071"/>
      </w:tabs>
      <w:spacing w:beforeLines="1"/>
    </w:pPr>
    <w:rPr>
      <w:rFonts w:eastAsia="Times New Roman"/>
    </w:rPr>
  </w:style>
  <w:style w:type="paragraph" w:styleId="TOC6">
    <w:name w:val="toc 6"/>
    <w:basedOn w:val="Normal"/>
    <w:next w:val="Normal"/>
    <w:autoRedefine/>
    <w:uiPriority w:val="99"/>
    <w:semiHidden/>
    <w:unhideWhenUsed/>
    <w:pPr>
      <w:tabs>
        <w:tab w:val="right" w:leader="dot" w:pos="9071"/>
      </w:tabs>
      <w:spacing w:beforeLines="1"/>
    </w:pPr>
    <w:rPr>
      <w:rFonts w:eastAsia="Times New Roman"/>
    </w:rPr>
  </w:style>
  <w:style w:type="paragraph" w:styleId="TOC7">
    <w:name w:val="toc 7"/>
    <w:basedOn w:val="Normal"/>
    <w:next w:val="Normal"/>
    <w:autoRedefine/>
    <w:uiPriority w:val="99"/>
    <w:semiHidden/>
    <w:unhideWhenUsed/>
    <w:pPr>
      <w:tabs>
        <w:tab w:val="right" w:leader="dot" w:pos="9071"/>
      </w:tabs>
      <w:spacing w:beforeLines="1"/>
    </w:pPr>
    <w:rPr>
      <w:rFonts w:eastAsia="Times New Roman"/>
    </w:rPr>
  </w:style>
  <w:style w:type="paragraph" w:styleId="TOC8">
    <w:name w:val="toc 8"/>
    <w:basedOn w:val="Normal"/>
    <w:next w:val="Normal"/>
    <w:autoRedefine/>
    <w:uiPriority w:val="99"/>
    <w:semiHidden/>
    <w:unhideWhenUsed/>
    <w:pPr>
      <w:tabs>
        <w:tab w:val="right" w:leader="dot" w:pos="9071"/>
      </w:tabs>
      <w:spacing w:beforeLines="1"/>
    </w:pPr>
    <w:rPr>
      <w:rFonts w:eastAsia="Times New Roman"/>
    </w:rPr>
  </w:style>
  <w:style w:type="paragraph" w:styleId="TOC9">
    <w:name w:val="toc 9"/>
    <w:basedOn w:val="Normal"/>
    <w:next w:val="Normal"/>
    <w:autoRedefine/>
    <w:uiPriority w:val="39"/>
    <w:semiHidden/>
    <w:unhideWhenUsed/>
    <w:pPr>
      <w:tabs>
        <w:tab w:val="right" w:leader="dot" w:pos="9071"/>
      </w:tabs>
      <w:spacing w:beforeLines="1"/>
      <w:jc w:val="both"/>
    </w:pPr>
    <w:rPr>
      <w:rFonts w:eastAsia="Times New Roman"/>
    </w:rPr>
  </w:style>
  <w:style w:type="paragraph" w:styleId="FootnoteText">
    <w:name w:val="footnote text"/>
    <w:basedOn w:val="Normal"/>
    <w:link w:val="FootnoteTextChar"/>
    <w:uiPriority w:val="99"/>
    <w:unhideWhenUsed/>
    <w:pPr>
      <w:spacing w:beforeLines="1"/>
      <w:ind w:left="720" w:hanging="720"/>
      <w:jc w:val="both"/>
    </w:pPr>
    <w:rPr>
      <w:rFonts w:eastAsia="Times New Roman"/>
      <w:sz w:val="20"/>
      <w:szCs w:val="20"/>
      <w:lang w:val="x-none"/>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x-none"/>
    </w:rPr>
  </w:style>
  <w:style w:type="paragraph" w:styleId="CommentText">
    <w:name w:val="annotation text"/>
    <w:basedOn w:val="Normal"/>
    <w:link w:val="CommentTextChar"/>
    <w:uiPriority w:val="99"/>
    <w:semiHidden/>
    <w:unhideWhenUsed/>
    <w:pPr>
      <w:spacing w:beforeLines="1"/>
      <w:jc w:val="both"/>
    </w:pPr>
    <w:rPr>
      <w:rFonts w:eastAsia="Times New Roman"/>
      <w:sz w:val="20"/>
      <w:szCs w:val="20"/>
      <w:lang w:val="x-none"/>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pPr>
      <w:tabs>
        <w:tab w:val="center" w:pos="4535"/>
        <w:tab w:val="right" w:pos="9071"/>
      </w:tabs>
      <w:spacing w:beforeLines="1"/>
      <w:jc w:val="both"/>
    </w:pPr>
    <w:rPr>
      <w:rFonts w:eastAsia="Calibri"/>
      <w:szCs w:val="22"/>
      <w:lang w:val="x-none"/>
    </w:rPr>
  </w:style>
  <w:style w:type="character" w:customStyle="1" w:styleId="HeaderChar">
    <w:name w:val="Header Char"/>
    <w:basedOn w:val="DefaultParagraphFont"/>
    <w:link w:val="Header"/>
    <w:uiPriority w:val="99"/>
    <w:rPr>
      <w:rFonts w:ascii="Times New Roman" w:eastAsia="Calibri" w:hAnsi="Times New Roman" w:cs="Times New Roman"/>
      <w:sz w:val="24"/>
      <w:lang w:val="x-none"/>
    </w:rPr>
  </w:style>
  <w:style w:type="paragraph" w:styleId="Footer">
    <w:name w:val="footer"/>
    <w:basedOn w:val="Normal"/>
    <w:link w:val="FooterChar"/>
    <w:uiPriority w:val="99"/>
    <w:unhideWhenUsed/>
    <w:pPr>
      <w:tabs>
        <w:tab w:val="center" w:pos="4535"/>
        <w:tab w:val="right" w:pos="9071"/>
        <w:tab w:val="right" w:pos="9921"/>
      </w:tabs>
      <w:spacing w:beforeLines="1"/>
      <w:ind w:left="-850" w:right="-850"/>
    </w:pPr>
    <w:rPr>
      <w:rFonts w:eastAsia="Times New Roman"/>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pPr>
      <w:spacing w:beforeLines="1"/>
      <w:jc w:val="both"/>
    </w:pPr>
    <w:rPr>
      <w:rFonts w:eastAsia="Times New Roman"/>
      <w:b/>
      <w:bCs/>
      <w:sz w:val="20"/>
      <w:szCs w:val="20"/>
    </w:rPr>
  </w:style>
  <w:style w:type="paragraph" w:styleId="TableofFigures">
    <w:name w:val="table of figures"/>
    <w:basedOn w:val="Normal"/>
    <w:next w:val="Normal"/>
    <w:uiPriority w:val="99"/>
    <w:semiHidden/>
    <w:unhideWhenUsed/>
    <w:pPr>
      <w:spacing w:beforeLines="1"/>
      <w:jc w:val="both"/>
    </w:pPr>
    <w:rPr>
      <w:rFonts w:eastAsia="Times New Roman"/>
    </w:rPr>
  </w:style>
  <w:style w:type="paragraph" w:styleId="ListBullet">
    <w:name w:val="List Bullet"/>
    <w:basedOn w:val="Normal"/>
    <w:uiPriority w:val="99"/>
    <w:semiHidden/>
    <w:unhideWhenUsed/>
    <w:pPr>
      <w:numPr>
        <w:numId w:val="2"/>
      </w:numPr>
      <w:tabs>
        <w:tab w:val="num" w:pos="283"/>
      </w:tabs>
      <w:spacing w:beforeLines="1"/>
      <w:ind w:left="283" w:hanging="283"/>
      <w:jc w:val="both"/>
    </w:pPr>
    <w:rPr>
      <w:rFonts w:eastAsia="Times New Roman"/>
      <w:noProof/>
    </w:rPr>
  </w:style>
  <w:style w:type="paragraph" w:styleId="ListNumber">
    <w:name w:val="List Number"/>
    <w:basedOn w:val="Normal"/>
    <w:uiPriority w:val="99"/>
    <w:semiHidden/>
    <w:unhideWhenUsed/>
    <w:pPr>
      <w:numPr>
        <w:numId w:val="3"/>
      </w:numPr>
      <w:spacing w:beforeLines="1"/>
      <w:contextualSpacing/>
      <w:jc w:val="both"/>
    </w:pPr>
    <w:rPr>
      <w:rFonts w:eastAsia="Times New Roman"/>
    </w:rPr>
  </w:style>
  <w:style w:type="paragraph" w:styleId="ListBullet2">
    <w:name w:val="List Bullet 2"/>
    <w:basedOn w:val="Normal"/>
    <w:uiPriority w:val="99"/>
    <w:semiHidden/>
    <w:unhideWhenUsed/>
    <w:pPr>
      <w:numPr>
        <w:numId w:val="4"/>
      </w:numPr>
      <w:spacing w:beforeLines="1"/>
      <w:contextualSpacing/>
      <w:jc w:val="both"/>
    </w:pPr>
    <w:rPr>
      <w:rFonts w:eastAsia="Times New Roman"/>
    </w:rPr>
  </w:style>
  <w:style w:type="paragraph" w:styleId="ListBullet3">
    <w:name w:val="List Bullet 3"/>
    <w:basedOn w:val="Normal"/>
    <w:uiPriority w:val="99"/>
    <w:semiHidden/>
    <w:unhideWhenUsed/>
    <w:pPr>
      <w:numPr>
        <w:numId w:val="5"/>
      </w:numPr>
      <w:spacing w:beforeLines="1"/>
      <w:contextualSpacing/>
      <w:jc w:val="both"/>
    </w:pPr>
    <w:rPr>
      <w:rFonts w:eastAsia="Times New Roman"/>
    </w:rPr>
  </w:style>
  <w:style w:type="paragraph" w:styleId="ListBullet4">
    <w:name w:val="List Bullet 4"/>
    <w:basedOn w:val="Normal"/>
    <w:uiPriority w:val="99"/>
    <w:semiHidden/>
    <w:unhideWhenUsed/>
    <w:pPr>
      <w:numPr>
        <w:numId w:val="6"/>
      </w:numPr>
      <w:spacing w:beforeLines="1"/>
      <w:contextualSpacing/>
      <w:jc w:val="both"/>
    </w:pPr>
    <w:rPr>
      <w:rFonts w:eastAsia="Times New Roman"/>
    </w:rPr>
  </w:style>
  <w:style w:type="paragraph" w:styleId="ListNumber2">
    <w:name w:val="List Number 2"/>
    <w:basedOn w:val="Normal"/>
    <w:uiPriority w:val="99"/>
    <w:semiHidden/>
    <w:unhideWhenUsed/>
    <w:pPr>
      <w:numPr>
        <w:numId w:val="7"/>
      </w:numPr>
      <w:spacing w:beforeLines="1"/>
      <w:contextualSpacing/>
      <w:jc w:val="both"/>
    </w:pPr>
    <w:rPr>
      <w:rFonts w:eastAsia="Times New Roman"/>
    </w:rPr>
  </w:style>
  <w:style w:type="paragraph" w:styleId="ListNumber3">
    <w:name w:val="List Number 3"/>
    <w:basedOn w:val="Normal"/>
    <w:uiPriority w:val="99"/>
    <w:semiHidden/>
    <w:unhideWhenUsed/>
    <w:pPr>
      <w:numPr>
        <w:numId w:val="8"/>
      </w:numPr>
      <w:spacing w:beforeLines="1"/>
      <w:contextualSpacing/>
      <w:jc w:val="both"/>
    </w:pPr>
    <w:rPr>
      <w:rFonts w:eastAsia="Times New Roman"/>
    </w:rPr>
  </w:style>
  <w:style w:type="paragraph" w:styleId="ListNumber4">
    <w:name w:val="List Number 4"/>
    <w:basedOn w:val="Normal"/>
    <w:uiPriority w:val="99"/>
    <w:semiHidden/>
    <w:unhideWhenUsed/>
    <w:pPr>
      <w:numPr>
        <w:numId w:val="9"/>
      </w:numPr>
      <w:spacing w:beforeLines="1"/>
      <w:contextualSpacing/>
      <w:jc w:val="both"/>
    </w:pPr>
    <w:rPr>
      <w:rFonts w:eastAsia="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x-none"/>
    </w:rPr>
  </w:style>
  <w:style w:type="paragraph" w:styleId="BalloonText">
    <w:name w:val="Balloon Text"/>
    <w:basedOn w:val="Normal"/>
    <w:link w:val="BalloonTextChar"/>
    <w:uiPriority w:val="99"/>
    <w:semiHidden/>
    <w:unhideWhenUsed/>
    <w:pPr>
      <w:spacing w:beforeLines="1"/>
      <w:jc w:val="both"/>
    </w:pPr>
    <w:rPr>
      <w:rFonts w:ascii="Tahoma" w:eastAsia="Times New Roman" w:hAnsi="Tahoma"/>
      <w:sz w:val="16"/>
      <w:szCs w:val="16"/>
      <w:lang w:val="x-none"/>
    </w:rPr>
  </w:style>
  <w:style w:type="character" w:customStyle="1" w:styleId="BalloonTextChar">
    <w:name w:val="Balloon Text Char"/>
    <w:basedOn w:val="DefaultParagraphFont"/>
    <w:link w:val="BalloonText"/>
    <w:uiPriority w:val="99"/>
    <w:semiHidden/>
    <w:rPr>
      <w:rFonts w:ascii="Tahoma" w:eastAsia="Times New Roman" w:hAnsi="Tahoma" w:cs="Times New Roman"/>
      <w:sz w:val="16"/>
      <w:szCs w:val="16"/>
      <w:lang w:val="x-none"/>
    </w:rPr>
  </w:style>
  <w:style w:type="paragraph" w:customStyle="1" w:styleId="HeaderLandscape">
    <w:name w:val="HeaderLandscape"/>
    <w:basedOn w:val="Normal"/>
    <w:uiPriority w:val="99"/>
    <w:pPr>
      <w:tabs>
        <w:tab w:val="center" w:pos="7285"/>
        <w:tab w:val="right" w:pos="14003"/>
      </w:tabs>
      <w:spacing w:beforeLines="1"/>
      <w:jc w:val="both"/>
    </w:pPr>
    <w:rPr>
      <w:rFonts w:eastAsia="Calibri"/>
      <w:szCs w:val="22"/>
    </w:rPr>
  </w:style>
  <w:style w:type="paragraph" w:customStyle="1" w:styleId="FooterLandscape">
    <w:name w:val="FooterLandscape"/>
    <w:basedOn w:val="Normal"/>
    <w:uiPriority w:val="99"/>
    <w:pPr>
      <w:tabs>
        <w:tab w:val="center" w:pos="7285"/>
        <w:tab w:val="center" w:pos="10913"/>
        <w:tab w:val="right" w:pos="15137"/>
      </w:tabs>
      <w:spacing w:beforeLines="1"/>
      <w:ind w:left="-567" w:right="-567"/>
    </w:pPr>
    <w:rPr>
      <w:rFonts w:eastAsia="Times New Roman"/>
    </w:rPr>
  </w:style>
  <w:style w:type="paragraph" w:customStyle="1" w:styleId="Text2">
    <w:name w:val="Text 2"/>
    <w:basedOn w:val="Normal"/>
    <w:uiPriority w:val="99"/>
    <w:pPr>
      <w:spacing w:beforeLines="1"/>
      <w:ind w:left="1417"/>
      <w:jc w:val="both"/>
    </w:pPr>
    <w:rPr>
      <w:rFonts w:eastAsia="Times New Roman"/>
    </w:rPr>
  </w:style>
  <w:style w:type="paragraph" w:customStyle="1" w:styleId="Text3">
    <w:name w:val="Text 3"/>
    <w:basedOn w:val="Normal"/>
    <w:uiPriority w:val="99"/>
    <w:pPr>
      <w:spacing w:beforeLines="1"/>
      <w:ind w:left="1984"/>
      <w:jc w:val="both"/>
    </w:pPr>
    <w:rPr>
      <w:rFonts w:eastAsia="Times New Roman"/>
    </w:rPr>
  </w:style>
  <w:style w:type="paragraph" w:customStyle="1" w:styleId="Text4">
    <w:name w:val="Text 4"/>
    <w:basedOn w:val="Normal"/>
    <w:uiPriority w:val="99"/>
    <w:pPr>
      <w:spacing w:beforeLines="1"/>
      <w:ind w:left="2551"/>
      <w:jc w:val="both"/>
    </w:pPr>
    <w:rPr>
      <w:rFonts w:eastAsia="Times New Roman"/>
    </w:rPr>
  </w:style>
  <w:style w:type="paragraph" w:customStyle="1" w:styleId="NormalCentered">
    <w:name w:val="Normal Centered"/>
    <w:basedOn w:val="Normal"/>
    <w:uiPriority w:val="99"/>
    <w:pPr>
      <w:spacing w:beforeLines="1"/>
      <w:jc w:val="center"/>
    </w:pPr>
    <w:rPr>
      <w:rFonts w:eastAsia="Times New Roman"/>
    </w:rPr>
  </w:style>
  <w:style w:type="paragraph" w:customStyle="1" w:styleId="NormalLeft">
    <w:name w:val="Normal Left"/>
    <w:basedOn w:val="Normal"/>
    <w:uiPriority w:val="99"/>
    <w:pPr>
      <w:spacing w:beforeLines="1"/>
    </w:pPr>
    <w:rPr>
      <w:rFonts w:eastAsia="Times New Roman"/>
    </w:rPr>
  </w:style>
  <w:style w:type="paragraph" w:customStyle="1" w:styleId="NormalRight">
    <w:name w:val="Normal Right"/>
    <w:basedOn w:val="Normal"/>
    <w:uiPriority w:val="99"/>
    <w:pPr>
      <w:spacing w:beforeLines="1"/>
      <w:jc w:val="right"/>
    </w:pPr>
    <w:rPr>
      <w:rFonts w:eastAsia="Times New Roman"/>
    </w:rPr>
  </w:style>
  <w:style w:type="paragraph" w:customStyle="1" w:styleId="QuotedText">
    <w:name w:val="Quoted Text"/>
    <w:basedOn w:val="Normal"/>
    <w:uiPriority w:val="99"/>
    <w:pPr>
      <w:spacing w:beforeLines="1"/>
      <w:ind w:left="1417"/>
      <w:jc w:val="both"/>
    </w:pPr>
    <w:rPr>
      <w:rFonts w:eastAsia="Times New Roman"/>
    </w:rPr>
  </w:style>
  <w:style w:type="paragraph" w:customStyle="1" w:styleId="Point0">
    <w:name w:val="Point 0"/>
    <w:basedOn w:val="Normal"/>
    <w:uiPriority w:val="99"/>
    <w:pPr>
      <w:spacing w:beforeLines="1"/>
      <w:ind w:left="850" w:hanging="850"/>
      <w:jc w:val="both"/>
    </w:pPr>
    <w:rPr>
      <w:rFonts w:eastAsia="Times New Roman"/>
    </w:rPr>
  </w:style>
  <w:style w:type="paragraph" w:customStyle="1" w:styleId="Point1">
    <w:name w:val="Point 1"/>
    <w:basedOn w:val="Normal"/>
    <w:uiPriority w:val="99"/>
    <w:pPr>
      <w:spacing w:beforeLines="1"/>
      <w:ind w:left="1417" w:hanging="567"/>
      <w:jc w:val="both"/>
    </w:pPr>
    <w:rPr>
      <w:rFonts w:eastAsia="Times New Roman"/>
    </w:rPr>
  </w:style>
  <w:style w:type="paragraph" w:customStyle="1" w:styleId="Point2">
    <w:name w:val="Point 2"/>
    <w:basedOn w:val="Normal"/>
    <w:uiPriority w:val="99"/>
    <w:pPr>
      <w:spacing w:beforeLines="1"/>
      <w:ind w:left="1984" w:hanging="567"/>
      <w:jc w:val="both"/>
    </w:pPr>
    <w:rPr>
      <w:rFonts w:eastAsia="Times New Roman"/>
    </w:rPr>
  </w:style>
  <w:style w:type="paragraph" w:customStyle="1" w:styleId="Point3">
    <w:name w:val="Point 3"/>
    <w:basedOn w:val="Normal"/>
    <w:uiPriority w:val="99"/>
    <w:pPr>
      <w:spacing w:beforeLines="1"/>
      <w:ind w:left="2551" w:hanging="567"/>
      <w:jc w:val="both"/>
    </w:pPr>
    <w:rPr>
      <w:rFonts w:eastAsia="Times New Roman"/>
    </w:rPr>
  </w:style>
  <w:style w:type="paragraph" w:customStyle="1" w:styleId="Point4">
    <w:name w:val="Point 4"/>
    <w:basedOn w:val="Normal"/>
    <w:uiPriority w:val="99"/>
    <w:pPr>
      <w:spacing w:beforeLines="1"/>
      <w:ind w:left="3118" w:hanging="567"/>
      <w:jc w:val="both"/>
    </w:pPr>
    <w:rPr>
      <w:rFonts w:eastAsia="Times New Roman"/>
    </w:rPr>
  </w:style>
  <w:style w:type="paragraph" w:customStyle="1" w:styleId="Tiret0">
    <w:name w:val="Tiret 0"/>
    <w:basedOn w:val="Point0"/>
    <w:uiPriority w:val="99"/>
    <w:pPr>
      <w:numPr>
        <w:numId w:val="10"/>
      </w:numPr>
    </w:pPr>
  </w:style>
  <w:style w:type="paragraph" w:customStyle="1" w:styleId="Tiret1">
    <w:name w:val="Tiret 1"/>
    <w:basedOn w:val="Point1"/>
    <w:uiPriority w:val="99"/>
    <w:pPr>
      <w:numPr>
        <w:numId w:val="11"/>
      </w:numPr>
    </w:pPr>
  </w:style>
  <w:style w:type="paragraph" w:customStyle="1" w:styleId="Tiret2">
    <w:name w:val="Tiret 2"/>
    <w:basedOn w:val="Point2"/>
    <w:uiPriority w:val="99"/>
    <w:pPr>
      <w:numPr>
        <w:numId w:val="12"/>
      </w:numPr>
    </w:pPr>
  </w:style>
  <w:style w:type="paragraph" w:customStyle="1" w:styleId="Tiret3">
    <w:name w:val="Tiret 3"/>
    <w:basedOn w:val="Point3"/>
    <w:uiPriority w:val="99"/>
    <w:pPr>
      <w:numPr>
        <w:numId w:val="13"/>
      </w:numPr>
    </w:pPr>
  </w:style>
  <w:style w:type="paragraph" w:customStyle="1" w:styleId="Tiret4">
    <w:name w:val="Tiret 4"/>
    <w:basedOn w:val="Point4"/>
    <w:uiPriority w:val="99"/>
    <w:pPr>
      <w:numPr>
        <w:numId w:val="14"/>
      </w:numPr>
    </w:pPr>
  </w:style>
  <w:style w:type="paragraph" w:customStyle="1" w:styleId="PointDouble0">
    <w:name w:val="PointDouble 0"/>
    <w:basedOn w:val="Normal"/>
    <w:uiPriority w:val="99"/>
    <w:pPr>
      <w:tabs>
        <w:tab w:val="left" w:pos="850"/>
      </w:tabs>
      <w:spacing w:beforeLines="1"/>
      <w:ind w:left="1417" w:hanging="1417"/>
      <w:jc w:val="both"/>
    </w:pPr>
    <w:rPr>
      <w:rFonts w:eastAsia="Times New Roman"/>
    </w:rPr>
  </w:style>
  <w:style w:type="paragraph" w:customStyle="1" w:styleId="PointDouble1">
    <w:name w:val="PointDouble 1"/>
    <w:basedOn w:val="Normal"/>
    <w:uiPriority w:val="99"/>
    <w:pPr>
      <w:tabs>
        <w:tab w:val="left" w:pos="1417"/>
      </w:tabs>
      <w:spacing w:beforeLines="1"/>
      <w:ind w:left="1984" w:hanging="1134"/>
      <w:jc w:val="both"/>
    </w:pPr>
    <w:rPr>
      <w:rFonts w:eastAsia="Times New Roman"/>
    </w:rPr>
  </w:style>
  <w:style w:type="paragraph" w:customStyle="1" w:styleId="PointDouble2">
    <w:name w:val="PointDouble 2"/>
    <w:basedOn w:val="Normal"/>
    <w:uiPriority w:val="99"/>
    <w:pPr>
      <w:tabs>
        <w:tab w:val="left" w:pos="1984"/>
      </w:tabs>
      <w:spacing w:beforeLines="1"/>
      <w:ind w:left="2551" w:hanging="1134"/>
      <w:jc w:val="both"/>
    </w:pPr>
    <w:rPr>
      <w:rFonts w:eastAsia="Times New Roman"/>
    </w:rPr>
  </w:style>
  <w:style w:type="paragraph" w:customStyle="1" w:styleId="PointDouble3">
    <w:name w:val="PointDouble 3"/>
    <w:basedOn w:val="Normal"/>
    <w:uiPriority w:val="99"/>
    <w:pPr>
      <w:tabs>
        <w:tab w:val="left" w:pos="2551"/>
      </w:tabs>
      <w:spacing w:beforeLines="1"/>
      <w:ind w:left="3118" w:hanging="1134"/>
      <w:jc w:val="both"/>
    </w:pPr>
    <w:rPr>
      <w:rFonts w:eastAsia="Times New Roman"/>
    </w:rPr>
  </w:style>
  <w:style w:type="paragraph" w:customStyle="1" w:styleId="PointDouble4">
    <w:name w:val="PointDouble 4"/>
    <w:basedOn w:val="Normal"/>
    <w:uiPriority w:val="99"/>
    <w:pPr>
      <w:tabs>
        <w:tab w:val="left" w:pos="3118"/>
      </w:tabs>
      <w:spacing w:beforeLines="1"/>
      <w:ind w:left="3685" w:hanging="1134"/>
      <w:jc w:val="both"/>
    </w:pPr>
    <w:rPr>
      <w:rFonts w:eastAsia="Times New Roman"/>
    </w:rPr>
  </w:style>
  <w:style w:type="paragraph" w:customStyle="1" w:styleId="PointTriple0">
    <w:name w:val="PointTriple 0"/>
    <w:basedOn w:val="Normal"/>
    <w:uiPriority w:val="99"/>
    <w:pPr>
      <w:tabs>
        <w:tab w:val="left" w:pos="850"/>
        <w:tab w:val="left" w:pos="1417"/>
      </w:tabs>
      <w:spacing w:beforeLines="1"/>
      <w:ind w:left="1984" w:hanging="1984"/>
      <w:jc w:val="both"/>
    </w:pPr>
    <w:rPr>
      <w:rFonts w:eastAsia="Times New Roman"/>
    </w:rPr>
  </w:style>
  <w:style w:type="paragraph" w:customStyle="1" w:styleId="PointTriple1">
    <w:name w:val="PointTriple 1"/>
    <w:basedOn w:val="Normal"/>
    <w:uiPriority w:val="99"/>
    <w:pPr>
      <w:tabs>
        <w:tab w:val="left" w:pos="1417"/>
        <w:tab w:val="left" w:pos="1984"/>
      </w:tabs>
      <w:spacing w:beforeLines="1"/>
      <w:ind w:left="2551" w:hanging="1701"/>
      <w:jc w:val="both"/>
    </w:pPr>
    <w:rPr>
      <w:rFonts w:eastAsia="Times New Roman"/>
    </w:rPr>
  </w:style>
  <w:style w:type="paragraph" w:customStyle="1" w:styleId="PointTriple2">
    <w:name w:val="PointTriple 2"/>
    <w:basedOn w:val="Normal"/>
    <w:uiPriority w:val="99"/>
    <w:pPr>
      <w:tabs>
        <w:tab w:val="left" w:pos="1984"/>
        <w:tab w:val="left" w:pos="2551"/>
      </w:tabs>
      <w:spacing w:beforeLines="1"/>
      <w:ind w:left="3118" w:hanging="1701"/>
      <w:jc w:val="both"/>
    </w:pPr>
    <w:rPr>
      <w:rFonts w:eastAsia="Times New Roman"/>
    </w:rPr>
  </w:style>
  <w:style w:type="paragraph" w:customStyle="1" w:styleId="PointTriple3">
    <w:name w:val="PointTriple 3"/>
    <w:basedOn w:val="Normal"/>
    <w:uiPriority w:val="99"/>
    <w:pPr>
      <w:tabs>
        <w:tab w:val="left" w:pos="2551"/>
        <w:tab w:val="left" w:pos="3118"/>
      </w:tabs>
      <w:spacing w:beforeLines="1"/>
      <w:ind w:left="3685" w:hanging="1701"/>
      <w:jc w:val="both"/>
    </w:pPr>
    <w:rPr>
      <w:rFonts w:eastAsia="Times New Roman"/>
    </w:rPr>
  </w:style>
  <w:style w:type="paragraph" w:customStyle="1" w:styleId="PointTriple4">
    <w:name w:val="PointTriple 4"/>
    <w:basedOn w:val="Normal"/>
    <w:uiPriority w:val="99"/>
    <w:pPr>
      <w:tabs>
        <w:tab w:val="left" w:pos="3118"/>
        <w:tab w:val="left" w:pos="3685"/>
      </w:tabs>
      <w:spacing w:beforeLines="1"/>
      <w:ind w:left="4252" w:hanging="1701"/>
      <w:jc w:val="both"/>
    </w:pPr>
    <w:rPr>
      <w:rFonts w:eastAsia="Times New Roman"/>
    </w:rPr>
  </w:style>
  <w:style w:type="paragraph" w:customStyle="1" w:styleId="NumPar1">
    <w:name w:val="NumPar 1"/>
    <w:basedOn w:val="Normal"/>
    <w:next w:val="Text1"/>
    <w:uiPriority w:val="99"/>
    <w:pPr>
      <w:numPr>
        <w:numId w:val="15"/>
      </w:numPr>
      <w:spacing w:beforeLines="1"/>
      <w:jc w:val="both"/>
    </w:pPr>
    <w:rPr>
      <w:rFonts w:eastAsia="Times New Roman"/>
    </w:rPr>
  </w:style>
  <w:style w:type="paragraph" w:customStyle="1" w:styleId="NumPar2">
    <w:name w:val="NumPar 2"/>
    <w:basedOn w:val="Normal"/>
    <w:next w:val="Text1"/>
    <w:uiPriority w:val="99"/>
    <w:pPr>
      <w:numPr>
        <w:ilvl w:val="1"/>
        <w:numId w:val="15"/>
      </w:numPr>
      <w:spacing w:beforeLines="1"/>
      <w:jc w:val="both"/>
    </w:pPr>
    <w:rPr>
      <w:rFonts w:eastAsia="Times New Roman"/>
    </w:rPr>
  </w:style>
  <w:style w:type="paragraph" w:customStyle="1" w:styleId="NumPar3">
    <w:name w:val="NumPar 3"/>
    <w:basedOn w:val="Normal"/>
    <w:next w:val="Text1"/>
    <w:uiPriority w:val="99"/>
    <w:pPr>
      <w:numPr>
        <w:ilvl w:val="2"/>
        <w:numId w:val="15"/>
      </w:numPr>
      <w:spacing w:beforeLines="1"/>
      <w:jc w:val="both"/>
    </w:pPr>
    <w:rPr>
      <w:rFonts w:eastAsia="Times New Roman"/>
    </w:rPr>
  </w:style>
  <w:style w:type="paragraph" w:customStyle="1" w:styleId="NumPar4">
    <w:name w:val="NumPar 4"/>
    <w:basedOn w:val="Normal"/>
    <w:next w:val="Text1"/>
    <w:uiPriority w:val="99"/>
    <w:pPr>
      <w:numPr>
        <w:ilvl w:val="3"/>
        <w:numId w:val="15"/>
      </w:numPr>
      <w:spacing w:beforeLines="1"/>
      <w:jc w:val="both"/>
    </w:pPr>
    <w:rPr>
      <w:rFonts w:eastAsia="Times New Roman"/>
    </w:rPr>
  </w:style>
  <w:style w:type="paragraph" w:customStyle="1" w:styleId="ManualNumPar1">
    <w:name w:val="Manual NumPar 1"/>
    <w:basedOn w:val="Normal"/>
    <w:next w:val="Text1"/>
    <w:uiPriority w:val="99"/>
    <w:pPr>
      <w:spacing w:beforeLines="1"/>
      <w:ind w:left="850" w:hanging="850"/>
      <w:jc w:val="both"/>
    </w:pPr>
    <w:rPr>
      <w:rFonts w:eastAsia="Times New Roman"/>
    </w:rPr>
  </w:style>
  <w:style w:type="paragraph" w:customStyle="1" w:styleId="ManualNumPar2">
    <w:name w:val="Manual NumPar 2"/>
    <w:basedOn w:val="Normal"/>
    <w:next w:val="Text1"/>
    <w:uiPriority w:val="99"/>
    <w:pPr>
      <w:spacing w:beforeLines="1"/>
      <w:ind w:left="850" w:hanging="850"/>
      <w:jc w:val="both"/>
    </w:pPr>
    <w:rPr>
      <w:rFonts w:eastAsia="Times New Roman"/>
    </w:rPr>
  </w:style>
  <w:style w:type="paragraph" w:customStyle="1" w:styleId="ManualNumPar3">
    <w:name w:val="Manual NumPar 3"/>
    <w:basedOn w:val="Normal"/>
    <w:next w:val="Text1"/>
    <w:uiPriority w:val="99"/>
    <w:pPr>
      <w:spacing w:beforeLines="1"/>
      <w:ind w:left="850" w:hanging="850"/>
      <w:jc w:val="both"/>
    </w:pPr>
    <w:rPr>
      <w:rFonts w:eastAsia="Times New Roman"/>
    </w:rPr>
  </w:style>
  <w:style w:type="paragraph" w:customStyle="1" w:styleId="ManualNumPar4">
    <w:name w:val="Manual NumPar 4"/>
    <w:basedOn w:val="Normal"/>
    <w:next w:val="Text1"/>
    <w:uiPriority w:val="99"/>
    <w:pPr>
      <w:spacing w:beforeLines="1"/>
      <w:ind w:left="850" w:hanging="850"/>
      <w:jc w:val="both"/>
    </w:pPr>
    <w:rPr>
      <w:rFonts w:eastAsia="Times New Roman"/>
    </w:rPr>
  </w:style>
  <w:style w:type="paragraph" w:customStyle="1" w:styleId="QuotedNumPar">
    <w:name w:val="Quoted NumPar"/>
    <w:basedOn w:val="Normal"/>
    <w:uiPriority w:val="99"/>
    <w:pPr>
      <w:spacing w:beforeLines="1"/>
      <w:ind w:left="1417" w:hanging="567"/>
      <w:jc w:val="both"/>
    </w:pPr>
    <w:rPr>
      <w:rFonts w:eastAsia="Times New Roman"/>
    </w:rPr>
  </w:style>
  <w:style w:type="paragraph" w:customStyle="1" w:styleId="ManualHeading1">
    <w:name w:val="Manual Heading 1"/>
    <w:basedOn w:val="Normal"/>
    <w:next w:val="Text1"/>
    <w:uiPriority w:val="99"/>
    <w:pPr>
      <w:keepNext/>
      <w:tabs>
        <w:tab w:val="left" w:pos="850"/>
      </w:tabs>
      <w:spacing w:beforeLines="1"/>
      <w:ind w:left="850" w:hanging="850"/>
      <w:jc w:val="both"/>
      <w:outlineLvl w:val="0"/>
    </w:pPr>
    <w:rPr>
      <w:rFonts w:eastAsia="Times New Roman"/>
      <w:b/>
      <w:smallCaps/>
    </w:rPr>
  </w:style>
  <w:style w:type="paragraph" w:customStyle="1" w:styleId="ManualHeading2">
    <w:name w:val="Manual Heading 2"/>
    <w:basedOn w:val="Normal"/>
    <w:next w:val="Text1"/>
    <w:uiPriority w:val="99"/>
    <w:pPr>
      <w:keepNext/>
      <w:tabs>
        <w:tab w:val="left" w:pos="850"/>
      </w:tabs>
      <w:spacing w:beforeLines="1"/>
      <w:ind w:left="850" w:hanging="850"/>
      <w:jc w:val="both"/>
      <w:outlineLvl w:val="1"/>
    </w:pPr>
    <w:rPr>
      <w:rFonts w:eastAsia="Times New Roman"/>
      <w:b/>
    </w:rPr>
  </w:style>
  <w:style w:type="paragraph" w:customStyle="1" w:styleId="ManualHeading3">
    <w:name w:val="Manual Heading 3"/>
    <w:basedOn w:val="Normal"/>
    <w:next w:val="Text1"/>
    <w:uiPriority w:val="99"/>
    <w:pPr>
      <w:keepNext/>
      <w:tabs>
        <w:tab w:val="left" w:pos="850"/>
      </w:tabs>
      <w:spacing w:beforeLines="1"/>
      <w:ind w:left="850" w:hanging="850"/>
      <w:jc w:val="both"/>
      <w:outlineLvl w:val="2"/>
    </w:pPr>
    <w:rPr>
      <w:rFonts w:eastAsia="Times New Roman"/>
      <w:i/>
    </w:rPr>
  </w:style>
  <w:style w:type="paragraph" w:customStyle="1" w:styleId="ManualHeading4">
    <w:name w:val="Manual Heading 4"/>
    <w:basedOn w:val="Normal"/>
    <w:next w:val="Text1"/>
    <w:uiPriority w:val="99"/>
    <w:pPr>
      <w:keepNext/>
      <w:tabs>
        <w:tab w:val="left" w:pos="850"/>
      </w:tabs>
      <w:spacing w:beforeLines="1"/>
      <w:ind w:left="850" w:hanging="850"/>
      <w:jc w:val="both"/>
      <w:outlineLvl w:val="3"/>
    </w:pPr>
    <w:rPr>
      <w:rFonts w:eastAsia="Times New Roman"/>
    </w:rPr>
  </w:style>
  <w:style w:type="paragraph" w:customStyle="1" w:styleId="ChapterTitle">
    <w:name w:val="ChapterTitle"/>
    <w:basedOn w:val="Normal"/>
    <w:next w:val="Normal"/>
    <w:uiPriority w:val="99"/>
    <w:pPr>
      <w:keepNext/>
      <w:spacing w:beforeLines="1"/>
      <w:jc w:val="center"/>
    </w:pPr>
    <w:rPr>
      <w:rFonts w:eastAsia="Times New Roman"/>
      <w:b/>
      <w:sz w:val="32"/>
    </w:rPr>
  </w:style>
  <w:style w:type="paragraph" w:customStyle="1" w:styleId="PartTitle">
    <w:name w:val="PartTitle"/>
    <w:basedOn w:val="Normal"/>
    <w:next w:val="ChapterTitle"/>
    <w:uiPriority w:val="99"/>
    <w:pPr>
      <w:keepNext/>
      <w:pageBreakBefore/>
      <w:spacing w:beforeLines="1"/>
      <w:jc w:val="center"/>
    </w:pPr>
    <w:rPr>
      <w:rFonts w:eastAsia="Times New Roman"/>
      <w:b/>
      <w:sz w:val="36"/>
    </w:rPr>
  </w:style>
  <w:style w:type="paragraph" w:customStyle="1" w:styleId="SectionTitle">
    <w:name w:val="SectionTitle"/>
    <w:basedOn w:val="Normal"/>
    <w:next w:val="Heading1"/>
    <w:uiPriority w:val="99"/>
    <w:pPr>
      <w:keepNext/>
      <w:spacing w:beforeLines="1"/>
      <w:jc w:val="center"/>
    </w:pPr>
    <w:rPr>
      <w:rFonts w:eastAsia="Times New Roman"/>
      <w:b/>
      <w:smallCaps/>
      <w:sz w:val="28"/>
    </w:rPr>
  </w:style>
  <w:style w:type="paragraph" w:customStyle="1" w:styleId="TableTitle">
    <w:name w:val="Table Title"/>
    <w:basedOn w:val="Normal"/>
    <w:next w:val="Normal"/>
    <w:uiPriority w:val="99"/>
    <w:pPr>
      <w:spacing w:beforeLines="1"/>
      <w:jc w:val="center"/>
    </w:pPr>
    <w:rPr>
      <w:rFonts w:eastAsia="Times New Roman"/>
      <w:b/>
    </w:rPr>
  </w:style>
  <w:style w:type="paragraph" w:styleId="TOCHeading">
    <w:name w:val="TOC Heading"/>
    <w:basedOn w:val="Normal"/>
    <w:next w:val="Normal"/>
    <w:uiPriority w:val="39"/>
    <w:unhideWhenUsed/>
    <w:qFormat/>
    <w:pPr>
      <w:spacing w:beforeLines="1"/>
      <w:jc w:val="center"/>
    </w:pPr>
    <w:rPr>
      <w:rFonts w:eastAsia="Times New Roman"/>
      <w:b/>
      <w:sz w:val="28"/>
    </w:rPr>
  </w:style>
  <w:style w:type="paragraph" w:customStyle="1" w:styleId="Point0number">
    <w:name w:val="Point 0 (number)"/>
    <w:basedOn w:val="Normal"/>
    <w:uiPriority w:val="99"/>
    <w:pPr>
      <w:numPr>
        <w:numId w:val="16"/>
      </w:numPr>
      <w:spacing w:beforeLines="1"/>
      <w:jc w:val="both"/>
    </w:pPr>
    <w:rPr>
      <w:rFonts w:eastAsia="Times New Roman"/>
    </w:rPr>
  </w:style>
  <w:style w:type="paragraph" w:customStyle="1" w:styleId="Point1number">
    <w:name w:val="Point 1 (number)"/>
    <w:basedOn w:val="Normal"/>
    <w:uiPriority w:val="99"/>
    <w:pPr>
      <w:numPr>
        <w:ilvl w:val="2"/>
        <w:numId w:val="16"/>
      </w:numPr>
      <w:spacing w:beforeLines="1"/>
      <w:jc w:val="both"/>
    </w:pPr>
    <w:rPr>
      <w:rFonts w:eastAsia="Times New Roman"/>
    </w:rPr>
  </w:style>
  <w:style w:type="paragraph" w:customStyle="1" w:styleId="Point2number">
    <w:name w:val="Point 2 (number)"/>
    <w:basedOn w:val="Normal"/>
    <w:uiPriority w:val="99"/>
    <w:pPr>
      <w:numPr>
        <w:ilvl w:val="4"/>
        <w:numId w:val="16"/>
      </w:numPr>
      <w:spacing w:beforeLines="1"/>
      <w:jc w:val="both"/>
    </w:pPr>
    <w:rPr>
      <w:rFonts w:eastAsia="Times New Roman"/>
    </w:rPr>
  </w:style>
  <w:style w:type="paragraph" w:customStyle="1" w:styleId="Point3number">
    <w:name w:val="Point 3 (number)"/>
    <w:basedOn w:val="Normal"/>
    <w:uiPriority w:val="99"/>
    <w:pPr>
      <w:numPr>
        <w:ilvl w:val="6"/>
        <w:numId w:val="16"/>
      </w:numPr>
      <w:spacing w:beforeLines="1"/>
      <w:jc w:val="both"/>
    </w:pPr>
    <w:rPr>
      <w:rFonts w:eastAsia="Times New Roman"/>
    </w:rPr>
  </w:style>
  <w:style w:type="paragraph" w:customStyle="1" w:styleId="Point0letter">
    <w:name w:val="Point 0 (letter)"/>
    <w:basedOn w:val="Normal"/>
    <w:uiPriority w:val="99"/>
    <w:pPr>
      <w:numPr>
        <w:ilvl w:val="1"/>
        <w:numId w:val="16"/>
      </w:numPr>
      <w:spacing w:beforeLines="1"/>
      <w:jc w:val="both"/>
    </w:pPr>
    <w:rPr>
      <w:rFonts w:eastAsia="Times New Roman"/>
    </w:rPr>
  </w:style>
  <w:style w:type="paragraph" w:customStyle="1" w:styleId="Point1letter">
    <w:name w:val="Point 1 (letter)"/>
    <w:basedOn w:val="Normal"/>
    <w:uiPriority w:val="99"/>
    <w:pPr>
      <w:numPr>
        <w:ilvl w:val="3"/>
        <w:numId w:val="16"/>
      </w:numPr>
      <w:spacing w:beforeLines="1"/>
      <w:jc w:val="both"/>
    </w:pPr>
    <w:rPr>
      <w:rFonts w:eastAsia="Times New Roman"/>
    </w:rPr>
  </w:style>
  <w:style w:type="paragraph" w:customStyle="1" w:styleId="Point2letter">
    <w:name w:val="Point 2 (letter)"/>
    <w:basedOn w:val="Normal"/>
    <w:uiPriority w:val="99"/>
    <w:pPr>
      <w:numPr>
        <w:ilvl w:val="5"/>
        <w:numId w:val="16"/>
      </w:numPr>
      <w:spacing w:beforeLines="1"/>
      <w:jc w:val="both"/>
    </w:pPr>
    <w:rPr>
      <w:rFonts w:eastAsia="Times New Roman"/>
    </w:rPr>
  </w:style>
  <w:style w:type="paragraph" w:customStyle="1" w:styleId="Point3letter">
    <w:name w:val="Point 3 (letter)"/>
    <w:basedOn w:val="Normal"/>
    <w:uiPriority w:val="99"/>
    <w:pPr>
      <w:numPr>
        <w:ilvl w:val="7"/>
        <w:numId w:val="16"/>
      </w:numPr>
      <w:spacing w:beforeLines="1"/>
      <w:jc w:val="both"/>
    </w:pPr>
    <w:rPr>
      <w:rFonts w:eastAsia="Times New Roman"/>
    </w:rPr>
  </w:style>
  <w:style w:type="paragraph" w:customStyle="1" w:styleId="Point4letter">
    <w:name w:val="Point 4 (letter)"/>
    <w:basedOn w:val="Normal"/>
    <w:uiPriority w:val="99"/>
    <w:pPr>
      <w:numPr>
        <w:ilvl w:val="8"/>
        <w:numId w:val="16"/>
      </w:numPr>
      <w:spacing w:beforeLines="1"/>
      <w:jc w:val="both"/>
    </w:pPr>
    <w:rPr>
      <w:rFonts w:eastAsia="Times New Roman"/>
    </w:rPr>
  </w:style>
  <w:style w:type="paragraph" w:customStyle="1" w:styleId="Bullet0">
    <w:name w:val="Bullet 0"/>
    <w:basedOn w:val="Normal"/>
    <w:uiPriority w:val="99"/>
    <w:pPr>
      <w:numPr>
        <w:numId w:val="17"/>
      </w:numPr>
      <w:spacing w:beforeLines="1"/>
      <w:jc w:val="both"/>
    </w:pPr>
    <w:rPr>
      <w:rFonts w:eastAsia="Times New Roman"/>
    </w:rPr>
  </w:style>
  <w:style w:type="paragraph" w:customStyle="1" w:styleId="Bullet1">
    <w:name w:val="Bullet 1"/>
    <w:basedOn w:val="Normal"/>
    <w:uiPriority w:val="99"/>
    <w:pPr>
      <w:numPr>
        <w:numId w:val="18"/>
      </w:numPr>
      <w:spacing w:beforeLines="1"/>
      <w:jc w:val="both"/>
    </w:pPr>
    <w:rPr>
      <w:rFonts w:eastAsia="Times New Roman"/>
    </w:rPr>
  </w:style>
  <w:style w:type="paragraph" w:customStyle="1" w:styleId="Bullet2">
    <w:name w:val="Bullet 2"/>
    <w:basedOn w:val="Normal"/>
    <w:uiPriority w:val="99"/>
    <w:pPr>
      <w:numPr>
        <w:numId w:val="19"/>
      </w:numPr>
      <w:spacing w:beforeLines="1"/>
      <w:jc w:val="both"/>
    </w:pPr>
    <w:rPr>
      <w:rFonts w:eastAsia="Times New Roman"/>
    </w:rPr>
  </w:style>
  <w:style w:type="paragraph" w:customStyle="1" w:styleId="Bullet3">
    <w:name w:val="Bullet 3"/>
    <w:basedOn w:val="Normal"/>
    <w:uiPriority w:val="99"/>
    <w:pPr>
      <w:numPr>
        <w:numId w:val="20"/>
      </w:numPr>
      <w:spacing w:beforeLines="1"/>
      <w:jc w:val="both"/>
    </w:pPr>
    <w:rPr>
      <w:rFonts w:eastAsia="Times New Roman"/>
    </w:rPr>
  </w:style>
  <w:style w:type="paragraph" w:customStyle="1" w:styleId="Bullet4">
    <w:name w:val="Bullet 4"/>
    <w:basedOn w:val="Normal"/>
    <w:uiPriority w:val="99"/>
    <w:pPr>
      <w:numPr>
        <w:numId w:val="21"/>
      </w:numPr>
      <w:spacing w:beforeLines="1"/>
      <w:jc w:val="both"/>
    </w:pPr>
    <w:rPr>
      <w:rFonts w:eastAsia="Times New Roman"/>
    </w:rPr>
  </w:style>
  <w:style w:type="paragraph" w:customStyle="1" w:styleId="Annexetitreexpos">
    <w:name w:val="Annexe titre (exposé)"/>
    <w:basedOn w:val="Normal"/>
    <w:next w:val="Normal"/>
    <w:uiPriority w:val="99"/>
    <w:pPr>
      <w:spacing w:beforeLines="1"/>
      <w:jc w:val="center"/>
    </w:pPr>
    <w:rPr>
      <w:rFonts w:eastAsia="Times New Roman"/>
      <w:b/>
      <w:u w:val="single"/>
    </w:rPr>
  </w:style>
  <w:style w:type="paragraph" w:customStyle="1" w:styleId="Annexetitre">
    <w:name w:val="Annexe titre"/>
    <w:basedOn w:val="Normal"/>
    <w:next w:val="Normal"/>
    <w:uiPriority w:val="99"/>
    <w:pPr>
      <w:spacing w:beforeLines="1"/>
      <w:jc w:val="center"/>
    </w:pPr>
    <w:rPr>
      <w:rFonts w:eastAsia="Times New Roman"/>
      <w:b/>
      <w:u w:val="single"/>
    </w:rPr>
  </w:style>
  <w:style w:type="paragraph" w:customStyle="1" w:styleId="Annexetitrefichefinancire">
    <w:name w:val="Annexe titre (fiche financière)"/>
    <w:basedOn w:val="Normal"/>
    <w:next w:val="Normal"/>
    <w:uiPriority w:val="99"/>
    <w:pPr>
      <w:spacing w:beforeLines="1"/>
      <w:jc w:val="center"/>
    </w:pPr>
    <w:rPr>
      <w:rFonts w:eastAsia="Times New Roman"/>
      <w:b/>
      <w:u w:val="single"/>
    </w:rPr>
  </w:style>
  <w:style w:type="paragraph" w:customStyle="1" w:styleId="Fait">
    <w:name w:val="Fait à"/>
    <w:basedOn w:val="Normal"/>
    <w:next w:val="Institutionquisigne"/>
    <w:uiPriority w:val="99"/>
    <w:pPr>
      <w:keepNext/>
      <w:spacing w:beforeLines="1"/>
      <w:jc w:val="both"/>
    </w:pPr>
    <w:rPr>
      <w:rFonts w:eastAsia="Times New Roman"/>
    </w:rPr>
  </w:style>
  <w:style w:type="paragraph" w:customStyle="1" w:styleId="Applicationdirecte">
    <w:name w:val="Application directe"/>
    <w:basedOn w:val="Normal"/>
    <w:next w:val="Fait"/>
    <w:uiPriority w:val="99"/>
    <w:pPr>
      <w:spacing w:beforeLines="1"/>
      <w:jc w:val="both"/>
    </w:pPr>
    <w:rPr>
      <w:rFonts w:eastAsia="Times New Roman"/>
    </w:rPr>
  </w:style>
  <w:style w:type="paragraph" w:customStyle="1" w:styleId="Avertissementtitre">
    <w:name w:val="Avertissement titre"/>
    <w:basedOn w:val="Normal"/>
    <w:next w:val="Normal"/>
    <w:uiPriority w:val="99"/>
    <w:pPr>
      <w:keepNext/>
      <w:spacing w:beforeLines="1"/>
      <w:jc w:val="both"/>
    </w:pPr>
    <w:rPr>
      <w:rFonts w:eastAsia="Times New Roman"/>
      <w:u w:val="single"/>
    </w:rPr>
  </w:style>
  <w:style w:type="paragraph" w:customStyle="1" w:styleId="Confidence">
    <w:name w:val="Confidence"/>
    <w:basedOn w:val="Normal"/>
    <w:next w:val="Normal"/>
    <w:uiPriority w:val="99"/>
    <w:pPr>
      <w:spacing w:beforeLines="1"/>
      <w:jc w:val="center"/>
    </w:pPr>
    <w:rPr>
      <w:rFonts w:eastAsia="Times New Roman"/>
    </w:rPr>
  </w:style>
  <w:style w:type="paragraph" w:customStyle="1" w:styleId="TypedudocumentPagedecouverture">
    <w:name w:val="Type du document (Page de couverture)"/>
    <w:basedOn w:val="Typedudocument"/>
    <w:next w:val="TitreobjetPagedecouverture"/>
    <w:uiPriority w:val="99"/>
  </w:style>
  <w:style w:type="paragraph" w:customStyle="1" w:styleId="Confidentialit">
    <w:name w:val="Confidentialité"/>
    <w:basedOn w:val="Normal"/>
    <w:next w:val="TypedudocumentPagedecouverture"/>
    <w:uiPriority w:val="99"/>
    <w:pPr>
      <w:spacing w:beforeLines="1"/>
      <w:ind w:left="5103"/>
      <w:jc w:val="both"/>
    </w:pPr>
    <w:rPr>
      <w:rFonts w:eastAsia="Times New Roman"/>
      <w:i/>
      <w:sz w:val="32"/>
    </w:rPr>
  </w:style>
  <w:style w:type="paragraph" w:customStyle="1" w:styleId="Considrant">
    <w:name w:val="Considérant"/>
    <w:basedOn w:val="Normal"/>
    <w:uiPriority w:val="99"/>
    <w:pPr>
      <w:numPr>
        <w:numId w:val="22"/>
      </w:numPr>
      <w:spacing w:beforeLines="1"/>
      <w:jc w:val="both"/>
    </w:pPr>
    <w:rPr>
      <w:rFonts w:eastAsia="Times New Roman"/>
    </w:rPr>
  </w:style>
  <w:style w:type="paragraph" w:customStyle="1" w:styleId="Corrigendum">
    <w:name w:val="Corrigendum"/>
    <w:basedOn w:val="Normal"/>
    <w:next w:val="Normal"/>
    <w:uiPriority w:val="99"/>
    <w:pPr>
      <w:spacing w:beforeLines="1"/>
    </w:pPr>
    <w:rPr>
      <w:rFonts w:eastAsia="Times New Roman"/>
    </w:rPr>
  </w:style>
  <w:style w:type="paragraph" w:customStyle="1" w:styleId="Titreobjet">
    <w:name w:val="Titre objet"/>
    <w:basedOn w:val="Normal"/>
    <w:next w:val="Sous-titreobjet"/>
    <w:uiPriority w:val="99"/>
    <w:pPr>
      <w:spacing w:beforeLines="1"/>
      <w:jc w:val="center"/>
    </w:pPr>
    <w:rPr>
      <w:rFonts w:eastAsia="Times New Roman"/>
      <w:b/>
    </w:rPr>
  </w:style>
  <w:style w:type="paragraph" w:customStyle="1" w:styleId="Datedadoption">
    <w:name w:val="Date d'adoption"/>
    <w:basedOn w:val="Normal"/>
    <w:next w:val="Titreobjet"/>
    <w:uiPriority w:val="99"/>
    <w:pPr>
      <w:spacing w:beforeLines="1"/>
      <w:jc w:val="center"/>
    </w:pPr>
    <w:rPr>
      <w:rFonts w:eastAsia="Times New Roman"/>
      <w:b/>
    </w:rPr>
  </w:style>
  <w:style w:type="paragraph" w:customStyle="1" w:styleId="Rfrenceinstitutionnelle">
    <w:name w:val="Référence institutionnelle"/>
    <w:basedOn w:val="Normal"/>
    <w:next w:val="Confidentialit"/>
    <w:uiPriority w:val="99"/>
    <w:pPr>
      <w:spacing w:beforeLines="1"/>
      <w:ind w:left="5103"/>
    </w:pPr>
    <w:rPr>
      <w:rFonts w:eastAsia="Times New Roman"/>
    </w:rPr>
  </w:style>
  <w:style w:type="paragraph" w:customStyle="1" w:styleId="Emission">
    <w:name w:val="Emission"/>
    <w:basedOn w:val="Normal"/>
    <w:next w:val="Rfrenceinstitutionnelle"/>
    <w:uiPriority w:val="99"/>
    <w:pPr>
      <w:spacing w:beforeLines="1"/>
      <w:ind w:left="5103"/>
    </w:pPr>
    <w:rPr>
      <w:rFonts w:eastAsia="Times New Roman"/>
    </w:rPr>
  </w:style>
  <w:style w:type="paragraph" w:customStyle="1" w:styleId="Exposdesmotifstitre">
    <w:name w:val="Exposé des motifs titre"/>
    <w:basedOn w:val="Normal"/>
    <w:next w:val="Normal"/>
    <w:uiPriority w:val="99"/>
    <w:pPr>
      <w:spacing w:beforeLines="1"/>
      <w:jc w:val="center"/>
    </w:pPr>
    <w:rPr>
      <w:rFonts w:eastAsia="Times New Roman"/>
      <w:b/>
      <w:u w:val="single"/>
    </w:rPr>
  </w:style>
  <w:style w:type="paragraph" w:customStyle="1" w:styleId="Institutionquisigne">
    <w:name w:val="Institution qui signe"/>
    <w:basedOn w:val="Normal"/>
    <w:next w:val="Personnequisigne"/>
    <w:uiPriority w:val="99"/>
    <w:pPr>
      <w:keepNext/>
      <w:tabs>
        <w:tab w:val="left" w:pos="4252"/>
      </w:tabs>
      <w:spacing w:beforeLines="1"/>
      <w:jc w:val="both"/>
    </w:pPr>
    <w:rPr>
      <w:rFonts w:eastAsia="Times New Roman"/>
      <w:i/>
    </w:rPr>
  </w:style>
  <w:style w:type="paragraph" w:customStyle="1" w:styleId="Titrearticle">
    <w:name w:val="Titre article"/>
    <w:basedOn w:val="Normal"/>
    <w:next w:val="Normal"/>
    <w:uiPriority w:val="99"/>
    <w:pPr>
      <w:keepNext/>
      <w:spacing w:beforeLines="1"/>
      <w:jc w:val="center"/>
    </w:pPr>
    <w:rPr>
      <w:rFonts w:eastAsia="Times New Roman"/>
      <w:i/>
    </w:rPr>
  </w:style>
  <w:style w:type="paragraph" w:customStyle="1" w:styleId="Formuledadoption">
    <w:name w:val="Formule d'adoption"/>
    <w:basedOn w:val="Normal"/>
    <w:next w:val="Titrearticle"/>
    <w:uiPriority w:val="99"/>
    <w:pPr>
      <w:keepNext/>
      <w:spacing w:beforeLines="1"/>
      <w:jc w:val="both"/>
    </w:pPr>
    <w:rPr>
      <w:rFonts w:eastAsia="Times New Roman"/>
    </w:rPr>
  </w:style>
  <w:style w:type="paragraph" w:customStyle="1" w:styleId="Institutionquiagit">
    <w:name w:val="Institution qui agit"/>
    <w:basedOn w:val="Normal"/>
    <w:next w:val="Normal"/>
    <w:uiPriority w:val="99"/>
    <w:pPr>
      <w:keepNext/>
      <w:spacing w:beforeLines="1"/>
      <w:jc w:val="both"/>
    </w:pPr>
    <w:rPr>
      <w:rFonts w:eastAsia="Times New Roman"/>
    </w:rPr>
  </w:style>
  <w:style w:type="paragraph" w:customStyle="1" w:styleId="Personnequisigne">
    <w:name w:val="Personne qui signe"/>
    <w:basedOn w:val="Normal"/>
    <w:next w:val="Institutionquisigne"/>
    <w:uiPriority w:val="99"/>
    <w:pPr>
      <w:tabs>
        <w:tab w:val="left" w:pos="4252"/>
      </w:tabs>
      <w:spacing w:beforeLines="1"/>
    </w:pPr>
    <w:rPr>
      <w:rFonts w:eastAsia="Times New Roman"/>
      <w:i/>
    </w:rPr>
  </w:style>
  <w:style w:type="paragraph" w:customStyle="1" w:styleId="Rfrenceinterne">
    <w:name w:val="Référence interne"/>
    <w:basedOn w:val="Normal"/>
    <w:next w:val="Rfrenceinterinstitutionnelle"/>
    <w:uiPriority w:val="99"/>
    <w:pPr>
      <w:spacing w:beforeLines="1"/>
      <w:ind w:left="5103"/>
    </w:pPr>
    <w:rPr>
      <w:rFonts w:eastAsia="Times New Roman"/>
    </w:rPr>
  </w:style>
  <w:style w:type="paragraph" w:customStyle="1" w:styleId="Langue">
    <w:name w:val="Langue"/>
    <w:basedOn w:val="Normal"/>
    <w:next w:val="Rfrenceinterne"/>
    <w:uiPriority w:val="99"/>
    <w:pPr>
      <w:framePr w:wrap="around" w:vAnchor="page" w:hAnchor="text" w:xAlign="center" w:y="14741"/>
      <w:spacing w:beforeLines="1"/>
      <w:jc w:val="center"/>
    </w:pPr>
    <w:rPr>
      <w:rFonts w:eastAsia="Times New Roman"/>
      <w:b/>
      <w:caps/>
    </w:rPr>
  </w:style>
  <w:style w:type="paragraph" w:customStyle="1" w:styleId="ManualConsidrant">
    <w:name w:val="Manual Considérant"/>
    <w:basedOn w:val="Normal"/>
    <w:uiPriority w:val="99"/>
    <w:pPr>
      <w:spacing w:beforeLines="1"/>
      <w:ind w:left="709" w:hanging="709"/>
      <w:jc w:val="both"/>
    </w:pPr>
    <w:rPr>
      <w:rFonts w:eastAsia="Times New Roman"/>
    </w:rPr>
  </w:style>
  <w:style w:type="paragraph" w:customStyle="1" w:styleId="Nomdelinstitution">
    <w:name w:val="Nom de l'institution"/>
    <w:basedOn w:val="Normal"/>
    <w:next w:val="Emission"/>
    <w:uiPriority w:val="99"/>
    <w:pPr>
      <w:spacing w:beforeLines="1"/>
    </w:pPr>
    <w:rPr>
      <w:rFonts w:ascii="Arial" w:eastAsia="Times New Roman" w:hAnsi="Arial" w:cs="Arial"/>
    </w:rPr>
  </w:style>
  <w:style w:type="paragraph" w:customStyle="1" w:styleId="Statut">
    <w:name w:val="Statut"/>
    <w:basedOn w:val="Normal"/>
    <w:next w:val="Typedudocument"/>
    <w:uiPriority w:val="99"/>
    <w:pPr>
      <w:spacing w:beforeLines="1"/>
      <w:jc w:val="center"/>
    </w:pPr>
    <w:rPr>
      <w:rFonts w:eastAsia="Times New Roman"/>
    </w:rPr>
  </w:style>
  <w:style w:type="paragraph" w:customStyle="1" w:styleId="Rfrenceinterinstitutionnelle">
    <w:name w:val="Référence interinstitutionnelle"/>
    <w:basedOn w:val="Normal"/>
    <w:next w:val="Statut"/>
    <w:uiPriority w:val="99"/>
    <w:pPr>
      <w:spacing w:beforeLines="1"/>
      <w:ind w:left="5103"/>
    </w:pPr>
    <w:rPr>
      <w:rFonts w:eastAsia="Times New Roman"/>
    </w:rPr>
  </w:style>
  <w:style w:type="paragraph" w:customStyle="1" w:styleId="Sous-titreobjet">
    <w:name w:val="Sous-titre objet"/>
    <w:basedOn w:val="Normal"/>
    <w:uiPriority w:val="99"/>
    <w:pPr>
      <w:spacing w:beforeLines="1"/>
      <w:jc w:val="center"/>
    </w:pPr>
    <w:rPr>
      <w:rFonts w:eastAsia="Times New Roman"/>
      <w:b/>
    </w:rPr>
  </w:style>
  <w:style w:type="paragraph" w:customStyle="1" w:styleId="Typedudocument">
    <w:name w:val="Type du document"/>
    <w:basedOn w:val="Normal"/>
    <w:next w:val="Titreobjet"/>
    <w:uiPriority w:val="99"/>
    <w:pPr>
      <w:spacing w:beforeLines="1"/>
      <w:jc w:val="center"/>
    </w:pPr>
    <w:rPr>
      <w:rFonts w:eastAsia="Times New Roman"/>
      <w:b/>
    </w:rPr>
  </w:style>
  <w:style w:type="paragraph" w:customStyle="1" w:styleId="Address">
    <w:name w:val="Address"/>
    <w:basedOn w:val="Normal"/>
    <w:next w:val="Normal"/>
    <w:uiPriority w:val="99"/>
    <w:pPr>
      <w:keepLines/>
      <w:spacing w:beforeLines="1" w:line="360" w:lineRule="auto"/>
      <w:ind w:left="3402"/>
    </w:pPr>
    <w:rPr>
      <w:rFonts w:eastAsia="Times New Roman"/>
    </w:rPr>
  </w:style>
  <w:style w:type="paragraph" w:customStyle="1" w:styleId="Objetexterne">
    <w:name w:val="Objet externe"/>
    <w:basedOn w:val="Normal"/>
    <w:next w:val="Normal"/>
    <w:uiPriority w:val="99"/>
    <w:pPr>
      <w:spacing w:beforeLines="1"/>
      <w:jc w:val="both"/>
    </w:pPr>
    <w:rPr>
      <w:rFonts w:eastAsia="Times New Roman"/>
      <w:i/>
      <w:caps/>
    </w:rPr>
  </w:style>
  <w:style w:type="paragraph" w:customStyle="1" w:styleId="Pagedecouverture">
    <w:name w:val="Page de couverture"/>
    <w:basedOn w:val="Normal"/>
    <w:next w:val="Normal"/>
    <w:pPr>
      <w:spacing w:beforeLines="1"/>
      <w:jc w:val="both"/>
    </w:pPr>
    <w:rPr>
      <w:rFonts w:eastAsia="Times New Roman"/>
    </w:rPr>
  </w:style>
  <w:style w:type="paragraph" w:customStyle="1" w:styleId="Supertitre">
    <w:name w:val="Supertitre"/>
    <w:basedOn w:val="Normal"/>
    <w:next w:val="Normal"/>
    <w:uiPriority w:val="99"/>
    <w:pPr>
      <w:spacing w:beforeLines="1"/>
      <w:jc w:val="center"/>
    </w:pPr>
    <w:rPr>
      <w:rFonts w:eastAsia="Times New Roman"/>
      <w:b/>
    </w:rPr>
  </w:style>
  <w:style w:type="paragraph" w:customStyle="1" w:styleId="Languesfaisantfoi">
    <w:name w:val="Langues faisant foi"/>
    <w:basedOn w:val="Normal"/>
    <w:next w:val="Normal"/>
    <w:uiPriority w:val="99"/>
    <w:pPr>
      <w:spacing w:beforeLines="1"/>
      <w:jc w:val="center"/>
    </w:pPr>
    <w:rPr>
      <w:rFonts w:eastAsia="Times New Roman"/>
    </w:rPr>
  </w:style>
  <w:style w:type="paragraph" w:customStyle="1" w:styleId="Rfrencecroise">
    <w:name w:val="Référence croisée"/>
    <w:basedOn w:val="Normal"/>
    <w:uiPriority w:val="99"/>
    <w:pPr>
      <w:spacing w:beforeLines="1"/>
      <w:jc w:val="center"/>
    </w:pPr>
    <w:rPr>
      <w:rFonts w:eastAsia="Times New Roman"/>
    </w:rPr>
  </w:style>
  <w:style w:type="paragraph" w:customStyle="1" w:styleId="Fichefinanciretitre">
    <w:name w:val="Fiche financière titre"/>
    <w:basedOn w:val="Normal"/>
    <w:next w:val="Normal"/>
    <w:uiPriority w:val="99"/>
    <w:pPr>
      <w:spacing w:beforeLines="1"/>
      <w:jc w:val="center"/>
    </w:pPr>
    <w:rPr>
      <w:rFonts w:eastAsia="Times New Roman"/>
      <w:b/>
      <w:u w:val="single"/>
    </w:rPr>
  </w:style>
  <w:style w:type="paragraph" w:customStyle="1" w:styleId="TitreobjetPagedecouverture">
    <w:name w:val="Titre objet (Page de couverture)"/>
    <w:basedOn w:val="Titreobjet"/>
    <w:next w:val="Sous-titreobjetPagedecouverture"/>
    <w:uiPriority w:val="99"/>
  </w:style>
  <w:style w:type="paragraph" w:customStyle="1" w:styleId="DatedadoptionPagedecouverture">
    <w:name w:val="Date d'adoption (Page de couverture)"/>
    <w:basedOn w:val="Datedadoption"/>
    <w:next w:val="TitreobjetPagedecouverture"/>
    <w:uiPriority w:val="99"/>
  </w:style>
  <w:style w:type="paragraph" w:customStyle="1" w:styleId="RfrenceinterinstitutionnellePagedecouverture">
    <w:name w:val="Référence interinstitutionnelle (Page de couverture)"/>
    <w:basedOn w:val="Rfrenceinterinstitutionnelle"/>
    <w:next w:val="Confidentialit"/>
    <w:uiPriority w:val="99"/>
  </w:style>
  <w:style w:type="paragraph" w:customStyle="1" w:styleId="Sous-titreobjetPagedecouverture">
    <w:name w:val="Sous-titre objet (Page de couverture)"/>
    <w:basedOn w:val="Sous-titreobjet"/>
    <w:uiPriority w:val="99"/>
  </w:style>
  <w:style w:type="paragraph" w:customStyle="1" w:styleId="StatutPagedecouverture">
    <w:name w:val="Statut (Page de couverture)"/>
    <w:basedOn w:val="Statut"/>
    <w:next w:val="TypedudocumentPagedecouverture"/>
    <w:uiPriority w:val="99"/>
  </w:style>
  <w:style w:type="paragraph" w:customStyle="1" w:styleId="Volume">
    <w:name w:val="Volume"/>
    <w:basedOn w:val="Normal"/>
    <w:next w:val="Confidentialit"/>
    <w:uiPriority w:val="99"/>
    <w:pPr>
      <w:spacing w:beforeLines="1"/>
      <w:ind w:left="5103"/>
    </w:pPr>
    <w:rPr>
      <w:rFonts w:eastAsia="Times New Roman"/>
    </w:rPr>
  </w:style>
  <w:style w:type="paragraph" w:customStyle="1" w:styleId="IntrtEEE">
    <w:name w:val="Intérêt EEE"/>
    <w:basedOn w:val="Languesfaisantfoi"/>
    <w:next w:val="Normal"/>
    <w:uiPriority w:val="99"/>
  </w:style>
  <w:style w:type="paragraph" w:customStyle="1" w:styleId="Typeacteprincipal">
    <w:name w:val="Type acte principal"/>
    <w:basedOn w:val="Normal"/>
    <w:next w:val="Objetacteprincipal"/>
    <w:uiPriority w:val="99"/>
    <w:pPr>
      <w:spacing w:beforeLines="1"/>
      <w:jc w:val="center"/>
    </w:pPr>
    <w:rPr>
      <w:rFonts w:eastAsia="Times New Roman"/>
      <w:b/>
    </w:rPr>
  </w:style>
  <w:style w:type="paragraph" w:customStyle="1" w:styleId="Accompagnant">
    <w:name w:val="Accompagnant"/>
    <w:basedOn w:val="Normal"/>
    <w:next w:val="Typeacteprincipal"/>
    <w:uiPriority w:val="99"/>
    <w:pPr>
      <w:spacing w:beforeLines="1"/>
      <w:jc w:val="center"/>
    </w:pPr>
    <w:rPr>
      <w:rFonts w:eastAsia="Times New Roman"/>
      <w:b/>
      <w:i/>
    </w:rPr>
  </w:style>
  <w:style w:type="paragraph" w:customStyle="1" w:styleId="Objetacteprincipal">
    <w:name w:val="Objet acte principal"/>
    <w:basedOn w:val="Normal"/>
    <w:next w:val="Titrearticle"/>
    <w:uiPriority w:val="99"/>
    <w:pPr>
      <w:spacing w:beforeLines="1"/>
      <w:jc w:val="center"/>
    </w:pPr>
    <w:rPr>
      <w:rFonts w:eastAsia="Times New Roman"/>
      <w:b/>
    </w:rPr>
  </w:style>
  <w:style w:type="paragraph" w:customStyle="1" w:styleId="IntrtEEEPagedecouverture">
    <w:name w:val="Intérêt EEE (Page de couverture)"/>
    <w:basedOn w:val="IntrtEEE"/>
    <w:next w:val="Rfrencecroise"/>
    <w:uiPriority w:val="99"/>
  </w:style>
  <w:style w:type="paragraph" w:customStyle="1" w:styleId="TypeacteprincipalPagedecouverture">
    <w:name w:val="Type acte principal (Page de couverture)"/>
    <w:basedOn w:val="Typeacteprincipal"/>
    <w:next w:val="ObjetacteprincipalPagedecouverture"/>
    <w:uiPriority w:val="99"/>
  </w:style>
  <w:style w:type="paragraph" w:customStyle="1" w:styleId="AccompagnantPagedecouverture">
    <w:name w:val="Accompagnant (Page de couverture)"/>
    <w:basedOn w:val="Accompagnant"/>
    <w:next w:val="TypeacteprincipalPagedecouverture"/>
    <w:uiPriority w:val="99"/>
  </w:style>
  <w:style w:type="paragraph" w:customStyle="1" w:styleId="ObjetacteprincipalPagedecouverture">
    <w:name w:val="Objet acte principal (Page de couverture)"/>
    <w:basedOn w:val="Objetacteprincipal"/>
    <w:next w:val="Rfrencecroise"/>
    <w:uiPriority w:val="99"/>
  </w:style>
  <w:style w:type="paragraph" w:customStyle="1" w:styleId="LanguesfaisantfoiPagedecouverture">
    <w:name w:val="Langues faisant foi (Page de couverture)"/>
    <w:basedOn w:val="Normal"/>
    <w:next w:val="Normal"/>
    <w:uiPriority w:val="99"/>
    <w:pPr>
      <w:spacing w:beforeLines="1"/>
      <w:jc w:val="center"/>
    </w:pPr>
    <w:rPr>
      <w:rFonts w:eastAsia="Times New Roman"/>
    </w:rPr>
  </w:style>
  <w:style w:type="paragraph" w:customStyle="1" w:styleId="ListBullet1">
    <w:name w:val="List Bullet 1"/>
    <w:basedOn w:val="Normal"/>
    <w:uiPriority w:val="99"/>
    <w:pPr>
      <w:numPr>
        <w:numId w:val="23"/>
      </w:numPr>
      <w:spacing w:beforeLines="1"/>
      <w:jc w:val="both"/>
    </w:pPr>
    <w:rPr>
      <w:rFonts w:eastAsia="Times New Roman"/>
      <w:lang w:eastAsia="de-DE"/>
    </w:rPr>
  </w:style>
  <w:style w:type="character" w:styleId="FootnoteReference">
    <w:name w:val="footnote reference"/>
    <w:aliases w:val="BVI fnr,E FNZ,-E Fußnotenzeichen,SUPERS"/>
    <w:uiPriority w:val="99"/>
    <w:unhideWhenUsed/>
    <w:rPr>
      <w:vertAlign w:val="superscript"/>
    </w:rPr>
  </w:style>
  <w:style w:type="character" w:styleId="CommentReference">
    <w:name w:val="annotation reference"/>
    <w:uiPriority w:val="99"/>
    <w:semiHidden/>
    <w:unhideWhenUsed/>
    <w:rPr>
      <w:sz w:val="16"/>
      <w:szCs w:val="16"/>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character" w:customStyle="1" w:styleId="Added">
    <w:name w:val="Added"/>
    <w:rPr>
      <w:b/>
      <w:bCs w:val="0"/>
      <w:u w:val="single"/>
    </w:rPr>
  </w:style>
  <w:style w:type="character" w:customStyle="1" w:styleId="Deleted">
    <w:name w:val="Deleted"/>
    <w:rPr>
      <w:strike/>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erCoverPage">
    <w:name w:val="Footer Cover Page"/>
    <w:basedOn w:val="Normal"/>
    <w:link w:val="FooterCoverPageChar"/>
    <w:pPr>
      <w:tabs>
        <w:tab w:val="center" w:pos="4535"/>
        <w:tab w:val="right" w:pos="9071"/>
        <w:tab w:val="right" w:pos="9921"/>
      </w:tabs>
      <w:spacing w:beforeLines="1" w:before="360"/>
      <w:ind w:left="-850" w:right="-850"/>
    </w:pPr>
    <w:rPr>
      <w:rFonts w:eastAsia="Times New Roman"/>
      <w:noProof/>
    </w:rPr>
  </w:style>
  <w:style w:type="character" w:customStyle="1" w:styleId="FooterCoverPageChar">
    <w:name w:val="Footer Cover Page Char"/>
    <w:basedOn w:val="DefaultParagraphFont"/>
    <w:link w:val="FooterCoverPage"/>
    <w:rPr>
      <w:rFonts w:ascii="Times New Roman" w:eastAsia="Times New Roman" w:hAnsi="Times New Roman" w:cs="Times New Roman"/>
      <w:noProof/>
      <w:sz w:val="24"/>
      <w:szCs w:val="24"/>
    </w:rPr>
  </w:style>
  <w:style w:type="paragraph" w:customStyle="1" w:styleId="HeaderCoverPage">
    <w:name w:val="Header Cover Page"/>
    <w:basedOn w:val="Normal"/>
    <w:link w:val="HeaderCoverPageChar"/>
    <w:pPr>
      <w:tabs>
        <w:tab w:val="center" w:pos="4535"/>
        <w:tab w:val="right" w:pos="9071"/>
      </w:tabs>
      <w:spacing w:beforeLines="1" w:after="120"/>
      <w:jc w:val="both"/>
    </w:pPr>
    <w:rPr>
      <w:rFonts w:eastAsia="Times New Roman"/>
      <w:noProof/>
    </w:rPr>
  </w:style>
  <w:style w:type="character" w:customStyle="1" w:styleId="HeaderCoverPageChar">
    <w:name w:val="Header Cover Page Char"/>
    <w:basedOn w:val="DefaultParagraphFont"/>
    <w:link w:val="HeaderCoverPage"/>
    <w:rPr>
      <w:rFonts w:ascii="Times New Roman" w:eastAsia="Times New Roman" w:hAnsi="Times New Roman" w:cs="Times New Roman"/>
      <w:noProof/>
      <w:sz w:val="24"/>
      <w:szCs w:val="24"/>
    </w:rPr>
  </w:style>
  <w:style w:type="paragraph" w:styleId="ListParagraph">
    <w:name w:val="List Paragraph"/>
    <w:basedOn w:val="Normal"/>
    <w:uiPriority w:val="1"/>
    <w:qFormat/>
    <w:pPr>
      <w:ind w:left="720"/>
      <w:contextualSpacing/>
    </w:pPr>
    <w:rPr>
      <w:rFonts w:eastAsiaTheme="minorEastAsia"/>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PageNumber">
    <w:name w:val="page number"/>
    <w:basedOn w:val="DefaultParagraphFont"/>
    <w:uiPriority w:val="99"/>
    <w:semiHidden/>
    <w:unhideWhenUsed/>
  </w:style>
  <w:style w:type="paragraph" w:customStyle="1" w:styleId="TableCaption">
    <w:name w:val="Table Caption"/>
    <w:basedOn w:val="Normal"/>
    <w:pPr>
      <w:spacing w:before="240" w:after="120" w:line="240" w:lineRule="exact"/>
    </w:pPr>
    <w:rPr>
      <w:rFonts w:ascii="Arial" w:hAnsi="Arial" w:cs="Arial"/>
      <w:sz w:val="20"/>
      <w:szCs w:val="20"/>
    </w:rPr>
  </w:style>
  <w:style w:type="table" w:customStyle="1" w:styleId="GridTable3-Accent51">
    <w:name w:val="Grid Table 3 - Accent 51"/>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sl-SI" w:eastAsia="sl-SI"/>
    </w:rPr>
  </w:style>
  <w:style w:type="character" w:customStyle="1" w:styleId="Heading5Char">
    <w:name w:val="Heading 5 Char"/>
    <w:basedOn w:val="DefaultParagraphFont"/>
    <w:link w:val="Heading5"/>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6Char">
    <w:name w:val="Heading 6 Char"/>
    <w:basedOn w:val="DefaultParagraphFont"/>
    <w:link w:val="Heading6"/>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7Char">
    <w:name w:val="Heading 7 Char"/>
    <w:basedOn w:val="DefaultParagraphFont"/>
    <w:link w:val="Heading7"/>
    <w:uiPriority w:val="9"/>
    <w:semiHidden/>
    <w:rPr>
      <w:rFonts w:ascii="Times New Roman" w:eastAsiaTheme="minorEastAsia" w:hAnsi="Times New Roman" w:cs="Times New Roman"/>
      <w:caps/>
      <w:color w:val="365F91" w:themeColor="accent1" w:themeShade="BF"/>
      <w:spacing w:val="10"/>
      <w:lang w:val="en-US"/>
    </w:rPr>
  </w:style>
  <w:style w:type="character" w:customStyle="1" w:styleId="Heading8Char">
    <w:name w:val="Heading 8 Char"/>
    <w:basedOn w:val="DefaultParagraphFont"/>
    <w:link w:val="Heading8"/>
    <w:uiPriority w:val="9"/>
    <w:semiHidden/>
    <w:rPr>
      <w:rFonts w:ascii="Times New Roman" w:eastAsiaTheme="minorEastAsia" w:hAnsi="Times New Roman" w:cs="Times New Roman"/>
      <w:caps/>
      <w:spacing w:val="10"/>
      <w:sz w:val="18"/>
      <w:szCs w:val="18"/>
      <w:lang w:val="en-US"/>
    </w:rPr>
  </w:style>
  <w:style w:type="character" w:customStyle="1" w:styleId="Heading9Char">
    <w:name w:val="Heading 9 Char"/>
    <w:basedOn w:val="DefaultParagraphFont"/>
    <w:link w:val="Heading9"/>
    <w:uiPriority w:val="9"/>
    <w:semiHidden/>
    <w:rPr>
      <w:rFonts w:ascii="Times New Roman" w:eastAsiaTheme="minorEastAsia" w:hAnsi="Times New Roman" w:cs="Times New Roman"/>
      <w:i/>
      <w:caps/>
      <w:spacing w:val="10"/>
      <w:sz w:val="18"/>
      <w:szCs w:val="18"/>
      <w:lang w:val="en-US"/>
    </w:rPr>
  </w:style>
  <w:style w:type="paragraph" w:styleId="Title">
    <w:name w:val="Title"/>
    <w:basedOn w:val="Normal"/>
    <w:next w:val="Normal"/>
    <w:link w:val="TitleChar"/>
    <w:uiPriority w:val="10"/>
    <w:qFormat/>
    <w:pPr>
      <w:spacing w:before="720"/>
    </w:pPr>
    <w:rPr>
      <w:rFonts w:eastAsiaTheme="minorEastAsia"/>
      <w:caps/>
      <w:color w:val="4F81BD" w:themeColor="accent1"/>
      <w:spacing w:val="10"/>
      <w:kern w:val="28"/>
      <w:sz w:val="52"/>
      <w:szCs w:val="52"/>
    </w:rPr>
  </w:style>
  <w:style w:type="character" w:customStyle="1" w:styleId="TitleChar">
    <w:name w:val="Title Char"/>
    <w:basedOn w:val="DefaultParagraphFont"/>
    <w:link w:val="Title"/>
    <w:uiPriority w:val="10"/>
    <w:rPr>
      <w:rFonts w:ascii="Times New Roman" w:eastAsiaTheme="minorEastAsia" w:hAnsi="Times New Roman" w:cs="Times New Roman"/>
      <w:caps/>
      <w:color w:val="4F81BD" w:themeColor="accent1"/>
      <w:spacing w:val="10"/>
      <w:kern w:val="28"/>
      <w:sz w:val="52"/>
      <w:szCs w:val="52"/>
      <w:lang w:val="en-US"/>
    </w:rPr>
  </w:style>
  <w:style w:type="paragraph" w:styleId="Subtitle">
    <w:name w:val="Subtitle"/>
    <w:basedOn w:val="Normal"/>
    <w:next w:val="Normal"/>
    <w:link w:val="SubtitleChar"/>
    <w:uiPriority w:val="11"/>
    <w:qFormat/>
    <w:pPr>
      <w:spacing w:after="1000"/>
    </w:pPr>
    <w:rPr>
      <w:rFonts w:eastAsiaTheme="minorEastAsia"/>
      <w:caps/>
      <w:color w:val="595959" w:themeColor="text1" w:themeTint="A6"/>
      <w:spacing w:val="10"/>
    </w:rPr>
  </w:style>
  <w:style w:type="character" w:customStyle="1" w:styleId="SubtitleChar">
    <w:name w:val="Subtitle Char"/>
    <w:basedOn w:val="DefaultParagraphFont"/>
    <w:link w:val="Subtitle"/>
    <w:uiPriority w:val="11"/>
    <w:rPr>
      <w:rFonts w:ascii="Times New Roman" w:eastAsiaTheme="minorEastAsia" w:hAnsi="Times New Roman" w:cs="Times New Roman"/>
      <w:caps/>
      <w:color w:val="595959" w:themeColor="text1" w:themeTint="A6"/>
      <w:spacing w:val="10"/>
      <w:sz w:val="24"/>
      <w:szCs w:val="24"/>
      <w:lang w:val="en-US"/>
    </w:rPr>
  </w:style>
  <w:style w:type="character" w:styleId="Strong">
    <w:name w:val="Strong"/>
    <w:uiPriority w:val="22"/>
    <w:qFormat/>
    <w:rPr>
      <w:b/>
      <w:bCs/>
    </w:rPr>
  </w:style>
  <w:style w:type="character" w:styleId="Emphasis">
    <w:name w:val="Emphasis"/>
    <w:uiPriority w:val="20"/>
    <w:qFormat/>
    <w:rPr>
      <w:caps/>
      <w:color w:val="243F60" w:themeColor="accent1" w:themeShade="7F"/>
      <w:spacing w:val="5"/>
    </w:rPr>
  </w:style>
  <w:style w:type="paragraph" w:styleId="NoSpacing">
    <w:name w:val="No Spacing"/>
    <w:basedOn w:val="Normal"/>
    <w:link w:val="NoSpacingChar"/>
    <w:uiPriority w:val="1"/>
    <w:qFormat/>
    <w:rPr>
      <w:rFonts w:eastAsiaTheme="minorEastAsia"/>
    </w:rPr>
  </w:style>
  <w:style w:type="character" w:customStyle="1" w:styleId="NoSpacingChar">
    <w:name w:val="No Spacing Char"/>
    <w:basedOn w:val="DefaultParagraphFont"/>
    <w:link w:val="NoSpacing"/>
    <w:uiPriority w:val="1"/>
    <w:rPr>
      <w:rFonts w:ascii="Times New Roman" w:eastAsiaTheme="minorEastAsia" w:hAnsi="Times New Roman" w:cs="Times New Roman"/>
      <w:sz w:val="24"/>
      <w:szCs w:val="24"/>
      <w:lang w:val="en-US"/>
    </w:rPr>
  </w:style>
  <w:style w:type="paragraph" w:styleId="Quote">
    <w:name w:val="Quote"/>
    <w:basedOn w:val="Normal"/>
    <w:next w:val="Normal"/>
    <w:link w:val="QuoteChar"/>
    <w:uiPriority w:val="29"/>
    <w:qFormat/>
    <w:rPr>
      <w:rFonts w:eastAsiaTheme="minorEastAsia"/>
      <w:i/>
      <w:iCs/>
    </w:rPr>
  </w:style>
  <w:style w:type="character" w:customStyle="1" w:styleId="QuoteChar">
    <w:name w:val="Quote Char"/>
    <w:basedOn w:val="DefaultParagraphFont"/>
    <w:link w:val="Quote"/>
    <w:uiPriority w:val="29"/>
    <w:rPr>
      <w:rFonts w:ascii="Times New Roman" w:eastAsiaTheme="minorEastAsia" w:hAnsi="Times New Roman" w:cs="Times New Roman"/>
      <w:i/>
      <w:iCs/>
      <w:sz w:val="24"/>
      <w:szCs w:val="24"/>
      <w:lang w:val="en-US"/>
    </w:rPr>
  </w:style>
  <w:style w:type="paragraph" w:styleId="IntenseQuote">
    <w:name w:val="Intense Quote"/>
    <w:basedOn w:val="Normal"/>
    <w:next w:val="Normal"/>
    <w:link w:val="IntenseQuoteChar"/>
    <w:uiPriority w:val="30"/>
    <w:qFormat/>
    <w:pPr>
      <w:pBdr>
        <w:top w:val="single" w:sz="4" w:space="10" w:color="4F81BD" w:themeColor="accent1"/>
        <w:left w:val="single" w:sz="4" w:space="10" w:color="4F81BD" w:themeColor="accent1"/>
      </w:pBdr>
      <w:ind w:left="1296" w:right="1152"/>
      <w:jc w:val="both"/>
    </w:pPr>
    <w:rPr>
      <w:rFonts w:eastAsiaTheme="minorEastAsia"/>
      <w:i/>
      <w:iCs/>
      <w:color w:val="4F81BD" w:themeColor="accent1"/>
    </w:rPr>
  </w:style>
  <w:style w:type="character" w:customStyle="1" w:styleId="IntenseQuoteChar">
    <w:name w:val="Intense Quote Char"/>
    <w:basedOn w:val="DefaultParagraphFont"/>
    <w:link w:val="IntenseQuote"/>
    <w:uiPriority w:val="30"/>
    <w:rPr>
      <w:rFonts w:ascii="Times New Roman" w:eastAsiaTheme="minorEastAsia" w:hAnsi="Times New Roman" w:cs="Times New Roman"/>
      <w:i/>
      <w:iCs/>
      <w:color w:val="4F81BD" w:themeColor="accent1"/>
      <w:sz w:val="24"/>
      <w:szCs w:val="24"/>
      <w:lang w:val="en-US"/>
    </w:rPr>
  </w:style>
  <w:style w:type="character" w:styleId="SubtleEmphasis">
    <w:name w:val="Subtle Emphasis"/>
    <w:uiPriority w:val="19"/>
    <w:qFormat/>
    <w:rPr>
      <w:i/>
      <w:iCs/>
      <w:color w:val="243F60" w:themeColor="accent1" w:themeShade="7F"/>
    </w:rPr>
  </w:style>
  <w:style w:type="character" w:styleId="IntenseEmphasis">
    <w:name w:val="Intense Emphasis"/>
    <w:uiPriority w:val="21"/>
    <w:qFormat/>
    <w:rPr>
      <w:b/>
      <w:bCs/>
      <w:caps/>
      <w:color w:val="243F60" w:themeColor="accent1" w:themeShade="7F"/>
      <w:spacing w:val="10"/>
    </w:rPr>
  </w:style>
  <w:style w:type="character" w:styleId="SubtleReference">
    <w:name w:val="Subtle Reference"/>
    <w:uiPriority w:val="31"/>
    <w:qFormat/>
    <w:rPr>
      <w:b/>
      <w:bCs/>
      <w:color w:val="4F81BD" w:themeColor="accent1"/>
    </w:rPr>
  </w:style>
  <w:style w:type="character" w:styleId="IntenseReference">
    <w:name w:val="Intense Reference"/>
    <w:uiPriority w:val="32"/>
    <w:qFormat/>
    <w:rPr>
      <w:b/>
      <w:bCs/>
      <w:i/>
      <w:iCs/>
      <w:caps/>
      <w:color w:val="4F81BD" w:themeColor="accent1"/>
    </w:rPr>
  </w:style>
  <w:style w:type="character" w:styleId="BookTitle">
    <w:name w:val="Book Title"/>
    <w:uiPriority w:val="33"/>
    <w:qFormat/>
    <w:rPr>
      <w:b/>
      <w:bCs/>
      <w:i/>
      <w:iCs/>
      <w:spacing w:val="9"/>
    </w:rPr>
  </w:style>
  <w:style w:type="table" w:customStyle="1" w:styleId="GridTable2-Accent11">
    <w:name w:val="Grid Table 2 - Accent 11"/>
    <w:basedOn w:val="TableNormal"/>
    <w:uiPriority w:val="47"/>
    <w:pPr>
      <w:spacing w:after="0" w:line="240" w:lineRule="auto"/>
    </w:pPr>
    <w:rPr>
      <w:sz w:val="24"/>
      <w:szCs w:val="24"/>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ocumentMap">
    <w:name w:val="Document Map"/>
    <w:basedOn w:val="Normal"/>
    <w:link w:val="DocumentMapChar"/>
    <w:uiPriority w:val="99"/>
    <w:semiHidden/>
    <w:unhideWhenUsed/>
    <w:rPr>
      <w:rFonts w:eastAsiaTheme="minorEastAsia"/>
    </w:rPr>
  </w:style>
  <w:style w:type="character" w:customStyle="1" w:styleId="DocumentMapChar">
    <w:name w:val="Document Map Char"/>
    <w:basedOn w:val="DefaultParagraphFont"/>
    <w:link w:val="DocumentMap"/>
    <w:uiPriority w:val="99"/>
    <w:semiHidden/>
    <w:rPr>
      <w:rFonts w:ascii="Times New Roman" w:eastAsiaTheme="minorEastAsia" w:hAnsi="Times New Roman" w:cs="Times New Roman"/>
      <w:sz w:val="24"/>
      <w:szCs w:val="24"/>
      <w:lang w:val="en-US"/>
    </w:rPr>
  </w:style>
  <w:style w:type="table" w:customStyle="1" w:styleId="GridTable3-Accent52">
    <w:name w:val="Grid Table 3 - Accent 52"/>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Revision">
    <w:name w:val="Revision"/>
    <w:hidden/>
    <w:uiPriority w:val="99"/>
    <w:semiHidden/>
    <w:pPr>
      <w:spacing w:after="0" w:line="240" w:lineRule="auto"/>
    </w:pPr>
  </w:style>
  <w:style w:type="table" w:customStyle="1" w:styleId="GridTable3-Accent511">
    <w:name w:val="Grid Table 3 - Accent 511"/>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character" w:customStyle="1" w:styleId="Corpsdutexte125">
    <w:name w:val="Corps du texte (12)5"/>
    <w:basedOn w:val="DefaultParagraphFont"/>
    <w:uiPriority w:val="99"/>
    <w:rPr>
      <w:rFonts w:ascii="Arial" w:hAnsi="Arial" w:cs="Arial"/>
      <w:b/>
      <w:bCs/>
      <w:color w:val="4D7CB0"/>
      <w:u w:val="none"/>
    </w:rPr>
  </w:style>
  <w:style w:type="table" w:customStyle="1" w:styleId="GridTable3-Accent512">
    <w:name w:val="Grid Table 3 - Accent 512"/>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3">
    <w:name w:val="Grid Table 3 - Accent 513"/>
    <w:basedOn w:val="TableNormal"/>
    <w:uiPriority w:val="48"/>
    <w:pPr>
      <w:spacing w:after="0" w:line="240" w:lineRule="auto"/>
    </w:pPr>
    <w:rPr>
      <w:sz w:val="24"/>
      <w:szCs w:val="24"/>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214">
      <w:bodyDiv w:val="1"/>
      <w:marLeft w:val="0"/>
      <w:marRight w:val="0"/>
      <w:marTop w:val="0"/>
      <w:marBottom w:val="0"/>
      <w:divBdr>
        <w:top w:val="none" w:sz="0" w:space="0" w:color="auto"/>
        <w:left w:val="none" w:sz="0" w:space="0" w:color="auto"/>
        <w:bottom w:val="none" w:sz="0" w:space="0" w:color="auto"/>
        <w:right w:val="none" w:sz="0" w:space="0" w:color="auto"/>
      </w:divBdr>
    </w:div>
    <w:div w:id="61102727">
      <w:bodyDiv w:val="1"/>
      <w:marLeft w:val="0"/>
      <w:marRight w:val="0"/>
      <w:marTop w:val="0"/>
      <w:marBottom w:val="0"/>
      <w:divBdr>
        <w:top w:val="none" w:sz="0" w:space="0" w:color="auto"/>
        <w:left w:val="none" w:sz="0" w:space="0" w:color="auto"/>
        <w:bottom w:val="none" w:sz="0" w:space="0" w:color="auto"/>
        <w:right w:val="none" w:sz="0" w:space="0" w:color="auto"/>
      </w:divBdr>
      <w:divsChild>
        <w:div w:id="1969585000">
          <w:marLeft w:val="0"/>
          <w:marRight w:val="0"/>
          <w:marTop w:val="0"/>
          <w:marBottom w:val="0"/>
          <w:divBdr>
            <w:top w:val="none" w:sz="0" w:space="0" w:color="auto"/>
            <w:left w:val="none" w:sz="0" w:space="0" w:color="auto"/>
            <w:bottom w:val="none" w:sz="0" w:space="0" w:color="auto"/>
            <w:right w:val="none" w:sz="0" w:space="0" w:color="auto"/>
          </w:divBdr>
          <w:divsChild>
            <w:div w:id="1496874936">
              <w:marLeft w:val="0"/>
              <w:marRight w:val="0"/>
              <w:marTop w:val="0"/>
              <w:marBottom w:val="0"/>
              <w:divBdr>
                <w:top w:val="none" w:sz="0" w:space="0" w:color="auto"/>
                <w:left w:val="none" w:sz="0" w:space="0" w:color="auto"/>
                <w:bottom w:val="none" w:sz="0" w:space="0" w:color="auto"/>
                <w:right w:val="none" w:sz="0" w:space="0" w:color="auto"/>
              </w:divBdr>
              <w:divsChild>
                <w:div w:id="3210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2370">
      <w:bodyDiv w:val="1"/>
      <w:marLeft w:val="0"/>
      <w:marRight w:val="0"/>
      <w:marTop w:val="0"/>
      <w:marBottom w:val="0"/>
      <w:divBdr>
        <w:top w:val="none" w:sz="0" w:space="0" w:color="auto"/>
        <w:left w:val="none" w:sz="0" w:space="0" w:color="auto"/>
        <w:bottom w:val="none" w:sz="0" w:space="0" w:color="auto"/>
        <w:right w:val="none" w:sz="0" w:space="0" w:color="auto"/>
      </w:divBdr>
      <w:divsChild>
        <w:div w:id="1381396448">
          <w:marLeft w:val="0"/>
          <w:marRight w:val="0"/>
          <w:marTop w:val="0"/>
          <w:marBottom w:val="0"/>
          <w:divBdr>
            <w:top w:val="none" w:sz="0" w:space="0" w:color="auto"/>
            <w:left w:val="none" w:sz="0" w:space="0" w:color="auto"/>
            <w:bottom w:val="none" w:sz="0" w:space="0" w:color="auto"/>
            <w:right w:val="none" w:sz="0" w:space="0" w:color="auto"/>
          </w:divBdr>
          <w:divsChild>
            <w:div w:id="1506941399">
              <w:marLeft w:val="0"/>
              <w:marRight w:val="0"/>
              <w:marTop w:val="0"/>
              <w:marBottom w:val="0"/>
              <w:divBdr>
                <w:top w:val="none" w:sz="0" w:space="0" w:color="auto"/>
                <w:left w:val="none" w:sz="0" w:space="0" w:color="auto"/>
                <w:bottom w:val="none" w:sz="0" w:space="0" w:color="auto"/>
                <w:right w:val="none" w:sz="0" w:space="0" w:color="auto"/>
              </w:divBdr>
              <w:divsChild>
                <w:div w:id="421881949">
                  <w:marLeft w:val="0"/>
                  <w:marRight w:val="0"/>
                  <w:marTop w:val="0"/>
                  <w:marBottom w:val="0"/>
                  <w:divBdr>
                    <w:top w:val="none" w:sz="0" w:space="0" w:color="auto"/>
                    <w:left w:val="none" w:sz="0" w:space="0" w:color="auto"/>
                    <w:bottom w:val="none" w:sz="0" w:space="0" w:color="auto"/>
                    <w:right w:val="none" w:sz="0" w:space="0" w:color="auto"/>
                  </w:divBdr>
                  <w:divsChild>
                    <w:div w:id="7361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331">
      <w:bodyDiv w:val="1"/>
      <w:marLeft w:val="0"/>
      <w:marRight w:val="0"/>
      <w:marTop w:val="0"/>
      <w:marBottom w:val="0"/>
      <w:divBdr>
        <w:top w:val="none" w:sz="0" w:space="0" w:color="auto"/>
        <w:left w:val="none" w:sz="0" w:space="0" w:color="auto"/>
        <w:bottom w:val="none" w:sz="0" w:space="0" w:color="auto"/>
        <w:right w:val="none" w:sz="0" w:space="0" w:color="auto"/>
      </w:divBdr>
      <w:divsChild>
        <w:div w:id="1134565768">
          <w:marLeft w:val="0"/>
          <w:marRight w:val="0"/>
          <w:marTop w:val="0"/>
          <w:marBottom w:val="0"/>
          <w:divBdr>
            <w:top w:val="none" w:sz="0" w:space="0" w:color="auto"/>
            <w:left w:val="none" w:sz="0" w:space="0" w:color="auto"/>
            <w:bottom w:val="none" w:sz="0" w:space="0" w:color="auto"/>
            <w:right w:val="none" w:sz="0" w:space="0" w:color="auto"/>
          </w:divBdr>
          <w:divsChild>
            <w:div w:id="1827941120">
              <w:marLeft w:val="0"/>
              <w:marRight w:val="0"/>
              <w:marTop w:val="0"/>
              <w:marBottom w:val="0"/>
              <w:divBdr>
                <w:top w:val="none" w:sz="0" w:space="0" w:color="auto"/>
                <w:left w:val="none" w:sz="0" w:space="0" w:color="auto"/>
                <w:bottom w:val="none" w:sz="0" w:space="0" w:color="auto"/>
                <w:right w:val="none" w:sz="0" w:space="0" w:color="auto"/>
              </w:divBdr>
              <w:divsChild>
                <w:div w:id="16342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8759">
      <w:bodyDiv w:val="1"/>
      <w:marLeft w:val="0"/>
      <w:marRight w:val="0"/>
      <w:marTop w:val="0"/>
      <w:marBottom w:val="0"/>
      <w:divBdr>
        <w:top w:val="none" w:sz="0" w:space="0" w:color="auto"/>
        <w:left w:val="none" w:sz="0" w:space="0" w:color="auto"/>
        <w:bottom w:val="none" w:sz="0" w:space="0" w:color="auto"/>
        <w:right w:val="none" w:sz="0" w:space="0" w:color="auto"/>
      </w:divBdr>
      <w:divsChild>
        <w:div w:id="959142762">
          <w:marLeft w:val="0"/>
          <w:marRight w:val="0"/>
          <w:marTop w:val="0"/>
          <w:marBottom w:val="0"/>
          <w:divBdr>
            <w:top w:val="none" w:sz="0" w:space="0" w:color="auto"/>
            <w:left w:val="none" w:sz="0" w:space="0" w:color="auto"/>
            <w:bottom w:val="none" w:sz="0" w:space="0" w:color="auto"/>
            <w:right w:val="none" w:sz="0" w:space="0" w:color="auto"/>
          </w:divBdr>
          <w:divsChild>
            <w:div w:id="1836917137">
              <w:marLeft w:val="0"/>
              <w:marRight w:val="0"/>
              <w:marTop w:val="0"/>
              <w:marBottom w:val="0"/>
              <w:divBdr>
                <w:top w:val="none" w:sz="0" w:space="0" w:color="auto"/>
                <w:left w:val="none" w:sz="0" w:space="0" w:color="auto"/>
                <w:bottom w:val="none" w:sz="0" w:space="0" w:color="auto"/>
                <w:right w:val="none" w:sz="0" w:space="0" w:color="auto"/>
              </w:divBdr>
              <w:divsChild>
                <w:div w:id="2127851934">
                  <w:marLeft w:val="0"/>
                  <w:marRight w:val="0"/>
                  <w:marTop w:val="0"/>
                  <w:marBottom w:val="0"/>
                  <w:divBdr>
                    <w:top w:val="none" w:sz="0" w:space="0" w:color="auto"/>
                    <w:left w:val="none" w:sz="0" w:space="0" w:color="auto"/>
                    <w:bottom w:val="none" w:sz="0" w:space="0" w:color="auto"/>
                    <w:right w:val="none" w:sz="0" w:space="0" w:color="auto"/>
                  </w:divBdr>
                  <w:divsChild>
                    <w:div w:id="8726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8318">
      <w:bodyDiv w:val="1"/>
      <w:marLeft w:val="0"/>
      <w:marRight w:val="0"/>
      <w:marTop w:val="0"/>
      <w:marBottom w:val="0"/>
      <w:divBdr>
        <w:top w:val="none" w:sz="0" w:space="0" w:color="auto"/>
        <w:left w:val="none" w:sz="0" w:space="0" w:color="auto"/>
        <w:bottom w:val="none" w:sz="0" w:space="0" w:color="auto"/>
        <w:right w:val="none" w:sz="0" w:space="0" w:color="auto"/>
      </w:divBdr>
    </w:div>
    <w:div w:id="587692910">
      <w:bodyDiv w:val="1"/>
      <w:marLeft w:val="0"/>
      <w:marRight w:val="0"/>
      <w:marTop w:val="0"/>
      <w:marBottom w:val="0"/>
      <w:divBdr>
        <w:top w:val="none" w:sz="0" w:space="0" w:color="auto"/>
        <w:left w:val="none" w:sz="0" w:space="0" w:color="auto"/>
        <w:bottom w:val="none" w:sz="0" w:space="0" w:color="auto"/>
        <w:right w:val="none" w:sz="0" w:space="0" w:color="auto"/>
      </w:divBdr>
    </w:div>
    <w:div w:id="686832529">
      <w:bodyDiv w:val="1"/>
      <w:marLeft w:val="0"/>
      <w:marRight w:val="0"/>
      <w:marTop w:val="0"/>
      <w:marBottom w:val="0"/>
      <w:divBdr>
        <w:top w:val="none" w:sz="0" w:space="0" w:color="auto"/>
        <w:left w:val="none" w:sz="0" w:space="0" w:color="auto"/>
        <w:bottom w:val="none" w:sz="0" w:space="0" w:color="auto"/>
        <w:right w:val="none" w:sz="0" w:space="0" w:color="auto"/>
      </w:divBdr>
      <w:divsChild>
        <w:div w:id="447747558">
          <w:marLeft w:val="0"/>
          <w:marRight w:val="0"/>
          <w:marTop w:val="0"/>
          <w:marBottom w:val="0"/>
          <w:divBdr>
            <w:top w:val="none" w:sz="0" w:space="0" w:color="auto"/>
            <w:left w:val="none" w:sz="0" w:space="0" w:color="auto"/>
            <w:bottom w:val="none" w:sz="0" w:space="0" w:color="auto"/>
            <w:right w:val="none" w:sz="0" w:space="0" w:color="auto"/>
          </w:divBdr>
          <w:divsChild>
            <w:div w:id="951790879">
              <w:marLeft w:val="0"/>
              <w:marRight w:val="0"/>
              <w:marTop w:val="0"/>
              <w:marBottom w:val="0"/>
              <w:divBdr>
                <w:top w:val="none" w:sz="0" w:space="0" w:color="auto"/>
                <w:left w:val="none" w:sz="0" w:space="0" w:color="auto"/>
                <w:bottom w:val="none" w:sz="0" w:space="0" w:color="auto"/>
                <w:right w:val="none" w:sz="0" w:space="0" w:color="auto"/>
              </w:divBdr>
              <w:divsChild>
                <w:div w:id="1918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54214">
      <w:bodyDiv w:val="1"/>
      <w:marLeft w:val="0"/>
      <w:marRight w:val="0"/>
      <w:marTop w:val="0"/>
      <w:marBottom w:val="0"/>
      <w:divBdr>
        <w:top w:val="none" w:sz="0" w:space="0" w:color="auto"/>
        <w:left w:val="none" w:sz="0" w:space="0" w:color="auto"/>
        <w:bottom w:val="none" w:sz="0" w:space="0" w:color="auto"/>
        <w:right w:val="none" w:sz="0" w:space="0" w:color="auto"/>
      </w:divBdr>
      <w:divsChild>
        <w:div w:id="587808590">
          <w:marLeft w:val="0"/>
          <w:marRight w:val="0"/>
          <w:marTop w:val="0"/>
          <w:marBottom w:val="0"/>
          <w:divBdr>
            <w:top w:val="none" w:sz="0" w:space="0" w:color="auto"/>
            <w:left w:val="none" w:sz="0" w:space="0" w:color="auto"/>
            <w:bottom w:val="none" w:sz="0" w:space="0" w:color="auto"/>
            <w:right w:val="none" w:sz="0" w:space="0" w:color="auto"/>
          </w:divBdr>
          <w:divsChild>
            <w:div w:id="1985960267">
              <w:marLeft w:val="0"/>
              <w:marRight w:val="0"/>
              <w:marTop w:val="0"/>
              <w:marBottom w:val="0"/>
              <w:divBdr>
                <w:top w:val="none" w:sz="0" w:space="0" w:color="auto"/>
                <w:left w:val="none" w:sz="0" w:space="0" w:color="auto"/>
                <w:bottom w:val="none" w:sz="0" w:space="0" w:color="auto"/>
                <w:right w:val="none" w:sz="0" w:space="0" w:color="auto"/>
              </w:divBdr>
              <w:divsChild>
                <w:div w:id="2076858190">
                  <w:marLeft w:val="0"/>
                  <w:marRight w:val="0"/>
                  <w:marTop w:val="0"/>
                  <w:marBottom w:val="0"/>
                  <w:divBdr>
                    <w:top w:val="none" w:sz="0" w:space="0" w:color="auto"/>
                    <w:left w:val="none" w:sz="0" w:space="0" w:color="auto"/>
                    <w:bottom w:val="none" w:sz="0" w:space="0" w:color="auto"/>
                    <w:right w:val="none" w:sz="0" w:space="0" w:color="auto"/>
                  </w:divBdr>
                  <w:divsChild>
                    <w:div w:id="18404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66061">
      <w:bodyDiv w:val="1"/>
      <w:marLeft w:val="0"/>
      <w:marRight w:val="0"/>
      <w:marTop w:val="0"/>
      <w:marBottom w:val="0"/>
      <w:divBdr>
        <w:top w:val="none" w:sz="0" w:space="0" w:color="auto"/>
        <w:left w:val="none" w:sz="0" w:space="0" w:color="auto"/>
        <w:bottom w:val="none" w:sz="0" w:space="0" w:color="auto"/>
        <w:right w:val="none" w:sz="0" w:space="0" w:color="auto"/>
      </w:divBdr>
    </w:div>
    <w:div w:id="932855818">
      <w:bodyDiv w:val="1"/>
      <w:marLeft w:val="0"/>
      <w:marRight w:val="0"/>
      <w:marTop w:val="0"/>
      <w:marBottom w:val="0"/>
      <w:divBdr>
        <w:top w:val="none" w:sz="0" w:space="0" w:color="auto"/>
        <w:left w:val="none" w:sz="0" w:space="0" w:color="auto"/>
        <w:bottom w:val="none" w:sz="0" w:space="0" w:color="auto"/>
        <w:right w:val="none" w:sz="0" w:space="0" w:color="auto"/>
      </w:divBdr>
    </w:div>
    <w:div w:id="944533086">
      <w:bodyDiv w:val="1"/>
      <w:marLeft w:val="0"/>
      <w:marRight w:val="0"/>
      <w:marTop w:val="0"/>
      <w:marBottom w:val="0"/>
      <w:divBdr>
        <w:top w:val="none" w:sz="0" w:space="0" w:color="auto"/>
        <w:left w:val="none" w:sz="0" w:space="0" w:color="auto"/>
        <w:bottom w:val="none" w:sz="0" w:space="0" w:color="auto"/>
        <w:right w:val="none" w:sz="0" w:space="0" w:color="auto"/>
      </w:divBdr>
      <w:divsChild>
        <w:div w:id="399451560">
          <w:marLeft w:val="0"/>
          <w:marRight w:val="0"/>
          <w:marTop w:val="0"/>
          <w:marBottom w:val="0"/>
          <w:divBdr>
            <w:top w:val="none" w:sz="0" w:space="0" w:color="auto"/>
            <w:left w:val="none" w:sz="0" w:space="0" w:color="auto"/>
            <w:bottom w:val="none" w:sz="0" w:space="0" w:color="auto"/>
            <w:right w:val="none" w:sz="0" w:space="0" w:color="auto"/>
          </w:divBdr>
          <w:divsChild>
            <w:div w:id="1528064365">
              <w:marLeft w:val="0"/>
              <w:marRight w:val="0"/>
              <w:marTop w:val="0"/>
              <w:marBottom w:val="0"/>
              <w:divBdr>
                <w:top w:val="none" w:sz="0" w:space="0" w:color="auto"/>
                <w:left w:val="none" w:sz="0" w:space="0" w:color="auto"/>
                <w:bottom w:val="none" w:sz="0" w:space="0" w:color="auto"/>
                <w:right w:val="none" w:sz="0" w:space="0" w:color="auto"/>
              </w:divBdr>
              <w:divsChild>
                <w:div w:id="1876387432">
                  <w:marLeft w:val="0"/>
                  <w:marRight w:val="0"/>
                  <w:marTop w:val="0"/>
                  <w:marBottom w:val="0"/>
                  <w:divBdr>
                    <w:top w:val="none" w:sz="0" w:space="0" w:color="auto"/>
                    <w:left w:val="none" w:sz="0" w:space="0" w:color="auto"/>
                    <w:bottom w:val="none" w:sz="0" w:space="0" w:color="auto"/>
                    <w:right w:val="none" w:sz="0" w:space="0" w:color="auto"/>
                  </w:divBdr>
                  <w:divsChild>
                    <w:div w:id="15714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53068">
      <w:bodyDiv w:val="1"/>
      <w:marLeft w:val="0"/>
      <w:marRight w:val="0"/>
      <w:marTop w:val="0"/>
      <w:marBottom w:val="0"/>
      <w:divBdr>
        <w:top w:val="none" w:sz="0" w:space="0" w:color="auto"/>
        <w:left w:val="none" w:sz="0" w:space="0" w:color="auto"/>
        <w:bottom w:val="none" w:sz="0" w:space="0" w:color="auto"/>
        <w:right w:val="none" w:sz="0" w:space="0" w:color="auto"/>
      </w:divBdr>
      <w:divsChild>
        <w:div w:id="885722632">
          <w:marLeft w:val="0"/>
          <w:marRight w:val="0"/>
          <w:marTop w:val="0"/>
          <w:marBottom w:val="0"/>
          <w:divBdr>
            <w:top w:val="none" w:sz="0" w:space="0" w:color="auto"/>
            <w:left w:val="none" w:sz="0" w:space="0" w:color="auto"/>
            <w:bottom w:val="none" w:sz="0" w:space="0" w:color="auto"/>
            <w:right w:val="none" w:sz="0" w:space="0" w:color="auto"/>
          </w:divBdr>
          <w:divsChild>
            <w:div w:id="1209878488">
              <w:marLeft w:val="0"/>
              <w:marRight w:val="0"/>
              <w:marTop w:val="0"/>
              <w:marBottom w:val="0"/>
              <w:divBdr>
                <w:top w:val="none" w:sz="0" w:space="0" w:color="auto"/>
                <w:left w:val="none" w:sz="0" w:space="0" w:color="auto"/>
                <w:bottom w:val="none" w:sz="0" w:space="0" w:color="auto"/>
                <w:right w:val="none" w:sz="0" w:space="0" w:color="auto"/>
              </w:divBdr>
              <w:divsChild>
                <w:div w:id="2862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0031">
      <w:bodyDiv w:val="1"/>
      <w:marLeft w:val="0"/>
      <w:marRight w:val="0"/>
      <w:marTop w:val="0"/>
      <w:marBottom w:val="0"/>
      <w:divBdr>
        <w:top w:val="none" w:sz="0" w:space="0" w:color="auto"/>
        <w:left w:val="none" w:sz="0" w:space="0" w:color="auto"/>
        <w:bottom w:val="none" w:sz="0" w:space="0" w:color="auto"/>
        <w:right w:val="none" w:sz="0" w:space="0" w:color="auto"/>
      </w:divBdr>
      <w:divsChild>
        <w:div w:id="189531035">
          <w:marLeft w:val="0"/>
          <w:marRight w:val="0"/>
          <w:marTop w:val="0"/>
          <w:marBottom w:val="0"/>
          <w:divBdr>
            <w:top w:val="none" w:sz="0" w:space="0" w:color="auto"/>
            <w:left w:val="none" w:sz="0" w:space="0" w:color="auto"/>
            <w:bottom w:val="none" w:sz="0" w:space="0" w:color="auto"/>
            <w:right w:val="none" w:sz="0" w:space="0" w:color="auto"/>
          </w:divBdr>
          <w:divsChild>
            <w:div w:id="99379134">
              <w:marLeft w:val="0"/>
              <w:marRight w:val="0"/>
              <w:marTop w:val="0"/>
              <w:marBottom w:val="0"/>
              <w:divBdr>
                <w:top w:val="none" w:sz="0" w:space="0" w:color="auto"/>
                <w:left w:val="none" w:sz="0" w:space="0" w:color="auto"/>
                <w:bottom w:val="none" w:sz="0" w:space="0" w:color="auto"/>
                <w:right w:val="none" w:sz="0" w:space="0" w:color="auto"/>
              </w:divBdr>
              <w:divsChild>
                <w:div w:id="1527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4360">
      <w:bodyDiv w:val="1"/>
      <w:marLeft w:val="0"/>
      <w:marRight w:val="0"/>
      <w:marTop w:val="0"/>
      <w:marBottom w:val="0"/>
      <w:divBdr>
        <w:top w:val="none" w:sz="0" w:space="0" w:color="auto"/>
        <w:left w:val="none" w:sz="0" w:space="0" w:color="auto"/>
        <w:bottom w:val="none" w:sz="0" w:space="0" w:color="auto"/>
        <w:right w:val="none" w:sz="0" w:space="0" w:color="auto"/>
      </w:divBdr>
    </w:div>
    <w:div w:id="1338998691">
      <w:bodyDiv w:val="1"/>
      <w:marLeft w:val="0"/>
      <w:marRight w:val="0"/>
      <w:marTop w:val="0"/>
      <w:marBottom w:val="0"/>
      <w:divBdr>
        <w:top w:val="none" w:sz="0" w:space="0" w:color="auto"/>
        <w:left w:val="none" w:sz="0" w:space="0" w:color="auto"/>
        <w:bottom w:val="none" w:sz="0" w:space="0" w:color="auto"/>
        <w:right w:val="none" w:sz="0" w:space="0" w:color="auto"/>
      </w:divBdr>
      <w:divsChild>
        <w:div w:id="1116364462">
          <w:marLeft w:val="0"/>
          <w:marRight w:val="0"/>
          <w:marTop w:val="0"/>
          <w:marBottom w:val="0"/>
          <w:divBdr>
            <w:top w:val="none" w:sz="0" w:space="0" w:color="auto"/>
            <w:left w:val="none" w:sz="0" w:space="0" w:color="auto"/>
            <w:bottom w:val="none" w:sz="0" w:space="0" w:color="auto"/>
            <w:right w:val="none" w:sz="0" w:space="0" w:color="auto"/>
          </w:divBdr>
          <w:divsChild>
            <w:div w:id="1796168225">
              <w:marLeft w:val="0"/>
              <w:marRight w:val="0"/>
              <w:marTop w:val="0"/>
              <w:marBottom w:val="0"/>
              <w:divBdr>
                <w:top w:val="none" w:sz="0" w:space="0" w:color="auto"/>
                <w:left w:val="none" w:sz="0" w:space="0" w:color="auto"/>
                <w:bottom w:val="none" w:sz="0" w:space="0" w:color="auto"/>
                <w:right w:val="none" w:sz="0" w:space="0" w:color="auto"/>
              </w:divBdr>
              <w:divsChild>
                <w:div w:id="16635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1787">
      <w:bodyDiv w:val="1"/>
      <w:marLeft w:val="0"/>
      <w:marRight w:val="0"/>
      <w:marTop w:val="0"/>
      <w:marBottom w:val="0"/>
      <w:divBdr>
        <w:top w:val="none" w:sz="0" w:space="0" w:color="auto"/>
        <w:left w:val="none" w:sz="0" w:space="0" w:color="auto"/>
        <w:bottom w:val="none" w:sz="0" w:space="0" w:color="auto"/>
        <w:right w:val="none" w:sz="0" w:space="0" w:color="auto"/>
      </w:divBdr>
      <w:divsChild>
        <w:div w:id="1222666993">
          <w:marLeft w:val="0"/>
          <w:marRight w:val="0"/>
          <w:marTop w:val="0"/>
          <w:marBottom w:val="0"/>
          <w:divBdr>
            <w:top w:val="none" w:sz="0" w:space="0" w:color="auto"/>
            <w:left w:val="none" w:sz="0" w:space="0" w:color="auto"/>
            <w:bottom w:val="none" w:sz="0" w:space="0" w:color="auto"/>
            <w:right w:val="none" w:sz="0" w:space="0" w:color="auto"/>
          </w:divBdr>
          <w:divsChild>
            <w:div w:id="1034572901">
              <w:marLeft w:val="0"/>
              <w:marRight w:val="0"/>
              <w:marTop w:val="0"/>
              <w:marBottom w:val="0"/>
              <w:divBdr>
                <w:top w:val="none" w:sz="0" w:space="0" w:color="auto"/>
                <w:left w:val="none" w:sz="0" w:space="0" w:color="auto"/>
                <w:bottom w:val="none" w:sz="0" w:space="0" w:color="auto"/>
                <w:right w:val="none" w:sz="0" w:space="0" w:color="auto"/>
              </w:divBdr>
              <w:divsChild>
                <w:div w:id="20747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3067">
      <w:bodyDiv w:val="1"/>
      <w:marLeft w:val="0"/>
      <w:marRight w:val="0"/>
      <w:marTop w:val="0"/>
      <w:marBottom w:val="0"/>
      <w:divBdr>
        <w:top w:val="none" w:sz="0" w:space="0" w:color="auto"/>
        <w:left w:val="none" w:sz="0" w:space="0" w:color="auto"/>
        <w:bottom w:val="none" w:sz="0" w:space="0" w:color="auto"/>
        <w:right w:val="none" w:sz="0" w:space="0" w:color="auto"/>
      </w:divBdr>
    </w:div>
    <w:div w:id="1546673825">
      <w:bodyDiv w:val="1"/>
      <w:marLeft w:val="0"/>
      <w:marRight w:val="0"/>
      <w:marTop w:val="0"/>
      <w:marBottom w:val="0"/>
      <w:divBdr>
        <w:top w:val="none" w:sz="0" w:space="0" w:color="auto"/>
        <w:left w:val="none" w:sz="0" w:space="0" w:color="auto"/>
        <w:bottom w:val="none" w:sz="0" w:space="0" w:color="auto"/>
        <w:right w:val="none" w:sz="0" w:space="0" w:color="auto"/>
      </w:divBdr>
    </w:div>
    <w:div w:id="1569223462">
      <w:bodyDiv w:val="1"/>
      <w:marLeft w:val="0"/>
      <w:marRight w:val="0"/>
      <w:marTop w:val="0"/>
      <w:marBottom w:val="0"/>
      <w:divBdr>
        <w:top w:val="none" w:sz="0" w:space="0" w:color="auto"/>
        <w:left w:val="none" w:sz="0" w:space="0" w:color="auto"/>
        <w:bottom w:val="none" w:sz="0" w:space="0" w:color="auto"/>
        <w:right w:val="none" w:sz="0" w:space="0" w:color="auto"/>
      </w:divBdr>
      <w:divsChild>
        <w:div w:id="1304002515">
          <w:marLeft w:val="0"/>
          <w:marRight w:val="0"/>
          <w:marTop w:val="0"/>
          <w:marBottom w:val="0"/>
          <w:divBdr>
            <w:top w:val="none" w:sz="0" w:space="0" w:color="auto"/>
            <w:left w:val="none" w:sz="0" w:space="0" w:color="auto"/>
            <w:bottom w:val="none" w:sz="0" w:space="0" w:color="auto"/>
            <w:right w:val="none" w:sz="0" w:space="0" w:color="auto"/>
          </w:divBdr>
          <w:divsChild>
            <w:div w:id="2080058573">
              <w:marLeft w:val="0"/>
              <w:marRight w:val="0"/>
              <w:marTop w:val="0"/>
              <w:marBottom w:val="0"/>
              <w:divBdr>
                <w:top w:val="none" w:sz="0" w:space="0" w:color="auto"/>
                <w:left w:val="none" w:sz="0" w:space="0" w:color="auto"/>
                <w:bottom w:val="none" w:sz="0" w:space="0" w:color="auto"/>
                <w:right w:val="none" w:sz="0" w:space="0" w:color="auto"/>
              </w:divBdr>
              <w:divsChild>
                <w:div w:id="11862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82135">
      <w:bodyDiv w:val="1"/>
      <w:marLeft w:val="0"/>
      <w:marRight w:val="0"/>
      <w:marTop w:val="0"/>
      <w:marBottom w:val="0"/>
      <w:divBdr>
        <w:top w:val="none" w:sz="0" w:space="0" w:color="auto"/>
        <w:left w:val="none" w:sz="0" w:space="0" w:color="auto"/>
        <w:bottom w:val="none" w:sz="0" w:space="0" w:color="auto"/>
        <w:right w:val="none" w:sz="0" w:space="0" w:color="auto"/>
      </w:divBdr>
    </w:div>
    <w:div w:id="1616786859">
      <w:bodyDiv w:val="1"/>
      <w:marLeft w:val="0"/>
      <w:marRight w:val="0"/>
      <w:marTop w:val="0"/>
      <w:marBottom w:val="0"/>
      <w:divBdr>
        <w:top w:val="none" w:sz="0" w:space="0" w:color="auto"/>
        <w:left w:val="none" w:sz="0" w:space="0" w:color="auto"/>
        <w:bottom w:val="none" w:sz="0" w:space="0" w:color="auto"/>
        <w:right w:val="none" w:sz="0" w:space="0" w:color="auto"/>
      </w:divBdr>
    </w:div>
    <w:div w:id="1661231465">
      <w:bodyDiv w:val="1"/>
      <w:marLeft w:val="0"/>
      <w:marRight w:val="0"/>
      <w:marTop w:val="0"/>
      <w:marBottom w:val="0"/>
      <w:divBdr>
        <w:top w:val="none" w:sz="0" w:space="0" w:color="auto"/>
        <w:left w:val="none" w:sz="0" w:space="0" w:color="auto"/>
        <w:bottom w:val="none" w:sz="0" w:space="0" w:color="auto"/>
        <w:right w:val="none" w:sz="0" w:space="0" w:color="auto"/>
      </w:divBdr>
      <w:divsChild>
        <w:div w:id="1140490138">
          <w:marLeft w:val="0"/>
          <w:marRight w:val="0"/>
          <w:marTop w:val="0"/>
          <w:marBottom w:val="0"/>
          <w:divBdr>
            <w:top w:val="none" w:sz="0" w:space="0" w:color="auto"/>
            <w:left w:val="none" w:sz="0" w:space="0" w:color="auto"/>
            <w:bottom w:val="none" w:sz="0" w:space="0" w:color="auto"/>
            <w:right w:val="none" w:sz="0" w:space="0" w:color="auto"/>
          </w:divBdr>
          <w:divsChild>
            <w:div w:id="959072253">
              <w:marLeft w:val="0"/>
              <w:marRight w:val="0"/>
              <w:marTop w:val="0"/>
              <w:marBottom w:val="0"/>
              <w:divBdr>
                <w:top w:val="none" w:sz="0" w:space="0" w:color="auto"/>
                <w:left w:val="none" w:sz="0" w:space="0" w:color="auto"/>
                <w:bottom w:val="none" w:sz="0" w:space="0" w:color="auto"/>
                <w:right w:val="none" w:sz="0" w:space="0" w:color="auto"/>
              </w:divBdr>
              <w:divsChild>
                <w:div w:id="13874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7974">
      <w:bodyDiv w:val="1"/>
      <w:marLeft w:val="0"/>
      <w:marRight w:val="0"/>
      <w:marTop w:val="0"/>
      <w:marBottom w:val="0"/>
      <w:divBdr>
        <w:top w:val="none" w:sz="0" w:space="0" w:color="auto"/>
        <w:left w:val="none" w:sz="0" w:space="0" w:color="auto"/>
        <w:bottom w:val="none" w:sz="0" w:space="0" w:color="auto"/>
        <w:right w:val="none" w:sz="0" w:space="0" w:color="auto"/>
      </w:divBdr>
    </w:div>
    <w:div w:id="1877044559">
      <w:bodyDiv w:val="1"/>
      <w:marLeft w:val="0"/>
      <w:marRight w:val="0"/>
      <w:marTop w:val="0"/>
      <w:marBottom w:val="0"/>
      <w:divBdr>
        <w:top w:val="none" w:sz="0" w:space="0" w:color="auto"/>
        <w:left w:val="none" w:sz="0" w:space="0" w:color="auto"/>
        <w:bottom w:val="none" w:sz="0" w:space="0" w:color="auto"/>
        <w:right w:val="none" w:sz="0" w:space="0" w:color="auto"/>
      </w:divBdr>
      <w:divsChild>
        <w:div w:id="1059938787">
          <w:marLeft w:val="0"/>
          <w:marRight w:val="0"/>
          <w:marTop w:val="0"/>
          <w:marBottom w:val="0"/>
          <w:divBdr>
            <w:top w:val="none" w:sz="0" w:space="0" w:color="auto"/>
            <w:left w:val="none" w:sz="0" w:space="0" w:color="auto"/>
            <w:bottom w:val="none" w:sz="0" w:space="0" w:color="auto"/>
            <w:right w:val="none" w:sz="0" w:space="0" w:color="auto"/>
          </w:divBdr>
          <w:divsChild>
            <w:div w:id="1290092934">
              <w:marLeft w:val="0"/>
              <w:marRight w:val="0"/>
              <w:marTop w:val="0"/>
              <w:marBottom w:val="0"/>
              <w:divBdr>
                <w:top w:val="none" w:sz="0" w:space="0" w:color="auto"/>
                <w:left w:val="none" w:sz="0" w:space="0" w:color="auto"/>
                <w:bottom w:val="none" w:sz="0" w:space="0" w:color="auto"/>
                <w:right w:val="none" w:sz="0" w:space="0" w:color="auto"/>
              </w:divBdr>
              <w:divsChild>
                <w:div w:id="9197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33605">
      <w:bodyDiv w:val="1"/>
      <w:marLeft w:val="0"/>
      <w:marRight w:val="0"/>
      <w:marTop w:val="0"/>
      <w:marBottom w:val="0"/>
      <w:divBdr>
        <w:top w:val="none" w:sz="0" w:space="0" w:color="auto"/>
        <w:left w:val="none" w:sz="0" w:space="0" w:color="auto"/>
        <w:bottom w:val="none" w:sz="0" w:space="0" w:color="auto"/>
        <w:right w:val="none" w:sz="0" w:space="0" w:color="auto"/>
      </w:divBdr>
    </w:div>
    <w:div w:id="1998263043">
      <w:bodyDiv w:val="1"/>
      <w:marLeft w:val="0"/>
      <w:marRight w:val="0"/>
      <w:marTop w:val="0"/>
      <w:marBottom w:val="0"/>
      <w:divBdr>
        <w:top w:val="none" w:sz="0" w:space="0" w:color="auto"/>
        <w:left w:val="none" w:sz="0" w:space="0" w:color="auto"/>
        <w:bottom w:val="none" w:sz="0" w:space="0" w:color="auto"/>
        <w:right w:val="none" w:sz="0" w:space="0" w:color="auto"/>
      </w:divBdr>
    </w:div>
    <w:div w:id="2004425854">
      <w:bodyDiv w:val="1"/>
      <w:marLeft w:val="0"/>
      <w:marRight w:val="0"/>
      <w:marTop w:val="0"/>
      <w:marBottom w:val="0"/>
      <w:divBdr>
        <w:top w:val="none" w:sz="0" w:space="0" w:color="auto"/>
        <w:left w:val="none" w:sz="0" w:space="0" w:color="auto"/>
        <w:bottom w:val="none" w:sz="0" w:space="0" w:color="auto"/>
        <w:right w:val="none" w:sz="0" w:space="0" w:color="auto"/>
      </w:divBdr>
      <w:divsChild>
        <w:div w:id="725105751">
          <w:marLeft w:val="0"/>
          <w:marRight w:val="0"/>
          <w:marTop w:val="0"/>
          <w:marBottom w:val="0"/>
          <w:divBdr>
            <w:top w:val="none" w:sz="0" w:space="0" w:color="auto"/>
            <w:left w:val="none" w:sz="0" w:space="0" w:color="auto"/>
            <w:bottom w:val="none" w:sz="0" w:space="0" w:color="auto"/>
            <w:right w:val="none" w:sz="0" w:space="0" w:color="auto"/>
          </w:divBdr>
          <w:divsChild>
            <w:div w:id="1889147560">
              <w:marLeft w:val="0"/>
              <w:marRight w:val="0"/>
              <w:marTop w:val="0"/>
              <w:marBottom w:val="0"/>
              <w:divBdr>
                <w:top w:val="none" w:sz="0" w:space="0" w:color="auto"/>
                <w:left w:val="none" w:sz="0" w:space="0" w:color="auto"/>
                <w:bottom w:val="none" w:sz="0" w:space="0" w:color="auto"/>
                <w:right w:val="none" w:sz="0" w:space="0" w:color="auto"/>
              </w:divBdr>
              <w:divsChild>
                <w:div w:id="314335588">
                  <w:marLeft w:val="0"/>
                  <w:marRight w:val="0"/>
                  <w:marTop w:val="0"/>
                  <w:marBottom w:val="0"/>
                  <w:divBdr>
                    <w:top w:val="none" w:sz="0" w:space="0" w:color="auto"/>
                    <w:left w:val="none" w:sz="0" w:space="0" w:color="auto"/>
                    <w:bottom w:val="none" w:sz="0" w:space="0" w:color="auto"/>
                    <w:right w:val="none" w:sz="0" w:space="0" w:color="auto"/>
                  </w:divBdr>
                  <w:divsChild>
                    <w:div w:id="9757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asn.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keskkonnaamet.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bensministerium.a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FB497-B882-4752-8987-DFE9DC36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16208</Words>
  <Characters>92386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JANSEN Colette (SG)</cp:lastModifiedBy>
  <cp:revision>17</cp:revision>
  <cp:lastPrinted>2017-05-05T14:28:00Z</cp:lastPrinted>
  <dcterms:created xsi:type="dcterms:W3CDTF">2017-05-05T08:12:00Z</dcterms:created>
  <dcterms:modified xsi:type="dcterms:W3CDTF">2017-05-05T14:33:00Z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