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F0" w:rsidRDefault="00ED659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BA2B73B7E04DC39E2B9D9C46D9A0B7" style="width:450.6pt;height:458.05pt">
            <v:imagedata r:id="rId9" o:title=""/>
          </v:shape>
        </w:pict>
      </w:r>
    </w:p>
    <w:bookmarkEnd w:id="0"/>
    <w:p w:rsidR="008702F0" w:rsidRDefault="008702F0">
      <w:pPr>
        <w:rPr>
          <w:rFonts w:cs="Times New Roman"/>
          <w:noProof/>
        </w:rPr>
        <w:sectPr w:rsidR="008702F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702F0" w:rsidRDefault="008702F0">
      <w:pPr>
        <w:spacing w:beforeLines="1" w:before="2"/>
        <w:jc w:val="center"/>
        <w:rPr>
          <w:rFonts w:cs="Times New Roman"/>
          <w:b/>
          <w:bCs/>
          <w:noProof/>
        </w:rPr>
      </w:pPr>
    </w:p>
    <w:sdt>
      <w:sdtPr>
        <w:rPr>
          <w:rFonts w:cs="Times New Roman"/>
          <w:b/>
          <w:bCs/>
          <w:noProof/>
        </w:rPr>
        <w:id w:val="-2753705"/>
        <w:docPartObj>
          <w:docPartGallery w:val="Table of Contents"/>
          <w:docPartUnique/>
        </w:docPartObj>
      </w:sdtPr>
      <w:sdtEndPr>
        <w:rPr>
          <w:b w:val="0"/>
          <w:bCs w:val="0"/>
        </w:rPr>
      </w:sdtEndPr>
      <w:sdtContent>
        <w:p w:rsidR="008702F0" w:rsidRDefault="00ED659C">
          <w:pPr>
            <w:spacing w:beforeLines="1" w:before="2"/>
            <w:jc w:val="center"/>
            <w:rPr>
              <w:rFonts w:eastAsia="Times New Roman" w:cs="Times New Roman"/>
              <w:b/>
              <w:noProof/>
              <w:szCs w:val="24"/>
              <w:lang w:val="en-US"/>
            </w:rPr>
          </w:pPr>
          <w:r>
            <w:rPr>
              <w:rFonts w:eastAsia="Times New Roman" w:cs="Times New Roman"/>
              <w:b/>
              <w:noProof/>
              <w:szCs w:val="24"/>
              <w:lang w:val="en-US"/>
            </w:rPr>
            <w:t>TABLE OF CONTENTS</w:t>
          </w:r>
        </w:p>
        <w:p w:rsidR="008702F0" w:rsidRDefault="00ED659C">
          <w:pPr>
            <w:pStyle w:val="TOCHeading"/>
            <w:jc w:val="center"/>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 xml:space="preserve">    </w:t>
          </w:r>
        </w:p>
        <w:p w:rsidR="008702F0" w:rsidRDefault="00ED659C">
          <w:pPr>
            <w:pStyle w:val="TOC1"/>
            <w:ind w:left="960" w:hanging="960"/>
            <w:rPr>
              <w:rFonts w:asciiTheme="minorHAnsi" w:eastAsiaTheme="minorEastAsia" w:hAnsiTheme="minorHAnsi"/>
              <w:noProof/>
              <w:sz w:val="22"/>
              <w:lang w:eastAsia="en-GB"/>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478464489" w:history="1">
            <w:r>
              <w:rPr>
                <w:rStyle w:val="Hyperlink"/>
                <w:noProof/>
              </w:rPr>
              <w:t xml:space="preserve">List of </w:t>
            </w:r>
            <w:r>
              <w:rPr>
                <w:rStyle w:val="Hyperlink"/>
                <w:noProof/>
              </w:rPr>
              <w:t>abbreviations</w:t>
            </w:r>
            <w:r>
              <w:rPr>
                <w:noProof/>
                <w:webHidden/>
              </w:rPr>
              <w:tab/>
            </w:r>
            <w:r>
              <w:rPr>
                <w:noProof/>
                <w:webHidden/>
              </w:rPr>
              <w:fldChar w:fldCharType="begin"/>
            </w:r>
            <w:r>
              <w:rPr>
                <w:noProof/>
                <w:webHidden/>
              </w:rPr>
              <w:instrText xml:space="preserve"> PAGEREF _Toc478464489 \h </w:instrText>
            </w:r>
            <w:r>
              <w:rPr>
                <w:noProof/>
                <w:webHidden/>
              </w:rPr>
            </w:r>
            <w:r>
              <w:rPr>
                <w:noProof/>
                <w:webHidden/>
              </w:rPr>
              <w:fldChar w:fldCharType="separate"/>
            </w:r>
            <w:r>
              <w:rPr>
                <w:noProof/>
                <w:webHidden/>
              </w:rPr>
              <w:t>3</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0" w:history="1">
            <w:r>
              <w:rPr>
                <w:rStyle w:val="Hyperlink"/>
                <w:rFonts w:cs="Times New Roman"/>
                <w:noProof/>
              </w:rPr>
              <w:t>1.</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Introduction</w:t>
            </w:r>
            <w:r>
              <w:rPr>
                <w:noProof/>
                <w:webHidden/>
              </w:rPr>
              <w:tab/>
            </w:r>
            <w:r>
              <w:rPr>
                <w:noProof/>
                <w:webHidden/>
              </w:rPr>
              <w:fldChar w:fldCharType="begin"/>
            </w:r>
            <w:r>
              <w:rPr>
                <w:noProof/>
                <w:webHidden/>
              </w:rPr>
              <w:instrText xml:space="preserve"> PAGEREF _Toc478464490 \h </w:instrText>
            </w:r>
            <w:r>
              <w:rPr>
                <w:noProof/>
                <w:webHidden/>
              </w:rPr>
            </w:r>
            <w:r>
              <w:rPr>
                <w:noProof/>
                <w:webHidden/>
              </w:rPr>
              <w:fldChar w:fldCharType="separate"/>
            </w:r>
            <w:r>
              <w:rPr>
                <w:noProof/>
                <w:webHidden/>
              </w:rPr>
              <w:t>4</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1" w:history="1">
            <w:r>
              <w:rPr>
                <w:rStyle w:val="Hyperlink"/>
                <w:rFonts w:cs="Times New Roman"/>
                <w:noProof/>
              </w:rPr>
              <w:t>2.</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Sources of information</w:t>
            </w:r>
            <w:r>
              <w:rPr>
                <w:noProof/>
                <w:webHidden/>
              </w:rPr>
              <w:tab/>
            </w:r>
            <w:r>
              <w:rPr>
                <w:noProof/>
                <w:webHidden/>
              </w:rPr>
              <w:fldChar w:fldCharType="begin"/>
            </w:r>
            <w:r>
              <w:rPr>
                <w:noProof/>
                <w:webHidden/>
              </w:rPr>
              <w:instrText xml:space="preserve"> PAGEREF _Toc478464491 \h </w:instrText>
            </w:r>
            <w:r>
              <w:rPr>
                <w:noProof/>
                <w:webHidden/>
              </w:rPr>
            </w:r>
            <w:r>
              <w:rPr>
                <w:noProof/>
                <w:webHidden/>
              </w:rPr>
              <w:fldChar w:fldCharType="separate"/>
            </w:r>
            <w:r>
              <w:rPr>
                <w:noProof/>
                <w:webHidden/>
              </w:rPr>
              <w:t>5</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2" w:history="1">
            <w:r>
              <w:rPr>
                <w:rStyle w:val="Hyperlink"/>
                <w:rFonts w:cs="Times New Roman"/>
                <w:noProof/>
              </w:rPr>
              <w:t>3.</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Sources of spent fuel and radioactive waste</w:t>
            </w:r>
            <w:r>
              <w:rPr>
                <w:noProof/>
                <w:webHidden/>
              </w:rPr>
              <w:tab/>
            </w:r>
            <w:r>
              <w:rPr>
                <w:noProof/>
                <w:webHidden/>
              </w:rPr>
              <w:fldChar w:fldCharType="begin"/>
            </w:r>
            <w:r>
              <w:rPr>
                <w:noProof/>
                <w:webHidden/>
              </w:rPr>
              <w:instrText xml:space="preserve"> PAGEREF _Toc478464492 \h </w:instrText>
            </w:r>
            <w:r>
              <w:rPr>
                <w:noProof/>
                <w:webHidden/>
              </w:rPr>
            </w:r>
            <w:r>
              <w:rPr>
                <w:noProof/>
                <w:webHidden/>
              </w:rPr>
              <w:fldChar w:fldCharType="separate"/>
            </w:r>
            <w:r>
              <w:rPr>
                <w:noProof/>
                <w:webHidden/>
              </w:rPr>
              <w:t>7</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3" w:history="1">
            <w:r>
              <w:rPr>
                <w:rStyle w:val="Hyperlink"/>
                <w:rFonts w:cs="Times New Roman"/>
                <w:noProof/>
              </w:rPr>
              <w:t>4.</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Classification of spent fuel and radioactive waste</w:t>
            </w:r>
            <w:r>
              <w:rPr>
                <w:noProof/>
                <w:webHidden/>
              </w:rPr>
              <w:tab/>
            </w:r>
            <w:r>
              <w:rPr>
                <w:noProof/>
                <w:webHidden/>
              </w:rPr>
              <w:fldChar w:fldCharType="begin"/>
            </w:r>
            <w:r>
              <w:rPr>
                <w:noProof/>
                <w:webHidden/>
              </w:rPr>
              <w:instrText xml:space="preserve"> PAGEREF _Toc478464493 \h </w:instrText>
            </w:r>
            <w:r>
              <w:rPr>
                <w:noProof/>
                <w:webHidden/>
              </w:rPr>
            </w:r>
            <w:r>
              <w:rPr>
                <w:noProof/>
                <w:webHidden/>
              </w:rPr>
              <w:fldChar w:fldCharType="separate"/>
            </w:r>
            <w:r>
              <w:rPr>
                <w:noProof/>
                <w:webHidden/>
              </w:rPr>
              <w:t>8</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4" w:history="1">
            <w:r>
              <w:rPr>
                <w:rStyle w:val="Hyperlink"/>
                <w:rFonts w:cs="Times New Roman"/>
                <w:noProof/>
              </w:rPr>
              <w:t>5.</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Estimated spent fuel and radioactive waste inventory in the European Union</w:t>
            </w:r>
            <w:r>
              <w:rPr>
                <w:noProof/>
                <w:webHidden/>
              </w:rPr>
              <w:tab/>
            </w:r>
            <w:r>
              <w:rPr>
                <w:noProof/>
                <w:webHidden/>
              </w:rPr>
              <w:fldChar w:fldCharType="begin"/>
            </w:r>
            <w:r>
              <w:rPr>
                <w:noProof/>
                <w:webHidden/>
              </w:rPr>
              <w:instrText xml:space="preserve"> PAGEREF _Toc478464494 \h </w:instrText>
            </w:r>
            <w:r>
              <w:rPr>
                <w:noProof/>
                <w:webHidden/>
              </w:rPr>
            </w:r>
            <w:r>
              <w:rPr>
                <w:noProof/>
                <w:webHidden/>
              </w:rPr>
              <w:fldChar w:fldCharType="separate"/>
            </w:r>
            <w:r>
              <w:rPr>
                <w:noProof/>
                <w:webHidden/>
              </w:rPr>
              <w:t>9</w:t>
            </w:r>
            <w:r>
              <w:rPr>
                <w:noProof/>
                <w:webHidden/>
              </w:rPr>
              <w:fldChar w:fldCharType="end"/>
            </w:r>
          </w:hyperlink>
        </w:p>
        <w:p w:rsidR="008702F0" w:rsidRDefault="00ED659C">
          <w:pPr>
            <w:pStyle w:val="TOC1"/>
            <w:ind w:left="960" w:hanging="960"/>
            <w:rPr>
              <w:rFonts w:asciiTheme="minorHAnsi" w:eastAsiaTheme="minorEastAsia" w:hAnsiTheme="minorHAnsi"/>
              <w:noProof/>
              <w:sz w:val="22"/>
              <w:lang w:eastAsia="en-GB"/>
            </w:rPr>
          </w:pPr>
          <w:hyperlink w:anchor="_Toc478464495" w:history="1">
            <w:r>
              <w:rPr>
                <w:rStyle w:val="Hyperlink"/>
                <w:rFonts w:cs="Times New Roman"/>
                <w:noProof/>
              </w:rPr>
              <w:t>6.</w:t>
            </w:r>
            <w:r>
              <w:rPr>
                <w:rFonts w:asciiTheme="minorHAnsi" w:eastAsiaTheme="minorEastAsia" w:hAnsiTheme="minorHAnsi"/>
                <w:noProof/>
                <w:sz w:val="22"/>
                <w:lang w:eastAsia="en-GB"/>
              </w:rPr>
              <w:tab/>
            </w:r>
            <w:r>
              <w:rPr>
                <w:rFonts w:asciiTheme="minorHAnsi" w:eastAsiaTheme="minorEastAsia" w:hAnsiTheme="minorHAnsi"/>
                <w:noProof/>
                <w:sz w:val="22"/>
                <w:lang w:eastAsia="en-GB"/>
              </w:rPr>
              <w:tab/>
            </w:r>
            <w:r>
              <w:rPr>
                <w:rStyle w:val="Hyperlink"/>
                <w:rFonts w:cs="Times New Roman"/>
                <w:noProof/>
              </w:rPr>
              <w:t>Projections of future spent fuel and radioactive waste arisings</w:t>
            </w:r>
            <w:r>
              <w:rPr>
                <w:noProof/>
                <w:webHidden/>
              </w:rPr>
              <w:tab/>
            </w:r>
            <w:r>
              <w:rPr>
                <w:noProof/>
                <w:webHidden/>
              </w:rPr>
              <w:fldChar w:fldCharType="begin"/>
            </w:r>
            <w:r>
              <w:rPr>
                <w:noProof/>
                <w:webHidden/>
              </w:rPr>
              <w:instrText xml:space="preserve"> PAGEREF _Toc478464495 \h </w:instrText>
            </w:r>
            <w:r>
              <w:rPr>
                <w:noProof/>
                <w:webHidden/>
              </w:rPr>
            </w:r>
            <w:r>
              <w:rPr>
                <w:noProof/>
                <w:webHidden/>
              </w:rPr>
              <w:fldChar w:fldCharType="separate"/>
            </w:r>
            <w:r>
              <w:rPr>
                <w:noProof/>
                <w:webHidden/>
              </w:rPr>
              <w:t>23</w:t>
            </w:r>
            <w:r>
              <w:rPr>
                <w:noProof/>
                <w:webHidden/>
              </w:rPr>
              <w:fldChar w:fldCharType="end"/>
            </w:r>
          </w:hyperlink>
        </w:p>
        <w:p w:rsidR="008702F0" w:rsidRDefault="00ED659C">
          <w:pPr>
            <w:pStyle w:val="TOC1"/>
            <w:tabs>
              <w:tab w:val="left" w:pos="960"/>
            </w:tabs>
            <w:ind w:left="960" w:hanging="960"/>
            <w:rPr>
              <w:rFonts w:asciiTheme="minorHAnsi" w:eastAsiaTheme="minorEastAsia" w:hAnsiTheme="minorHAnsi"/>
              <w:noProof/>
              <w:sz w:val="22"/>
              <w:lang w:eastAsia="en-GB"/>
            </w:rPr>
          </w:pPr>
          <w:hyperlink w:anchor="_Toc478464496" w:history="1">
            <w:r>
              <w:rPr>
                <w:rStyle w:val="Hyperlink"/>
                <w:noProof/>
              </w:rPr>
              <w:t>Annex:</w:t>
            </w:r>
            <w:r>
              <w:rPr>
                <w:rFonts w:asciiTheme="minorHAnsi" w:eastAsiaTheme="minorEastAsia" w:hAnsiTheme="minorHAnsi"/>
                <w:noProof/>
                <w:sz w:val="22"/>
                <w:lang w:eastAsia="en-GB"/>
              </w:rPr>
              <w:tab/>
            </w:r>
            <w:r>
              <w:rPr>
                <w:rStyle w:val="Hyperlink"/>
                <w:noProof/>
              </w:rPr>
              <w:t>Spent fuel and radioactive waste inventory data</w:t>
            </w:r>
            <w:r>
              <w:rPr>
                <w:noProof/>
                <w:webHidden/>
              </w:rPr>
              <w:tab/>
            </w:r>
            <w:r>
              <w:rPr>
                <w:noProof/>
                <w:webHidden/>
              </w:rPr>
              <w:fldChar w:fldCharType="begin"/>
            </w:r>
            <w:r>
              <w:rPr>
                <w:noProof/>
                <w:webHidden/>
              </w:rPr>
              <w:instrText xml:space="preserve"> PAGEREF _Toc478464496 \h </w:instrText>
            </w:r>
            <w:r>
              <w:rPr>
                <w:noProof/>
                <w:webHidden/>
              </w:rPr>
            </w:r>
            <w:r>
              <w:rPr>
                <w:noProof/>
                <w:webHidden/>
              </w:rPr>
              <w:fldChar w:fldCharType="separate"/>
            </w:r>
            <w:r>
              <w:rPr>
                <w:noProof/>
                <w:webHidden/>
              </w:rPr>
              <w:t>25</w:t>
            </w:r>
            <w:r>
              <w:rPr>
                <w:noProof/>
                <w:webHidden/>
              </w:rPr>
              <w:fldChar w:fldCharType="end"/>
            </w:r>
          </w:hyperlink>
        </w:p>
        <w:p w:rsidR="008702F0" w:rsidRDefault="00ED659C">
          <w:pPr>
            <w:ind w:left="960" w:hanging="960"/>
            <w:rPr>
              <w:rFonts w:cs="Times New Roman"/>
              <w:noProof/>
            </w:rPr>
          </w:pPr>
          <w:r>
            <w:rPr>
              <w:rFonts w:cs="Times New Roman"/>
              <w:b/>
              <w:bCs/>
              <w:noProof/>
            </w:rPr>
            <w:fldChar w:fldCharType="end"/>
          </w:r>
        </w:p>
      </w:sdtContent>
    </w:sdt>
    <w:p w:rsidR="008702F0" w:rsidRDefault="008702F0">
      <w:pPr>
        <w:jc w:val="center"/>
        <w:rPr>
          <w:rFonts w:cs="Times New Roman"/>
          <w:b/>
          <w:noProof/>
          <w:color w:val="000000" w:themeColor="text1"/>
          <w:sz w:val="23"/>
          <w:szCs w:val="23"/>
        </w:rPr>
      </w:pPr>
    </w:p>
    <w:p w:rsidR="008702F0" w:rsidRDefault="00ED659C">
      <w:pPr>
        <w:spacing w:before="0" w:after="200"/>
        <w:jc w:val="left"/>
        <w:rPr>
          <w:rFonts w:cs="Times New Roman"/>
          <w:b/>
          <w:noProof/>
          <w:color w:val="000000" w:themeColor="text1"/>
          <w:sz w:val="23"/>
          <w:szCs w:val="23"/>
        </w:rPr>
      </w:pPr>
      <w:r>
        <w:rPr>
          <w:rFonts w:cs="Times New Roman"/>
          <w:b/>
          <w:noProof/>
          <w:color w:val="000000" w:themeColor="text1"/>
          <w:sz w:val="23"/>
          <w:szCs w:val="23"/>
        </w:rPr>
        <w:br w:type="page"/>
      </w:r>
    </w:p>
    <w:p w:rsidR="008702F0" w:rsidRDefault="008702F0">
      <w:pPr>
        <w:jc w:val="center"/>
        <w:rPr>
          <w:rFonts w:cs="Times New Roman"/>
          <w:b/>
          <w:noProof/>
          <w:color w:val="000000" w:themeColor="text1"/>
          <w:sz w:val="23"/>
          <w:szCs w:val="23"/>
        </w:rPr>
      </w:pPr>
    </w:p>
    <w:p w:rsidR="008702F0" w:rsidRDefault="00ED659C">
      <w:pPr>
        <w:pStyle w:val="Heading1"/>
        <w:numPr>
          <w:ilvl w:val="0"/>
          <w:numId w:val="0"/>
        </w:numPr>
        <w:rPr>
          <w:noProof/>
          <w:lang w:val="en-US"/>
        </w:rPr>
      </w:pPr>
      <w:bookmarkStart w:id="2" w:name="_Toc478464489"/>
      <w:r>
        <w:rPr>
          <w:noProof/>
        </w:rPr>
        <w:t>List of abbreviations</w:t>
      </w:r>
      <w:bookmarkEnd w:id="2"/>
    </w:p>
    <w:p w:rsidR="008702F0" w:rsidRDefault="008702F0">
      <w:pPr>
        <w:rPr>
          <w:rFonts w:cs="Times New Roman"/>
          <w:noProof/>
          <w:color w:val="000000" w:themeColor="text1"/>
          <w:lang w:val="en-US"/>
        </w:rPr>
      </w:pPr>
    </w:p>
    <w:p w:rsidR="008702F0" w:rsidRDefault="00ED659C">
      <w:pPr>
        <w:rPr>
          <w:rFonts w:cs="Times New Roman"/>
          <w:noProof/>
          <w:color w:val="000000" w:themeColor="text1"/>
          <w:lang w:val="en-US"/>
        </w:rPr>
      </w:pPr>
      <w:r>
        <w:rPr>
          <w:rFonts w:cs="Times New Roman"/>
          <w:noProof/>
          <w:color w:val="000000" w:themeColor="text1"/>
          <w:lang w:val="en-US"/>
        </w:rPr>
        <w:t>DSRS</w:t>
      </w:r>
      <w:r>
        <w:rPr>
          <w:rFonts w:cs="Times New Roman"/>
          <w:noProof/>
          <w:color w:val="000000" w:themeColor="text1"/>
          <w:lang w:val="en-US"/>
        </w:rPr>
        <w:tab/>
      </w:r>
      <w:r>
        <w:rPr>
          <w:rFonts w:cs="Times New Roman"/>
          <w:noProof/>
          <w:color w:val="000000" w:themeColor="text1"/>
          <w:lang w:val="en-US"/>
        </w:rPr>
        <w:tab/>
        <w:t>Disused sealed radioactive</w:t>
      </w:r>
      <w:r>
        <w:rPr>
          <w:rFonts w:cs="Times New Roman"/>
          <w:noProof/>
          <w:color w:val="000000" w:themeColor="text1"/>
          <w:lang w:val="en-US"/>
        </w:rPr>
        <w:t xml:space="preserve"> sources</w:t>
      </w:r>
    </w:p>
    <w:p w:rsidR="008702F0" w:rsidRDefault="00ED659C">
      <w:pPr>
        <w:rPr>
          <w:rFonts w:cs="Times New Roman"/>
          <w:noProof/>
          <w:color w:val="000000" w:themeColor="text1"/>
          <w:lang w:val="en-US"/>
        </w:rPr>
      </w:pPr>
      <w:r>
        <w:rPr>
          <w:rFonts w:cs="Times New Roman"/>
          <w:noProof/>
          <w:color w:val="000000" w:themeColor="text1"/>
          <w:lang w:val="en-US"/>
        </w:rPr>
        <w:t xml:space="preserve">EU </w:t>
      </w:r>
      <w:r>
        <w:rPr>
          <w:rFonts w:cs="Times New Roman"/>
          <w:noProof/>
          <w:color w:val="000000" w:themeColor="text1"/>
          <w:lang w:val="en-US"/>
        </w:rPr>
        <w:tab/>
      </w:r>
      <w:r>
        <w:rPr>
          <w:rFonts w:cs="Times New Roman"/>
          <w:noProof/>
          <w:color w:val="000000" w:themeColor="text1"/>
          <w:lang w:val="en-US"/>
        </w:rPr>
        <w:tab/>
        <w:t>European Union</w:t>
      </w:r>
    </w:p>
    <w:p w:rsidR="008702F0" w:rsidRDefault="00ED659C">
      <w:pPr>
        <w:rPr>
          <w:rFonts w:cs="Times New Roman"/>
          <w:noProof/>
          <w:color w:val="000000" w:themeColor="text1"/>
        </w:rPr>
      </w:pPr>
      <w:r>
        <w:rPr>
          <w:rFonts w:cs="Times New Roman"/>
          <w:noProof/>
          <w:color w:val="000000" w:themeColor="text1"/>
        </w:rPr>
        <w:t xml:space="preserve">HLW </w:t>
      </w:r>
      <w:r>
        <w:rPr>
          <w:rFonts w:cs="Times New Roman"/>
          <w:noProof/>
          <w:color w:val="000000" w:themeColor="text1"/>
        </w:rPr>
        <w:tab/>
      </w:r>
      <w:r>
        <w:rPr>
          <w:rFonts w:cs="Times New Roman"/>
          <w:noProof/>
          <w:color w:val="000000" w:themeColor="text1"/>
        </w:rPr>
        <w:tab/>
        <w:t>High Level Waste</w:t>
      </w:r>
    </w:p>
    <w:p w:rsidR="008702F0" w:rsidRDefault="00ED659C">
      <w:pPr>
        <w:rPr>
          <w:rFonts w:cs="Times New Roman"/>
          <w:noProof/>
          <w:color w:val="000000" w:themeColor="text1"/>
          <w:lang w:val="en-US"/>
        </w:rPr>
      </w:pPr>
      <w:r>
        <w:rPr>
          <w:rFonts w:cs="Times New Roman"/>
          <w:noProof/>
          <w:color w:val="000000" w:themeColor="text1"/>
          <w:lang w:val="en-US"/>
        </w:rPr>
        <w:t xml:space="preserve">IAEA </w:t>
      </w:r>
      <w:r>
        <w:rPr>
          <w:rFonts w:cs="Times New Roman"/>
          <w:noProof/>
          <w:color w:val="000000" w:themeColor="text1"/>
          <w:lang w:val="en-US"/>
        </w:rPr>
        <w:tab/>
      </w:r>
      <w:r>
        <w:rPr>
          <w:rFonts w:cs="Times New Roman"/>
          <w:noProof/>
          <w:color w:val="000000" w:themeColor="text1"/>
          <w:lang w:val="en-US"/>
        </w:rPr>
        <w:tab/>
        <w:t>International Atomic Energy Agency</w:t>
      </w:r>
    </w:p>
    <w:p w:rsidR="008702F0" w:rsidRDefault="00ED659C">
      <w:pPr>
        <w:rPr>
          <w:rFonts w:cs="Times New Roman"/>
          <w:noProof/>
          <w:color w:val="000000" w:themeColor="text1"/>
        </w:rPr>
      </w:pPr>
      <w:r>
        <w:rPr>
          <w:rFonts w:cs="Times New Roman"/>
          <w:noProof/>
          <w:color w:val="000000" w:themeColor="text1"/>
        </w:rPr>
        <w:t xml:space="preserve">ILW </w:t>
      </w:r>
      <w:r>
        <w:rPr>
          <w:rFonts w:cs="Times New Roman"/>
          <w:noProof/>
          <w:color w:val="000000" w:themeColor="text1"/>
        </w:rPr>
        <w:tab/>
      </w:r>
      <w:r>
        <w:rPr>
          <w:rFonts w:cs="Times New Roman"/>
          <w:noProof/>
          <w:color w:val="000000" w:themeColor="text1"/>
        </w:rPr>
        <w:tab/>
        <w:t>Intermediate Level Waste</w:t>
      </w:r>
    </w:p>
    <w:p w:rsidR="008702F0" w:rsidRDefault="00ED659C">
      <w:pPr>
        <w:rPr>
          <w:rFonts w:cs="Times New Roman"/>
          <w:noProof/>
          <w:color w:val="000000" w:themeColor="text1"/>
        </w:rPr>
      </w:pPr>
      <w:r>
        <w:rPr>
          <w:rFonts w:cs="Times New Roman"/>
          <w:noProof/>
          <w:color w:val="000000" w:themeColor="text1"/>
        </w:rPr>
        <w:t xml:space="preserve">LLW </w:t>
      </w:r>
      <w:r>
        <w:rPr>
          <w:rFonts w:cs="Times New Roman"/>
          <w:noProof/>
          <w:color w:val="000000" w:themeColor="text1"/>
        </w:rPr>
        <w:tab/>
      </w:r>
      <w:r>
        <w:rPr>
          <w:rFonts w:cs="Times New Roman"/>
          <w:noProof/>
          <w:color w:val="000000" w:themeColor="text1"/>
        </w:rPr>
        <w:tab/>
        <w:t>Low Level Waste</w:t>
      </w:r>
    </w:p>
    <w:p w:rsidR="008702F0" w:rsidRDefault="00ED659C">
      <w:pPr>
        <w:rPr>
          <w:rFonts w:cs="Times New Roman"/>
          <w:noProof/>
          <w:color w:val="000000" w:themeColor="text1"/>
          <w:lang w:val="en-US"/>
        </w:rPr>
      </w:pPr>
      <w:r>
        <w:rPr>
          <w:rFonts w:cs="Times New Roman"/>
          <w:noProof/>
          <w:color w:val="000000" w:themeColor="text1"/>
          <w:lang w:val="en-US"/>
        </w:rPr>
        <w:t xml:space="preserve">NORM </w:t>
      </w:r>
      <w:r>
        <w:rPr>
          <w:rFonts w:cs="Times New Roman"/>
          <w:noProof/>
          <w:color w:val="000000" w:themeColor="text1"/>
          <w:lang w:val="en-US"/>
        </w:rPr>
        <w:tab/>
        <w:t>Naturally Occurring Radioactive Material</w:t>
      </w:r>
    </w:p>
    <w:p w:rsidR="008702F0" w:rsidRDefault="00ED659C">
      <w:pPr>
        <w:tabs>
          <w:tab w:val="left" w:pos="1418"/>
        </w:tabs>
        <w:ind w:left="1440" w:hanging="1440"/>
        <w:rPr>
          <w:rFonts w:cs="Times New Roman"/>
          <w:noProof/>
          <w:color w:val="000000" w:themeColor="text1"/>
          <w:lang w:val="en-US"/>
        </w:rPr>
      </w:pPr>
      <w:r>
        <w:rPr>
          <w:rFonts w:cs="Times New Roman"/>
          <w:noProof/>
          <w:color w:val="000000" w:themeColor="text1"/>
        </w:rPr>
        <w:t>OECD-NEA</w:t>
      </w:r>
      <w:r>
        <w:rPr>
          <w:rFonts w:cs="Times New Roman"/>
          <w:noProof/>
          <w:color w:val="000000" w:themeColor="text1"/>
        </w:rPr>
        <w:tab/>
        <w:t>Nuclear Energy Agency of Organisation for Economic Co</w:t>
      </w:r>
      <w:r>
        <w:rPr>
          <w:rFonts w:cs="Times New Roman"/>
          <w:noProof/>
          <w:color w:val="000000" w:themeColor="text1"/>
        </w:rPr>
        <w:t>-operation and Development</w:t>
      </w:r>
    </w:p>
    <w:p w:rsidR="008702F0" w:rsidRDefault="00ED659C">
      <w:pPr>
        <w:rPr>
          <w:rFonts w:cs="Times New Roman"/>
          <w:noProof/>
          <w:color w:val="000000" w:themeColor="text1"/>
          <w:lang w:val="en-US"/>
        </w:rPr>
      </w:pPr>
      <w:r>
        <w:rPr>
          <w:rFonts w:cs="Times New Roman"/>
          <w:noProof/>
          <w:color w:val="000000" w:themeColor="text1"/>
          <w:lang w:val="en-US"/>
        </w:rPr>
        <w:t xml:space="preserve">RAW </w:t>
      </w:r>
      <w:r>
        <w:rPr>
          <w:rFonts w:cs="Times New Roman"/>
          <w:noProof/>
          <w:color w:val="000000" w:themeColor="text1"/>
          <w:lang w:val="en-US"/>
        </w:rPr>
        <w:tab/>
      </w:r>
      <w:r>
        <w:rPr>
          <w:rFonts w:cs="Times New Roman"/>
          <w:noProof/>
          <w:color w:val="000000" w:themeColor="text1"/>
          <w:lang w:val="en-US"/>
        </w:rPr>
        <w:tab/>
        <w:t>Radioactive waste</w:t>
      </w:r>
    </w:p>
    <w:p w:rsidR="008702F0" w:rsidRDefault="00ED659C">
      <w:pPr>
        <w:rPr>
          <w:rFonts w:cs="Times New Roman"/>
          <w:noProof/>
          <w:color w:val="000000" w:themeColor="text1"/>
          <w:lang w:val="en-US"/>
        </w:rPr>
      </w:pPr>
      <w:r>
        <w:rPr>
          <w:rFonts w:cs="Times New Roman"/>
          <w:noProof/>
          <w:color w:val="000000" w:themeColor="text1"/>
          <w:lang w:val="en-US"/>
        </w:rPr>
        <w:t xml:space="preserve">SF </w:t>
      </w:r>
      <w:r>
        <w:rPr>
          <w:rFonts w:cs="Times New Roman"/>
          <w:noProof/>
          <w:color w:val="000000" w:themeColor="text1"/>
          <w:lang w:val="en-US"/>
        </w:rPr>
        <w:tab/>
      </w:r>
      <w:r>
        <w:rPr>
          <w:rFonts w:cs="Times New Roman"/>
          <w:noProof/>
          <w:color w:val="000000" w:themeColor="text1"/>
          <w:lang w:val="en-US"/>
        </w:rPr>
        <w:tab/>
        <w:t>Spent fuel</w:t>
      </w:r>
    </w:p>
    <w:p w:rsidR="008702F0" w:rsidRDefault="00ED659C">
      <w:pPr>
        <w:rPr>
          <w:rFonts w:cs="Times New Roman"/>
          <w:noProof/>
          <w:color w:val="000000" w:themeColor="text1"/>
          <w:lang w:val="en-US"/>
        </w:rPr>
      </w:pPr>
      <w:r>
        <w:rPr>
          <w:rFonts w:cs="Times New Roman"/>
          <w:noProof/>
          <w:color w:val="000000" w:themeColor="text1"/>
          <w:lang w:val="en-US"/>
        </w:rPr>
        <w:t xml:space="preserve">tHM </w:t>
      </w:r>
      <w:r>
        <w:rPr>
          <w:rFonts w:cs="Times New Roman"/>
          <w:noProof/>
          <w:color w:val="000000" w:themeColor="text1"/>
          <w:lang w:val="en-US"/>
        </w:rPr>
        <w:tab/>
      </w:r>
      <w:r>
        <w:rPr>
          <w:rFonts w:cs="Times New Roman"/>
          <w:noProof/>
          <w:color w:val="000000" w:themeColor="text1"/>
          <w:lang w:val="en-US"/>
        </w:rPr>
        <w:tab/>
        <w:t>Tons of heavy metal</w:t>
      </w:r>
    </w:p>
    <w:p w:rsidR="008702F0" w:rsidRDefault="00ED659C">
      <w:pPr>
        <w:rPr>
          <w:rFonts w:cs="Times New Roman"/>
          <w:noProof/>
          <w:color w:val="000000" w:themeColor="text1"/>
        </w:rPr>
      </w:pPr>
      <w:r>
        <w:rPr>
          <w:rFonts w:cs="Times New Roman"/>
          <w:noProof/>
          <w:color w:val="000000" w:themeColor="text1"/>
        </w:rPr>
        <w:t xml:space="preserve">VLLW </w:t>
      </w:r>
      <w:r>
        <w:rPr>
          <w:rFonts w:cs="Times New Roman"/>
          <w:noProof/>
          <w:color w:val="000000" w:themeColor="text1"/>
        </w:rPr>
        <w:tab/>
        <w:t>Very Low Level Waste</w:t>
      </w:r>
    </w:p>
    <w:p w:rsidR="008702F0" w:rsidRDefault="00ED659C">
      <w:pPr>
        <w:spacing w:before="0" w:after="200"/>
        <w:jc w:val="left"/>
        <w:rPr>
          <w:rFonts w:cs="Times New Roman"/>
          <w:noProof/>
          <w:color w:val="000000" w:themeColor="text1"/>
        </w:rPr>
      </w:pPr>
      <w:r>
        <w:rPr>
          <w:rFonts w:cs="Times New Roman"/>
          <w:noProof/>
          <w:color w:val="000000" w:themeColor="text1"/>
        </w:rPr>
        <w:t xml:space="preserve">VSLW </w:t>
      </w:r>
      <w:r>
        <w:rPr>
          <w:rFonts w:cs="Times New Roman"/>
          <w:noProof/>
          <w:color w:val="000000" w:themeColor="text1"/>
        </w:rPr>
        <w:tab/>
        <w:t>Very Short Lived waste</w:t>
      </w:r>
    </w:p>
    <w:p w:rsidR="008702F0" w:rsidRDefault="00ED659C">
      <w:pPr>
        <w:spacing w:before="0" w:after="200"/>
        <w:jc w:val="left"/>
        <w:rPr>
          <w:rFonts w:cs="Times New Roman"/>
          <w:noProof/>
          <w:color w:val="000000" w:themeColor="text1"/>
        </w:rPr>
      </w:pPr>
      <w:r>
        <w:rPr>
          <w:rFonts w:cs="Times New Roman"/>
          <w:noProof/>
          <w:color w:val="000000" w:themeColor="text1"/>
        </w:rPr>
        <w:br w:type="page"/>
      </w:r>
    </w:p>
    <w:p w:rsidR="008702F0" w:rsidRDefault="00ED659C">
      <w:pPr>
        <w:pStyle w:val="Heading1"/>
        <w:ind w:hanging="720"/>
        <w:rPr>
          <w:rFonts w:cs="Times New Roman"/>
          <w:noProof/>
          <w:color w:val="000000" w:themeColor="text1"/>
        </w:rPr>
      </w:pPr>
      <w:bookmarkStart w:id="3" w:name="_Toc334119565"/>
      <w:bookmarkStart w:id="4" w:name="_Toc464802879"/>
      <w:bookmarkStart w:id="5" w:name="_Toc478464490"/>
      <w:r>
        <w:rPr>
          <w:rFonts w:cs="Times New Roman"/>
          <w:noProof/>
          <w:color w:val="000000" w:themeColor="text1"/>
        </w:rPr>
        <w:lastRenderedPageBreak/>
        <w:t>Introduction</w:t>
      </w:r>
      <w:bookmarkEnd w:id="3"/>
      <w:bookmarkEnd w:id="4"/>
      <w:bookmarkEnd w:id="5"/>
    </w:p>
    <w:p w:rsidR="008702F0" w:rsidRDefault="00ED659C">
      <w:pPr>
        <w:spacing w:before="240"/>
        <w:rPr>
          <w:rFonts w:cs="Times New Roman"/>
          <w:noProof/>
          <w:color w:val="000000" w:themeColor="text1"/>
        </w:rPr>
      </w:pPr>
      <w:r>
        <w:rPr>
          <w:rFonts w:cs="Times New Roman"/>
          <w:noProof/>
          <w:color w:val="000000" w:themeColor="text1"/>
        </w:rPr>
        <w:t xml:space="preserve">Radioactive waste is generated in all Member States of the European Union even though the </w:t>
      </w:r>
      <w:r>
        <w:rPr>
          <w:rFonts w:cs="Times New Roman"/>
          <w:noProof/>
          <w:color w:val="000000" w:themeColor="text1"/>
        </w:rPr>
        <w:t>quantities are very small in non-nuclear power Member States compared to those Member States operating nuclear power plants.</w:t>
      </w:r>
    </w:p>
    <w:p w:rsidR="008702F0" w:rsidRDefault="00ED659C">
      <w:pPr>
        <w:rPr>
          <w:rFonts w:cs="Times New Roman"/>
          <w:noProof/>
          <w:color w:val="000000" w:themeColor="text1"/>
        </w:rPr>
      </w:pPr>
      <w:r>
        <w:rPr>
          <w:rFonts w:cs="Times New Roman"/>
          <w:noProof/>
          <w:color w:val="000000" w:themeColor="text1"/>
        </w:rPr>
        <w:t>Nuclear power plants are the main producers of spent fuel although small quantities of spent fuel are also generated during the ope</w:t>
      </w:r>
      <w:r>
        <w:rPr>
          <w:rFonts w:cs="Times New Roman"/>
          <w:noProof/>
          <w:color w:val="000000" w:themeColor="text1"/>
        </w:rPr>
        <w:t>ration of research, training and demonstration reactors.</w:t>
      </w:r>
    </w:p>
    <w:p w:rsidR="008702F0" w:rsidRDefault="00ED659C">
      <w:pPr>
        <w:rPr>
          <w:rFonts w:cs="Times New Roman"/>
          <w:noProof/>
          <w:color w:val="000000" w:themeColor="text1"/>
        </w:rPr>
      </w:pPr>
      <w:r>
        <w:rPr>
          <w:rFonts w:cs="Times New Roman"/>
          <w:noProof/>
          <w:color w:val="000000" w:themeColor="text1"/>
        </w:rPr>
        <w:t xml:space="preserve">According to the </w:t>
      </w:r>
      <w:r>
        <w:rPr>
          <w:rFonts w:cs="Times New Roman"/>
          <w:noProof/>
          <w:color w:val="000000" w:themeColor="text1"/>
          <w:szCs w:val="24"/>
        </w:rPr>
        <w:t>Council Directive 2011/70/EURATOM</w:t>
      </w:r>
      <w:r>
        <w:rPr>
          <w:rStyle w:val="FootnoteReference"/>
          <w:rFonts w:cs="Times New Roman"/>
          <w:noProof/>
          <w:color w:val="000000" w:themeColor="text1"/>
          <w:szCs w:val="24"/>
        </w:rPr>
        <w:footnoteReference w:id="1"/>
      </w:r>
      <w:r>
        <w:rPr>
          <w:rFonts w:cs="Times New Roman"/>
          <w:noProof/>
          <w:color w:val="000000" w:themeColor="text1"/>
          <w:szCs w:val="24"/>
        </w:rPr>
        <w:t xml:space="preserve"> establishing a Community framework for the responsible and safe management of spent fuel and radioactive waste (further</w:t>
      </w:r>
      <w:r>
        <w:rPr>
          <w:rFonts w:cs="Times New Roman"/>
          <w:noProof/>
          <w:color w:val="000000" w:themeColor="text1"/>
        </w:rPr>
        <w:t xml:space="preserve"> “Directive”) Member States </w:t>
      </w:r>
      <w:r>
        <w:rPr>
          <w:rFonts w:cs="Times New Roman"/>
          <w:noProof/>
          <w:color w:val="000000" w:themeColor="text1"/>
        </w:rPr>
        <w:t>have to provide for appropriate national arrangements for a high level of safety of spent fuel and radioactive waste management, including the establishment, implementation and updating of national programmes for the management of such material. Member Sta</w:t>
      </w:r>
      <w:r>
        <w:rPr>
          <w:rFonts w:cs="Times New Roman"/>
          <w:noProof/>
          <w:color w:val="000000" w:themeColor="text1"/>
        </w:rPr>
        <w:t>tes have to communicate such national programmes and the national reports on the implementation of the Directive (including the national inventories in line with Article 12(1)c of the Directive) to the Commission in line with Article 13(1) and 14(1) of the</w:t>
      </w:r>
      <w:r>
        <w:rPr>
          <w:rFonts w:cs="Times New Roman"/>
          <w:noProof/>
          <w:color w:val="000000" w:themeColor="text1"/>
        </w:rPr>
        <w:t xml:space="preserve"> Directive.</w:t>
      </w:r>
    </w:p>
    <w:p w:rsidR="008702F0" w:rsidRDefault="00ED659C">
      <w:pPr>
        <w:rPr>
          <w:rFonts w:cs="Times New Roman"/>
          <w:noProof/>
          <w:color w:val="000000" w:themeColor="text1"/>
        </w:rPr>
      </w:pPr>
      <w:r>
        <w:rPr>
          <w:rFonts w:cs="Times New Roman"/>
          <w:b/>
          <w:noProof/>
          <w:color w:val="000000" w:themeColor="text1"/>
        </w:rPr>
        <w:t xml:space="preserve">This document gives an overview of spent fuel and radioactive waste </w:t>
      </w:r>
      <w:r>
        <w:rPr>
          <w:rFonts w:cs="Times New Roman"/>
          <w:b/>
          <w:noProof/>
          <w:color w:val="000000" w:themeColor="text1"/>
          <w:szCs w:val="24"/>
        </w:rPr>
        <w:t>inventory in the European Union and the future prospects</w:t>
      </w:r>
      <w:r>
        <w:rPr>
          <w:rFonts w:cs="Times New Roman"/>
          <w:noProof/>
          <w:color w:val="000000" w:themeColor="text1"/>
          <w:szCs w:val="24"/>
        </w:rPr>
        <w:t>, as required by Article 14(2)b of the Directive.</w:t>
      </w:r>
      <w:r>
        <w:rPr>
          <w:rFonts w:cs="Times New Roman"/>
          <w:noProof/>
          <w:color w:val="000000" w:themeColor="text1"/>
        </w:rPr>
        <w:t xml:space="preserve"> It contains background information to the inventory data presented in the Report from the Commission to the Council and the European Parliament on progress of implementation of Council Directive 2011/70/EURATOM and an inventory of radioactive waste and sp</w:t>
      </w:r>
      <w:r>
        <w:rPr>
          <w:rFonts w:cs="Times New Roman"/>
          <w:noProof/>
          <w:color w:val="000000" w:themeColor="text1"/>
        </w:rPr>
        <w:t>ent fuel present in the Community's territory and future prospects (COM(2017)236).</w:t>
      </w:r>
    </w:p>
    <w:p w:rsidR="008702F0" w:rsidRDefault="00ED659C">
      <w:pPr>
        <w:rPr>
          <w:rFonts w:cs="Times New Roman"/>
          <w:noProof/>
          <w:color w:val="000000" w:themeColor="text1"/>
        </w:rPr>
      </w:pPr>
      <w:r>
        <w:rPr>
          <w:rFonts w:cs="Times New Roman"/>
          <w:noProof/>
          <w:color w:val="000000" w:themeColor="text1"/>
        </w:rPr>
        <w:t>Previously the European Commission (further "Commission") published a series of "Situation Reports"</w:t>
      </w:r>
      <w:r>
        <w:rPr>
          <w:rStyle w:val="FootnoteReference"/>
          <w:rFonts w:cs="Times New Roman"/>
          <w:noProof/>
          <w:color w:val="000000" w:themeColor="text1"/>
        </w:rPr>
        <w:footnoteReference w:id="2"/>
      </w:r>
      <w:r>
        <w:rPr>
          <w:rFonts w:cs="Times New Roman"/>
          <w:noProof/>
          <w:color w:val="000000" w:themeColor="text1"/>
        </w:rPr>
        <w:t xml:space="preserve"> which were developed in order to analyse and inform stakeholders about t</w:t>
      </w:r>
      <w:r>
        <w:rPr>
          <w:rFonts w:cs="Times New Roman"/>
          <w:noProof/>
          <w:color w:val="000000" w:themeColor="text1"/>
        </w:rPr>
        <w:t>he situation of spent fuel and radioactive waste management in the European Union. Data from the 6</w:t>
      </w:r>
      <w:r>
        <w:rPr>
          <w:rFonts w:cs="Times New Roman"/>
          <w:noProof/>
          <w:color w:val="000000" w:themeColor="text1"/>
          <w:vertAlign w:val="superscript"/>
        </w:rPr>
        <w:t>th</w:t>
      </w:r>
      <w:r>
        <w:rPr>
          <w:rFonts w:cs="Times New Roman"/>
          <w:noProof/>
          <w:color w:val="000000" w:themeColor="text1"/>
        </w:rPr>
        <w:t xml:space="preserve"> Situation Report</w:t>
      </w:r>
      <w:r>
        <w:rPr>
          <w:rStyle w:val="FootnoteReference"/>
          <w:rFonts w:cs="Times New Roman"/>
          <w:noProof/>
          <w:color w:val="000000" w:themeColor="text1"/>
        </w:rPr>
        <w:footnoteReference w:id="3"/>
      </w:r>
      <w:r>
        <w:rPr>
          <w:rFonts w:cs="Times New Roman"/>
          <w:noProof/>
          <w:color w:val="000000" w:themeColor="text1"/>
        </w:rPr>
        <w:t xml:space="preserve"> and 7</w:t>
      </w:r>
      <w:r>
        <w:rPr>
          <w:rFonts w:cs="Times New Roman"/>
          <w:noProof/>
          <w:color w:val="000000" w:themeColor="text1"/>
          <w:vertAlign w:val="superscript"/>
        </w:rPr>
        <w:t>th</w:t>
      </w:r>
      <w:r>
        <w:rPr>
          <w:rFonts w:cs="Times New Roman"/>
          <w:noProof/>
          <w:color w:val="000000" w:themeColor="text1"/>
        </w:rPr>
        <w:t xml:space="preserve"> Situation Report</w:t>
      </w:r>
      <w:r>
        <w:rPr>
          <w:rStyle w:val="FootnoteReference"/>
          <w:rFonts w:cs="Times New Roman"/>
          <w:noProof/>
          <w:color w:val="000000" w:themeColor="text1"/>
        </w:rPr>
        <w:footnoteReference w:id="4"/>
      </w:r>
      <w:r>
        <w:rPr>
          <w:rFonts w:cs="Times New Roman"/>
          <w:noProof/>
          <w:color w:val="000000" w:themeColor="text1"/>
        </w:rPr>
        <w:t xml:space="preserve"> have been used here for comparison and identification of trends in the evolution of the European Union inventor</w:t>
      </w:r>
      <w:r>
        <w:rPr>
          <w:rFonts w:cs="Times New Roman"/>
          <w:noProof/>
          <w:color w:val="000000" w:themeColor="text1"/>
        </w:rPr>
        <w:t>y.</w:t>
      </w:r>
    </w:p>
    <w:p w:rsidR="008702F0" w:rsidRDefault="00ED659C">
      <w:pPr>
        <w:rPr>
          <w:rFonts w:cs="Times New Roman"/>
          <w:noProof/>
          <w:color w:val="000000" w:themeColor="text1"/>
        </w:rPr>
      </w:pPr>
      <w:r>
        <w:rPr>
          <w:rFonts w:cs="Times New Roman"/>
          <w:noProof/>
          <w:color w:val="000000" w:themeColor="text1"/>
        </w:rPr>
        <w:t>Information about the Member States' installations generating radioactive waste and spent fuel, policies, strategies, concepts, plans and financing mechanisms is summarised in the Staff Working Document COM(2017)159 on progress of implementation of Coun</w:t>
      </w:r>
      <w:r>
        <w:rPr>
          <w:rFonts w:cs="Times New Roman"/>
          <w:noProof/>
          <w:color w:val="000000" w:themeColor="text1"/>
        </w:rPr>
        <w:t xml:space="preserve">cil Directive 2011/70/EURATOM and an inventory of radioactive waste and spent fuel present in the Community`s territory and future prospects. </w:t>
      </w:r>
    </w:p>
    <w:p w:rsidR="008702F0" w:rsidRDefault="00ED659C">
      <w:pPr>
        <w:pStyle w:val="Heading1"/>
        <w:ind w:hanging="720"/>
        <w:rPr>
          <w:rFonts w:cs="Times New Roman"/>
          <w:noProof/>
          <w:color w:val="000000" w:themeColor="text1"/>
        </w:rPr>
      </w:pPr>
      <w:bookmarkStart w:id="6" w:name="_Toc334119566"/>
      <w:bookmarkStart w:id="7" w:name="_Toc464802880"/>
      <w:bookmarkStart w:id="8" w:name="_Toc478464491"/>
      <w:r>
        <w:rPr>
          <w:rFonts w:cs="Times New Roman"/>
          <w:noProof/>
          <w:color w:val="000000" w:themeColor="text1"/>
        </w:rPr>
        <w:t>Sources of information</w:t>
      </w:r>
      <w:bookmarkEnd w:id="6"/>
      <w:bookmarkEnd w:id="7"/>
      <w:bookmarkEnd w:id="8"/>
    </w:p>
    <w:p w:rsidR="008702F0" w:rsidRDefault="00ED659C">
      <w:pPr>
        <w:pStyle w:val="Textblock"/>
        <w:rPr>
          <w:rFonts w:cs="Times New Roman"/>
          <w:noProof/>
          <w:color w:val="000000" w:themeColor="text1"/>
        </w:rPr>
      </w:pPr>
      <w:r>
        <w:rPr>
          <w:rFonts w:cs="Times New Roman"/>
          <w:noProof/>
          <w:color w:val="000000" w:themeColor="text1"/>
        </w:rPr>
        <w:t>The European Union spent fuel and radioactive waste inventory data presented in this docum</w:t>
      </w:r>
      <w:r>
        <w:rPr>
          <w:rFonts w:cs="Times New Roman"/>
          <w:noProof/>
          <w:color w:val="000000" w:themeColor="text1"/>
        </w:rPr>
        <w:t xml:space="preserve">ent is based on the </w:t>
      </w:r>
      <w:r>
        <w:rPr>
          <w:rFonts w:cs="Times New Roman"/>
          <w:b/>
          <w:noProof/>
          <w:color w:val="000000" w:themeColor="text1"/>
        </w:rPr>
        <w:t>national programmes</w:t>
      </w:r>
      <w:r>
        <w:rPr>
          <w:rFonts w:cs="Times New Roman"/>
          <w:noProof/>
          <w:color w:val="000000" w:themeColor="text1"/>
        </w:rPr>
        <w:t xml:space="preserve"> and </w:t>
      </w:r>
      <w:r>
        <w:rPr>
          <w:rFonts w:cs="Times New Roman"/>
          <w:b/>
          <w:noProof/>
          <w:color w:val="000000" w:themeColor="text1"/>
        </w:rPr>
        <w:t>national reports</w:t>
      </w:r>
      <w:r>
        <w:rPr>
          <w:rFonts w:cs="Times New Roman"/>
          <w:noProof/>
          <w:color w:val="000000" w:themeColor="text1"/>
        </w:rPr>
        <w:t xml:space="preserve"> submitted by Member States to the Commission. Although the data from individual Member States have different reference dates ranging from end of 2013 to 2016, most of the Member States have chose</w:t>
      </w:r>
      <w:r>
        <w:rPr>
          <w:rFonts w:cs="Times New Roman"/>
          <w:noProof/>
          <w:color w:val="000000" w:themeColor="text1"/>
        </w:rPr>
        <w:t xml:space="preserve">n the </w:t>
      </w:r>
      <w:r>
        <w:rPr>
          <w:rFonts w:cs="Times New Roman"/>
          <w:b/>
          <w:noProof/>
          <w:color w:val="000000" w:themeColor="text1"/>
        </w:rPr>
        <w:t>end of 2013 as a reference date</w:t>
      </w:r>
      <w:r>
        <w:rPr>
          <w:rStyle w:val="FootnoteReference"/>
          <w:rFonts w:cs="Times New Roman"/>
          <w:noProof/>
          <w:color w:val="000000" w:themeColor="text1"/>
        </w:rPr>
        <w:footnoteReference w:id="5"/>
      </w:r>
      <w:r>
        <w:rPr>
          <w:rFonts w:cs="Times New Roman"/>
          <w:noProof/>
          <w:color w:val="000000" w:themeColor="text1"/>
        </w:rPr>
        <w:t>.</w:t>
      </w:r>
    </w:p>
    <w:p w:rsidR="008702F0" w:rsidRDefault="00ED659C">
      <w:pPr>
        <w:rPr>
          <w:rFonts w:cs="Times New Roman"/>
          <w:noProof/>
          <w:color w:val="000000" w:themeColor="text1"/>
        </w:rPr>
      </w:pPr>
      <w:r>
        <w:rPr>
          <w:rFonts w:cs="Times New Roman"/>
          <w:noProof/>
          <w:color w:val="000000" w:themeColor="text1"/>
        </w:rPr>
        <w:t>The summaries presented in this document have been verified by the respective Member States, with one exception.</w:t>
      </w:r>
    </w:p>
    <w:p w:rsidR="008702F0" w:rsidRDefault="00ED659C">
      <w:pPr>
        <w:rPr>
          <w:rFonts w:cs="Times New Roman"/>
          <w:noProof/>
          <w:color w:val="000000" w:themeColor="text1"/>
        </w:rPr>
      </w:pPr>
      <w:r>
        <w:rPr>
          <w:rFonts w:cs="Times New Roman"/>
          <w:b/>
          <w:noProof/>
          <w:color w:val="000000" w:themeColor="text1"/>
        </w:rPr>
        <w:t>For the trend analysis</w:t>
      </w:r>
      <w:r>
        <w:rPr>
          <w:rFonts w:cs="Times New Roman"/>
          <w:noProof/>
          <w:color w:val="000000" w:themeColor="text1"/>
        </w:rPr>
        <w:t xml:space="preserve"> additional documents containing historical inventory data have been used. Most o</w:t>
      </w:r>
      <w:r>
        <w:rPr>
          <w:rFonts w:cs="Times New Roman"/>
          <w:noProof/>
          <w:color w:val="000000" w:themeColor="text1"/>
        </w:rPr>
        <w:t xml:space="preserve">f the data for 2004, 2007 and 2010 inventories have been taken from the </w:t>
      </w:r>
      <w:r>
        <w:rPr>
          <w:rFonts w:cs="Times New Roman"/>
          <w:b/>
          <w:noProof/>
          <w:color w:val="000000" w:themeColor="text1"/>
        </w:rPr>
        <w:t>Sixth and Seventh Situation Reports, as well as unpublished inventory data reported to the Commission by the Member States in 2010</w:t>
      </w:r>
      <w:r>
        <w:rPr>
          <w:rFonts w:cs="Times New Roman"/>
          <w:noProof/>
          <w:color w:val="000000" w:themeColor="text1"/>
        </w:rPr>
        <w:t>.</w:t>
      </w:r>
    </w:p>
    <w:p w:rsidR="008702F0" w:rsidRDefault="00ED659C">
      <w:pPr>
        <w:spacing w:after="0"/>
        <w:rPr>
          <w:rFonts w:cs="Times New Roman"/>
          <w:noProof/>
          <w:color w:val="000000" w:themeColor="text1"/>
        </w:rPr>
      </w:pPr>
      <w:r>
        <w:rPr>
          <w:rFonts w:cs="Times New Roman"/>
          <w:noProof/>
          <w:color w:val="000000" w:themeColor="text1"/>
        </w:rPr>
        <w:t xml:space="preserve">In order to perform trend analysis for the European </w:t>
      </w:r>
      <w:r>
        <w:rPr>
          <w:rFonts w:cs="Times New Roman"/>
          <w:noProof/>
          <w:color w:val="000000" w:themeColor="text1"/>
        </w:rPr>
        <w:t>Union inventory of spent fuel and radioactive waste, missing and inconsistent data from the above-mentioned sources were reviewed and updated by using various sources, such as national inventory reports published by competent authorities, and national Join</w:t>
      </w:r>
      <w:r>
        <w:rPr>
          <w:rFonts w:cs="Times New Roman"/>
          <w:noProof/>
          <w:color w:val="000000" w:themeColor="text1"/>
        </w:rPr>
        <w:t>t Convention</w:t>
      </w:r>
      <w:r>
        <w:rPr>
          <w:rStyle w:val="FootnoteReference"/>
          <w:rFonts w:cs="Times New Roman"/>
          <w:noProof/>
          <w:color w:val="000000" w:themeColor="text1"/>
        </w:rPr>
        <w:footnoteReference w:id="6"/>
      </w:r>
      <w:r>
        <w:rPr>
          <w:rFonts w:cs="Times New Roman"/>
          <w:noProof/>
          <w:color w:val="000000" w:themeColor="text1"/>
        </w:rPr>
        <w:t xml:space="preserve"> reports. Any updates to data for 2004, 2007 and 2010 are identified in the tables in the Annex. The collected inventory data also appeared to be consistent with the IAEA inventory data.</w:t>
      </w:r>
    </w:p>
    <w:p w:rsidR="008702F0" w:rsidRDefault="00ED659C">
      <w:pPr>
        <w:rPr>
          <w:rFonts w:cs="Times New Roman"/>
          <w:noProof/>
          <w:color w:val="000000" w:themeColor="text1"/>
        </w:rPr>
      </w:pPr>
      <w:r>
        <w:rPr>
          <w:rFonts w:cs="Times New Roman"/>
          <w:noProof/>
          <w:color w:val="000000" w:themeColor="text1"/>
        </w:rPr>
        <w:t xml:space="preserve">In preparation of this report, the following main </w:t>
      </w:r>
      <w:r>
        <w:rPr>
          <w:rFonts w:cs="Times New Roman"/>
          <w:b/>
          <w:noProof/>
          <w:color w:val="000000" w:themeColor="text1"/>
        </w:rPr>
        <w:t>source</w:t>
      </w:r>
      <w:r>
        <w:rPr>
          <w:rFonts w:cs="Times New Roman"/>
          <w:b/>
          <w:noProof/>
          <w:color w:val="000000" w:themeColor="text1"/>
        </w:rPr>
        <w:t xml:space="preserve">s of uncertainty </w:t>
      </w:r>
      <w:r>
        <w:rPr>
          <w:rFonts w:cs="Times New Roman"/>
          <w:noProof/>
          <w:color w:val="000000" w:themeColor="text1"/>
        </w:rPr>
        <w:t>have been identified:</w:t>
      </w:r>
    </w:p>
    <w:p w:rsidR="008702F0" w:rsidRDefault="00ED659C">
      <w:pPr>
        <w:pStyle w:val="ListParagraph"/>
        <w:jc w:val="both"/>
        <w:rPr>
          <w:rFonts w:cs="Times New Roman"/>
          <w:noProof/>
          <w:color w:val="000000" w:themeColor="text1"/>
        </w:rPr>
      </w:pPr>
      <w:r>
        <w:rPr>
          <w:rFonts w:cs="Times New Roman"/>
          <w:noProof/>
          <w:color w:val="000000" w:themeColor="text1"/>
        </w:rPr>
        <w:t xml:space="preserve">Member States report radioactive waste data using their </w:t>
      </w:r>
      <w:r>
        <w:rPr>
          <w:rFonts w:cs="Times New Roman"/>
          <w:b/>
          <w:noProof/>
          <w:color w:val="000000" w:themeColor="text1"/>
        </w:rPr>
        <w:t>national classification schemes</w:t>
      </w:r>
      <w:r>
        <w:rPr>
          <w:rFonts w:cs="Times New Roman"/>
          <w:noProof/>
          <w:color w:val="000000" w:themeColor="text1"/>
        </w:rPr>
        <w:t>. Therefore, conversion to a common reporting basis (IAEA GSG-1 classification</w:t>
      </w:r>
      <w:r>
        <w:rPr>
          <w:rStyle w:val="FootnoteReference"/>
          <w:rFonts w:cs="Times New Roman"/>
          <w:noProof/>
          <w:color w:val="000000" w:themeColor="text1"/>
        </w:rPr>
        <w:footnoteReference w:id="7"/>
      </w:r>
      <w:r>
        <w:rPr>
          <w:rFonts w:cs="Times New Roman"/>
          <w:noProof/>
          <w:color w:val="000000" w:themeColor="text1"/>
        </w:rPr>
        <w:t>; see Chapter 4 below) introduces uncertainties, as</w:t>
      </w:r>
      <w:r>
        <w:rPr>
          <w:rFonts w:cs="Times New Roman"/>
          <w:noProof/>
          <w:color w:val="000000" w:themeColor="text1"/>
        </w:rPr>
        <w:t xml:space="preserve"> the radioactive waste classes in different national classification schemes often cannot be directly matched, and the transformation is carried out on a “best approximation” basis.</w:t>
      </w:r>
    </w:p>
    <w:p w:rsidR="008702F0" w:rsidRDefault="00ED659C">
      <w:pPr>
        <w:pStyle w:val="ListParagraph"/>
        <w:jc w:val="both"/>
        <w:rPr>
          <w:rFonts w:cs="Times New Roman"/>
          <w:noProof/>
          <w:color w:val="000000" w:themeColor="text1"/>
        </w:rPr>
      </w:pPr>
      <w:r>
        <w:rPr>
          <w:rFonts w:cs="Times New Roman"/>
          <w:noProof/>
          <w:color w:val="000000" w:themeColor="text1"/>
        </w:rPr>
        <w:t xml:space="preserve">Member States use </w:t>
      </w:r>
      <w:r>
        <w:rPr>
          <w:rFonts w:cs="Times New Roman"/>
          <w:b/>
          <w:noProof/>
          <w:color w:val="000000" w:themeColor="text1"/>
        </w:rPr>
        <w:t>different units</w:t>
      </w:r>
      <w:r>
        <w:rPr>
          <w:rFonts w:cs="Times New Roman"/>
          <w:noProof/>
          <w:color w:val="000000" w:themeColor="text1"/>
        </w:rPr>
        <w:t xml:space="preserve"> (volume, mass, etc.). With some exception</w:t>
      </w:r>
      <w:r>
        <w:rPr>
          <w:rFonts w:cs="Times New Roman"/>
          <w:noProof/>
          <w:color w:val="000000" w:themeColor="text1"/>
        </w:rPr>
        <w:t>s, volumes of radioactive waste are reported. Where this is not the case, conversion from mass to volume without detailed knowledge of radioactive waste treat</w:t>
      </w:r>
      <w:r>
        <w:rPr>
          <w:rFonts w:cs="Times New Roman"/>
          <w:noProof/>
          <w:color w:val="000000" w:themeColor="text1"/>
        </w:rPr>
        <w:softHyphen/>
        <w:t xml:space="preserve">ment/conditioning methods used can result in significant uncertainty. </w:t>
      </w:r>
    </w:p>
    <w:p w:rsidR="008702F0" w:rsidRDefault="00ED659C">
      <w:pPr>
        <w:pStyle w:val="ListParagraph"/>
        <w:numPr>
          <w:ilvl w:val="0"/>
          <w:numId w:val="0"/>
        </w:numPr>
        <w:ind w:left="714"/>
        <w:jc w:val="both"/>
        <w:rPr>
          <w:rFonts w:cs="Times New Roman"/>
          <w:noProof/>
          <w:color w:val="000000" w:themeColor="text1"/>
        </w:rPr>
      </w:pPr>
      <w:r>
        <w:rPr>
          <w:rFonts w:cs="Times New Roman"/>
          <w:noProof/>
          <w:color w:val="000000" w:themeColor="text1"/>
        </w:rPr>
        <w:t>This includes different wa</w:t>
      </w:r>
      <w:r>
        <w:rPr>
          <w:rFonts w:cs="Times New Roman"/>
          <w:noProof/>
          <w:color w:val="000000" w:themeColor="text1"/>
        </w:rPr>
        <w:t xml:space="preserve">ys to reporting disused sealed radioactive sources. Especially in countries with large nuclear programmes, the disused sealed radioactive sources are generally integrated into other large radioactive waste streams and are not reported separately. In other </w:t>
      </w:r>
      <w:r>
        <w:rPr>
          <w:rFonts w:cs="Times New Roman"/>
          <w:noProof/>
          <w:color w:val="000000" w:themeColor="text1"/>
        </w:rPr>
        <w:t>countries, especially where the disused sealed radioactive sources are a significant part of the national inventory, they are reported sep</w:t>
      </w:r>
      <w:r>
        <w:rPr>
          <w:rFonts w:cs="Times New Roman"/>
          <w:noProof/>
          <w:color w:val="000000" w:themeColor="text1"/>
        </w:rPr>
        <w:softHyphen/>
        <w:t>arately from the other radioactive waste and radioactive waste classes, and in general are reported as number of sour</w:t>
      </w:r>
      <w:r>
        <w:rPr>
          <w:rFonts w:cs="Times New Roman"/>
          <w:noProof/>
          <w:color w:val="000000" w:themeColor="text1"/>
        </w:rPr>
        <w:t>ces.</w:t>
      </w:r>
    </w:p>
    <w:p w:rsidR="008702F0" w:rsidRDefault="00ED659C">
      <w:pPr>
        <w:pStyle w:val="ListParagraph"/>
        <w:numPr>
          <w:ilvl w:val="0"/>
          <w:numId w:val="16"/>
        </w:numPr>
        <w:ind w:left="709" w:hanging="709"/>
        <w:jc w:val="both"/>
        <w:rPr>
          <w:rFonts w:cs="Times New Roman"/>
          <w:noProof/>
          <w:color w:val="000000" w:themeColor="text1"/>
        </w:rPr>
      </w:pPr>
      <w:r>
        <w:rPr>
          <w:rFonts w:cs="Times New Roman"/>
          <w:noProof/>
          <w:color w:val="000000" w:themeColor="text1"/>
        </w:rPr>
        <w:t xml:space="preserve">Member States used different approaches to report volume of radioactive waste – </w:t>
      </w:r>
      <w:r>
        <w:rPr>
          <w:rFonts w:cs="Times New Roman"/>
          <w:b/>
          <w:noProof/>
          <w:color w:val="000000" w:themeColor="text1"/>
        </w:rPr>
        <w:t>some reported volumes as stored, while others reported volumes as ready for disposal.</w:t>
      </w:r>
      <w:r>
        <w:rPr>
          <w:rFonts w:cs="Times New Roman"/>
          <w:noProof/>
          <w:color w:val="000000" w:themeColor="text1"/>
        </w:rPr>
        <w:t xml:space="preserve"> </w:t>
      </w:r>
    </w:p>
    <w:p w:rsidR="008702F0" w:rsidRDefault="00ED659C">
      <w:pPr>
        <w:pStyle w:val="ListParagraph"/>
        <w:numPr>
          <w:ilvl w:val="0"/>
          <w:numId w:val="0"/>
        </w:numPr>
        <w:ind w:left="720"/>
        <w:jc w:val="both"/>
        <w:rPr>
          <w:rFonts w:cs="Times New Roman"/>
          <w:noProof/>
          <w:color w:val="000000" w:themeColor="text1"/>
        </w:rPr>
      </w:pPr>
      <w:r>
        <w:rPr>
          <w:rFonts w:cs="Times New Roman"/>
          <w:noProof/>
          <w:color w:val="000000" w:themeColor="text1"/>
        </w:rPr>
        <w:t>When inventory is reported “as disposed” volumes – it is used for integration of the</w:t>
      </w:r>
      <w:r>
        <w:rPr>
          <w:rFonts w:cs="Times New Roman"/>
          <w:noProof/>
          <w:color w:val="000000" w:themeColor="text1"/>
        </w:rPr>
        <w:t xml:space="preserve"> national reporting into the overall European Union inventory, since this represents the final step in management of radioactive waste. </w:t>
      </w:r>
    </w:p>
    <w:p w:rsidR="008702F0" w:rsidRDefault="00ED659C">
      <w:pPr>
        <w:pStyle w:val="ListParagraph"/>
        <w:numPr>
          <w:ilvl w:val="0"/>
          <w:numId w:val="0"/>
        </w:numPr>
        <w:ind w:left="720"/>
        <w:jc w:val="both"/>
        <w:rPr>
          <w:rFonts w:cs="Times New Roman"/>
          <w:noProof/>
          <w:color w:val="000000" w:themeColor="text1"/>
        </w:rPr>
      </w:pPr>
      <w:r>
        <w:rPr>
          <w:rFonts w:cs="Times New Roman"/>
          <w:noProof/>
          <w:color w:val="000000" w:themeColor="text1"/>
        </w:rPr>
        <w:t>Interpretation of volume "as stored" in some cases can lead to significant uncertainties, especially when estimating th</w:t>
      </w:r>
      <w:r>
        <w:rPr>
          <w:rFonts w:cs="Times New Roman"/>
          <w:noProof/>
          <w:color w:val="000000" w:themeColor="text1"/>
        </w:rPr>
        <w:t>e need for dis</w:t>
      </w:r>
      <w:r>
        <w:rPr>
          <w:rFonts w:cs="Times New Roman"/>
          <w:noProof/>
          <w:color w:val="000000" w:themeColor="text1"/>
        </w:rPr>
        <w:softHyphen/>
        <w:t>posal capacities. One example is the usually very large volume of liquid radioactive waste and sludge in storage. After treatment and conditioning for disposal this volume may be significantly reduced. The same is true for combustible and co</w:t>
      </w:r>
      <w:r>
        <w:rPr>
          <w:rFonts w:cs="Times New Roman"/>
          <w:noProof/>
          <w:color w:val="000000" w:themeColor="text1"/>
        </w:rPr>
        <w:t xml:space="preserve">mpactible radioactive waste. </w:t>
      </w:r>
    </w:p>
    <w:p w:rsidR="008702F0" w:rsidRDefault="00ED659C">
      <w:pPr>
        <w:pStyle w:val="ListParagraph"/>
        <w:numPr>
          <w:ilvl w:val="0"/>
          <w:numId w:val="0"/>
        </w:numPr>
        <w:ind w:left="720"/>
        <w:jc w:val="both"/>
        <w:rPr>
          <w:rFonts w:cs="Times New Roman"/>
          <w:noProof/>
          <w:color w:val="000000" w:themeColor="text1"/>
        </w:rPr>
      </w:pPr>
      <w:r>
        <w:rPr>
          <w:rFonts w:cs="Times New Roman"/>
          <w:noProof/>
          <w:color w:val="000000" w:themeColor="text1"/>
        </w:rPr>
        <w:t xml:space="preserve">To achieve consistency and comparability of the data, it is preferable for Member States to report radioactive waste volumes as packaged for disposal. </w:t>
      </w:r>
    </w:p>
    <w:p w:rsidR="008702F0" w:rsidRDefault="00ED659C">
      <w:pPr>
        <w:pStyle w:val="ListParagraph"/>
        <w:jc w:val="both"/>
        <w:rPr>
          <w:rFonts w:cs="Times New Roman"/>
          <w:noProof/>
          <w:color w:val="000000" w:themeColor="text1"/>
        </w:rPr>
      </w:pPr>
      <w:r>
        <w:rPr>
          <w:rFonts w:cs="Times New Roman"/>
          <w:b/>
          <w:noProof/>
          <w:color w:val="000000" w:themeColor="text1"/>
        </w:rPr>
        <w:t>Limited knowledge of radioactive contamination of</w:t>
      </w:r>
      <w:r>
        <w:rPr>
          <w:rFonts w:cs="Times New Roman"/>
          <w:noProof/>
          <w:color w:val="000000" w:themeColor="text1"/>
        </w:rPr>
        <w:t xml:space="preserve"> facilities subject to decom</w:t>
      </w:r>
      <w:r>
        <w:rPr>
          <w:rFonts w:cs="Times New Roman"/>
          <w:noProof/>
          <w:color w:val="000000" w:themeColor="text1"/>
        </w:rPr>
        <w:softHyphen/>
        <w:t>missioning results in uncertainties in predicting amounts of decommissioning waste</w:t>
      </w:r>
      <w:r>
        <w:rPr>
          <w:rFonts w:cs="Times New Roman"/>
          <w:b/>
          <w:noProof/>
          <w:color w:val="000000" w:themeColor="text1"/>
        </w:rPr>
        <w:t xml:space="preserve">. </w:t>
      </w:r>
      <w:r>
        <w:rPr>
          <w:rFonts w:cs="Times New Roman"/>
          <w:noProof/>
          <w:color w:val="000000" w:themeColor="text1"/>
        </w:rPr>
        <w:t xml:space="preserve">The detailed characterization of a facility subject to decommissioning increases the precision in forecasting the amount of radioactive waste, </w:t>
      </w:r>
      <w:r>
        <w:rPr>
          <w:rFonts w:cs="Times New Roman"/>
          <w:noProof/>
          <w:color w:val="000000" w:themeColor="text1"/>
        </w:rPr>
        <w:t>however, only when decommissioning is well progressed will the actual categories and amounts of waste be fully known. This is also valid for the limited knowledge of characteristics of some legacy wastes.</w:t>
      </w:r>
    </w:p>
    <w:p w:rsidR="008702F0" w:rsidRDefault="00ED659C">
      <w:pPr>
        <w:pStyle w:val="ListParagraph"/>
        <w:jc w:val="both"/>
        <w:rPr>
          <w:rFonts w:cs="Times New Roman"/>
          <w:noProof/>
          <w:color w:val="000000" w:themeColor="text1"/>
        </w:rPr>
      </w:pPr>
      <w:r>
        <w:rPr>
          <w:rFonts w:cs="Times New Roman"/>
          <w:b/>
          <w:noProof/>
          <w:color w:val="000000" w:themeColor="text1"/>
        </w:rPr>
        <w:t xml:space="preserve">Differences in materials considered as radioactive </w:t>
      </w:r>
      <w:r>
        <w:rPr>
          <w:rFonts w:cs="Times New Roman"/>
          <w:b/>
          <w:noProof/>
          <w:color w:val="000000" w:themeColor="text1"/>
        </w:rPr>
        <w:t>waste</w:t>
      </w:r>
      <w:r>
        <w:rPr>
          <w:rFonts w:cs="Times New Roman"/>
          <w:noProof/>
          <w:color w:val="000000" w:themeColor="text1"/>
        </w:rPr>
        <w:t>. Waste containing naturally occur</w:t>
      </w:r>
      <w:r>
        <w:rPr>
          <w:rFonts w:cs="Times New Roman"/>
          <w:noProof/>
          <w:color w:val="000000" w:themeColor="text1"/>
        </w:rPr>
        <w:softHyphen/>
        <w:t>ring radioactive material – NORM (e.g. from uranium mining and milling) is not categorised as radioactive waste in some Member States, although a few Member States declare this waste in the scope of their national pr</w:t>
      </w:r>
      <w:r>
        <w:rPr>
          <w:rFonts w:cs="Times New Roman"/>
          <w:noProof/>
          <w:color w:val="000000" w:themeColor="text1"/>
        </w:rPr>
        <w:t xml:space="preserve">ogrammes. </w:t>
      </w:r>
    </w:p>
    <w:p w:rsidR="008702F0" w:rsidRDefault="00ED659C">
      <w:pPr>
        <w:pStyle w:val="ListParagraph"/>
        <w:jc w:val="both"/>
        <w:rPr>
          <w:rFonts w:cs="Times New Roman"/>
          <w:noProof/>
          <w:color w:val="000000" w:themeColor="text1"/>
        </w:rPr>
      </w:pPr>
      <w:r>
        <w:rPr>
          <w:rFonts w:cs="Times New Roman"/>
          <w:b/>
          <w:noProof/>
          <w:color w:val="000000" w:themeColor="text1"/>
        </w:rPr>
        <w:t>Pending decisions</w:t>
      </w:r>
      <w:r>
        <w:rPr>
          <w:rFonts w:cs="Times New Roman"/>
          <w:noProof/>
          <w:color w:val="000000" w:themeColor="text1"/>
        </w:rPr>
        <w:t xml:space="preserve"> result in uncertainties in the projection of future radioactive waste inventories (e.g. volumes, classes). Examples of pending decisions are:</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Final decisions about the management routes for radioactive waste (such as evaporatio</w:t>
      </w:r>
      <w:r>
        <w:rPr>
          <w:rFonts w:cs="Times New Roman"/>
          <w:noProof/>
          <w:color w:val="000000" w:themeColor="text1"/>
        </w:rPr>
        <w:t>n versus cementation);</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Immediate or deferred decommissioning, with the amount of radioactive waste potentially decreasing with prolonged safe enclosure of a facility;</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Final disposal end-points, potentially with considerable differences in acceptance criter</w:t>
      </w:r>
      <w:r>
        <w:rPr>
          <w:rFonts w:cs="Times New Roman"/>
          <w:noProof/>
          <w:color w:val="000000" w:themeColor="text1"/>
        </w:rPr>
        <w:t>ia.</w:t>
      </w:r>
    </w:p>
    <w:p w:rsidR="008702F0" w:rsidRDefault="00ED659C">
      <w:pPr>
        <w:pStyle w:val="ListParagraph"/>
        <w:jc w:val="both"/>
        <w:rPr>
          <w:rFonts w:cs="Times New Roman"/>
          <w:noProof/>
          <w:color w:val="000000" w:themeColor="text1"/>
        </w:rPr>
      </w:pPr>
      <w:r>
        <w:rPr>
          <w:rFonts w:cs="Times New Roman"/>
          <w:b/>
          <w:noProof/>
          <w:color w:val="000000" w:themeColor="text1"/>
        </w:rPr>
        <w:t xml:space="preserve">Political decisions and changes in the legal/regulatory framework </w:t>
      </w:r>
      <w:r>
        <w:rPr>
          <w:rFonts w:cs="Times New Roman"/>
          <w:noProof/>
          <w:color w:val="000000" w:themeColor="text1"/>
        </w:rPr>
        <w:t>may also introduce con</w:t>
      </w:r>
      <w:r>
        <w:rPr>
          <w:rFonts w:cs="Times New Roman"/>
          <w:noProof/>
          <w:color w:val="000000" w:themeColor="text1"/>
        </w:rPr>
        <w:softHyphen/>
        <w:t>siderable changes in estimates of future arisings, e.g.:</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Decisions to retrieve disposed radioactive waste;</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Changes to the fuel cycle;</w:t>
      </w:r>
    </w:p>
    <w:p w:rsidR="008702F0" w:rsidRDefault="00ED659C">
      <w:pPr>
        <w:pStyle w:val="ListParagraph"/>
        <w:numPr>
          <w:ilvl w:val="1"/>
          <w:numId w:val="2"/>
        </w:numPr>
        <w:jc w:val="both"/>
        <w:rPr>
          <w:rFonts w:cs="Times New Roman"/>
          <w:noProof/>
          <w:color w:val="000000" w:themeColor="text1"/>
        </w:rPr>
      </w:pPr>
      <w:r>
        <w:rPr>
          <w:rFonts w:cs="Times New Roman"/>
          <w:noProof/>
          <w:color w:val="000000" w:themeColor="text1"/>
        </w:rPr>
        <w:t>Inclusion or not of certain m</w:t>
      </w:r>
      <w:r>
        <w:rPr>
          <w:rFonts w:cs="Times New Roman"/>
          <w:noProof/>
          <w:color w:val="000000" w:themeColor="text1"/>
        </w:rPr>
        <w:t xml:space="preserve">aterials – e.g. spent fuel being categorised as waste, or other materials such as depleted uranium. </w:t>
      </w:r>
    </w:p>
    <w:p w:rsidR="008702F0" w:rsidRDefault="00ED659C">
      <w:pPr>
        <w:pStyle w:val="Textblock"/>
        <w:rPr>
          <w:rFonts w:cs="Times New Roman"/>
          <w:noProof/>
          <w:color w:val="000000" w:themeColor="text1"/>
        </w:rPr>
      </w:pPr>
      <w:r>
        <w:rPr>
          <w:rFonts w:cs="Times New Roman"/>
          <w:noProof/>
          <w:color w:val="000000" w:themeColor="text1"/>
        </w:rPr>
        <w:t xml:space="preserve">During the </w:t>
      </w:r>
      <w:r>
        <w:rPr>
          <w:rFonts w:cs="Times New Roman"/>
          <w:b/>
          <w:noProof/>
          <w:color w:val="000000" w:themeColor="text1"/>
        </w:rPr>
        <w:t>assessment of the evolution of Member States inventories with time</w:t>
      </w:r>
      <w:r>
        <w:rPr>
          <w:rFonts w:cs="Times New Roman"/>
          <w:noProof/>
          <w:color w:val="000000" w:themeColor="text1"/>
        </w:rPr>
        <w:t xml:space="preserve">, the following additional sources of </w:t>
      </w:r>
      <w:r>
        <w:rPr>
          <w:rFonts w:cs="Times New Roman"/>
          <w:b/>
          <w:noProof/>
          <w:color w:val="000000" w:themeColor="text1"/>
        </w:rPr>
        <w:t>uncertainties have been identified</w:t>
      </w:r>
      <w:r>
        <w:rPr>
          <w:rFonts w:cs="Times New Roman"/>
          <w:noProof/>
          <w:color w:val="000000" w:themeColor="text1"/>
        </w:rPr>
        <w:t>:</w:t>
      </w:r>
    </w:p>
    <w:p w:rsidR="008702F0" w:rsidRDefault="00ED659C">
      <w:pPr>
        <w:pStyle w:val="ListParagraph"/>
        <w:jc w:val="both"/>
        <w:rPr>
          <w:rFonts w:cs="Times New Roman"/>
          <w:noProof/>
          <w:color w:val="000000" w:themeColor="text1"/>
        </w:rPr>
      </w:pPr>
      <w:r>
        <w:rPr>
          <w:rFonts w:cs="Times New Roman"/>
          <w:noProof/>
          <w:color w:val="000000" w:themeColor="text1"/>
        </w:rPr>
        <w:t xml:space="preserve">Use </w:t>
      </w:r>
      <w:r>
        <w:rPr>
          <w:rFonts w:cs="Times New Roman"/>
          <w:noProof/>
          <w:color w:val="000000" w:themeColor="text1"/>
        </w:rPr>
        <w:t xml:space="preserve">of </w:t>
      </w:r>
      <w:r>
        <w:rPr>
          <w:rFonts w:cs="Times New Roman"/>
          <w:b/>
          <w:noProof/>
          <w:color w:val="000000" w:themeColor="text1"/>
        </w:rPr>
        <w:t>different radioactive waste classification</w:t>
      </w:r>
      <w:r>
        <w:rPr>
          <w:rFonts w:cs="Times New Roman"/>
          <w:noProof/>
          <w:color w:val="000000" w:themeColor="text1"/>
        </w:rPr>
        <w:t xml:space="preserve"> schemes from one reporting period to another.</w:t>
      </w:r>
    </w:p>
    <w:p w:rsidR="008702F0" w:rsidRDefault="00ED659C">
      <w:pPr>
        <w:pStyle w:val="ListParagraph"/>
        <w:jc w:val="both"/>
        <w:rPr>
          <w:rFonts w:cs="Times New Roman"/>
          <w:noProof/>
          <w:color w:val="000000" w:themeColor="text1"/>
        </w:rPr>
      </w:pPr>
      <w:r>
        <w:rPr>
          <w:rFonts w:cs="Times New Roman"/>
          <w:b/>
          <w:noProof/>
          <w:color w:val="000000" w:themeColor="text1"/>
        </w:rPr>
        <w:t>Differences in the reference dates of Member States inventories</w:t>
      </w:r>
      <w:r>
        <w:rPr>
          <w:rFonts w:cs="Times New Roman"/>
          <w:noProof/>
          <w:color w:val="000000" w:themeColor="text1"/>
        </w:rPr>
        <w:t xml:space="preserve"> – for the current reporting period although the majority of Member States reported inventories as of</w:t>
      </w:r>
      <w:r>
        <w:rPr>
          <w:rFonts w:cs="Times New Roman"/>
          <w:noProof/>
          <w:color w:val="000000" w:themeColor="text1"/>
        </w:rPr>
        <w:t xml:space="preserve"> the end of 2013, a few have chosen to report more recent inventories with dates ranging from 2014 to 2016. </w:t>
      </w:r>
    </w:p>
    <w:p w:rsidR="008702F0" w:rsidRDefault="00ED659C">
      <w:pPr>
        <w:pStyle w:val="ListParagraph"/>
        <w:jc w:val="both"/>
        <w:rPr>
          <w:rFonts w:cs="Times New Roman"/>
          <w:noProof/>
          <w:color w:val="000000" w:themeColor="text1"/>
        </w:rPr>
      </w:pPr>
      <w:r>
        <w:rPr>
          <w:rFonts w:cs="Times New Roman"/>
          <w:b/>
          <w:noProof/>
          <w:color w:val="000000" w:themeColor="text1"/>
        </w:rPr>
        <w:t>Change in radioactive waste status</w:t>
      </w:r>
      <w:r>
        <w:rPr>
          <w:rFonts w:cs="Times New Roman"/>
          <w:noProof/>
          <w:color w:val="000000" w:themeColor="text1"/>
        </w:rPr>
        <w:t xml:space="preserve"> - some Member States plan to recover previously disposed radioactive waste, process and re-dispose of it in exis</w:t>
      </w:r>
      <w:r>
        <w:rPr>
          <w:rFonts w:cs="Times New Roman"/>
          <w:noProof/>
          <w:color w:val="000000" w:themeColor="text1"/>
        </w:rPr>
        <w:t>ting and/or newly constructed disposal facilities. So there might be changes depending on whether radioactive waste is still reported as disposed of or stored. Also the overall volume might change as a result of subsequent retreatment and final disposal. O</w:t>
      </w:r>
      <w:r>
        <w:rPr>
          <w:rFonts w:cs="Times New Roman"/>
          <w:noProof/>
          <w:color w:val="000000" w:themeColor="text1"/>
        </w:rPr>
        <w:t>verall after a decision for remediation of a disposal site, radioactive waste is considered as stored whilst awaiting retrieval.</w:t>
      </w:r>
    </w:p>
    <w:p w:rsidR="008702F0" w:rsidRDefault="00ED659C">
      <w:pPr>
        <w:pStyle w:val="ListParagraph"/>
        <w:jc w:val="both"/>
        <w:rPr>
          <w:rFonts w:cs="Times New Roman"/>
          <w:noProof/>
          <w:color w:val="000000" w:themeColor="text1"/>
        </w:rPr>
      </w:pPr>
      <w:r>
        <w:rPr>
          <w:rFonts w:cs="Times New Roman"/>
          <w:b/>
          <w:noProof/>
          <w:color w:val="000000" w:themeColor="text1"/>
        </w:rPr>
        <w:t>Change of assumptions used for reporting</w:t>
      </w:r>
      <w:r>
        <w:rPr>
          <w:rFonts w:cs="Times New Roman"/>
          <w:noProof/>
          <w:color w:val="000000" w:themeColor="text1"/>
        </w:rPr>
        <w:t xml:space="preserve"> during different reporting periods. For example, some Member States reported combined </w:t>
      </w:r>
      <w:r>
        <w:rPr>
          <w:rFonts w:cs="Times New Roman"/>
          <w:noProof/>
          <w:color w:val="000000" w:themeColor="text1"/>
        </w:rPr>
        <w:t>radioactive waste classes like "Low and Intermediate Level Waste" as "Low Level Waste" while in a subsequent period this was reported as "Intermediate Level Waste". This however has no effect on the need for safe management of this waste.</w:t>
      </w:r>
    </w:p>
    <w:p w:rsidR="008702F0" w:rsidRDefault="00ED659C">
      <w:pPr>
        <w:pStyle w:val="ListParagraph"/>
        <w:jc w:val="both"/>
        <w:rPr>
          <w:rFonts w:cs="Times New Roman"/>
          <w:noProof/>
          <w:color w:val="000000" w:themeColor="text1"/>
        </w:rPr>
      </w:pPr>
      <w:r>
        <w:rPr>
          <w:rFonts w:cs="Times New Roman"/>
          <w:b/>
          <w:noProof/>
          <w:color w:val="000000" w:themeColor="text1"/>
        </w:rPr>
        <w:t>Declaration of ma</w:t>
      </w:r>
      <w:r>
        <w:rPr>
          <w:rFonts w:cs="Times New Roman"/>
          <w:b/>
          <w:noProof/>
          <w:color w:val="000000" w:themeColor="text1"/>
        </w:rPr>
        <w:t>terial as radioactive waste or not</w:t>
      </w:r>
      <w:r>
        <w:rPr>
          <w:rFonts w:cs="Times New Roman"/>
          <w:noProof/>
          <w:color w:val="000000" w:themeColor="text1"/>
        </w:rPr>
        <w:t>, changing from one reporting period to the other (e.g. spent fuel and depleted uranium). It has also been noted that some Member States report “irradiated fuel” and others “spent fuel”.</w:t>
      </w:r>
    </w:p>
    <w:p w:rsidR="008702F0" w:rsidRDefault="00ED659C">
      <w:pPr>
        <w:pStyle w:val="Heading1"/>
        <w:ind w:hanging="720"/>
        <w:rPr>
          <w:rFonts w:cs="Times New Roman"/>
          <w:noProof/>
          <w:color w:val="000000" w:themeColor="text1"/>
        </w:rPr>
      </w:pPr>
      <w:bookmarkStart w:id="9" w:name="_Toc462992404"/>
      <w:bookmarkStart w:id="10" w:name="_Toc462992494"/>
      <w:bookmarkStart w:id="11" w:name="_Toc462992546"/>
      <w:bookmarkStart w:id="12" w:name="_Toc462992653"/>
      <w:bookmarkStart w:id="13" w:name="_Toc334119567"/>
      <w:bookmarkStart w:id="14" w:name="_Toc464802881"/>
      <w:bookmarkStart w:id="15" w:name="_Toc478464492"/>
      <w:bookmarkEnd w:id="9"/>
      <w:bookmarkEnd w:id="10"/>
      <w:bookmarkEnd w:id="11"/>
      <w:bookmarkEnd w:id="12"/>
      <w:r>
        <w:rPr>
          <w:rFonts w:cs="Times New Roman"/>
          <w:noProof/>
          <w:color w:val="000000" w:themeColor="text1"/>
        </w:rPr>
        <w:t>Sources of spent fuel</w:t>
      </w:r>
      <w:bookmarkEnd w:id="13"/>
      <w:r>
        <w:rPr>
          <w:rFonts w:cs="Times New Roman"/>
          <w:noProof/>
          <w:color w:val="000000" w:themeColor="text1"/>
        </w:rPr>
        <w:t xml:space="preserve"> and radioacti</w:t>
      </w:r>
      <w:r>
        <w:rPr>
          <w:rFonts w:cs="Times New Roman"/>
          <w:noProof/>
          <w:color w:val="000000" w:themeColor="text1"/>
        </w:rPr>
        <w:t>ve waste</w:t>
      </w:r>
      <w:bookmarkEnd w:id="14"/>
      <w:bookmarkEnd w:id="15"/>
    </w:p>
    <w:p w:rsidR="008702F0" w:rsidRDefault="00ED659C">
      <w:pPr>
        <w:spacing w:before="240"/>
        <w:rPr>
          <w:rFonts w:cs="Times New Roman"/>
          <w:noProof/>
          <w:color w:val="000000" w:themeColor="text1"/>
        </w:rPr>
      </w:pPr>
      <w:r>
        <w:rPr>
          <w:rFonts w:cs="Times New Roman"/>
          <w:noProof/>
          <w:color w:val="000000" w:themeColor="text1"/>
        </w:rPr>
        <w:t>The largest source of radioactive waste stems from the nuclear power plants and associated nuclear fuel cycle activities. The latter include those from the nuclear fuel cycle, i.e. from conversion of uranium through to fuel fabrication prior to el</w:t>
      </w:r>
      <w:r>
        <w:rPr>
          <w:rFonts w:cs="Times New Roman"/>
          <w:noProof/>
          <w:color w:val="000000" w:themeColor="text1"/>
        </w:rPr>
        <w:t xml:space="preserve">ectricity generation, and subsequent reprocessing of spent fuel. Other Member States make use of the once-through fuel cycle option, with direct disposal of the spent fuel in deep geological facilities foreseen. Decommissioning of nuclear power plants and </w:t>
      </w:r>
      <w:r>
        <w:rPr>
          <w:rFonts w:cs="Times New Roman"/>
          <w:noProof/>
          <w:color w:val="000000" w:themeColor="text1"/>
        </w:rPr>
        <w:t>other nuclear facilities at the end of their useful lifetime also results in generation of significant volumes of radioactive waste, mainly low-level waste. Another large contribution can be waste from mining and milling of uranium, if it is declared as ra</w:t>
      </w:r>
      <w:r>
        <w:rPr>
          <w:rFonts w:cs="Times New Roman"/>
          <w:noProof/>
          <w:color w:val="000000" w:themeColor="text1"/>
        </w:rPr>
        <w:t>dioactive waste. Some Member States report such material as a part of radioactive waste inventory, whereas others do not. Therefore, a comparison of inventories of waste containing naturally occurring radioactive material between Member States or compilati</w:t>
      </w:r>
      <w:r>
        <w:rPr>
          <w:rFonts w:cs="Times New Roman"/>
          <w:noProof/>
          <w:color w:val="000000" w:themeColor="text1"/>
        </w:rPr>
        <w:t>on of an overall European Union inventory (incl. NORM waste) is currently not possible and therefore outside the scope of this report.</w:t>
      </w:r>
    </w:p>
    <w:p w:rsidR="008702F0" w:rsidRDefault="00ED659C">
      <w:pPr>
        <w:rPr>
          <w:rFonts w:cs="Times New Roman"/>
          <w:noProof/>
          <w:color w:val="000000" w:themeColor="text1"/>
        </w:rPr>
      </w:pPr>
      <w:r>
        <w:rPr>
          <w:rFonts w:cs="Times New Roman"/>
          <w:noProof/>
          <w:color w:val="000000" w:themeColor="text1"/>
        </w:rPr>
        <w:t>Smaller volumes of radioactive waste are generated as a result of non-power uses of radioactive materials, such as the ma</w:t>
      </w:r>
      <w:r>
        <w:rPr>
          <w:rFonts w:cs="Times New Roman"/>
          <w:noProof/>
          <w:color w:val="000000" w:themeColor="text1"/>
        </w:rPr>
        <w:t>nufacturing of radioactive materials for use in medical and industrial applica</w:t>
      </w:r>
      <w:r>
        <w:rPr>
          <w:rFonts w:cs="Times New Roman"/>
          <w:noProof/>
          <w:color w:val="000000" w:themeColor="text1"/>
        </w:rPr>
        <w:softHyphen/>
        <w:t>tions, or research facilities such as laboratories, and research reactors. Therefore, all Member States generate radioactive waste, though non-power related wastes represent a s</w:t>
      </w:r>
      <w:r>
        <w:rPr>
          <w:rFonts w:cs="Times New Roman"/>
          <w:noProof/>
          <w:color w:val="000000" w:themeColor="text1"/>
        </w:rPr>
        <w:t>mall proportion of the total generated radioactive waste.</w:t>
      </w:r>
    </w:p>
    <w:p w:rsidR="008702F0" w:rsidRDefault="00ED659C">
      <w:pPr>
        <w:pStyle w:val="Heading1"/>
        <w:ind w:hanging="720"/>
        <w:rPr>
          <w:rFonts w:cs="Times New Roman"/>
          <w:noProof/>
          <w:color w:val="000000" w:themeColor="text1"/>
        </w:rPr>
      </w:pPr>
      <w:bookmarkStart w:id="16" w:name="_Toc334119568"/>
      <w:bookmarkStart w:id="17" w:name="_Toc464802882"/>
      <w:bookmarkStart w:id="18" w:name="_Toc478464493"/>
      <w:r>
        <w:rPr>
          <w:rFonts w:cs="Times New Roman"/>
          <w:noProof/>
          <w:color w:val="000000" w:themeColor="text1"/>
        </w:rPr>
        <w:t>Classification of spent fuel</w:t>
      </w:r>
      <w:bookmarkEnd w:id="16"/>
      <w:r>
        <w:rPr>
          <w:rFonts w:cs="Times New Roman"/>
          <w:noProof/>
          <w:color w:val="000000" w:themeColor="text1"/>
        </w:rPr>
        <w:t xml:space="preserve"> and radioactive waste</w:t>
      </w:r>
      <w:bookmarkEnd w:id="17"/>
      <w:bookmarkEnd w:id="18"/>
    </w:p>
    <w:p w:rsidR="008702F0" w:rsidRDefault="00ED659C">
      <w:pPr>
        <w:pStyle w:val="Textblock"/>
        <w:rPr>
          <w:rFonts w:cs="Times New Roman"/>
          <w:noProof/>
          <w:color w:val="000000" w:themeColor="text1"/>
        </w:rPr>
      </w:pPr>
      <w:r>
        <w:rPr>
          <w:rFonts w:cs="Times New Roman"/>
          <w:noProof/>
          <w:color w:val="000000" w:themeColor="text1"/>
        </w:rPr>
        <w:t>In line with Article 12(1)c of the Directive, Member States need to develop as part of their national programmes and notify to the Commission spent</w:t>
      </w:r>
      <w:r>
        <w:rPr>
          <w:rFonts w:cs="Times New Roman"/>
          <w:noProof/>
          <w:color w:val="000000" w:themeColor="text1"/>
        </w:rPr>
        <w:t xml:space="preserve"> fuel and radioactive waste inventories in accordance with an appropriate classification. Correspondingly, Member States notify their national programmes and reports on their spent fuel and radioactive waste inventories based on radioactive waste classific</w:t>
      </w:r>
      <w:r>
        <w:rPr>
          <w:rFonts w:cs="Times New Roman"/>
          <w:noProof/>
          <w:color w:val="000000" w:themeColor="text1"/>
        </w:rPr>
        <w:t xml:space="preserve">ations that may differ from one Member State to another. </w:t>
      </w:r>
    </w:p>
    <w:p w:rsidR="008702F0" w:rsidRDefault="00ED659C">
      <w:pPr>
        <w:pStyle w:val="Textblock"/>
        <w:rPr>
          <w:rFonts w:cs="Times New Roman"/>
          <w:noProof/>
          <w:color w:val="000000" w:themeColor="text1"/>
        </w:rPr>
      </w:pPr>
      <w:r>
        <w:rPr>
          <w:rFonts w:cs="Times New Roman"/>
          <w:noProof/>
          <w:color w:val="000000" w:themeColor="text1"/>
        </w:rPr>
        <w:t xml:space="preserve">In order to make spent fuel and radioactive waste inventories comparable among different Member States and in order to aggregate the overall inventory on the territory of the European Union, Member </w:t>
      </w:r>
      <w:r>
        <w:rPr>
          <w:rFonts w:cs="Times New Roman"/>
          <w:noProof/>
          <w:color w:val="000000" w:themeColor="text1"/>
        </w:rPr>
        <w:t xml:space="preserve">States inventories were translated into a common classification scheme. The IAEA GSG-1 classification system has been chosen for that purpose in order to facilitate Member States reporting to various international organisations (e.g. IAEA) and instruments </w:t>
      </w:r>
      <w:r>
        <w:rPr>
          <w:rFonts w:cs="Times New Roman"/>
          <w:noProof/>
          <w:color w:val="000000" w:themeColor="text1"/>
        </w:rPr>
        <w:t>(e.g. Joint Convention).</w:t>
      </w:r>
    </w:p>
    <w:p w:rsidR="008702F0" w:rsidRDefault="00ED659C">
      <w:pPr>
        <w:pStyle w:val="Textblock"/>
        <w:rPr>
          <w:rFonts w:cs="Times New Roman"/>
          <w:noProof/>
          <w:color w:val="000000" w:themeColor="text1"/>
        </w:rPr>
      </w:pPr>
      <w:r>
        <w:rPr>
          <w:rFonts w:cs="Times New Roman"/>
          <w:noProof/>
          <w:color w:val="000000" w:themeColor="text1"/>
        </w:rPr>
        <w:t>The categories of radioactive waste used for data aggregation are:</w:t>
      </w:r>
    </w:p>
    <w:p w:rsidR="008702F0" w:rsidRDefault="00ED659C">
      <w:pPr>
        <w:pStyle w:val="ListParagraph"/>
        <w:jc w:val="both"/>
        <w:rPr>
          <w:rFonts w:cs="Times New Roman"/>
          <w:noProof/>
          <w:color w:val="000000" w:themeColor="text1"/>
        </w:rPr>
      </w:pPr>
      <w:r>
        <w:rPr>
          <w:rFonts w:cs="Times New Roman"/>
          <w:b/>
          <w:noProof/>
          <w:color w:val="000000" w:themeColor="text1"/>
        </w:rPr>
        <w:t>Very Low Level Waste</w:t>
      </w:r>
      <w:r>
        <w:rPr>
          <w:rFonts w:cs="Times New Roman"/>
          <w:noProof/>
          <w:color w:val="000000" w:themeColor="text1"/>
        </w:rPr>
        <w:t xml:space="preserve"> (VLLW): waste that does not need a high level of containment and isolation and, therefore, is suitable for disposal in near surface landfill ty</w:t>
      </w:r>
      <w:r>
        <w:rPr>
          <w:rFonts w:cs="Times New Roman"/>
          <w:noProof/>
          <w:color w:val="000000" w:themeColor="text1"/>
        </w:rPr>
        <w:t>pe facilities with limited regulatory control.</w:t>
      </w:r>
    </w:p>
    <w:p w:rsidR="008702F0" w:rsidRDefault="00ED659C">
      <w:pPr>
        <w:pStyle w:val="ListParagraph"/>
        <w:jc w:val="both"/>
        <w:rPr>
          <w:rFonts w:cs="Times New Roman"/>
          <w:noProof/>
          <w:color w:val="000000" w:themeColor="text1"/>
        </w:rPr>
      </w:pPr>
      <w:r>
        <w:rPr>
          <w:rFonts w:cs="Times New Roman"/>
          <w:b/>
          <w:noProof/>
          <w:color w:val="000000" w:themeColor="text1"/>
        </w:rPr>
        <w:t xml:space="preserve">Low Level Waste </w:t>
      </w:r>
      <w:r>
        <w:rPr>
          <w:rFonts w:cs="Times New Roman"/>
          <w:noProof/>
          <w:color w:val="000000" w:themeColor="text1"/>
        </w:rPr>
        <w:t>(LLW)</w:t>
      </w:r>
      <w:r>
        <w:rPr>
          <w:rFonts w:cs="Times New Roman"/>
          <w:b/>
          <w:noProof/>
          <w:color w:val="000000" w:themeColor="text1"/>
        </w:rPr>
        <w:t>:</w:t>
      </w:r>
      <w:r>
        <w:rPr>
          <w:rFonts w:cs="Times New Roman"/>
          <w:noProof/>
          <w:color w:val="000000" w:themeColor="text1"/>
        </w:rPr>
        <w:t xml:space="preserve"> waste that is above clearance levels, but with limited amounts of long-lived radio</w:t>
      </w:r>
      <w:r>
        <w:rPr>
          <w:rFonts w:cs="Times New Roman"/>
          <w:noProof/>
          <w:color w:val="000000" w:themeColor="text1"/>
        </w:rPr>
        <w:softHyphen/>
        <w:t>nuclides. Such waste requires robust isolation and containment for periods of up to a few hundred years</w:t>
      </w:r>
      <w:r>
        <w:rPr>
          <w:rFonts w:cs="Times New Roman"/>
          <w:noProof/>
          <w:color w:val="000000" w:themeColor="text1"/>
        </w:rPr>
        <w:t xml:space="preserve"> and is suitable for disposal in engineered near surface facilities. This class covers a very broad range of waste. LLW may include short-lived radionuclides at higher lev</w:t>
      </w:r>
      <w:r>
        <w:rPr>
          <w:rFonts w:cs="Times New Roman"/>
          <w:noProof/>
          <w:color w:val="000000" w:themeColor="text1"/>
        </w:rPr>
        <w:softHyphen/>
        <w:t>els of activity concentration, and also long-lived radionuclides, but only at relati</w:t>
      </w:r>
      <w:r>
        <w:rPr>
          <w:rFonts w:cs="Times New Roman"/>
          <w:noProof/>
          <w:color w:val="000000" w:themeColor="text1"/>
        </w:rPr>
        <w:t>vely low lev</w:t>
      </w:r>
      <w:r>
        <w:rPr>
          <w:rFonts w:cs="Times New Roman"/>
          <w:noProof/>
          <w:color w:val="000000" w:themeColor="text1"/>
        </w:rPr>
        <w:softHyphen/>
        <w:t>els of activity concentration.</w:t>
      </w:r>
    </w:p>
    <w:p w:rsidR="008702F0" w:rsidRDefault="00ED659C">
      <w:pPr>
        <w:pStyle w:val="ListParagraph"/>
        <w:jc w:val="both"/>
        <w:rPr>
          <w:rFonts w:cs="Times New Roman"/>
          <w:noProof/>
          <w:color w:val="000000" w:themeColor="text1"/>
        </w:rPr>
      </w:pPr>
      <w:r>
        <w:rPr>
          <w:rFonts w:cs="Times New Roman"/>
          <w:b/>
          <w:noProof/>
          <w:color w:val="000000" w:themeColor="text1"/>
        </w:rPr>
        <w:t xml:space="preserve">Intermediate Level Waste </w:t>
      </w:r>
      <w:r>
        <w:rPr>
          <w:rFonts w:cs="Times New Roman"/>
          <w:noProof/>
          <w:color w:val="000000" w:themeColor="text1"/>
        </w:rPr>
        <w:t>(ILW): waste that, because of its content, particularly of long lived radionuclides, requires a greater degree of containment and isolation than that provided by near surface disposal. Ho</w:t>
      </w:r>
      <w:r>
        <w:rPr>
          <w:rFonts w:cs="Times New Roman"/>
          <w:noProof/>
          <w:color w:val="000000" w:themeColor="text1"/>
        </w:rPr>
        <w:t>w</w:t>
      </w:r>
      <w:r>
        <w:rPr>
          <w:rFonts w:cs="Times New Roman"/>
          <w:noProof/>
          <w:color w:val="000000" w:themeColor="text1"/>
        </w:rPr>
        <w:softHyphen/>
        <w:t>ever, ILW needs no provision, or only limited provision, for heat dissipation during its storage and disposal. ILW may contain long-lived radionuclides, in particular, alpha emitting radio</w:t>
      </w:r>
      <w:r>
        <w:rPr>
          <w:rFonts w:cs="Times New Roman"/>
          <w:noProof/>
          <w:color w:val="000000" w:themeColor="text1"/>
        </w:rPr>
        <w:softHyphen/>
        <w:t>nuclides that will not decay to a level of activity concentration</w:t>
      </w:r>
      <w:r>
        <w:rPr>
          <w:rFonts w:cs="Times New Roman"/>
          <w:noProof/>
          <w:color w:val="000000" w:themeColor="text1"/>
        </w:rPr>
        <w:t xml:space="preserve"> acceptable for near surface disposal during the time for which institutional controls can be relied upon. Therefore, waste in this class requires disposal at greater depths, of the order of tens of metres to a few hundred metres.</w:t>
      </w:r>
    </w:p>
    <w:p w:rsidR="008702F0" w:rsidRDefault="00ED659C">
      <w:pPr>
        <w:pStyle w:val="ListParagraph"/>
        <w:jc w:val="both"/>
        <w:rPr>
          <w:rFonts w:cs="Times New Roman"/>
          <w:noProof/>
          <w:color w:val="000000" w:themeColor="text1"/>
        </w:rPr>
      </w:pPr>
      <w:r>
        <w:rPr>
          <w:rFonts w:cs="Times New Roman"/>
          <w:b/>
          <w:noProof/>
          <w:color w:val="000000" w:themeColor="text1"/>
        </w:rPr>
        <w:t>High Level Waste</w:t>
      </w:r>
      <w:r>
        <w:rPr>
          <w:rFonts w:cs="Times New Roman"/>
          <w:noProof/>
          <w:color w:val="000000" w:themeColor="text1"/>
        </w:rPr>
        <w:t xml:space="preserve"> (HLW): w</w:t>
      </w:r>
      <w:r>
        <w:rPr>
          <w:rFonts w:cs="Times New Roman"/>
          <w:noProof/>
          <w:color w:val="000000" w:themeColor="text1"/>
        </w:rPr>
        <w:t>aste with levels of activity concentration high enough to generate significant quantities of heat by the radioactive decay process or waste with large amounts of long lived radionuclides that need to be considered in the design of a disposal facility for s</w:t>
      </w:r>
      <w:r>
        <w:rPr>
          <w:rFonts w:cs="Times New Roman"/>
          <w:noProof/>
          <w:color w:val="000000" w:themeColor="text1"/>
        </w:rPr>
        <w:t>uch waste. Disposal in deep, stable geological formations usually several hundred metres or more below the surface is the generally recognized option for disposal of HLW.</w:t>
      </w:r>
    </w:p>
    <w:p w:rsidR="008702F0" w:rsidRDefault="00ED659C">
      <w:pPr>
        <w:rPr>
          <w:rFonts w:cs="Times New Roman"/>
          <w:noProof/>
          <w:color w:val="000000" w:themeColor="text1"/>
        </w:rPr>
      </w:pPr>
      <w:r>
        <w:rPr>
          <w:rFonts w:cs="Times New Roman"/>
          <w:b/>
          <w:noProof/>
          <w:color w:val="000000" w:themeColor="text1"/>
        </w:rPr>
        <w:t>Spent fuel</w:t>
      </w:r>
      <w:r>
        <w:rPr>
          <w:rFonts w:cs="Times New Roman"/>
          <w:noProof/>
          <w:color w:val="000000" w:themeColor="text1"/>
        </w:rPr>
        <w:t xml:space="preserve"> (SF) is also considered in its entirety, whether it might be intended for </w:t>
      </w:r>
      <w:r>
        <w:rPr>
          <w:rFonts w:cs="Times New Roman"/>
          <w:noProof/>
          <w:color w:val="000000" w:themeColor="text1"/>
        </w:rPr>
        <w:t>repro</w:t>
      </w:r>
      <w:r>
        <w:rPr>
          <w:rFonts w:cs="Times New Roman"/>
          <w:noProof/>
          <w:color w:val="000000" w:themeColor="text1"/>
        </w:rPr>
        <w:softHyphen/>
        <w:t>cessing or awaiting decision for future long term management (reprocessing or disposal).</w:t>
      </w:r>
    </w:p>
    <w:p w:rsidR="008702F0" w:rsidRDefault="00ED659C">
      <w:pPr>
        <w:spacing w:before="0" w:after="200"/>
        <w:jc w:val="left"/>
        <w:rPr>
          <w:rFonts w:cs="Times New Roman"/>
          <w:noProof/>
          <w:color w:val="000000" w:themeColor="text1"/>
        </w:rPr>
      </w:pPr>
      <w:r>
        <w:rPr>
          <w:rFonts w:cs="Times New Roman"/>
          <w:noProof/>
          <w:color w:val="000000" w:themeColor="text1"/>
        </w:rPr>
        <w:br w:type="page"/>
      </w:r>
    </w:p>
    <w:p w:rsidR="008702F0" w:rsidRDefault="00ED659C">
      <w:pPr>
        <w:rPr>
          <w:rFonts w:cs="Times New Roman"/>
          <w:noProof/>
          <w:color w:val="000000" w:themeColor="text1"/>
        </w:rPr>
      </w:pPr>
      <w:r>
        <w:rPr>
          <w:rFonts w:cs="Times New Roman"/>
          <w:noProof/>
          <w:color w:val="000000" w:themeColor="text1"/>
        </w:rPr>
        <w:t>In addition to the above mentioned waste classes, IAEA GSG-1 classification system defines:</w:t>
      </w:r>
    </w:p>
    <w:p w:rsidR="008702F0" w:rsidRDefault="00ED659C">
      <w:pPr>
        <w:pStyle w:val="ListParagraph"/>
        <w:numPr>
          <w:ilvl w:val="0"/>
          <w:numId w:val="13"/>
        </w:numPr>
        <w:jc w:val="both"/>
        <w:rPr>
          <w:rFonts w:cs="Times New Roman"/>
          <w:noProof/>
          <w:color w:val="000000" w:themeColor="text1"/>
        </w:rPr>
      </w:pPr>
      <w:r>
        <w:rPr>
          <w:rFonts w:cs="Times New Roman"/>
          <w:b/>
          <w:noProof/>
          <w:color w:val="000000" w:themeColor="text1"/>
        </w:rPr>
        <w:t>Exempt waste</w:t>
      </w:r>
      <w:r>
        <w:rPr>
          <w:rFonts w:cs="Times New Roman"/>
          <w:noProof/>
          <w:color w:val="000000" w:themeColor="text1"/>
        </w:rPr>
        <w:t xml:space="preserve"> with concentrations of radionuclides small enough to n</w:t>
      </w:r>
      <w:r>
        <w:rPr>
          <w:rFonts w:cs="Times New Roman"/>
          <w:noProof/>
          <w:color w:val="000000" w:themeColor="text1"/>
        </w:rPr>
        <w:t>ot require provisions for radiation protection. Such material can be cleared from regulatory control and does not require any further consideration from a regulatory control perspective.</w:t>
      </w:r>
    </w:p>
    <w:p w:rsidR="008702F0" w:rsidRDefault="00ED659C">
      <w:pPr>
        <w:pStyle w:val="ListParagraph"/>
        <w:numPr>
          <w:ilvl w:val="0"/>
          <w:numId w:val="13"/>
        </w:numPr>
        <w:jc w:val="both"/>
        <w:rPr>
          <w:rFonts w:cs="Times New Roman"/>
          <w:noProof/>
          <w:color w:val="000000" w:themeColor="text1"/>
        </w:rPr>
      </w:pPr>
      <w:r>
        <w:rPr>
          <w:rFonts w:cs="Times New Roman"/>
          <w:b/>
          <w:noProof/>
          <w:color w:val="000000" w:themeColor="text1"/>
        </w:rPr>
        <w:t>Very short lived waste</w:t>
      </w:r>
      <w:r>
        <w:rPr>
          <w:rFonts w:cs="Times New Roman"/>
          <w:noProof/>
          <w:color w:val="000000" w:themeColor="text1"/>
        </w:rPr>
        <w:t xml:space="preserve"> containing only very short half-life radionucl</w:t>
      </w:r>
      <w:r>
        <w:rPr>
          <w:rFonts w:cs="Times New Roman"/>
          <w:noProof/>
          <w:color w:val="000000" w:themeColor="text1"/>
        </w:rPr>
        <w:t xml:space="preserve">ides, thus such a waste can be stored until the activity has fallen beneath the levels of clearance, allowing for the cleared waste to be managed as conventional waste. </w:t>
      </w:r>
    </w:p>
    <w:p w:rsidR="008702F0" w:rsidRDefault="00ED659C">
      <w:pPr>
        <w:rPr>
          <w:rFonts w:cs="Times New Roman"/>
          <w:noProof/>
          <w:color w:val="000000" w:themeColor="text1"/>
        </w:rPr>
      </w:pPr>
      <w:r>
        <w:rPr>
          <w:rFonts w:cs="Times New Roman"/>
          <w:noProof/>
          <w:color w:val="000000" w:themeColor="text1"/>
        </w:rPr>
        <w:t>The latter two waste classes do not require future long term management or disposal as</w:t>
      </w:r>
      <w:r>
        <w:rPr>
          <w:rFonts w:cs="Times New Roman"/>
          <w:noProof/>
          <w:color w:val="000000" w:themeColor="text1"/>
        </w:rPr>
        <w:t xml:space="preserve"> radioactive waste due to their short-lifetime and/or levels allowing the exemption or clearance from regulatory control. Accordingly, exempt waste and very short lived waste are in most cases not reported by Member States. Thus, these waste classes have n</w:t>
      </w:r>
      <w:r>
        <w:rPr>
          <w:rFonts w:cs="Times New Roman"/>
          <w:noProof/>
          <w:color w:val="000000" w:themeColor="text1"/>
        </w:rPr>
        <w:t>ot been used for data aggregation in the present document.</w:t>
      </w:r>
    </w:p>
    <w:p w:rsidR="008702F0" w:rsidRDefault="00ED659C">
      <w:pPr>
        <w:rPr>
          <w:rFonts w:cs="Times New Roman"/>
          <w:noProof/>
          <w:color w:val="000000" w:themeColor="text1"/>
        </w:rPr>
      </w:pPr>
      <w:r>
        <w:rPr>
          <w:rFonts w:cs="Times New Roman"/>
          <w:noProof/>
          <w:color w:val="000000" w:themeColor="text1"/>
        </w:rPr>
        <w:t xml:space="preserve">Several Member States combine VLLW and LLW, or do not have a separate VLLW class. In the latter case such material could be subject to clearance in accordance with the respective national </w:t>
      </w:r>
      <w:r>
        <w:rPr>
          <w:rFonts w:cs="Times New Roman"/>
          <w:noProof/>
          <w:color w:val="000000" w:themeColor="text1"/>
        </w:rPr>
        <w:t>legislation. Reflecting the disposal routes, several Member States also use a combined waste class “low and intermediate level waste” - LILW. Where other than the IAEA GSG-1 classification system is used for reporting by Member States, a conversion provide</w:t>
      </w:r>
      <w:r>
        <w:rPr>
          <w:rFonts w:cs="Times New Roman"/>
          <w:noProof/>
          <w:color w:val="000000" w:themeColor="text1"/>
        </w:rPr>
        <w:t>d by the Member States is applied in this Report in order to achieve the transformation from the national to the IAEA classification systems.</w:t>
      </w:r>
    </w:p>
    <w:p w:rsidR="008702F0" w:rsidRDefault="00ED659C">
      <w:pPr>
        <w:pStyle w:val="Heading1"/>
        <w:ind w:hanging="720"/>
        <w:rPr>
          <w:rFonts w:cs="Times New Roman"/>
          <w:noProof/>
          <w:color w:val="000000" w:themeColor="text1"/>
        </w:rPr>
      </w:pPr>
      <w:bookmarkStart w:id="19" w:name="_Toc464802883"/>
      <w:bookmarkStart w:id="20" w:name="_Toc478464494"/>
      <w:r>
        <w:rPr>
          <w:rFonts w:cs="Times New Roman"/>
          <w:noProof/>
          <w:color w:val="000000" w:themeColor="text1"/>
        </w:rPr>
        <w:t>Estimated spent fuel and radioactive waste inventory in the European Union</w:t>
      </w:r>
      <w:bookmarkEnd w:id="19"/>
      <w:bookmarkEnd w:id="20"/>
    </w:p>
    <w:p w:rsidR="008702F0" w:rsidRDefault="00ED659C">
      <w:pPr>
        <w:pStyle w:val="Textblock"/>
        <w:rPr>
          <w:rFonts w:cs="Times New Roman"/>
          <w:noProof/>
          <w:color w:val="000000" w:themeColor="text1"/>
        </w:rPr>
      </w:pPr>
      <w:r>
        <w:rPr>
          <w:rFonts w:cs="Times New Roman"/>
          <w:noProof/>
          <w:color w:val="000000" w:themeColor="text1"/>
        </w:rPr>
        <w:t>The present inventory covers all Europe</w:t>
      </w:r>
      <w:r>
        <w:rPr>
          <w:rFonts w:cs="Times New Roman"/>
          <w:noProof/>
          <w:color w:val="000000" w:themeColor="text1"/>
        </w:rPr>
        <w:t>an Union Member States. The data was analysed with respect to Member States currently or previously having operated nuclear power plants and those not, i.e. those with relatively much smaller radioactive waste inventories.</w:t>
      </w:r>
    </w:p>
    <w:p w:rsidR="008702F0" w:rsidRDefault="00ED659C">
      <w:pPr>
        <w:pStyle w:val="Textblock"/>
        <w:rPr>
          <w:rFonts w:cs="Times New Roman"/>
          <w:noProof/>
          <w:color w:val="000000" w:themeColor="text1"/>
        </w:rPr>
      </w:pPr>
      <w:r>
        <w:rPr>
          <w:rFonts w:cs="Times New Roman"/>
          <w:noProof/>
          <w:color w:val="000000" w:themeColor="text1"/>
        </w:rPr>
        <w:t>When comparing the current data w</w:t>
      </w:r>
      <w:r>
        <w:rPr>
          <w:rFonts w:cs="Times New Roman"/>
          <w:noProof/>
          <w:color w:val="000000" w:themeColor="text1"/>
        </w:rPr>
        <w:t xml:space="preserve">ith the data provided for previous reporting (i.e. Situation Reports) the data are generally consistent. In some cases, however, there are some deviations due to reasons such as the use of the older classification scheme, affecting in particular the ratio </w:t>
      </w:r>
      <w:r>
        <w:rPr>
          <w:rFonts w:cs="Times New Roman"/>
          <w:noProof/>
          <w:color w:val="000000" w:themeColor="text1"/>
        </w:rPr>
        <w:t>between LILW and VLLW; successful programmes of volume reduction; the decommissioning of nuclear installations; and shipments of radioactive waste/spent fuel for reprocessing.</w:t>
      </w:r>
    </w:p>
    <w:p w:rsidR="008702F0" w:rsidRDefault="00ED659C">
      <w:pPr>
        <w:pStyle w:val="Textblock"/>
        <w:rPr>
          <w:rFonts w:cs="Times New Roman"/>
          <w:b/>
          <w:noProof/>
          <w:color w:val="000000" w:themeColor="text1"/>
        </w:rPr>
      </w:pPr>
      <w:r>
        <w:rPr>
          <w:rFonts w:cs="Times New Roman"/>
          <w:b/>
          <w:noProof/>
          <w:color w:val="000000" w:themeColor="text1"/>
        </w:rPr>
        <w:t>Radioactive waste</w:t>
      </w:r>
    </w:p>
    <w:p w:rsidR="008702F0" w:rsidRDefault="00ED659C">
      <w:pPr>
        <w:pStyle w:val="Textblock"/>
        <w:spacing w:after="360"/>
        <w:rPr>
          <w:rFonts w:cs="Times New Roman"/>
          <w:noProof/>
          <w:color w:val="000000" w:themeColor="text1"/>
        </w:rPr>
      </w:pPr>
      <w:r>
        <w:rPr>
          <w:rFonts w:cs="Times New Roman"/>
          <w:noProof/>
          <w:color w:val="000000" w:themeColor="text1"/>
          <w:szCs w:val="24"/>
        </w:rPr>
        <w:t>At the end of 2013 the estimated total inventory of radioactiv</w:t>
      </w:r>
      <w:r>
        <w:rPr>
          <w:rFonts w:cs="Times New Roman"/>
          <w:noProof/>
          <w:color w:val="000000" w:themeColor="text1"/>
          <w:szCs w:val="24"/>
        </w:rPr>
        <w:t>e waste in the European Union was 3 313 000 m</w:t>
      </w:r>
      <w:r>
        <w:rPr>
          <w:rFonts w:cs="Times New Roman"/>
          <w:noProof/>
          <w:color w:val="000000" w:themeColor="text1"/>
          <w:szCs w:val="24"/>
          <w:vertAlign w:val="superscript"/>
        </w:rPr>
        <w:t>3</w:t>
      </w:r>
      <w:r>
        <w:rPr>
          <w:rFonts w:cs="Times New Roman"/>
          <w:noProof/>
          <w:color w:val="000000" w:themeColor="text1"/>
          <w:szCs w:val="24"/>
        </w:rPr>
        <w:t>, with 70 % disposed of (2 316 000 m</w:t>
      </w:r>
      <w:r>
        <w:rPr>
          <w:rFonts w:cs="Times New Roman"/>
          <w:noProof/>
          <w:color w:val="000000" w:themeColor="text1"/>
          <w:szCs w:val="24"/>
          <w:vertAlign w:val="superscript"/>
        </w:rPr>
        <w:t>3</w:t>
      </w:r>
      <w:r>
        <w:rPr>
          <w:rFonts w:cs="Times New Roman"/>
          <w:noProof/>
          <w:color w:val="000000" w:themeColor="text1"/>
          <w:szCs w:val="24"/>
        </w:rPr>
        <w:t>), and 30 %</w:t>
      </w:r>
      <w:r>
        <w:rPr>
          <w:rFonts w:cs="Times New Roman"/>
          <w:noProof/>
          <w:color w:val="000000" w:themeColor="text1"/>
          <w:szCs w:val="24"/>
          <w:vertAlign w:val="superscript"/>
        </w:rPr>
        <w:t xml:space="preserve"> </w:t>
      </w:r>
      <w:r>
        <w:rPr>
          <w:rFonts w:cs="Times New Roman"/>
          <w:noProof/>
          <w:color w:val="000000" w:themeColor="text1"/>
          <w:szCs w:val="24"/>
        </w:rPr>
        <w:t>stored (997 000 m</w:t>
      </w:r>
      <w:r>
        <w:rPr>
          <w:rFonts w:cs="Times New Roman"/>
          <w:noProof/>
          <w:color w:val="000000" w:themeColor="text1"/>
          <w:szCs w:val="24"/>
          <w:vertAlign w:val="superscript"/>
        </w:rPr>
        <w:t>3</w:t>
      </w:r>
      <w:r>
        <w:rPr>
          <w:rFonts w:cs="Times New Roman"/>
          <w:noProof/>
          <w:color w:val="000000" w:themeColor="text1"/>
          <w:szCs w:val="24"/>
        </w:rPr>
        <w:t>)</w:t>
      </w:r>
      <w:r>
        <w:rPr>
          <w:rFonts w:eastAsia="Times New Roman" w:cs="Times New Roman"/>
          <w:noProof/>
          <w:color w:val="000000" w:themeColor="text1"/>
          <w:szCs w:val="24"/>
        </w:rPr>
        <w:t>. Table 1 summarizes the overall amounts of radioactive waste in the European Union.</w:t>
      </w:r>
    </w:p>
    <w:p w:rsidR="008702F0" w:rsidRDefault="00ED659C">
      <w:pPr>
        <w:spacing w:before="0" w:after="200"/>
        <w:jc w:val="left"/>
        <w:rPr>
          <w:rFonts w:cs="Times New Roman"/>
          <w:noProof/>
          <w:color w:val="000000" w:themeColor="text1"/>
          <w:szCs w:val="24"/>
        </w:rPr>
      </w:pPr>
      <w:r>
        <w:rPr>
          <w:rFonts w:cs="Times New Roman"/>
          <w:noProof/>
          <w:color w:val="000000" w:themeColor="text1"/>
          <w:szCs w:val="24"/>
        </w:rPr>
        <w:br w:type="page"/>
      </w:r>
    </w:p>
    <w:p w:rsidR="008702F0" w:rsidRDefault="00ED659C">
      <w:pPr>
        <w:pStyle w:val="TableCaption"/>
        <w:spacing w:after="360"/>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Table 1. Volumes of radioactive waste in the European U</w:t>
      </w:r>
      <w:r>
        <w:rPr>
          <w:rFonts w:ascii="Times New Roman" w:hAnsi="Times New Roman" w:cs="Times New Roman"/>
          <w:b/>
          <w:noProof/>
          <w:color w:val="000000" w:themeColor="text1"/>
          <w:sz w:val="24"/>
          <w:szCs w:val="24"/>
        </w:rPr>
        <w:t>nion, end 2013</w:t>
      </w:r>
    </w:p>
    <w:tbl>
      <w:tblPr>
        <w:tblStyle w:val="TableGrid"/>
        <w:tblW w:w="0" w:type="auto"/>
        <w:jc w:val="center"/>
        <w:tblLook w:val="04A0" w:firstRow="1" w:lastRow="0" w:firstColumn="1" w:lastColumn="0" w:noHBand="0" w:noVBand="1"/>
      </w:tblPr>
      <w:tblGrid>
        <w:gridCol w:w="1242"/>
        <w:gridCol w:w="2000"/>
        <w:gridCol w:w="2000"/>
        <w:gridCol w:w="2000"/>
      </w:tblGrid>
      <w:tr w:rsidR="008702F0">
        <w:trPr>
          <w:jc w:val="center"/>
        </w:trPr>
        <w:tc>
          <w:tcPr>
            <w:tcW w:w="1242" w:type="dxa"/>
            <w:vMerge w:val="restart"/>
            <w:shd w:val="clear" w:color="auto" w:fill="DAEEF3" w:themeFill="accent5" w:themeFillTint="33"/>
            <w:vAlign w:val="center"/>
          </w:tcPr>
          <w:p w:rsidR="008702F0" w:rsidRDefault="00ED659C">
            <w:pPr>
              <w:rPr>
                <w:rFonts w:cs="Times New Roman"/>
                <w:noProof/>
                <w:color w:val="000000" w:themeColor="text1"/>
                <w:szCs w:val="20"/>
              </w:rPr>
            </w:pPr>
            <w:r>
              <w:rPr>
                <w:rFonts w:cs="Times New Roman"/>
                <w:noProof/>
                <w:color w:val="000000" w:themeColor="text1"/>
                <w:szCs w:val="20"/>
              </w:rPr>
              <w:t>Waste Category</w:t>
            </w:r>
          </w:p>
        </w:tc>
        <w:tc>
          <w:tcPr>
            <w:tcW w:w="6000" w:type="dxa"/>
            <w:gridSpan w:val="3"/>
            <w:shd w:val="clear" w:color="auto" w:fill="FFFF00"/>
          </w:tcPr>
          <w:p w:rsidR="008702F0" w:rsidRDefault="00ED659C">
            <w:pPr>
              <w:jc w:val="center"/>
              <w:rPr>
                <w:rFonts w:cs="Times New Roman"/>
                <w:noProof/>
                <w:color w:val="000000" w:themeColor="text1"/>
                <w:szCs w:val="20"/>
              </w:rPr>
            </w:pPr>
            <w:r>
              <w:rPr>
                <w:rFonts w:cs="Times New Roman"/>
                <w:noProof/>
                <w:color w:val="000000" w:themeColor="text1"/>
                <w:szCs w:val="20"/>
              </w:rPr>
              <w:t>Total amount (m</w:t>
            </w:r>
            <w:r>
              <w:rPr>
                <w:rFonts w:cs="Times New Roman"/>
                <w:noProof/>
                <w:color w:val="000000" w:themeColor="text1"/>
                <w:szCs w:val="20"/>
                <w:vertAlign w:val="superscript"/>
              </w:rPr>
              <w:t>3</w:t>
            </w:r>
            <w:r>
              <w:rPr>
                <w:rFonts w:cs="Times New Roman"/>
                <w:noProof/>
                <w:color w:val="000000" w:themeColor="text1"/>
                <w:szCs w:val="20"/>
              </w:rPr>
              <w:t>)</w:t>
            </w:r>
          </w:p>
        </w:tc>
      </w:tr>
      <w:tr w:rsidR="008702F0">
        <w:trPr>
          <w:jc w:val="center"/>
        </w:trPr>
        <w:tc>
          <w:tcPr>
            <w:tcW w:w="1242" w:type="dxa"/>
            <w:vMerge/>
            <w:shd w:val="clear" w:color="auto" w:fill="DAEEF3" w:themeFill="accent5" w:themeFillTint="33"/>
          </w:tcPr>
          <w:p w:rsidR="008702F0" w:rsidRDefault="008702F0">
            <w:pPr>
              <w:rPr>
                <w:rFonts w:cs="Times New Roman"/>
                <w:noProof/>
                <w:color w:val="000000" w:themeColor="text1"/>
                <w:szCs w:val="20"/>
              </w:rPr>
            </w:pPr>
          </w:p>
        </w:tc>
        <w:tc>
          <w:tcPr>
            <w:tcW w:w="2000" w:type="dxa"/>
            <w:shd w:val="clear" w:color="auto" w:fill="FFFFFF" w:themeFill="background1"/>
          </w:tcPr>
          <w:p w:rsidR="008702F0" w:rsidRDefault="00ED659C">
            <w:pPr>
              <w:jc w:val="center"/>
              <w:rPr>
                <w:rFonts w:cs="Times New Roman"/>
                <w:noProof/>
                <w:color w:val="000000" w:themeColor="text1"/>
                <w:szCs w:val="20"/>
              </w:rPr>
            </w:pPr>
            <w:r>
              <w:rPr>
                <w:rFonts w:cs="Times New Roman"/>
                <w:noProof/>
                <w:color w:val="000000" w:themeColor="text1"/>
                <w:szCs w:val="20"/>
              </w:rPr>
              <w:t>Stored</w:t>
            </w:r>
          </w:p>
        </w:tc>
        <w:tc>
          <w:tcPr>
            <w:tcW w:w="2000" w:type="dxa"/>
            <w:shd w:val="clear" w:color="auto" w:fill="FFFFFF" w:themeFill="background1"/>
          </w:tcPr>
          <w:p w:rsidR="008702F0" w:rsidRDefault="00ED659C">
            <w:pPr>
              <w:jc w:val="center"/>
              <w:rPr>
                <w:rFonts w:cs="Times New Roman"/>
                <w:noProof/>
                <w:color w:val="000000" w:themeColor="text1"/>
                <w:szCs w:val="20"/>
              </w:rPr>
            </w:pPr>
            <w:r>
              <w:rPr>
                <w:rFonts w:cs="Times New Roman"/>
                <w:noProof/>
                <w:color w:val="000000" w:themeColor="text1"/>
                <w:szCs w:val="20"/>
              </w:rPr>
              <w:t>Disposed</w:t>
            </w:r>
          </w:p>
        </w:tc>
        <w:tc>
          <w:tcPr>
            <w:tcW w:w="2000" w:type="dxa"/>
            <w:shd w:val="clear" w:color="auto" w:fill="FFFFFF" w:themeFill="background1"/>
          </w:tcPr>
          <w:p w:rsidR="008702F0" w:rsidRDefault="008702F0">
            <w:pPr>
              <w:jc w:val="center"/>
              <w:rPr>
                <w:rFonts w:cs="Times New Roman"/>
                <w:noProof/>
                <w:color w:val="000000" w:themeColor="text1"/>
                <w:szCs w:val="20"/>
              </w:rPr>
            </w:pPr>
          </w:p>
        </w:tc>
      </w:tr>
      <w:tr w:rsidR="008702F0">
        <w:trPr>
          <w:jc w:val="center"/>
        </w:trPr>
        <w:tc>
          <w:tcPr>
            <w:tcW w:w="1242" w:type="dxa"/>
            <w:shd w:val="clear" w:color="auto" w:fill="DAEEF3" w:themeFill="accent5" w:themeFillTint="33"/>
          </w:tcPr>
          <w:p w:rsidR="008702F0" w:rsidRDefault="00ED659C">
            <w:pPr>
              <w:rPr>
                <w:rFonts w:cs="Times New Roman"/>
                <w:noProof/>
                <w:color w:val="000000" w:themeColor="text1"/>
                <w:szCs w:val="20"/>
              </w:rPr>
            </w:pPr>
            <w:r>
              <w:rPr>
                <w:rFonts w:cs="Times New Roman"/>
                <w:noProof/>
                <w:color w:val="000000" w:themeColor="text1"/>
                <w:szCs w:val="20"/>
              </w:rPr>
              <w:t>VLLW</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237 000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279 000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516 000</w:t>
            </w:r>
          </w:p>
        </w:tc>
      </w:tr>
      <w:tr w:rsidR="008702F0">
        <w:trPr>
          <w:jc w:val="center"/>
        </w:trPr>
        <w:tc>
          <w:tcPr>
            <w:tcW w:w="1242" w:type="dxa"/>
            <w:shd w:val="clear" w:color="auto" w:fill="DAEEF3" w:themeFill="accent5" w:themeFillTint="33"/>
          </w:tcPr>
          <w:p w:rsidR="008702F0" w:rsidRDefault="00ED659C">
            <w:pPr>
              <w:rPr>
                <w:rFonts w:cs="Times New Roman"/>
                <w:noProof/>
                <w:color w:val="000000" w:themeColor="text1"/>
                <w:szCs w:val="20"/>
              </w:rPr>
            </w:pPr>
            <w:r>
              <w:rPr>
                <w:rFonts w:cs="Times New Roman"/>
                <w:noProof/>
                <w:color w:val="000000" w:themeColor="text1"/>
                <w:szCs w:val="20"/>
              </w:rPr>
              <w:t>LLW</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428 000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2 025 000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2 453 000</w:t>
            </w:r>
          </w:p>
        </w:tc>
      </w:tr>
      <w:tr w:rsidR="008702F0">
        <w:trPr>
          <w:jc w:val="center"/>
        </w:trPr>
        <w:tc>
          <w:tcPr>
            <w:tcW w:w="1242" w:type="dxa"/>
            <w:shd w:val="clear" w:color="auto" w:fill="DAEEF3" w:themeFill="accent5" w:themeFillTint="33"/>
          </w:tcPr>
          <w:p w:rsidR="008702F0" w:rsidRDefault="00ED659C">
            <w:pPr>
              <w:rPr>
                <w:rFonts w:cs="Times New Roman"/>
                <w:noProof/>
                <w:color w:val="000000" w:themeColor="text1"/>
                <w:szCs w:val="20"/>
              </w:rPr>
            </w:pPr>
            <w:r>
              <w:rPr>
                <w:rFonts w:cs="Times New Roman"/>
                <w:noProof/>
                <w:color w:val="000000" w:themeColor="text1"/>
                <w:szCs w:val="20"/>
              </w:rPr>
              <w:t>ILW</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326 000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12 000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338 000</w:t>
            </w:r>
          </w:p>
        </w:tc>
      </w:tr>
      <w:tr w:rsidR="008702F0">
        <w:trPr>
          <w:trHeight w:val="310"/>
          <w:jc w:val="center"/>
        </w:trPr>
        <w:tc>
          <w:tcPr>
            <w:tcW w:w="1242" w:type="dxa"/>
            <w:shd w:val="clear" w:color="auto" w:fill="DAEEF3" w:themeFill="accent5" w:themeFillTint="33"/>
          </w:tcPr>
          <w:p w:rsidR="008702F0" w:rsidRDefault="00ED659C">
            <w:pPr>
              <w:rPr>
                <w:rFonts w:cs="Times New Roman"/>
                <w:noProof/>
                <w:color w:val="000000" w:themeColor="text1"/>
                <w:szCs w:val="20"/>
              </w:rPr>
            </w:pPr>
            <w:r>
              <w:rPr>
                <w:rFonts w:cs="Times New Roman"/>
                <w:noProof/>
                <w:color w:val="000000" w:themeColor="text1"/>
                <w:szCs w:val="20"/>
              </w:rPr>
              <w:t>HLW</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6 000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0</w:t>
            </w:r>
          </w:p>
        </w:tc>
        <w:tc>
          <w:tcPr>
            <w:tcW w:w="2000" w:type="dxa"/>
            <w:shd w:val="clear" w:color="auto" w:fill="auto"/>
          </w:tcPr>
          <w:p w:rsidR="008702F0" w:rsidRDefault="00ED659C">
            <w:pPr>
              <w:jc w:val="center"/>
              <w:rPr>
                <w:rFonts w:cs="Times New Roman"/>
                <w:noProof/>
                <w:color w:val="000000" w:themeColor="text1"/>
                <w:szCs w:val="20"/>
              </w:rPr>
            </w:pPr>
            <w:r>
              <w:rPr>
                <w:rFonts w:cs="Times New Roman"/>
                <w:noProof/>
                <w:color w:val="000000" w:themeColor="text1"/>
                <w:szCs w:val="20"/>
              </w:rPr>
              <w:t>6 000</w:t>
            </w:r>
          </w:p>
        </w:tc>
      </w:tr>
      <w:tr w:rsidR="008702F0">
        <w:trPr>
          <w:trHeight w:val="310"/>
          <w:jc w:val="center"/>
        </w:trPr>
        <w:tc>
          <w:tcPr>
            <w:tcW w:w="1242" w:type="dxa"/>
            <w:shd w:val="clear" w:color="auto" w:fill="FFFF00"/>
          </w:tcPr>
          <w:p w:rsidR="008702F0" w:rsidRDefault="00ED659C">
            <w:pPr>
              <w:jc w:val="center"/>
              <w:rPr>
                <w:rFonts w:cs="Times New Roman"/>
                <w:noProof/>
                <w:color w:val="000000" w:themeColor="text1"/>
                <w:szCs w:val="20"/>
              </w:rPr>
            </w:pPr>
            <w:r>
              <w:rPr>
                <w:rFonts w:cs="Times New Roman"/>
                <w:noProof/>
                <w:color w:val="000000" w:themeColor="text1"/>
                <w:szCs w:val="20"/>
              </w:rPr>
              <w:t>Total (m</w:t>
            </w:r>
            <w:r>
              <w:rPr>
                <w:rFonts w:cs="Times New Roman"/>
                <w:noProof/>
                <w:color w:val="000000" w:themeColor="text1"/>
                <w:szCs w:val="20"/>
                <w:vertAlign w:val="superscript"/>
              </w:rPr>
              <w:t>3</w:t>
            </w:r>
            <w:r>
              <w:rPr>
                <w:rFonts w:cs="Times New Roman"/>
                <w:noProof/>
                <w:color w:val="000000" w:themeColor="text1"/>
                <w:szCs w:val="20"/>
              </w:rPr>
              <w:t>)</w:t>
            </w:r>
          </w:p>
        </w:tc>
        <w:tc>
          <w:tcPr>
            <w:tcW w:w="2000" w:type="dxa"/>
            <w:shd w:val="clear" w:color="auto" w:fill="FFFF00"/>
          </w:tcPr>
          <w:p w:rsidR="008702F0" w:rsidRDefault="00ED659C">
            <w:pPr>
              <w:jc w:val="center"/>
              <w:rPr>
                <w:rFonts w:cs="Times New Roman"/>
                <w:noProof/>
                <w:color w:val="000000" w:themeColor="text1"/>
                <w:szCs w:val="20"/>
              </w:rPr>
            </w:pPr>
            <w:r>
              <w:rPr>
                <w:rFonts w:cs="Times New Roman"/>
                <w:noProof/>
                <w:color w:val="000000" w:themeColor="text1"/>
                <w:szCs w:val="20"/>
              </w:rPr>
              <w:t>997 000</w:t>
            </w:r>
          </w:p>
        </w:tc>
        <w:tc>
          <w:tcPr>
            <w:tcW w:w="2000" w:type="dxa"/>
            <w:shd w:val="clear" w:color="auto" w:fill="FFFF00"/>
          </w:tcPr>
          <w:p w:rsidR="008702F0" w:rsidRDefault="00ED659C">
            <w:pPr>
              <w:jc w:val="center"/>
              <w:rPr>
                <w:rFonts w:cs="Times New Roman"/>
                <w:noProof/>
                <w:color w:val="000000" w:themeColor="text1"/>
                <w:szCs w:val="20"/>
              </w:rPr>
            </w:pPr>
            <w:r>
              <w:rPr>
                <w:rFonts w:cs="Times New Roman"/>
                <w:noProof/>
                <w:color w:val="000000" w:themeColor="text1"/>
                <w:szCs w:val="20"/>
              </w:rPr>
              <w:t>2 316 000</w:t>
            </w:r>
          </w:p>
        </w:tc>
        <w:tc>
          <w:tcPr>
            <w:tcW w:w="2000" w:type="dxa"/>
            <w:shd w:val="clear" w:color="auto" w:fill="FFFF00"/>
          </w:tcPr>
          <w:p w:rsidR="008702F0" w:rsidRDefault="00ED659C">
            <w:pPr>
              <w:jc w:val="center"/>
              <w:rPr>
                <w:rFonts w:cs="Times New Roman"/>
                <w:b/>
                <w:noProof/>
                <w:color w:val="000000" w:themeColor="text1"/>
                <w:szCs w:val="20"/>
              </w:rPr>
            </w:pPr>
            <w:r>
              <w:rPr>
                <w:rFonts w:cs="Times New Roman"/>
                <w:b/>
                <w:noProof/>
                <w:color w:val="000000" w:themeColor="text1"/>
                <w:szCs w:val="20"/>
              </w:rPr>
              <w:t>3 313 000</w:t>
            </w:r>
          </w:p>
        </w:tc>
      </w:tr>
    </w:tbl>
    <w:p w:rsidR="008702F0" w:rsidRDefault="00ED659C">
      <w:pPr>
        <w:spacing w:before="360"/>
        <w:jc w:val="center"/>
        <w:rPr>
          <w:rFonts w:cs="Times New Roman"/>
          <w:noProof/>
          <w:color w:val="000000" w:themeColor="text1"/>
        </w:rPr>
      </w:pPr>
      <w:r>
        <w:rPr>
          <w:rFonts w:cs="Times New Roman"/>
          <w:noProof/>
          <w:color w:val="000000" w:themeColor="text1"/>
          <w:lang w:eastAsia="en-GB"/>
        </w:rPr>
        <w:drawing>
          <wp:inline distT="0" distB="0" distL="0" distR="0">
            <wp:extent cx="5074508" cy="3253946"/>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02F0" w:rsidRDefault="00ED659C">
      <w:pPr>
        <w:pStyle w:val="FigureCaption"/>
        <w:spacing w:after="36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Figure 1. Distribution of the radioactive waste in the European Union between                 stored and disposed of by waste class, end of 2013 </w:t>
      </w:r>
    </w:p>
    <w:p w:rsidR="008702F0" w:rsidRDefault="00ED659C">
      <w:pPr>
        <w:spacing w:after="360"/>
        <w:rPr>
          <w:rFonts w:cs="Times New Roman"/>
          <w:noProof/>
          <w:color w:val="000000" w:themeColor="text1"/>
        </w:rPr>
      </w:pPr>
      <w:r>
        <w:rPr>
          <w:rFonts w:cs="Times New Roman"/>
          <w:noProof/>
          <w:color w:val="000000" w:themeColor="text1"/>
        </w:rPr>
        <w:t>Distribution of the European Union radioactive waste inventory according to different radioactive waste classe</w:t>
      </w:r>
      <w:r>
        <w:rPr>
          <w:rFonts w:cs="Times New Roman"/>
          <w:noProof/>
          <w:color w:val="000000" w:themeColor="text1"/>
        </w:rPr>
        <w:t>s is shown in Figures 1 and 2. LLW is the dominating waste class making around 74% of the overall waste, while VLLW and ILW is estimated to be 15% and 10% respectively. HLW makes the smallest fraction of the overall waste volume, accounting for 0.2%.</w:t>
      </w:r>
    </w:p>
    <w:p w:rsidR="008702F0" w:rsidRDefault="00ED659C">
      <w:pPr>
        <w:jc w:val="center"/>
        <w:rPr>
          <w:rFonts w:cs="Times New Roman"/>
          <w:noProof/>
          <w:color w:val="000000" w:themeColor="text1"/>
        </w:rPr>
      </w:pPr>
      <w:r>
        <w:rPr>
          <w:rFonts w:cs="Times New Roman"/>
          <w:noProof/>
          <w:color w:val="000000" w:themeColor="text1"/>
          <w:lang w:eastAsia="en-GB"/>
        </w:rPr>
        <w:drawing>
          <wp:inline distT="0" distB="0" distL="0" distR="0">
            <wp:extent cx="2442117" cy="2196791"/>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cs="Times New Roman"/>
          <w:noProof/>
          <w:color w:val="000000" w:themeColor="text1"/>
          <w:lang w:eastAsia="en-GB"/>
        </w:rPr>
        <w:drawing>
          <wp:inline distT="0" distB="0" distL="0" distR="0">
            <wp:extent cx="2575932" cy="219679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702F0" w:rsidRDefault="00ED659C">
      <w:pPr>
        <w:pStyle w:val="FigureCaption"/>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2. Distribution of the radioactive waste in the European Union, end of 2013</w:t>
      </w:r>
    </w:p>
    <w:p w:rsidR="008702F0" w:rsidRDefault="00ED659C">
      <w:pPr>
        <w:pStyle w:val="Textblock"/>
        <w:spacing w:after="360"/>
        <w:rPr>
          <w:rFonts w:cs="Times New Roman"/>
          <w:noProof/>
          <w:color w:val="000000" w:themeColor="text1"/>
        </w:rPr>
      </w:pPr>
      <w:bookmarkStart w:id="21" w:name="_Toc334119572"/>
      <w:r>
        <w:rPr>
          <w:rFonts w:cs="Times New Roman"/>
          <w:noProof/>
          <w:color w:val="000000" w:themeColor="text1"/>
        </w:rPr>
        <w:t xml:space="preserve">There are sixteen European Union Member States that operate or have operated nuclear power plants. They account for 99.7% of the radioactive waste inventory in the European </w:t>
      </w:r>
      <w:r>
        <w:rPr>
          <w:rFonts w:cs="Times New Roman"/>
          <w:noProof/>
          <w:color w:val="000000" w:themeColor="text1"/>
        </w:rPr>
        <w:t>Union. The total volume of radioactive waste in those Member States and the distribution among them is shown in Figures 3 and 4.</w:t>
      </w:r>
    </w:p>
    <w:p w:rsidR="008702F0" w:rsidRDefault="00ED659C">
      <w:pPr>
        <w:spacing w:before="0" w:after="240"/>
        <w:rPr>
          <w:rFonts w:cs="Times New Roman"/>
          <w:noProof/>
          <w:color w:val="000000" w:themeColor="text1"/>
          <w:sz w:val="20"/>
          <w:szCs w:val="20"/>
          <w:lang w:eastAsia="en-GB"/>
        </w:rPr>
      </w:pPr>
      <w:r>
        <w:rPr>
          <w:rFonts w:cs="Times New Roman"/>
          <w:noProof/>
          <w:color w:val="000000" w:themeColor="text1"/>
          <w:lang w:eastAsia="en-GB"/>
        </w:rPr>
        <w:drawing>
          <wp:inline distT="0" distB="0" distL="0" distR="0">
            <wp:extent cx="5943600" cy="414655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cs="Times New Roman"/>
          <w:noProof/>
          <w:color w:val="000000" w:themeColor="text1"/>
          <w:sz w:val="20"/>
          <w:szCs w:val="20"/>
          <w:lang w:eastAsia="en-GB"/>
        </w:rPr>
        <w:t xml:space="preserve"> </w:t>
      </w:r>
    </w:p>
    <w:p w:rsidR="008702F0" w:rsidRDefault="00ED659C">
      <w:pPr>
        <w:pStyle w:val="FigureCaption"/>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3. Volumes of radioactive waste in Member States with nuclear power programme, end of 2013</w:t>
      </w:r>
    </w:p>
    <w:p w:rsidR="008702F0" w:rsidRDefault="00ED659C">
      <w:pPr>
        <w:jc w:val="center"/>
        <w:rPr>
          <w:rFonts w:cs="Times New Roman"/>
          <w:noProof/>
          <w:color w:val="000000" w:themeColor="text1"/>
        </w:rPr>
      </w:pPr>
      <w:r>
        <w:rPr>
          <w:rFonts w:cs="Times New Roman"/>
          <w:noProof/>
          <w:color w:val="000000" w:themeColor="text1"/>
          <w:lang w:eastAsia="en-GB"/>
        </w:rPr>
        <w:drawing>
          <wp:inline distT="0" distB="0" distL="0" distR="0">
            <wp:extent cx="5329881" cy="3146854"/>
            <wp:effectExtent l="0" t="0" r="444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02F0" w:rsidRDefault="00ED659C">
      <w:pPr>
        <w:pStyle w:val="FigureCaption"/>
        <w:spacing w:after="36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4. Distribution o</w:t>
      </w:r>
      <w:r>
        <w:rPr>
          <w:rFonts w:ascii="Times New Roman" w:hAnsi="Times New Roman" w:cs="Times New Roman"/>
          <w:b/>
          <w:noProof/>
          <w:color w:val="000000" w:themeColor="text1"/>
          <w:sz w:val="24"/>
          <w:szCs w:val="24"/>
        </w:rPr>
        <w:t>f total volumes of radioactive waste in Member States with nuclear power programme, end of 2013</w:t>
      </w:r>
    </w:p>
    <w:p w:rsidR="008702F0" w:rsidRDefault="00ED659C">
      <w:pPr>
        <w:pStyle w:val="Textblock"/>
        <w:spacing w:after="360"/>
        <w:rPr>
          <w:rFonts w:cs="Times New Roman"/>
          <w:noProof/>
          <w:color w:val="000000" w:themeColor="text1"/>
        </w:rPr>
      </w:pPr>
      <w:r>
        <w:rPr>
          <w:rFonts w:cs="Times New Roman"/>
          <w:noProof/>
          <w:color w:val="000000" w:themeColor="text1"/>
        </w:rPr>
        <w:t>Twelve Member States have no nuclear programme, although six of them are operating or have operated research, training or demonstration reactors</w:t>
      </w:r>
      <w:bookmarkEnd w:id="21"/>
      <w:r>
        <w:rPr>
          <w:rFonts w:cs="Times New Roman"/>
          <w:noProof/>
          <w:color w:val="000000" w:themeColor="text1"/>
        </w:rPr>
        <w:t>. The total volu</w:t>
      </w:r>
      <w:r>
        <w:rPr>
          <w:rFonts w:cs="Times New Roman"/>
          <w:noProof/>
          <w:color w:val="000000" w:themeColor="text1"/>
        </w:rPr>
        <w:t>me of radioactive waste and the distribution among the Member States without nuclear power programmes is shown in Figures 5 and 6.</w:t>
      </w:r>
    </w:p>
    <w:p w:rsidR="008702F0" w:rsidRDefault="00ED659C">
      <w:pPr>
        <w:pStyle w:val="Figure"/>
        <w:rPr>
          <w:rFonts w:cs="Times New Roman"/>
          <w:color w:val="000000" w:themeColor="text1"/>
          <w:sz w:val="20"/>
          <w:szCs w:val="20"/>
          <w:lang w:val="en-GB"/>
        </w:rPr>
      </w:pPr>
      <w:r>
        <w:rPr>
          <w:rFonts w:cs="Times New Roman"/>
          <w:color w:val="000000" w:themeColor="text1"/>
          <w:lang w:val="en-GB" w:eastAsia="en-GB"/>
        </w:rPr>
        <w:drawing>
          <wp:inline distT="0" distB="0" distL="0" distR="0">
            <wp:extent cx="5601730" cy="3377513"/>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cs="Times New Roman"/>
          <w:color w:val="000000" w:themeColor="text1"/>
          <w:sz w:val="20"/>
          <w:szCs w:val="20"/>
          <w:lang w:val="en-GB" w:eastAsia="en-GB"/>
        </w:rPr>
        <w:t xml:space="preserve"> </w:t>
      </w:r>
    </w:p>
    <w:p w:rsidR="008702F0" w:rsidRDefault="00ED659C">
      <w:pPr>
        <w:pStyle w:val="FigureCaption"/>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5. Total volume of radioactive waste in Member States without nuclear power programme, end of 2013</w:t>
      </w:r>
    </w:p>
    <w:p w:rsidR="008702F0" w:rsidRDefault="00ED659C">
      <w:pPr>
        <w:jc w:val="center"/>
        <w:rPr>
          <w:rFonts w:cs="Times New Roman"/>
          <w:noProof/>
          <w:color w:val="000000" w:themeColor="text1"/>
        </w:rPr>
      </w:pPr>
      <w:r>
        <w:rPr>
          <w:rFonts w:cs="Times New Roman"/>
          <w:noProof/>
          <w:color w:val="000000" w:themeColor="text1"/>
          <w:lang w:eastAsia="en-GB"/>
        </w:rPr>
        <w:drawing>
          <wp:inline distT="0" distB="0" distL="0" distR="0">
            <wp:extent cx="4972051" cy="3514724"/>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02F0" w:rsidRDefault="00ED659C">
      <w:pPr>
        <w:pStyle w:val="FigureCaption"/>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Figure 6. </w:t>
      </w:r>
      <w:r>
        <w:rPr>
          <w:rFonts w:ascii="Times New Roman" w:hAnsi="Times New Roman" w:cs="Times New Roman"/>
          <w:b/>
          <w:noProof/>
          <w:color w:val="000000" w:themeColor="text1"/>
          <w:sz w:val="24"/>
          <w:szCs w:val="24"/>
        </w:rPr>
        <w:t>Distribution of total volumes of radioactive waste in Member States                   without nuclear power programme, end of 2013</w:t>
      </w:r>
    </w:p>
    <w:p w:rsidR="008702F0" w:rsidRDefault="00ED659C">
      <w:pPr>
        <w:pStyle w:val="Textblock"/>
        <w:spacing w:after="360"/>
        <w:rPr>
          <w:rFonts w:cs="Times New Roman"/>
          <w:noProof/>
          <w:color w:val="000000" w:themeColor="text1"/>
        </w:rPr>
      </w:pPr>
      <w:r>
        <w:rPr>
          <w:rFonts w:cs="Times New Roman"/>
          <w:noProof/>
          <w:color w:val="000000" w:themeColor="text1"/>
        </w:rPr>
        <w:t xml:space="preserve">The total estimated volume of </w:t>
      </w:r>
      <w:r>
        <w:rPr>
          <w:rFonts w:cs="Times New Roman"/>
          <w:b/>
          <w:noProof/>
          <w:color w:val="000000" w:themeColor="text1"/>
        </w:rPr>
        <w:t xml:space="preserve">stored radioactive waste </w:t>
      </w:r>
      <w:r>
        <w:rPr>
          <w:rFonts w:cs="Times New Roman"/>
          <w:noProof/>
          <w:color w:val="000000" w:themeColor="text1"/>
        </w:rPr>
        <w:t>is 997 000 m</w:t>
      </w:r>
      <w:r>
        <w:rPr>
          <w:rFonts w:cs="Times New Roman"/>
          <w:noProof/>
          <w:color w:val="000000" w:themeColor="text1"/>
          <w:vertAlign w:val="superscript"/>
        </w:rPr>
        <w:t>3</w:t>
      </w:r>
      <w:r>
        <w:rPr>
          <w:rFonts w:cs="Times New Roman"/>
          <w:noProof/>
          <w:color w:val="000000" w:themeColor="text1"/>
        </w:rPr>
        <w:t xml:space="preserve">. LLW makes almost half of this amount (43%), while VLLW </w:t>
      </w:r>
      <w:r>
        <w:rPr>
          <w:rFonts w:cs="Times New Roman"/>
          <w:noProof/>
          <w:color w:val="000000" w:themeColor="text1"/>
        </w:rPr>
        <w:t>together with ILW make 24% and 33% correspondingly. HLW fraction in the overall radioactive waste in storage is 0.6%. Distribution of stored radioactive waste is shown in Figure 7.</w:t>
      </w:r>
    </w:p>
    <w:p w:rsidR="008702F0" w:rsidRDefault="00ED659C">
      <w:pPr>
        <w:jc w:val="center"/>
        <w:rPr>
          <w:rFonts w:cs="Times New Roman"/>
          <w:noProof/>
          <w:color w:val="000000" w:themeColor="text1"/>
        </w:rPr>
      </w:pPr>
      <w:r>
        <w:rPr>
          <w:rFonts w:cs="Times New Roman"/>
          <w:noProof/>
          <w:color w:val="000000" w:themeColor="text1"/>
          <w:lang w:eastAsia="en-GB"/>
        </w:rPr>
        <w:drawing>
          <wp:inline distT="0" distB="0" distL="0" distR="0">
            <wp:extent cx="3914775" cy="2038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702F0" w:rsidRDefault="00ED659C">
      <w:pPr>
        <w:pStyle w:val="FigureCaption"/>
        <w:spacing w:after="24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Figure 7. Distribution of stored radioactive waste in the European Union </w:t>
      </w:r>
      <w:r>
        <w:rPr>
          <w:rFonts w:ascii="Times New Roman" w:hAnsi="Times New Roman" w:cs="Times New Roman"/>
          <w:b/>
          <w:noProof/>
          <w:color w:val="000000" w:themeColor="text1"/>
          <w:sz w:val="24"/>
          <w:szCs w:val="24"/>
        </w:rPr>
        <w:t>by class, end of 2013</w:t>
      </w:r>
    </w:p>
    <w:p w:rsidR="008702F0" w:rsidRDefault="00ED659C">
      <w:pPr>
        <w:spacing w:after="360"/>
        <w:rPr>
          <w:rFonts w:cs="Times New Roman"/>
          <w:noProof/>
          <w:color w:val="000000" w:themeColor="text1"/>
        </w:rPr>
      </w:pPr>
      <w:r>
        <w:rPr>
          <w:rFonts w:cs="Times New Roman"/>
          <w:noProof/>
          <w:color w:val="000000" w:themeColor="text1"/>
        </w:rPr>
        <w:t>Member States having nuclear power programmes are large contributors to the overall radioactive waste inventory of the European Union. The spent fuel and radioactive waste amounts are in line with the size of the nuclear programme. Am</w:t>
      </w:r>
      <w:r>
        <w:rPr>
          <w:rFonts w:cs="Times New Roman"/>
          <w:noProof/>
          <w:color w:val="000000" w:themeColor="text1"/>
        </w:rPr>
        <w:t>ounts of stored radioactive waste in Member States with nuclear power programmes are shown in Figure 8.</w:t>
      </w:r>
    </w:p>
    <w:p w:rsidR="008702F0" w:rsidRDefault="00ED659C">
      <w:pPr>
        <w:rPr>
          <w:rFonts w:cs="Times New Roman"/>
          <w:noProof/>
          <w:color w:val="000000" w:themeColor="text1"/>
          <w:sz w:val="20"/>
          <w:szCs w:val="20"/>
        </w:rPr>
      </w:pPr>
      <w:r>
        <w:rPr>
          <w:rFonts w:cs="Times New Roman"/>
          <w:noProof/>
          <w:color w:val="000000" w:themeColor="text1"/>
          <w:lang w:eastAsia="en-GB"/>
        </w:rPr>
        <w:drawing>
          <wp:inline distT="0" distB="0" distL="0" distR="0">
            <wp:extent cx="5943600" cy="389509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02F0" w:rsidRDefault="00ED659C">
      <w:pPr>
        <w:pStyle w:val="FigureCaption"/>
        <w:spacing w:after="36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8. Volumes of stored radioactive waste by class in Member States with nuclear power programme, end of 2013</w:t>
      </w:r>
    </w:p>
    <w:p w:rsidR="008702F0" w:rsidRDefault="00ED659C">
      <w:pPr>
        <w:spacing w:after="360"/>
        <w:rPr>
          <w:rFonts w:cs="Times New Roman"/>
          <w:noProof/>
          <w:color w:val="000000" w:themeColor="text1"/>
        </w:rPr>
      </w:pPr>
      <w:r>
        <w:rPr>
          <w:rFonts w:cs="Times New Roman"/>
          <w:noProof/>
          <w:color w:val="000000" w:themeColor="text1"/>
        </w:rPr>
        <w:t>Other countries having a small nucle</w:t>
      </w:r>
      <w:r>
        <w:rPr>
          <w:rFonts w:cs="Times New Roman"/>
          <w:noProof/>
          <w:color w:val="000000" w:themeColor="text1"/>
        </w:rPr>
        <w:t>ar programme (i.e. only research reactors) or no nuclear programme at all have very little contribution to the overall European Union radioactive waste in storage (see Figure 9). The amounts of stored radioactive waste in those Member States are shown in F</w:t>
      </w:r>
      <w:r>
        <w:rPr>
          <w:rFonts w:cs="Times New Roman"/>
          <w:noProof/>
          <w:color w:val="000000" w:themeColor="text1"/>
        </w:rPr>
        <w:t>igure 10.</w:t>
      </w:r>
    </w:p>
    <w:p w:rsidR="008702F0" w:rsidRDefault="00ED659C">
      <w:pPr>
        <w:spacing w:before="240" w:after="360"/>
        <w:jc w:val="center"/>
        <w:rPr>
          <w:rFonts w:cs="Times New Roman"/>
          <w:noProof/>
          <w:color w:val="000000" w:themeColor="text1"/>
        </w:rPr>
      </w:pPr>
      <w:r>
        <w:rPr>
          <w:rFonts w:cs="Times New Roman"/>
          <w:noProof/>
          <w:color w:val="000000" w:themeColor="text1"/>
          <w:lang w:eastAsia="en-GB"/>
        </w:rPr>
        <w:drawing>
          <wp:inline distT="0" distB="0" distL="0" distR="0">
            <wp:extent cx="5943600" cy="32575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cs="Times New Roman"/>
          <w:b/>
          <w:noProof/>
          <w:color w:val="000000" w:themeColor="text1"/>
        </w:rPr>
        <w:t>Figure 9. Volumes of stored radioactive waste by class in Member States with and without nuclear power programme, end of 2013</w:t>
      </w:r>
    </w:p>
    <w:p w:rsidR="008702F0" w:rsidRDefault="00ED659C">
      <w:pPr>
        <w:jc w:val="center"/>
        <w:rPr>
          <w:rFonts w:cs="Times New Roman"/>
          <w:noProof/>
          <w:color w:val="000000" w:themeColor="text1"/>
        </w:rPr>
      </w:pPr>
      <w:r>
        <w:rPr>
          <w:rFonts w:cs="Times New Roman"/>
          <w:noProof/>
          <w:color w:val="000000" w:themeColor="text1"/>
          <w:lang w:eastAsia="en-GB"/>
        </w:rPr>
        <w:drawing>
          <wp:inline distT="0" distB="0" distL="0" distR="0">
            <wp:extent cx="5943600" cy="3863975"/>
            <wp:effectExtent l="0" t="0" r="0" b="31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02F0" w:rsidRDefault="00ED659C">
      <w:pPr>
        <w:pStyle w:val="FigureCaption"/>
        <w:spacing w:after="36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10. Volumes of stored radioactive waste by class in Member States without nuclear power programme, end of 2013</w:t>
      </w:r>
    </w:p>
    <w:p w:rsidR="008702F0" w:rsidRDefault="00ED659C">
      <w:pPr>
        <w:pStyle w:val="Textblock"/>
        <w:rPr>
          <w:rFonts w:cs="Times New Roman"/>
          <w:noProof/>
          <w:color w:val="000000" w:themeColor="text1"/>
        </w:rPr>
      </w:pPr>
      <w:r>
        <w:rPr>
          <w:rFonts w:cs="Times New Roman"/>
          <w:noProof/>
          <w:color w:val="000000" w:themeColor="text1"/>
        </w:rPr>
        <w:t>Currently, twelve Member States</w:t>
      </w:r>
      <w:r>
        <w:rPr>
          <w:rStyle w:val="FootnoteReference"/>
          <w:rFonts w:cs="Times New Roman"/>
          <w:noProof/>
          <w:color w:val="000000" w:themeColor="text1"/>
        </w:rPr>
        <w:footnoteReference w:id="8"/>
      </w:r>
      <w:r>
        <w:rPr>
          <w:rFonts w:cs="Times New Roman"/>
          <w:noProof/>
          <w:color w:val="000000" w:themeColor="text1"/>
        </w:rPr>
        <w:t xml:space="preserve"> have radioactive waste disposal facilities either in operation or closed (nuclear power programme countries: Czech Republic, Finland, France, Germany, Hungary, Romania, Slovakia, Spain, Sweden, UK; non-nuclear programme co</w:t>
      </w:r>
      <w:r>
        <w:rPr>
          <w:rFonts w:cs="Times New Roman"/>
          <w:noProof/>
          <w:color w:val="000000" w:themeColor="text1"/>
        </w:rPr>
        <w:t xml:space="preserve">untries: Latvia and Poland) although based on the information from the national programmes and reports it is expected that more repositories will be built in coming years. The total quantity of the </w:t>
      </w:r>
      <w:r>
        <w:rPr>
          <w:rFonts w:cs="Times New Roman"/>
          <w:b/>
          <w:noProof/>
          <w:color w:val="000000" w:themeColor="text1"/>
        </w:rPr>
        <w:t xml:space="preserve">disposed radioactive waste </w:t>
      </w:r>
      <w:r>
        <w:rPr>
          <w:rFonts w:cs="Times New Roman"/>
          <w:noProof/>
          <w:color w:val="000000" w:themeColor="text1"/>
        </w:rPr>
        <w:t>as of end 2013 equals 2 316 000</w:t>
      </w:r>
      <w:r>
        <w:rPr>
          <w:rFonts w:cs="Times New Roman"/>
          <w:noProof/>
          <w:color w:val="000000" w:themeColor="text1"/>
        </w:rPr>
        <w:t xml:space="preserve"> m</w:t>
      </w:r>
      <w:r>
        <w:rPr>
          <w:rFonts w:cs="Times New Roman"/>
          <w:noProof/>
          <w:color w:val="000000" w:themeColor="text1"/>
          <w:vertAlign w:val="superscript"/>
        </w:rPr>
        <w:t>3</w:t>
      </w:r>
      <w:r>
        <w:rPr>
          <w:rFonts w:cs="Times New Roman"/>
          <w:noProof/>
          <w:color w:val="000000" w:themeColor="text1"/>
        </w:rPr>
        <w:t>. This con</w:t>
      </w:r>
      <w:r>
        <w:rPr>
          <w:rFonts w:cs="Times New Roman"/>
          <w:noProof/>
          <w:color w:val="000000" w:themeColor="text1"/>
        </w:rPr>
        <w:softHyphen/>
        <w:t xml:space="preserve">sists almost entirely of LLW (87%). </w:t>
      </w:r>
    </w:p>
    <w:p w:rsidR="008702F0" w:rsidRDefault="00ED659C">
      <w:pPr>
        <w:pStyle w:val="Textblock"/>
        <w:rPr>
          <w:rFonts w:cs="Times New Roman"/>
          <w:noProof/>
          <w:color w:val="000000" w:themeColor="text1"/>
        </w:rPr>
      </w:pPr>
      <w:r>
        <w:rPr>
          <w:rFonts w:cs="Times New Roman"/>
          <w:noProof/>
          <w:color w:val="000000" w:themeColor="text1"/>
        </w:rPr>
        <w:t>A number of Member States (both with and without nuclear power plants) have dedicated disposal sites for institutional radioactive waste. In some cases, the disposal of waste undertaken in the past at seve</w:t>
      </w:r>
      <w:r>
        <w:rPr>
          <w:rFonts w:cs="Times New Roman"/>
          <w:noProof/>
          <w:color w:val="000000" w:themeColor="text1"/>
        </w:rPr>
        <w:t>ral sites is now being reconsidered and there are plans for the retrieval of the waste disposed of several decades ago. As a result change of radioactive waste inventories can be expected after retrieval for processing and subsequent storage and/or disposa</w:t>
      </w:r>
      <w:r>
        <w:rPr>
          <w:rFonts w:cs="Times New Roman"/>
          <w:noProof/>
          <w:color w:val="000000" w:themeColor="text1"/>
        </w:rPr>
        <w:t>l.</w:t>
      </w:r>
    </w:p>
    <w:p w:rsidR="008702F0" w:rsidRDefault="00ED659C">
      <w:pPr>
        <w:pStyle w:val="Textblock"/>
        <w:rPr>
          <w:rFonts w:cs="Times New Roman"/>
          <w:noProof/>
          <w:color w:val="000000" w:themeColor="text1"/>
        </w:rPr>
      </w:pPr>
      <w:r>
        <w:rPr>
          <w:rFonts w:cs="Times New Roman"/>
          <w:noProof/>
          <w:color w:val="000000" w:themeColor="text1"/>
        </w:rPr>
        <w:t>Distribution of the disposed of radioactive waste in Member States as of end of 2013 is shown in Figure 11.</w:t>
      </w:r>
    </w:p>
    <w:p w:rsidR="008702F0" w:rsidRDefault="00ED659C">
      <w:pPr>
        <w:rPr>
          <w:rFonts w:cs="Times New Roman"/>
          <w:noProof/>
          <w:color w:val="000000" w:themeColor="text1"/>
        </w:rPr>
      </w:pPr>
      <w:r>
        <w:rPr>
          <w:rFonts w:cs="Times New Roman"/>
          <w:noProof/>
          <w:color w:val="000000" w:themeColor="text1"/>
          <w:lang w:eastAsia="en-GB"/>
        </w:rPr>
        <w:drawing>
          <wp:inline distT="0" distB="0" distL="0" distR="0">
            <wp:extent cx="5662381" cy="4092533"/>
            <wp:effectExtent l="0" t="0" r="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cs="Times New Roman"/>
          <w:noProof/>
          <w:color w:val="000000" w:themeColor="text1"/>
          <w:lang w:eastAsia="en-GB"/>
        </w:rPr>
        <w:t xml:space="preserve"> </w:t>
      </w:r>
    </w:p>
    <w:p w:rsidR="008702F0" w:rsidRDefault="00ED659C">
      <w:pPr>
        <w:pStyle w:val="FigureCaption"/>
        <w:spacing w:after="36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11. Volumes of radioactive waste disposed of in the European Union, end of 2013</w:t>
      </w:r>
    </w:p>
    <w:p w:rsidR="008702F0" w:rsidRDefault="00ED659C">
      <w:pPr>
        <w:rPr>
          <w:rFonts w:cs="Times New Roman"/>
          <w:noProof/>
          <w:color w:val="000000" w:themeColor="text1"/>
        </w:rPr>
      </w:pPr>
      <w:r>
        <w:rPr>
          <w:rFonts w:cs="Times New Roman"/>
          <w:b/>
          <w:noProof/>
          <w:color w:val="000000" w:themeColor="text1"/>
        </w:rPr>
        <w:t>Evolution of the total radioactive waste volumes</w:t>
      </w:r>
      <w:r>
        <w:rPr>
          <w:rFonts w:cs="Times New Roman"/>
          <w:noProof/>
          <w:color w:val="000000" w:themeColor="text1"/>
        </w:rPr>
        <w:t xml:space="preserve"> (per waste category) is given in Table 2. In all radioactive waste categories an overall increase over time is noted. However, the radioactive waste volumes decreased between two reporting dates (2004-2007). This decrease can be due to different activitie</w:t>
      </w:r>
      <w:r>
        <w:rPr>
          <w:rFonts w:cs="Times New Roman"/>
          <w:noProof/>
          <w:color w:val="000000" w:themeColor="text1"/>
        </w:rPr>
        <w:t>s resulting in reduction of volumes, like compaction of the solid waste or treatment of large quantities of liquid waste.</w:t>
      </w:r>
    </w:p>
    <w:p w:rsidR="008702F0" w:rsidRDefault="00ED659C">
      <w:pPr>
        <w:pStyle w:val="TableCaption"/>
        <w:spacing w:after="360"/>
        <w:jc w:val="center"/>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Table 2. Evolution of radioactive waste inventory since the end of 2004</w:t>
      </w:r>
    </w:p>
    <w:tbl>
      <w:tblPr>
        <w:tblStyle w:val="TableGrid"/>
        <w:tblW w:w="0" w:type="auto"/>
        <w:tblLook w:val="04A0" w:firstRow="1" w:lastRow="0" w:firstColumn="1" w:lastColumn="0" w:noHBand="0" w:noVBand="1"/>
      </w:tblPr>
      <w:tblGrid>
        <w:gridCol w:w="1242"/>
        <w:gridCol w:w="2000"/>
        <w:gridCol w:w="2000"/>
        <w:gridCol w:w="2000"/>
        <w:gridCol w:w="2000"/>
      </w:tblGrid>
      <w:tr w:rsidR="008702F0">
        <w:tc>
          <w:tcPr>
            <w:tcW w:w="1242" w:type="dxa"/>
            <w:vMerge w:val="restart"/>
            <w:shd w:val="clear" w:color="auto" w:fill="DAEEF3" w:themeFill="accent5" w:themeFillTint="33"/>
            <w:vAlign w:val="center"/>
          </w:tcPr>
          <w:p w:rsidR="008702F0" w:rsidRDefault="00ED659C">
            <w:pPr>
              <w:rPr>
                <w:rFonts w:cs="Times New Roman"/>
                <w:noProof/>
                <w:color w:val="000000" w:themeColor="text1"/>
                <w:szCs w:val="24"/>
              </w:rPr>
            </w:pPr>
            <w:r>
              <w:rPr>
                <w:rFonts w:cs="Times New Roman"/>
                <w:noProof/>
                <w:color w:val="000000" w:themeColor="text1"/>
                <w:szCs w:val="24"/>
              </w:rPr>
              <w:t>Waste Category</w:t>
            </w:r>
          </w:p>
        </w:tc>
        <w:tc>
          <w:tcPr>
            <w:tcW w:w="8000" w:type="dxa"/>
            <w:gridSpan w:val="4"/>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Total amount (m</w:t>
            </w:r>
            <w:r>
              <w:rPr>
                <w:rFonts w:cs="Times New Roman"/>
                <w:noProof/>
                <w:color w:val="000000" w:themeColor="text1"/>
                <w:szCs w:val="24"/>
                <w:vertAlign w:val="superscript"/>
              </w:rPr>
              <w:t>3</w:t>
            </w:r>
            <w:r>
              <w:rPr>
                <w:rFonts w:cs="Times New Roman"/>
                <w:noProof/>
                <w:color w:val="000000" w:themeColor="text1"/>
                <w:szCs w:val="24"/>
              </w:rPr>
              <w:t>)</w:t>
            </w:r>
          </w:p>
        </w:tc>
      </w:tr>
      <w:tr w:rsidR="008702F0">
        <w:tc>
          <w:tcPr>
            <w:tcW w:w="1242" w:type="dxa"/>
            <w:vMerge/>
            <w:shd w:val="clear" w:color="auto" w:fill="DAEEF3" w:themeFill="accent5" w:themeFillTint="33"/>
          </w:tcPr>
          <w:p w:rsidR="008702F0" w:rsidRDefault="008702F0">
            <w:pPr>
              <w:rPr>
                <w:rFonts w:cs="Times New Roman"/>
                <w:noProof/>
                <w:color w:val="000000" w:themeColor="text1"/>
                <w:szCs w:val="24"/>
              </w:rPr>
            </w:pP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2004</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2007</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2010</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2013</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VLLW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210 000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280 000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414 000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516 000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LLW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2 228 000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2 435 000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2 356 000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2 453 000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ILW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206 000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288 000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321 000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338 000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HLW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5 000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4 000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5 000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6 000</w:t>
            </w:r>
          </w:p>
        </w:tc>
      </w:tr>
    </w:tbl>
    <w:p w:rsidR="008702F0" w:rsidRDefault="00ED659C">
      <w:pPr>
        <w:spacing w:before="360" w:after="360"/>
        <w:rPr>
          <w:rFonts w:cs="Times New Roman"/>
          <w:noProof/>
          <w:color w:val="000000" w:themeColor="text1"/>
        </w:rPr>
      </w:pPr>
      <w:r>
        <w:rPr>
          <w:rFonts w:cs="Times New Roman"/>
          <w:noProof/>
          <w:color w:val="000000" w:themeColor="text1"/>
        </w:rPr>
        <w:t xml:space="preserve">The evolution of total radioactive waste volumes for the period 2004-2013 is illustrated in Figure 12. </w:t>
      </w:r>
    </w:p>
    <w:p w:rsidR="008702F0" w:rsidRDefault="00ED659C">
      <w:pPr>
        <w:rPr>
          <w:rFonts w:cs="Times New Roman"/>
          <w:noProof/>
          <w:color w:val="000000" w:themeColor="text1"/>
        </w:rPr>
      </w:pPr>
      <w:r>
        <w:rPr>
          <w:rFonts w:cs="Times New Roman"/>
          <w:noProof/>
          <w:color w:val="000000" w:themeColor="text1"/>
          <w:lang w:eastAsia="en-GB"/>
        </w:rPr>
        <w:drawing>
          <wp:inline distT="0" distB="0" distL="0" distR="0">
            <wp:extent cx="5943600" cy="299529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cs="Times New Roman"/>
          <w:noProof/>
          <w:color w:val="000000" w:themeColor="text1"/>
          <w:szCs w:val="24"/>
          <w:lang w:eastAsia="en-GB"/>
        </w:rPr>
        <w:t xml:space="preserve"> </w:t>
      </w:r>
    </w:p>
    <w:p w:rsidR="008702F0" w:rsidRDefault="00ED659C">
      <w:pPr>
        <w:pStyle w:val="FigureCaption"/>
        <w:spacing w:after="36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12. Evolution of total radioactive waste volumes since the end of 2004                (with the fraction of waste disposed of indicated)</w:t>
      </w:r>
    </w:p>
    <w:p w:rsidR="008702F0" w:rsidRDefault="00ED659C">
      <w:pPr>
        <w:rPr>
          <w:rFonts w:cs="Times New Roman"/>
          <w:noProof/>
          <w:color w:val="000000" w:themeColor="text1"/>
        </w:rPr>
      </w:pPr>
      <w:r>
        <w:rPr>
          <w:rFonts w:cs="Times New Roman"/>
          <w:b/>
          <w:noProof/>
          <w:color w:val="000000" w:themeColor="text1"/>
        </w:rPr>
        <w:t>Evolution of the stored radioactive waste volumes</w:t>
      </w:r>
      <w:r>
        <w:rPr>
          <w:rFonts w:cs="Times New Roman"/>
          <w:noProof/>
          <w:color w:val="000000" w:themeColor="text1"/>
        </w:rPr>
        <w:t xml:space="preserve"> (per waste category) is presented in Table 3. There are currently no operational deep geological disposal facilities for ILW and HLW. Consequently, the amounts of stored ILW and HLW are steadily increasing over time. The amounts of VLLW and LLW in storage</w:t>
      </w:r>
      <w:r>
        <w:rPr>
          <w:rFonts w:cs="Times New Roman"/>
          <w:noProof/>
          <w:color w:val="000000" w:themeColor="text1"/>
        </w:rPr>
        <w:t xml:space="preserve"> are affected by differences in generation and disposal rates. During different time periods, their respective amounts in storage may therefore increase or decrease.</w:t>
      </w:r>
    </w:p>
    <w:p w:rsidR="008702F0" w:rsidRDefault="00ED659C">
      <w:pPr>
        <w:pStyle w:val="TableCaption"/>
        <w:spacing w:after="360"/>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Table 3. Evolution of stored radioactive waste in the 2004-2013 period</w:t>
      </w:r>
    </w:p>
    <w:tbl>
      <w:tblPr>
        <w:tblStyle w:val="TableGrid"/>
        <w:tblW w:w="0" w:type="auto"/>
        <w:tblLook w:val="04A0" w:firstRow="1" w:lastRow="0" w:firstColumn="1" w:lastColumn="0" w:noHBand="0" w:noVBand="1"/>
      </w:tblPr>
      <w:tblGrid>
        <w:gridCol w:w="1242"/>
        <w:gridCol w:w="2000"/>
        <w:gridCol w:w="2000"/>
        <w:gridCol w:w="2000"/>
        <w:gridCol w:w="2000"/>
      </w:tblGrid>
      <w:tr w:rsidR="008702F0">
        <w:tc>
          <w:tcPr>
            <w:tcW w:w="1242" w:type="dxa"/>
            <w:vMerge w:val="restart"/>
            <w:shd w:val="clear" w:color="auto" w:fill="DAEEF3" w:themeFill="accent5" w:themeFillTint="33"/>
            <w:vAlign w:val="center"/>
          </w:tcPr>
          <w:p w:rsidR="008702F0" w:rsidRDefault="00ED659C">
            <w:pPr>
              <w:jc w:val="center"/>
              <w:rPr>
                <w:rFonts w:cs="Times New Roman"/>
                <w:noProof/>
                <w:color w:val="000000" w:themeColor="text1"/>
                <w:szCs w:val="24"/>
              </w:rPr>
            </w:pPr>
            <w:r>
              <w:rPr>
                <w:rFonts w:cs="Times New Roman"/>
                <w:noProof/>
                <w:color w:val="000000" w:themeColor="text1"/>
                <w:szCs w:val="24"/>
              </w:rPr>
              <w:t>Waste Category</w:t>
            </w:r>
          </w:p>
        </w:tc>
        <w:tc>
          <w:tcPr>
            <w:tcW w:w="8000" w:type="dxa"/>
            <w:gridSpan w:val="4"/>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Amou</w:t>
            </w:r>
            <w:r>
              <w:rPr>
                <w:rFonts w:cs="Times New Roman"/>
                <w:noProof/>
                <w:color w:val="000000" w:themeColor="text1"/>
                <w:szCs w:val="24"/>
              </w:rPr>
              <w:t>nt in Storage (m3)</w:t>
            </w:r>
          </w:p>
        </w:tc>
      </w:tr>
      <w:tr w:rsidR="008702F0">
        <w:tc>
          <w:tcPr>
            <w:tcW w:w="1242" w:type="dxa"/>
            <w:vMerge/>
            <w:shd w:val="clear" w:color="auto" w:fill="DAEEF3" w:themeFill="accent5" w:themeFillTint="33"/>
          </w:tcPr>
          <w:p w:rsidR="008702F0" w:rsidRDefault="008702F0">
            <w:pPr>
              <w:jc w:val="center"/>
              <w:rPr>
                <w:rFonts w:cs="Times New Roman"/>
                <w:noProof/>
                <w:color w:val="000000" w:themeColor="text1"/>
                <w:szCs w:val="24"/>
              </w:rPr>
            </w:pP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2004</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2007</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2010</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2013</w:t>
            </w:r>
          </w:p>
        </w:tc>
      </w:tr>
      <w:tr w:rsidR="008702F0">
        <w:tc>
          <w:tcPr>
            <w:tcW w:w="1242" w:type="dxa"/>
            <w:shd w:val="clear" w:color="auto" w:fill="DAEEF3" w:themeFill="accent5" w:themeFillTint="33"/>
          </w:tcPr>
          <w:p w:rsidR="008702F0" w:rsidRDefault="00ED659C">
            <w:pPr>
              <w:jc w:val="center"/>
              <w:rPr>
                <w:rFonts w:cs="Times New Roman"/>
                <w:noProof/>
                <w:color w:val="000000" w:themeColor="text1"/>
                <w:szCs w:val="24"/>
              </w:rPr>
            </w:pPr>
            <w:r>
              <w:rPr>
                <w:rFonts w:cs="Times New Roman"/>
                <w:noProof/>
                <w:color w:val="000000" w:themeColor="text1"/>
                <w:szCs w:val="24"/>
              </w:rPr>
              <w:t>VLLW</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176 000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175 000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217 000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237 000</w:t>
            </w:r>
          </w:p>
        </w:tc>
      </w:tr>
      <w:tr w:rsidR="008702F0">
        <w:tc>
          <w:tcPr>
            <w:tcW w:w="1242" w:type="dxa"/>
            <w:shd w:val="clear" w:color="auto" w:fill="DAEEF3" w:themeFill="accent5" w:themeFillTint="33"/>
          </w:tcPr>
          <w:p w:rsidR="008702F0" w:rsidRDefault="00ED659C">
            <w:pPr>
              <w:jc w:val="center"/>
              <w:rPr>
                <w:rFonts w:cs="Times New Roman"/>
                <w:noProof/>
                <w:color w:val="000000" w:themeColor="text1"/>
                <w:szCs w:val="24"/>
              </w:rPr>
            </w:pPr>
            <w:r>
              <w:rPr>
                <w:rFonts w:cs="Times New Roman"/>
                <w:noProof/>
                <w:color w:val="000000" w:themeColor="text1"/>
                <w:szCs w:val="24"/>
              </w:rPr>
              <w:t>LLW</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411 000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495 000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365 000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428 000</w:t>
            </w:r>
          </w:p>
        </w:tc>
      </w:tr>
      <w:tr w:rsidR="008702F0">
        <w:tc>
          <w:tcPr>
            <w:tcW w:w="1242" w:type="dxa"/>
            <w:shd w:val="clear" w:color="auto" w:fill="DAEEF3" w:themeFill="accent5" w:themeFillTint="33"/>
          </w:tcPr>
          <w:p w:rsidR="008702F0" w:rsidRDefault="00ED659C">
            <w:pPr>
              <w:jc w:val="center"/>
              <w:rPr>
                <w:rFonts w:cs="Times New Roman"/>
                <w:noProof/>
                <w:color w:val="000000" w:themeColor="text1"/>
                <w:szCs w:val="24"/>
              </w:rPr>
            </w:pPr>
            <w:r>
              <w:rPr>
                <w:rFonts w:cs="Times New Roman"/>
                <w:noProof/>
                <w:color w:val="000000" w:themeColor="text1"/>
                <w:szCs w:val="24"/>
              </w:rPr>
              <w:t>ILW</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206 000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288 000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321 000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326 000</w:t>
            </w:r>
          </w:p>
        </w:tc>
      </w:tr>
      <w:tr w:rsidR="008702F0">
        <w:tc>
          <w:tcPr>
            <w:tcW w:w="1242" w:type="dxa"/>
            <w:shd w:val="clear" w:color="auto" w:fill="DAEEF3" w:themeFill="accent5" w:themeFillTint="33"/>
          </w:tcPr>
          <w:p w:rsidR="008702F0" w:rsidRDefault="00ED659C">
            <w:pPr>
              <w:jc w:val="center"/>
              <w:rPr>
                <w:rFonts w:cs="Times New Roman"/>
                <w:noProof/>
                <w:color w:val="000000" w:themeColor="text1"/>
                <w:szCs w:val="24"/>
              </w:rPr>
            </w:pPr>
            <w:r>
              <w:rPr>
                <w:rFonts w:cs="Times New Roman"/>
                <w:noProof/>
                <w:color w:val="000000" w:themeColor="text1"/>
                <w:szCs w:val="24"/>
              </w:rPr>
              <w:t>HLW</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6 000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4 000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5 000</w:t>
            </w:r>
          </w:p>
        </w:tc>
        <w:tc>
          <w:tcPr>
            <w:tcW w:w="2000" w:type="dxa"/>
          </w:tcPr>
          <w:p w:rsidR="008702F0" w:rsidRDefault="00ED659C">
            <w:pPr>
              <w:jc w:val="center"/>
              <w:rPr>
                <w:rFonts w:cs="Times New Roman"/>
                <w:noProof/>
                <w:color w:val="000000" w:themeColor="text1"/>
                <w:szCs w:val="24"/>
              </w:rPr>
            </w:pPr>
            <w:r>
              <w:rPr>
                <w:rFonts w:cs="Times New Roman"/>
                <w:noProof/>
                <w:color w:val="000000" w:themeColor="text1"/>
                <w:szCs w:val="24"/>
              </w:rPr>
              <w:t>6 000</w:t>
            </w:r>
          </w:p>
        </w:tc>
      </w:tr>
    </w:tbl>
    <w:p w:rsidR="008702F0" w:rsidRDefault="00ED659C">
      <w:pPr>
        <w:spacing w:before="240" w:after="0"/>
        <w:rPr>
          <w:rFonts w:eastAsia="Times New Roman" w:cs="Times New Roman"/>
          <w:noProof/>
          <w:color w:val="000000" w:themeColor="text1"/>
        </w:rPr>
      </w:pPr>
      <w:r>
        <w:rPr>
          <w:rFonts w:cs="Times New Roman"/>
          <w:noProof/>
          <w:color w:val="000000" w:themeColor="text1"/>
        </w:rPr>
        <w:t xml:space="preserve">Table 4 shows </w:t>
      </w:r>
      <w:r>
        <w:rPr>
          <w:rFonts w:cs="Times New Roman"/>
          <w:b/>
          <w:noProof/>
          <w:color w:val="000000" w:themeColor="text1"/>
        </w:rPr>
        <w:t>the evolution of radioactive waste disposal over time</w:t>
      </w:r>
      <w:r>
        <w:rPr>
          <w:rFonts w:cs="Times New Roman"/>
          <w:noProof/>
          <w:color w:val="000000" w:themeColor="text1"/>
        </w:rPr>
        <w:t xml:space="preserve">. The </w:t>
      </w:r>
      <w:r>
        <w:rPr>
          <w:rFonts w:cs="Times New Roman"/>
          <w:noProof/>
          <w:color w:val="000000" w:themeColor="text1"/>
        </w:rPr>
        <w:t>increase in disposed of LLW is levelling over the time period since 2004. Contrary to this, the disposal of VLLW shows a steady increase.</w:t>
      </w:r>
    </w:p>
    <w:p w:rsidR="008702F0" w:rsidRDefault="00ED659C">
      <w:pPr>
        <w:pStyle w:val="TableCaption"/>
        <w:spacing w:after="360"/>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Table 4. Evolution of radioactive waste disposals in the 2004-2013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00"/>
        <w:gridCol w:w="2000"/>
        <w:gridCol w:w="2000"/>
        <w:gridCol w:w="2000"/>
      </w:tblGrid>
      <w:tr w:rsidR="008702F0">
        <w:tc>
          <w:tcPr>
            <w:tcW w:w="1242" w:type="dxa"/>
            <w:vMerge w:val="restart"/>
            <w:shd w:val="clear" w:color="auto" w:fill="DAEEF3" w:themeFill="accent5" w:themeFillTint="33"/>
            <w:vAlign w:val="center"/>
          </w:tcPr>
          <w:p w:rsidR="008702F0" w:rsidRDefault="00ED659C">
            <w:pPr>
              <w:rPr>
                <w:rFonts w:cs="Times New Roman"/>
                <w:noProof/>
                <w:color w:val="000000" w:themeColor="text1"/>
                <w:szCs w:val="24"/>
              </w:rPr>
            </w:pPr>
            <w:r>
              <w:rPr>
                <w:rFonts w:cs="Times New Roman"/>
                <w:noProof/>
                <w:color w:val="000000" w:themeColor="text1"/>
                <w:szCs w:val="24"/>
              </w:rPr>
              <w:t>Waste Category</w:t>
            </w:r>
          </w:p>
        </w:tc>
        <w:tc>
          <w:tcPr>
            <w:tcW w:w="8000" w:type="dxa"/>
            <w:gridSpan w:val="4"/>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Amount in Disposal (m</w:t>
            </w:r>
            <w:r>
              <w:rPr>
                <w:rFonts w:cs="Times New Roman"/>
                <w:noProof/>
                <w:color w:val="000000" w:themeColor="text1"/>
                <w:szCs w:val="24"/>
                <w:vertAlign w:val="superscript"/>
              </w:rPr>
              <w:t>3</w:t>
            </w:r>
            <w:r>
              <w:rPr>
                <w:rFonts w:cs="Times New Roman"/>
                <w:noProof/>
                <w:color w:val="000000" w:themeColor="text1"/>
                <w:szCs w:val="24"/>
              </w:rPr>
              <w:t>)</w:t>
            </w:r>
          </w:p>
        </w:tc>
      </w:tr>
      <w:tr w:rsidR="008702F0">
        <w:tc>
          <w:tcPr>
            <w:tcW w:w="1242" w:type="dxa"/>
            <w:vMerge/>
            <w:shd w:val="clear" w:color="auto" w:fill="DAEEF3" w:themeFill="accent5" w:themeFillTint="33"/>
          </w:tcPr>
          <w:p w:rsidR="008702F0" w:rsidRDefault="008702F0">
            <w:pPr>
              <w:rPr>
                <w:rFonts w:cs="Times New Roman"/>
                <w:noProof/>
                <w:color w:val="000000" w:themeColor="text1"/>
                <w:szCs w:val="24"/>
              </w:rPr>
            </w:pP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w:t>
            </w:r>
            <w:r>
              <w:rPr>
                <w:rFonts w:cs="Times New Roman"/>
                <w:noProof/>
                <w:color w:val="000000" w:themeColor="text1"/>
                <w:szCs w:val="24"/>
              </w:rPr>
              <w:t>4</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2007</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2010</w:t>
            </w:r>
          </w:p>
        </w:tc>
        <w:tc>
          <w:tcPr>
            <w:tcW w:w="2000"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2013</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VLLW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34 000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105 000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197 000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279 000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LLW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1 817 000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1 940 000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1 991 000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2 025 000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ILW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12 000</w:t>
            </w:r>
          </w:p>
        </w:tc>
      </w:tr>
      <w:tr w:rsidR="008702F0">
        <w:tc>
          <w:tcPr>
            <w:tcW w:w="1242" w:type="dxa"/>
            <w:shd w:val="clear" w:color="auto" w:fill="DAEEF3" w:themeFill="accent5" w:themeFillTint="33"/>
          </w:tcPr>
          <w:p w:rsidR="008702F0" w:rsidRDefault="00ED659C">
            <w:pPr>
              <w:rPr>
                <w:rFonts w:cs="Times New Roman"/>
                <w:noProof/>
                <w:color w:val="000000" w:themeColor="text1"/>
                <w:szCs w:val="24"/>
              </w:rPr>
            </w:pPr>
            <w:r>
              <w:rPr>
                <w:rFonts w:cs="Times New Roman"/>
                <w:noProof/>
                <w:color w:val="000000" w:themeColor="text1"/>
                <w:szCs w:val="24"/>
              </w:rPr>
              <w:t>HLW</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c>
          <w:tcPr>
            <w:tcW w:w="2000" w:type="dxa"/>
            <w:shd w:val="clear" w:color="auto" w:fill="auto"/>
          </w:tcPr>
          <w:p w:rsidR="008702F0" w:rsidRDefault="00ED659C">
            <w:pPr>
              <w:jc w:val="center"/>
              <w:rPr>
                <w:rFonts w:cs="Times New Roman"/>
                <w:noProof/>
                <w:color w:val="000000" w:themeColor="text1"/>
                <w:szCs w:val="24"/>
              </w:rPr>
            </w:pPr>
            <w:r>
              <w:rPr>
                <w:rFonts w:cs="Times New Roman"/>
                <w:noProof/>
                <w:color w:val="000000" w:themeColor="text1"/>
                <w:szCs w:val="24"/>
              </w:rPr>
              <w:t>0</w:t>
            </w:r>
          </w:p>
        </w:tc>
      </w:tr>
    </w:tbl>
    <w:p w:rsidR="008702F0" w:rsidRDefault="00ED659C">
      <w:pPr>
        <w:pStyle w:val="Textblock"/>
        <w:spacing w:after="360"/>
        <w:rPr>
          <w:rFonts w:cs="Times New Roman"/>
          <w:noProof/>
          <w:color w:val="000000" w:themeColor="text1"/>
        </w:rPr>
      </w:pPr>
      <w:r>
        <w:rPr>
          <w:rFonts w:cs="Times New Roman"/>
          <w:noProof/>
          <w:color w:val="000000" w:themeColor="text1"/>
        </w:rPr>
        <w:t xml:space="preserve">From Table 4 it can be also seen that some Member States have declared disposals of ILW. These disposals, in accordance with </w:t>
      </w:r>
      <w:r>
        <w:rPr>
          <w:rFonts w:cs="Times New Roman"/>
          <w:noProof/>
          <w:color w:val="000000" w:themeColor="text1"/>
        </w:rPr>
        <w:t>the IAEA classification, consist mainly of highly active disused radioactive sealed sources containing short-lived radionuclides.</w:t>
      </w:r>
    </w:p>
    <w:p w:rsidR="008702F0" w:rsidRDefault="00ED659C">
      <w:pPr>
        <w:pStyle w:val="Figure"/>
        <w:rPr>
          <w:rFonts w:cs="Times New Roman"/>
          <w:color w:val="000000" w:themeColor="text1"/>
        </w:rPr>
      </w:pPr>
      <w:r>
        <w:rPr>
          <w:rFonts w:cs="Times New Roman"/>
          <w:color w:val="000000" w:themeColor="text1"/>
          <w:lang w:val="en-GB" w:eastAsia="en-GB"/>
        </w:rPr>
        <w:drawing>
          <wp:inline distT="0" distB="0" distL="0" distR="0">
            <wp:extent cx="5762847" cy="3211033"/>
            <wp:effectExtent l="0" t="0" r="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02F0" w:rsidRDefault="00ED659C">
      <w:pPr>
        <w:pStyle w:val="FigureCaption"/>
        <w:spacing w:after="12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13. Normalised</w:t>
      </w:r>
      <w:r>
        <w:rPr>
          <w:rStyle w:val="FootnoteReference"/>
          <w:rFonts w:ascii="Times New Roman" w:hAnsi="Times New Roman" w:cs="Times New Roman"/>
          <w:b/>
          <w:noProof/>
          <w:color w:val="000000" w:themeColor="text1"/>
          <w:sz w:val="24"/>
        </w:rPr>
        <w:footnoteReference w:id="9"/>
      </w:r>
      <w:r>
        <w:rPr>
          <w:rFonts w:ascii="Times New Roman" w:hAnsi="Times New Roman" w:cs="Times New Roman"/>
          <w:b/>
          <w:noProof/>
          <w:color w:val="000000" w:themeColor="text1"/>
          <w:sz w:val="24"/>
        </w:rPr>
        <w:t xml:space="preserve"> evolution of stored radioactive waste amounts in                          European Union since the en</w:t>
      </w:r>
      <w:r>
        <w:rPr>
          <w:rFonts w:ascii="Times New Roman" w:hAnsi="Times New Roman" w:cs="Times New Roman"/>
          <w:b/>
          <w:noProof/>
          <w:color w:val="000000" w:themeColor="text1"/>
          <w:sz w:val="24"/>
        </w:rPr>
        <w:t>d of 2004</w:t>
      </w:r>
    </w:p>
    <w:p w:rsidR="008702F0" w:rsidRDefault="00ED659C">
      <w:pPr>
        <w:rPr>
          <w:rFonts w:cs="Times New Roman"/>
          <w:noProof/>
          <w:color w:val="000000" w:themeColor="text1"/>
        </w:rPr>
      </w:pPr>
      <w:r>
        <w:rPr>
          <w:rFonts w:cs="Times New Roman"/>
          <w:noProof/>
          <w:color w:val="000000" w:themeColor="text1"/>
          <w:lang w:eastAsia="en-GB"/>
        </w:rPr>
        <w:drawing>
          <wp:inline distT="0" distB="0" distL="0" distR="0">
            <wp:extent cx="5718412" cy="2565779"/>
            <wp:effectExtent l="0" t="0" r="0" b="635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02F0" w:rsidRDefault="00ED659C">
      <w:pPr>
        <w:pStyle w:val="FigureCaption"/>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14. Normalised</w:t>
      </w:r>
      <w:r>
        <w:rPr>
          <w:rStyle w:val="FootnoteReference"/>
          <w:rFonts w:ascii="Times New Roman" w:hAnsi="Times New Roman" w:cs="Times New Roman"/>
          <w:b/>
          <w:noProof/>
          <w:color w:val="000000" w:themeColor="text1"/>
          <w:sz w:val="24"/>
        </w:rPr>
        <w:footnoteReference w:id="10"/>
      </w:r>
      <w:r>
        <w:rPr>
          <w:rFonts w:ascii="Times New Roman" w:hAnsi="Times New Roman" w:cs="Times New Roman"/>
          <w:b/>
          <w:noProof/>
          <w:color w:val="000000" w:themeColor="text1"/>
          <w:sz w:val="24"/>
        </w:rPr>
        <w:t xml:space="preserve"> evolution of disposed of radioactive waste in European Union since the end of 2004</w:t>
      </w:r>
    </w:p>
    <w:p w:rsidR="008702F0" w:rsidRDefault="00ED659C">
      <w:pPr>
        <w:pStyle w:val="Textblock"/>
        <w:spacing w:after="240"/>
        <w:rPr>
          <w:rFonts w:cs="Times New Roman"/>
          <w:noProof/>
          <w:color w:val="000000" w:themeColor="text1"/>
        </w:rPr>
      </w:pPr>
      <w:r>
        <w:rPr>
          <w:rFonts w:cs="Times New Roman"/>
          <w:noProof/>
          <w:color w:val="000000" w:themeColor="text1"/>
        </w:rPr>
        <w:t xml:space="preserve">The overall evolution of radioactive waste generated in the European Union (normalized sum of radioactive waste both stored and disposed) </w:t>
      </w:r>
      <w:r>
        <w:rPr>
          <w:rFonts w:cs="Times New Roman"/>
          <w:noProof/>
          <w:color w:val="000000" w:themeColor="text1"/>
        </w:rPr>
        <w:t xml:space="preserve">until the end of 2013 is shown in Figure 15. The amounts of the individual waste classes are increasing (LLW to a lesser extent) with different rate. One exception is HLW where data reported in 2004 are significantly higher than in the following reporting </w:t>
      </w:r>
      <w:r>
        <w:rPr>
          <w:rFonts w:cs="Times New Roman"/>
          <w:noProof/>
          <w:color w:val="000000" w:themeColor="text1"/>
        </w:rPr>
        <w:t xml:space="preserve">periods. </w:t>
      </w:r>
    </w:p>
    <w:p w:rsidR="008702F0" w:rsidRDefault="00ED659C">
      <w:pPr>
        <w:rPr>
          <w:rFonts w:cs="Times New Roman"/>
          <w:noProof/>
          <w:color w:val="000000" w:themeColor="text1"/>
        </w:rPr>
      </w:pPr>
      <w:r>
        <w:rPr>
          <w:rFonts w:cs="Times New Roman"/>
          <w:noProof/>
          <w:color w:val="000000" w:themeColor="text1"/>
          <w:lang w:eastAsia="en-GB"/>
        </w:rPr>
        <w:drawing>
          <wp:inline distT="0" distB="0" distL="0" distR="0">
            <wp:extent cx="5759355" cy="2763672"/>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02F0" w:rsidRDefault="00ED659C">
      <w:pPr>
        <w:pStyle w:val="FigureCaption"/>
        <w:spacing w:before="12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15. Normalized</w:t>
      </w:r>
      <w:r>
        <w:rPr>
          <w:rStyle w:val="FootnoteReference"/>
          <w:rFonts w:ascii="Times New Roman" w:hAnsi="Times New Roman" w:cs="Times New Roman"/>
          <w:b/>
          <w:noProof/>
          <w:color w:val="000000" w:themeColor="text1"/>
          <w:sz w:val="24"/>
        </w:rPr>
        <w:footnoteReference w:id="11"/>
      </w:r>
      <w:r>
        <w:rPr>
          <w:rFonts w:ascii="Times New Roman" w:hAnsi="Times New Roman" w:cs="Times New Roman"/>
          <w:b/>
          <w:noProof/>
          <w:color w:val="000000" w:themeColor="text1"/>
          <w:sz w:val="24"/>
        </w:rPr>
        <w:t xml:space="preserve"> evolution of radioactive waste volumes </w:t>
      </w:r>
    </w:p>
    <w:p w:rsidR="008702F0" w:rsidRDefault="00ED659C">
      <w:pPr>
        <w:pStyle w:val="FigureCaption"/>
        <w:spacing w:before="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(both stored and disposed)</w:t>
      </w:r>
    </w:p>
    <w:p w:rsidR="008702F0" w:rsidRDefault="00ED659C">
      <w:pPr>
        <w:pStyle w:val="Textblock"/>
        <w:rPr>
          <w:rFonts w:cs="Times New Roman"/>
          <w:noProof/>
          <w:color w:val="000000" w:themeColor="text1"/>
        </w:rPr>
      </w:pPr>
      <w:r>
        <w:rPr>
          <w:rFonts w:cs="Times New Roman"/>
          <w:noProof/>
          <w:color w:val="000000" w:themeColor="text1"/>
        </w:rPr>
        <w:t xml:space="preserve">From the information presented above the following </w:t>
      </w:r>
      <w:r>
        <w:rPr>
          <w:rFonts w:cs="Times New Roman"/>
          <w:b/>
          <w:noProof/>
          <w:color w:val="000000" w:themeColor="text1"/>
        </w:rPr>
        <w:t>trends concerning the inventory of radioactive waste and spent fuel in the European Union</w:t>
      </w:r>
      <w:r>
        <w:rPr>
          <w:rFonts w:cs="Times New Roman"/>
          <w:noProof/>
          <w:color w:val="000000" w:themeColor="text1"/>
        </w:rPr>
        <w:t xml:space="preserve"> can be observed:</w:t>
      </w:r>
    </w:p>
    <w:p w:rsidR="008702F0" w:rsidRDefault="00ED659C">
      <w:pPr>
        <w:pStyle w:val="Textblock"/>
        <w:rPr>
          <w:rFonts w:cs="Times New Roman"/>
          <w:b/>
          <w:noProof/>
          <w:color w:val="000000" w:themeColor="text1"/>
        </w:rPr>
      </w:pPr>
      <w:r>
        <w:rPr>
          <w:rFonts w:cs="Times New Roman"/>
          <w:b/>
          <w:noProof/>
          <w:color w:val="000000" w:themeColor="text1"/>
        </w:rPr>
        <w:t>Radioactive waste</w:t>
      </w:r>
    </w:p>
    <w:p w:rsidR="008702F0" w:rsidRDefault="00ED659C">
      <w:pPr>
        <w:pStyle w:val="Textblock"/>
        <w:rPr>
          <w:rFonts w:cs="Times New Roman"/>
          <w:noProof/>
          <w:color w:val="000000" w:themeColor="text1"/>
        </w:rPr>
      </w:pPr>
      <w:r>
        <w:rPr>
          <w:rFonts w:cs="Times New Roman"/>
          <w:noProof/>
          <w:color w:val="000000" w:themeColor="text1"/>
        </w:rPr>
        <w:t>At the end of 2013, 54 % of the total VLLW volume is reported as disposed of and the amount of VLLW disposed has steadily increased. The volume of stored VLLW shows a steady increase of about 20 % over the time period 2004 – 2013. This shows that the dispo</w:t>
      </w:r>
      <w:r>
        <w:rPr>
          <w:rFonts w:cs="Times New Roman"/>
          <w:noProof/>
          <w:color w:val="000000" w:themeColor="text1"/>
        </w:rPr>
        <w:t xml:space="preserve">sal rate of VLLW needs to increase further to keep pace with its generation. </w:t>
      </w:r>
    </w:p>
    <w:p w:rsidR="008702F0" w:rsidRDefault="00ED659C">
      <w:pPr>
        <w:pStyle w:val="Textblock"/>
        <w:rPr>
          <w:rFonts w:cs="Times New Roman"/>
          <w:noProof/>
          <w:color w:val="000000" w:themeColor="text1"/>
        </w:rPr>
      </w:pPr>
      <w:r>
        <w:rPr>
          <w:rFonts w:cs="Times New Roman"/>
          <w:noProof/>
          <w:color w:val="000000" w:themeColor="text1"/>
        </w:rPr>
        <w:t>At the same time 83 % of LLW is reported as disposed. With 17 % of the LLW amount generated still in storage, and no reported systematic increase in the amounts in storage betwee</w:t>
      </w:r>
      <w:r>
        <w:rPr>
          <w:rFonts w:cs="Times New Roman"/>
          <w:noProof/>
          <w:color w:val="000000" w:themeColor="text1"/>
        </w:rPr>
        <w:t>n 2004 and 2013, the overall LLW amounts of waste generated and disposed is generally in equilibrium. This, however, is dominated by those countries with large LLW inventories, whereas a number of Member States with smaller inventories do not yet dispose o</w:t>
      </w:r>
      <w:r>
        <w:rPr>
          <w:rFonts w:cs="Times New Roman"/>
          <w:noProof/>
          <w:color w:val="000000" w:themeColor="text1"/>
        </w:rPr>
        <w:t>f their LLW.</w:t>
      </w:r>
    </w:p>
    <w:p w:rsidR="008702F0" w:rsidRDefault="00ED659C">
      <w:pPr>
        <w:pStyle w:val="Textblock"/>
        <w:rPr>
          <w:rFonts w:cs="Times New Roman"/>
          <w:noProof/>
          <w:color w:val="000000" w:themeColor="text1"/>
        </w:rPr>
      </w:pPr>
      <w:r>
        <w:rPr>
          <w:rFonts w:cs="Times New Roman"/>
          <w:noProof/>
          <w:color w:val="000000" w:themeColor="text1"/>
        </w:rPr>
        <w:t>For ILW the situation is very different. Less than 4 % is reported as disposed, and in some cases such ILW will be retrieved as current disposal facilities do not meet present safety requirements. Consequently, there is a steady increase in IL</w:t>
      </w:r>
      <w:r>
        <w:rPr>
          <w:rFonts w:cs="Times New Roman"/>
          <w:noProof/>
          <w:color w:val="000000" w:themeColor="text1"/>
        </w:rPr>
        <w:t>W in storage.</w:t>
      </w:r>
    </w:p>
    <w:p w:rsidR="008702F0" w:rsidRDefault="00ED659C">
      <w:pPr>
        <w:pStyle w:val="Textblock"/>
        <w:rPr>
          <w:rFonts w:cs="Times New Roman"/>
          <w:noProof/>
          <w:color w:val="000000" w:themeColor="text1"/>
        </w:rPr>
      </w:pPr>
      <w:r>
        <w:rPr>
          <w:rFonts w:cs="Times New Roman"/>
          <w:noProof/>
          <w:color w:val="000000" w:themeColor="text1"/>
        </w:rPr>
        <w:t>For HLW and spent fuel declared as waste, the first facility for disposal of such material is expected around 2022 in Finland, with further facilities in France (around 2025) and Sweden (around 2030). Therefore, one should expect that the amo</w:t>
      </w:r>
      <w:r>
        <w:rPr>
          <w:rFonts w:cs="Times New Roman"/>
          <w:noProof/>
          <w:color w:val="000000" w:themeColor="text1"/>
        </w:rPr>
        <w:t>unts of HLW and spent fuel in storage are increasing steadily in line with their generation. The reported data show a different situation in the period from 2004 to 2007. The reason is related to very high HLW volumes reported by Germany and Belgium for 20</w:t>
      </w:r>
      <w:r>
        <w:rPr>
          <w:rFonts w:cs="Times New Roman"/>
          <w:noProof/>
          <w:color w:val="000000" w:themeColor="text1"/>
        </w:rPr>
        <w:t>04. These volumes are 1450 m</w:t>
      </w:r>
      <w:r>
        <w:rPr>
          <w:rFonts w:cs="Times New Roman"/>
          <w:noProof/>
          <w:color w:val="000000" w:themeColor="text1"/>
          <w:vertAlign w:val="superscript"/>
        </w:rPr>
        <w:t>3</w:t>
      </w:r>
      <w:r>
        <w:rPr>
          <w:rFonts w:cs="Times New Roman"/>
          <w:noProof/>
          <w:color w:val="000000" w:themeColor="text1"/>
        </w:rPr>
        <w:t xml:space="preserve"> higher for Germany in 2004 than in the subsequent reporting. For Belgium the corresponding volume is 350 m</w:t>
      </w:r>
      <w:r>
        <w:rPr>
          <w:rFonts w:cs="Times New Roman"/>
          <w:noProof/>
          <w:color w:val="000000" w:themeColor="text1"/>
          <w:vertAlign w:val="superscript"/>
        </w:rPr>
        <w:t>3</w:t>
      </w:r>
      <w:r>
        <w:rPr>
          <w:rFonts w:cs="Times New Roman"/>
          <w:noProof/>
          <w:color w:val="000000" w:themeColor="text1"/>
        </w:rPr>
        <w:t>. The other Member States show more consistent data with respect to the expected constant or increasing amount of HLW.</w:t>
      </w:r>
    </w:p>
    <w:p w:rsidR="008702F0" w:rsidRDefault="00ED659C">
      <w:pPr>
        <w:pStyle w:val="Textblock"/>
        <w:rPr>
          <w:rFonts w:cs="Times New Roman"/>
          <w:noProof/>
          <w:color w:val="000000" w:themeColor="text1"/>
        </w:rPr>
      </w:pPr>
      <w:r>
        <w:rPr>
          <w:rFonts w:cs="Times New Roman"/>
          <w:noProof/>
          <w:color w:val="000000" w:themeColor="text1"/>
        </w:rPr>
        <w:t xml:space="preserve">Based on the Member State strategy, spent fuel is stored pending either disposal or reprocessing. During reprocessing, uranium and plutonium are recovered, with generation of radioactive waste (mainly HLW and ILW), which is currently stored until disposal </w:t>
      </w:r>
      <w:r>
        <w:rPr>
          <w:rFonts w:cs="Times New Roman"/>
          <w:noProof/>
          <w:color w:val="000000" w:themeColor="text1"/>
        </w:rPr>
        <w:t>facilities become available.</w:t>
      </w:r>
    </w:p>
    <w:p w:rsidR="008702F0" w:rsidRDefault="00ED659C">
      <w:pPr>
        <w:pStyle w:val="Textblock"/>
        <w:rPr>
          <w:rFonts w:cs="Times New Roman"/>
          <w:b/>
          <w:noProof/>
          <w:color w:val="000000" w:themeColor="text1"/>
        </w:rPr>
      </w:pPr>
      <w:r>
        <w:rPr>
          <w:rFonts w:cs="Times New Roman"/>
          <w:b/>
          <w:noProof/>
          <w:color w:val="000000" w:themeColor="text1"/>
        </w:rPr>
        <w:t>Spent Fuel</w:t>
      </w:r>
    </w:p>
    <w:p w:rsidR="008702F0" w:rsidRDefault="00ED659C">
      <w:pPr>
        <w:pStyle w:val="Textblock"/>
        <w:rPr>
          <w:rFonts w:cs="Times New Roman"/>
          <w:noProof/>
          <w:color w:val="000000" w:themeColor="text1"/>
        </w:rPr>
      </w:pPr>
      <w:r>
        <w:rPr>
          <w:rFonts w:cs="Times New Roman"/>
          <w:noProof/>
          <w:color w:val="000000" w:themeColor="text1"/>
        </w:rPr>
        <w:t xml:space="preserve">At the end of 2013 more than 54 000 tHM of spent fuel was stored in the European Union </w:t>
      </w:r>
      <w:r>
        <w:rPr>
          <w:rFonts w:cs="Times New Roman"/>
          <w:noProof/>
          <w:color w:val="000000" w:themeColor="text1"/>
          <w:szCs w:val="24"/>
        </w:rPr>
        <w:t>(20% increase since 2007</w:t>
      </w:r>
      <w:r>
        <w:rPr>
          <w:rStyle w:val="FootnoteReference"/>
          <w:rFonts w:cs="Times New Roman"/>
          <w:noProof/>
          <w:color w:val="000000" w:themeColor="text1"/>
          <w:szCs w:val="24"/>
        </w:rPr>
        <w:footnoteReference w:id="12"/>
      </w:r>
      <w:r>
        <w:rPr>
          <w:rFonts w:cs="Times New Roman"/>
          <w:noProof/>
          <w:color w:val="000000" w:themeColor="text1"/>
          <w:szCs w:val="24"/>
        </w:rPr>
        <w:t>)</w:t>
      </w:r>
      <w:r>
        <w:rPr>
          <w:rFonts w:cs="Times New Roman"/>
          <w:noProof/>
          <w:color w:val="000000" w:themeColor="text1"/>
        </w:rPr>
        <w:t xml:space="preserve"> and around 800 tHM of spent fuel (about 1.5 %) was sent for reprocessing outside the European Union wi</w:t>
      </w:r>
      <w:r>
        <w:rPr>
          <w:rFonts w:cs="Times New Roman"/>
          <w:noProof/>
          <w:color w:val="000000" w:themeColor="text1"/>
        </w:rPr>
        <w:t xml:space="preserve">th the expected returns of </w:t>
      </w:r>
      <w:r>
        <w:rPr>
          <w:rFonts w:cs="Times New Roman"/>
          <w:noProof/>
          <w:color w:val="000000" w:themeColor="text1"/>
          <w:szCs w:val="24"/>
        </w:rPr>
        <w:t>resulting radioactive waste from reprocessing</w:t>
      </w:r>
      <w:r>
        <w:rPr>
          <w:rFonts w:cs="Times New Roman"/>
          <w:noProof/>
          <w:color w:val="000000" w:themeColor="text1"/>
        </w:rPr>
        <w:t>. These amounts include both spent fuel coming from power and non-power (e.g. research, isotope production) reactors.</w:t>
      </w:r>
      <w:r>
        <w:rPr>
          <w:rFonts w:cs="Times New Roman"/>
          <w:noProof/>
          <w:color w:val="000000" w:themeColor="text1"/>
          <w:szCs w:val="24"/>
        </w:rPr>
        <w:t xml:space="preserve"> It is </w:t>
      </w:r>
      <w:r>
        <w:rPr>
          <w:rFonts w:eastAsia="Times New Roman" w:cs="Times New Roman"/>
          <w:noProof/>
          <w:color w:val="000000" w:themeColor="text1"/>
          <w:szCs w:val="24"/>
        </w:rPr>
        <w:t xml:space="preserve">foreseen to return around 1100 </w:t>
      </w:r>
      <w:r>
        <w:rPr>
          <w:rFonts w:cs="Times New Roman"/>
          <w:noProof/>
          <w:color w:val="000000" w:themeColor="text1"/>
          <w:szCs w:val="24"/>
        </w:rPr>
        <w:t>m</w:t>
      </w:r>
      <w:r>
        <w:rPr>
          <w:rFonts w:cs="Times New Roman"/>
          <w:noProof/>
          <w:color w:val="000000" w:themeColor="text1"/>
          <w:szCs w:val="24"/>
          <w:vertAlign w:val="superscript"/>
        </w:rPr>
        <w:t>3</w:t>
      </w:r>
      <w:r>
        <w:rPr>
          <w:rFonts w:eastAsia="Times New Roman" w:cs="Times New Roman"/>
          <w:noProof/>
          <w:color w:val="000000" w:themeColor="text1"/>
          <w:szCs w:val="24"/>
        </w:rPr>
        <w:t xml:space="preserve"> of radioactive waste from spent fuel reprocesing outside the European Union by 2030.</w:t>
      </w:r>
    </w:p>
    <w:p w:rsidR="008702F0" w:rsidRDefault="00ED659C">
      <w:pPr>
        <w:spacing w:before="240" w:after="360"/>
        <w:jc w:val="center"/>
        <w:rPr>
          <w:rFonts w:cs="Times New Roman"/>
          <w:b/>
          <w:noProof/>
          <w:color w:val="000000" w:themeColor="text1"/>
        </w:rPr>
      </w:pPr>
      <w:r>
        <w:rPr>
          <w:rFonts w:cs="Times New Roman"/>
          <w:b/>
          <w:noProof/>
          <w:color w:val="000000" w:themeColor="text1"/>
        </w:rPr>
        <w:t>Table 5. Spent fuel in storage on Member States’ territory in the                                   European Union for 2004-2013 period</w:t>
      </w:r>
    </w:p>
    <w:tbl>
      <w:tblPr>
        <w:tblStyle w:val="TableGrid"/>
        <w:tblW w:w="0" w:type="auto"/>
        <w:jc w:val="center"/>
        <w:tblLook w:val="04A0" w:firstRow="1" w:lastRow="0" w:firstColumn="1" w:lastColumn="0" w:noHBand="0" w:noVBand="1"/>
      </w:tblPr>
      <w:tblGrid>
        <w:gridCol w:w="1815"/>
        <w:gridCol w:w="1816"/>
        <w:gridCol w:w="1816"/>
        <w:gridCol w:w="1816"/>
      </w:tblGrid>
      <w:tr w:rsidR="008702F0">
        <w:trPr>
          <w:jc w:val="center"/>
        </w:trPr>
        <w:tc>
          <w:tcPr>
            <w:tcW w:w="7263" w:type="dxa"/>
            <w:gridSpan w:val="4"/>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Spent Fuel in storage, tHM</w:t>
            </w:r>
          </w:p>
        </w:tc>
      </w:tr>
      <w:tr w:rsidR="008702F0">
        <w:trPr>
          <w:jc w:val="center"/>
        </w:trPr>
        <w:tc>
          <w:tcPr>
            <w:tcW w:w="1815"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2004</w:t>
            </w:r>
          </w:p>
        </w:tc>
        <w:tc>
          <w:tcPr>
            <w:tcW w:w="1816"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w:t>
            </w:r>
            <w:r>
              <w:rPr>
                <w:rFonts w:cs="Times New Roman"/>
                <w:noProof/>
                <w:color w:val="000000" w:themeColor="text1"/>
                <w:szCs w:val="24"/>
              </w:rPr>
              <w:t>007</w:t>
            </w:r>
          </w:p>
        </w:tc>
        <w:tc>
          <w:tcPr>
            <w:tcW w:w="1816"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2010</w:t>
            </w:r>
          </w:p>
        </w:tc>
        <w:tc>
          <w:tcPr>
            <w:tcW w:w="1816" w:type="dxa"/>
            <w:shd w:val="clear" w:color="auto" w:fill="FFFF00"/>
          </w:tcPr>
          <w:p w:rsidR="008702F0" w:rsidRDefault="00ED659C">
            <w:pPr>
              <w:jc w:val="center"/>
              <w:rPr>
                <w:rFonts w:cs="Times New Roman"/>
                <w:noProof/>
                <w:color w:val="000000" w:themeColor="text1"/>
                <w:szCs w:val="24"/>
              </w:rPr>
            </w:pPr>
            <w:r>
              <w:rPr>
                <w:rFonts w:cs="Times New Roman"/>
                <w:noProof/>
                <w:color w:val="000000" w:themeColor="text1"/>
                <w:szCs w:val="24"/>
              </w:rPr>
              <w:t>2013</w:t>
            </w:r>
          </w:p>
        </w:tc>
      </w:tr>
      <w:tr w:rsidR="008702F0">
        <w:trPr>
          <w:jc w:val="center"/>
        </w:trPr>
        <w:tc>
          <w:tcPr>
            <w:tcW w:w="1815" w:type="dxa"/>
          </w:tcPr>
          <w:p w:rsidR="008702F0" w:rsidRDefault="00ED659C">
            <w:pPr>
              <w:spacing w:after="360"/>
              <w:jc w:val="center"/>
              <w:rPr>
                <w:rFonts w:cs="Times New Roman"/>
                <w:noProof/>
                <w:color w:val="000000" w:themeColor="text1"/>
                <w:szCs w:val="24"/>
              </w:rPr>
            </w:pPr>
            <w:r>
              <w:rPr>
                <w:rFonts w:cs="Times New Roman"/>
                <w:noProof/>
                <w:color w:val="000000" w:themeColor="text1"/>
                <w:szCs w:val="24"/>
              </w:rPr>
              <w:t>38 100</w:t>
            </w:r>
          </w:p>
        </w:tc>
        <w:tc>
          <w:tcPr>
            <w:tcW w:w="1816" w:type="dxa"/>
          </w:tcPr>
          <w:p w:rsidR="008702F0" w:rsidRDefault="00ED659C">
            <w:pPr>
              <w:spacing w:after="360"/>
              <w:jc w:val="center"/>
              <w:rPr>
                <w:rFonts w:cs="Times New Roman"/>
                <w:noProof/>
                <w:color w:val="000000" w:themeColor="text1"/>
                <w:szCs w:val="24"/>
              </w:rPr>
            </w:pPr>
            <w:r>
              <w:rPr>
                <w:rFonts w:cs="Times New Roman"/>
                <w:noProof/>
                <w:color w:val="000000" w:themeColor="text1"/>
                <w:szCs w:val="24"/>
              </w:rPr>
              <w:t>44 900</w:t>
            </w:r>
          </w:p>
        </w:tc>
        <w:tc>
          <w:tcPr>
            <w:tcW w:w="1816" w:type="dxa"/>
          </w:tcPr>
          <w:p w:rsidR="008702F0" w:rsidRDefault="00ED659C">
            <w:pPr>
              <w:spacing w:after="360"/>
              <w:jc w:val="center"/>
              <w:rPr>
                <w:rFonts w:cs="Times New Roman"/>
                <w:noProof/>
                <w:color w:val="000000" w:themeColor="text1"/>
                <w:szCs w:val="24"/>
              </w:rPr>
            </w:pPr>
            <w:r>
              <w:rPr>
                <w:rFonts w:cs="Times New Roman"/>
                <w:noProof/>
                <w:color w:val="000000" w:themeColor="text1"/>
                <w:szCs w:val="24"/>
              </w:rPr>
              <w:t>53 300</w:t>
            </w:r>
          </w:p>
        </w:tc>
        <w:tc>
          <w:tcPr>
            <w:tcW w:w="1816" w:type="dxa"/>
          </w:tcPr>
          <w:p w:rsidR="008702F0" w:rsidRDefault="00ED659C">
            <w:pPr>
              <w:spacing w:after="360"/>
              <w:jc w:val="center"/>
              <w:rPr>
                <w:rFonts w:cs="Times New Roman"/>
                <w:noProof/>
                <w:color w:val="000000" w:themeColor="text1"/>
                <w:szCs w:val="24"/>
              </w:rPr>
            </w:pPr>
            <w:r>
              <w:rPr>
                <w:rFonts w:cs="Times New Roman"/>
                <w:noProof/>
                <w:color w:val="000000" w:themeColor="text1"/>
                <w:szCs w:val="24"/>
              </w:rPr>
              <w:t>54 300</w:t>
            </w:r>
          </w:p>
        </w:tc>
      </w:tr>
    </w:tbl>
    <w:p w:rsidR="008702F0" w:rsidRDefault="00ED659C">
      <w:pPr>
        <w:pStyle w:val="Textblock"/>
        <w:rPr>
          <w:rFonts w:cs="Times New Roman"/>
          <w:noProof/>
          <w:color w:val="000000" w:themeColor="text1"/>
        </w:rPr>
      </w:pPr>
      <w:r>
        <w:rPr>
          <w:rFonts w:cs="Times New Roman"/>
          <w:noProof/>
          <w:color w:val="000000" w:themeColor="text1"/>
        </w:rPr>
        <w:t xml:space="preserve">Most recent reported amounts of spent fuel stored in individual Member States are shown in Figure 16. Some Member States have smaller inventories of spent fuel (or none) in storage than that generated by the </w:t>
      </w:r>
      <w:r>
        <w:rPr>
          <w:rFonts w:cs="Times New Roman"/>
          <w:noProof/>
          <w:color w:val="000000" w:themeColor="text1"/>
        </w:rPr>
        <w:t>nuclear power plants, as part of it or all of it has been reprocessed. On the other end, countries with neither past, nor current reprocessing have comparably high spent fuel inventories.</w:t>
      </w:r>
    </w:p>
    <w:p w:rsidR="008702F0" w:rsidRDefault="00ED659C">
      <w:pPr>
        <w:spacing w:after="360"/>
        <w:rPr>
          <w:rFonts w:cs="Times New Roman"/>
          <w:noProof/>
          <w:color w:val="000000" w:themeColor="text1"/>
        </w:rPr>
      </w:pPr>
      <w:r>
        <w:rPr>
          <w:rFonts w:cs="Times New Roman"/>
          <w:noProof/>
          <w:color w:val="000000" w:themeColor="text1"/>
        </w:rPr>
        <w:t>Given that today there is no disposal route available for spent fuel</w:t>
      </w:r>
      <w:r>
        <w:rPr>
          <w:rFonts w:cs="Times New Roman"/>
          <w:noProof/>
          <w:color w:val="000000" w:themeColor="text1"/>
        </w:rPr>
        <w:t xml:space="preserve"> (first disposal facilities to become operational in 2022-2030) and that not all Member States have their spent fuel reprocessed, there is a continual increase in the amount of spent fuel in storage (Figure 16).</w:t>
      </w:r>
    </w:p>
    <w:p w:rsidR="008702F0" w:rsidRDefault="00ED659C">
      <w:pPr>
        <w:rPr>
          <w:rFonts w:cs="Times New Roman"/>
          <w:noProof/>
          <w:color w:val="000000" w:themeColor="text1"/>
        </w:rPr>
      </w:pPr>
      <w:r>
        <w:rPr>
          <w:rFonts w:cs="Times New Roman"/>
          <w:noProof/>
          <w:color w:val="000000" w:themeColor="text1"/>
          <w:lang w:eastAsia="en-GB"/>
        </w:rPr>
        <w:t xml:space="preserve"> </w:t>
      </w:r>
      <w:r>
        <w:rPr>
          <w:rFonts w:cs="Times New Roman"/>
          <w:noProof/>
          <w:color w:val="000000" w:themeColor="text1"/>
          <w:lang w:eastAsia="en-GB"/>
        </w:rPr>
        <w:drawing>
          <wp:inline distT="0" distB="0" distL="0" distR="0">
            <wp:extent cx="5610225" cy="30861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cs="Times New Roman"/>
          <w:noProof/>
          <w:color w:val="000000" w:themeColor="text1"/>
          <w:lang w:eastAsia="en-GB"/>
        </w:rPr>
        <w:t xml:space="preserve"> </w:t>
      </w:r>
    </w:p>
    <w:p w:rsidR="008702F0" w:rsidRDefault="00ED659C">
      <w:pPr>
        <w:pStyle w:val="FigureCaption"/>
        <w:spacing w:after="36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16. Spent fuel in storage, end of</w:t>
      </w:r>
      <w:r>
        <w:rPr>
          <w:rFonts w:ascii="Times New Roman" w:hAnsi="Times New Roman" w:cs="Times New Roman"/>
          <w:b/>
          <w:noProof/>
          <w:color w:val="000000" w:themeColor="text1"/>
          <w:sz w:val="24"/>
          <w:szCs w:val="24"/>
        </w:rPr>
        <w:t xml:space="preserve"> 2013</w:t>
      </w:r>
    </w:p>
    <w:p w:rsidR="008702F0" w:rsidRDefault="00ED659C">
      <w:pPr>
        <w:pStyle w:val="Figure"/>
        <w:rPr>
          <w:rFonts w:cs="Times New Roman"/>
          <w:color w:val="000000" w:themeColor="text1"/>
          <w:lang w:val="en-GB"/>
        </w:rPr>
      </w:pPr>
      <w:r>
        <w:rPr>
          <w:rFonts w:cs="Times New Roman"/>
          <w:color w:val="000000" w:themeColor="text1"/>
          <w:lang w:val="en-GB" w:eastAsia="en-GB"/>
        </w:rPr>
        <w:drawing>
          <wp:inline distT="0" distB="0" distL="0" distR="0">
            <wp:extent cx="5238750" cy="35242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cs="Times New Roman"/>
          <w:color w:val="000000" w:themeColor="text1"/>
          <w:lang w:val="en-GB" w:eastAsia="en-GB"/>
        </w:rPr>
        <w:t xml:space="preserve"> </w:t>
      </w:r>
    </w:p>
    <w:p w:rsidR="008702F0" w:rsidRDefault="00ED659C">
      <w:pPr>
        <w:pStyle w:val="FigureCaption"/>
        <w:spacing w:after="360"/>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Figure 17. Member States' contribution to the overall spent fuel inventory in the European Union, end of 2013</w:t>
      </w:r>
    </w:p>
    <w:p w:rsidR="008702F0" w:rsidRDefault="00ED659C">
      <w:pPr>
        <w:pStyle w:val="Figure"/>
        <w:rPr>
          <w:rFonts w:cs="Times New Roman"/>
          <w:color w:val="000000" w:themeColor="text1"/>
          <w:lang w:val="en-GB"/>
        </w:rPr>
      </w:pPr>
      <w:r>
        <w:rPr>
          <w:rFonts w:cs="Times New Roman"/>
          <w:color w:val="000000" w:themeColor="text1"/>
          <w:lang w:val="en-GB" w:eastAsia="en-GB"/>
        </w:rPr>
        <w:drawing>
          <wp:inline distT="0" distB="0" distL="0" distR="0">
            <wp:extent cx="5199821" cy="3052262"/>
            <wp:effectExtent l="0" t="0" r="127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cs="Times New Roman"/>
          <w:color w:val="000000" w:themeColor="text1"/>
          <w:lang w:val="en-GB" w:eastAsia="en-GB"/>
        </w:rPr>
        <w:t xml:space="preserve"> </w:t>
      </w:r>
    </w:p>
    <w:p w:rsidR="008702F0" w:rsidRDefault="00ED659C">
      <w:pPr>
        <w:pStyle w:val="FigureCaption"/>
        <w:spacing w:after="36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Figure 18. Evolution of spent fuel in storage in Member States since the end of 2004</w:t>
      </w:r>
    </w:p>
    <w:p w:rsidR="008702F0" w:rsidRDefault="00ED659C">
      <w:pPr>
        <w:pStyle w:val="Heading1"/>
        <w:ind w:hanging="720"/>
        <w:rPr>
          <w:rFonts w:cs="Times New Roman"/>
          <w:noProof/>
          <w:color w:val="000000" w:themeColor="text1"/>
        </w:rPr>
      </w:pPr>
      <w:bookmarkStart w:id="22" w:name="_Toc464802884"/>
      <w:bookmarkStart w:id="23" w:name="_Toc478464495"/>
      <w:r>
        <w:rPr>
          <w:rFonts w:cs="Times New Roman"/>
          <w:noProof/>
          <w:color w:val="000000" w:themeColor="text1"/>
        </w:rPr>
        <w:t xml:space="preserve">Projections of future spent fuel and radioactive </w:t>
      </w:r>
      <w:r>
        <w:rPr>
          <w:rFonts w:cs="Times New Roman"/>
          <w:noProof/>
          <w:color w:val="000000" w:themeColor="text1"/>
        </w:rPr>
        <w:t>waste arisings</w:t>
      </w:r>
      <w:bookmarkEnd w:id="22"/>
      <w:bookmarkEnd w:id="23"/>
    </w:p>
    <w:p w:rsidR="008702F0" w:rsidRDefault="00ED659C">
      <w:pPr>
        <w:pStyle w:val="Textblock"/>
        <w:rPr>
          <w:rFonts w:cs="Times New Roman"/>
          <w:noProof/>
          <w:color w:val="000000" w:themeColor="text1"/>
        </w:rPr>
      </w:pPr>
      <w:r>
        <w:rPr>
          <w:rFonts w:cs="Times New Roman"/>
          <w:noProof/>
          <w:color w:val="000000" w:themeColor="text1"/>
        </w:rPr>
        <w:t xml:space="preserve">In order to establish future trends Member States were asked to report </w:t>
      </w:r>
      <w:r>
        <w:rPr>
          <w:rFonts w:cs="Times New Roman"/>
          <w:b/>
          <w:noProof/>
          <w:color w:val="000000" w:themeColor="text1"/>
        </w:rPr>
        <w:t>future estimates of volumes of radioactive waste</w:t>
      </w:r>
      <w:r>
        <w:rPr>
          <w:rFonts w:cs="Times New Roman"/>
          <w:noProof/>
          <w:color w:val="000000" w:themeColor="text1"/>
        </w:rPr>
        <w:t>. Two different reporting approaches were used by the Member States for estimating future radioactive waste arisings:</w:t>
      </w:r>
    </w:p>
    <w:p w:rsidR="008702F0" w:rsidRDefault="00ED659C">
      <w:pPr>
        <w:pStyle w:val="Textblock"/>
        <w:numPr>
          <w:ilvl w:val="0"/>
          <w:numId w:val="10"/>
        </w:numPr>
        <w:rPr>
          <w:rFonts w:cs="Times New Roman"/>
          <w:noProof/>
          <w:color w:val="000000" w:themeColor="text1"/>
        </w:rPr>
      </w:pPr>
      <w:r>
        <w:rPr>
          <w:rFonts w:cs="Times New Roman"/>
          <w:noProof/>
          <w:color w:val="000000" w:themeColor="text1"/>
        </w:rPr>
        <w:t xml:space="preserve">One </w:t>
      </w:r>
      <w:r>
        <w:rPr>
          <w:rFonts w:cs="Times New Roman"/>
          <w:noProof/>
          <w:color w:val="000000" w:themeColor="text1"/>
        </w:rPr>
        <w:t xml:space="preserve">approach was to provide the data along with the reference waste classes for the end of the useful life of existing facilities and sites, including decommissioning and site remediation. </w:t>
      </w:r>
    </w:p>
    <w:p w:rsidR="008702F0" w:rsidRDefault="00ED659C">
      <w:pPr>
        <w:pStyle w:val="Textblock"/>
        <w:numPr>
          <w:ilvl w:val="0"/>
          <w:numId w:val="10"/>
        </w:numPr>
        <w:rPr>
          <w:rFonts w:cs="Times New Roman"/>
          <w:noProof/>
          <w:color w:val="000000" w:themeColor="text1"/>
        </w:rPr>
      </w:pPr>
      <w:r>
        <w:rPr>
          <w:rFonts w:cs="Times New Roman"/>
          <w:noProof/>
          <w:color w:val="000000" w:themeColor="text1"/>
        </w:rPr>
        <w:t>The other approach was to provide the amounts of radioactive waste for</w:t>
      </w:r>
      <w:r>
        <w:rPr>
          <w:rFonts w:cs="Times New Roman"/>
          <w:noProof/>
          <w:color w:val="000000" w:themeColor="text1"/>
        </w:rPr>
        <w:t xml:space="preserve"> the different reference waste classes for specified future dates, namely 2020, 2030 and in some cases also 2040. </w:t>
      </w:r>
    </w:p>
    <w:p w:rsidR="008702F0" w:rsidRDefault="00ED659C">
      <w:pPr>
        <w:pStyle w:val="Textblock"/>
        <w:rPr>
          <w:rFonts w:cs="Times New Roman"/>
          <w:noProof/>
          <w:color w:val="000000" w:themeColor="text1"/>
        </w:rPr>
      </w:pPr>
      <w:r>
        <w:rPr>
          <w:rFonts w:cs="Times New Roman"/>
          <w:noProof/>
          <w:color w:val="000000" w:themeColor="text1"/>
        </w:rPr>
        <w:t>The ends-of-operation of planned facilities are not certain, and correspondingly the estimates in this report include mainly existing facilit</w:t>
      </w:r>
      <w:r>
        <w:rPr>
          <w:rFonts w:cs="Times New Roman"/>
          <w:noProof/>
          <w:color w:val="000000" w:themeColor="text1"/>
        </w:rPr>
        <w:t>ies and sites. In the majority of the Member States that consider new facilities (e.g. nuclear power plant) detailed data has not been provided.</w:t>
      </w:r>
    </w:p>
    <w:p w:rsidR="008702F0" w:rsidRDefault="00ED659C">
      <w:pPr>
        <w:pStyle w:val="Textblock"/>
        <w:rPr>
          <w:rFonts w:cs="Times New Roman"/>
          <w:noProof/>
          <w:color w:val="000000" w:themeColor="text1"/>
        </w:rPr>
      </w:pPr>
      <w:r>
        <w:rPr>
          <w:rFonts w:cs="Times New Roman"/>
          <w:noProof/>
          <w:color w:val="000000" w:themeColor="text1"/>
        </w:rPr>
        <w:t>An example of the first reporting approach could be the United Kingdom. It provides data adjusted to the IAEA r</w:t>
      </w:r>
      <w:r>
        <w:rPr>
          <w:rFonts w:cs="Times New Roman"/>
          <w:noProof/>
          <w:color w:val="000000" w:themeColor="text1"/>
        </w:rPr>
        <w:t>eference waste categories for the end of the useful life of the respective sites and facilities presently in operation, including waste from decommissioning and site remediation. A few Member States provide the same data and also future waste arisings data</w:t>
      </w:r>
      <w:r>
        <w:rPr>
          <w:rFonts w:cs="Times New Roman"/>
          <w:noProof/>
          <w:color w:val="000000" w:themeColor="text1"/>
        </w:rPr>
        <w:t xml:space="preserve"> for specified years. Most Member States however do not provide data for the end of the useful life, but only for specified future years. Consequently, it is not possible to project the future overall arisings as the data reported is not consistent. All Me</w:t>
      </w:r>
      <w:r>
        <w:rPr>
          <w:rFonts w:cs="Times New Roman"/>
          <w:noProof/>
          <w:color w:val="000000" w:themeColor="text1"/>
        </w:rPr>
        <w:t xml:space="preserve">mber States reported data are available in the tables in the Annex. </w:t>
      </w:r>
    </w:p>
    <w:p w:rsidR="008702F0" w:rsidRDefault="00ED659C">
      <w:pPr>
        <w:rPr>
          <w:rFonts w:cs="Times New Roman"/>
          <w:noProof/>
          <w:color w:val="000000" w:themeColor="text1"/>
        </w:rPr>
      </w:pPr>
      <w:r>
        <w:rPr>
          <w:rFonts w:cs="Times New Roman"/>
          <w:noProof/>
          <w:color w:val="000000" w:themeColor="text1"/>
        </w:rPr>
        <w:t xml:space="preserve">With regards to </w:t>
      </w:r>
      <w:r>
        <w:rPr>
          <w:rFonts w:cs="Times New Roman"/>
          <w:b/>
          <w:noProof/>
          <w:color w:val="000000" w:themeColor="text1"/>
        </w:rPr>
        <w:t>spent fuel</w:t>
      </w:r>
      <w:r>
        <w:rPr>
          <w:rFonts w:cs="Times New Roman"/>
          <w:noProof/>
          <w:color w:val="000000" w:themeColor="text1"/>
        </w:rPr>
        <w:t xml:space="preserve">, an increase from present 54 000 tHM in storage to 64 000 tHM in 2030 is estimated noting, however, that the majority of the new build inventories has not been </w:t>
      </w:r>
      <w:r>
        <w:rPr>
          <w:rFonts w:cs="Times New Roman"/>
          <w:noProof/>
          <w:color w:val="000000" w:themeColor="text1"/>
        </w:rPr>
        <w:t>reported.</w:t>
      </w:r>
    </w:p>
    <w:p w:rsidR="008702F0" w:rsidRDefault="00ED659C">
      <w:pPr>
        <w:spacing w:before="0" w:after="200"/>
        <w:jc w:val="left"/>
        <w:rPr>
          <w:rFonts w:cs="Times New Roman"/>
          <w:b/>
          <w:noProof/>
          <w:color w:val="000000" w:themeColor="text1"/>
        </w:rPr>
      </w:pPr>
      <w:r>
        <w:rPr>
          <w:rFonts w:cs="Times New Roman"/>
          <w:noProof/>
          <w:color w:val="000000" w:themeColor="text1"/>
        </w:rPr>
        <w:br w:type="page"/>
      </w:r>
    </w:p>
    <w:p w:rsidR="008702F0" w:rsidRDefault="00ED659C">
      <w:pPr>
        <w:pStyle w:val="Heading1"/>
        <w:numPr>
          <w:ilvl w:val="0"/>
          <w:numId w:val="0"/>
        </w:numPr>
        <w:rPr>
          <w:noProof/>
        </w:rPr>
      </w:pPr>
      <w:bookmarkStart w:id="24" w:name="_Toc464802885"/>
      <w:bookmarkStart w:id="25" w:name="_Toc478464496"/>
      <w:r>
        <w:rPr>
          <w:noProof/>
        </w:rPr>
        <w:t>Annex:</w:t>
      </w:r>
      <w:r>
        <w:rPr>
          <w:noProof/>
        </w:rPr>
        <w:tab/>
        <w:t>Spent fuel and radioactive waste inventory data</w:t>
      </w:r>
      <w:bookmarkEnd w:id="24"/>
      <w:bookmarkEnd w:id="25"/>
    </w:p>
    <w:p w:rsidR="008702F0" w:rsidRDefault="008702F0">
      <w:pPr>
        <w:spacing w:before="0" w:after="200"/>
        <w:jc w:val="left"/>
        <w:rPr>
          <w:rFonts w:cs="Times New Roman"/>
          <w:noProof/>
          <w:color w:val="000000" w:themeColor="text1"/>
        </w:rPr>
      </w:pPr>
    </w:p>
    <w:p w:rsidR="008702F0" w:rsidRDefault="00ED659C">
      <w:pPr>
        <w:tabs>
          <w:tab w:val="left" w:pos="426"/>
        </w:tabs>
        <w:ind w:left="426" w:hanging="426"/>
        <w:rPr>
          <w:rFonts w:cs="Times New Roman"/>
          <w:noProof/>
          <w:color w:val="000000" w:themeColor="text1"/>
        </w:rPr>
      </w:pPr>
      <w:r>
        <w:rPr>
          <w:rFonts w:cs="Times New Roman"/>
          <w:noProof/>
          <w:color w:val="000000" w:themeColor="text1"/>
        </w:rPr>
        <w:t xml:space="preserve">"-" </w:t>
      </w:r>
      <w:r>
        <w:rPr>
          <w:rFonts w:cs="Times New Roman"/>
          <w:noProof/>
          <w:color w:val="000000" w:themeColor="text1"/>
        </w:rPr>
        <w:tab/>
        <w:t>in the tables below means no data was received from the Member State or no such practice exists</w:t>
      </w:r>
    </w:p>
    <w:p w:rsidR="008702F0" w:rsidRDefault="00ED659C">
      <w:pPr>
        <w:tabs>
          <w:tab w:val="left" w:pos="426"/>
        </w:tabs>
        <w:ind w:left="426" w:hanging="426"/>
        <w:rPr>
          <w:rFonts w:cs="Times New Roman"/>
          <w:noProof/>
          <w:color w:val="000000" w:themeColor="text1"/>
        </w:rPr>
      </w:pPr>
      <w:r>
        <w:rPr>
          <w:rFonts w:cs="Times New Roman"/>
          <w:noProof/>
          <w:color w:val="000000" w:themeColor="text1"/>
        </w:rPr>
        <w:t xml:space="preserve">"0" </w:t>
      </w:r>
      <w:r>
        <w:rPr>
          <w:rFonts w:cs="Times New Roman"/>
          <w:noProof/>
          <w:color w:val="000000" w:themeColor="text1"/>
        </w:rPr>
        <w:tab/>
        <w:t>in the table means that the data with value "0" was received from the Member State</w:t>
      </w:r>
    </w:p>
    <w:p w:rsidR="008702F0" w:rsidRDefault="008702F0">
      <w:pPr>
        <w:tabs>
          <w:tab w:val="left" w:pos="426"/>
        </w:tabs>
        <w:ind w:left="426" w:hanging="426"/>
        <w:rPr>
          <w:rFonts w:cs="Times New Roman"/>
          <w:noProof/>
          <w:color w:val="000000" w:themeColor="text1"/>
        </w:rPr>
        <w:sectPr w:rsidR="008702F0">
          <w:headerReference w:type="even" r:id="rId35"/>
          <w:headerReference w:type="default" r:id="rId36"/>
          <w:footerReference w:type="even" r:id="rId37"/>
          <w:footerReference w:type="default" r:id="rId38"/>
          <w:headerReference w:type="first" r:id="rId39"/>
          <w:footerReference w:type="first" r:id="rId40"/>
          <w:pgSz w:w="11906" w:h="16838"/>
          <w:pgMar w:top="1117" w:right="1418" w:bottom="1701" w:left="1418" w:header="709" w:footer="709" w:gutter="0"/>
          <w:pgNumType w:start="2"/>
          <w:cols w:space="720"/>
          <w:docGrid w:linePitch="360"/>
        </w:sectPr>
      </w:pPr>
    </w:p>
    <w:p w:rsidR="008702F0" w:rsidRDefault="00ED659C">
      <w:pPr>
        <w:spacing w:after="360"/>
        <w:ind w:left="2520"/>
        <w:jc w:val="center"/>
        <w:rPr>
          <w:rFonts w:cs="Times New Roman"/>
          <w:b/>
          <w:noProof/>
          <w:color w:val="000000" w:themeColor="text1"/>
          <w:sz w:val="20"/>
          <w:szCs w:val="20"/>
          <w:lang w:val="en-US"/>
        </w:rPr>
      </w:pPr>
      <w:r>
        <w:rPr>
          <w:rFonts w:cs="Times New Roman"/>
          <w:b/>
          <w:noProof/>
          <w:color w:val="000000" w:themeColor="text1"/>
        </w:rPr>
        <w:t>Table I.1. Overall European Union radioactive waste inventory and the future prospects as at the end of 2013</w:t>
      </w:r>
    </w:p>
    <w:tbl>
      <w:tblPr>
        <w:tblW w:w="5440" w:type="pct"/>
        <w:tblInd w:w="228" w:type="dxa"/>
        <w:tblLayout w:type="fixed"/>
        <w:tblLook w:val="04A0" w:firstRow="1" w:lastRow="0" w:firstColumn="1" w:lastColumn="0" w:noHBand="0" w:noVBand="1"/>
      </w:tblPr>
      <w:tblGrid>
        <w:gridCol w:w="1158"/>
        <w:gridCol w:w="853"/>
        <w:gridCol w:w="1132"/>
        <w:gridCol w:w="990"/>
        <w:gridCol w:w="987"/>
        <w:gridCol w:w="1138"/>
        <w:gridCol w:w="1123"/>
        <w:gridCol w:w="1141"/>
        <w:gridCol w:w="1020"/>
        <w:gridCol w:w="1141"/>
        <w:gridCol w:w="959"/>
        <w:gridCol w:w="1138"/>
        <w:gridCol w:w="1280"/>
        <w:gridCol w:w="1071"/>
      </w:tblGrid>
      <w:tr w:rsidR="008702F0">
        <w:trPr>
          <w:trHeight w:val="300"/>
          <w:tblHeader/>
        </w:trPr>
        <w:tc>
          <w:tcPr>
            <w:tcW w:w="383" w:type="pct"/>
            <w:tcBorders>
              <w:top w:val="nil"/>
              <w:left w:val="nil"/>
              <w:bottom w:val="nil"/>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val="en-US" w:eastAsia="en-GB"/>
              </w:rPr>
            </w:pPr>
          </w:p>
        </w:tc>
        <w:tc>
          <w:tcPr>
            <w:tcW w:w="282" w:type="pct"/>
            <w:tcBorders>
              <w:top w:val="nil"/>
              <w:left w:val="nil"/>
              <w:bottom w:val="nil"/>
              <w:right w:val="nil"/>
            </w:tcBorders>
            <w:shd w:val="clear" w:color="auto" w:fill="auto"/>
            <w:noWrap/>
            <w:vAlign w:val="bottom"/>
            <w:hideMark/>
          </w:tcPr>
          <w:p w:rsidR="008702F0" w:rsidRDefault="008702F0">
            <w:pPr>
              <w:spacing w:after="0" w:line="240" w:lineRule="auto"/>
              <w:ind w:right="-105"/>
              <w:rPr>
                <w:rFonts w:eastAsia="Times New Roman" w:cs="Times New Roman"/>
                <w:b/>
                <w:noProof/>
                <w:color w:val="000000" w:themeColor="text1"/>
                <w:sz w:val="22"/>
                <w:lang w:eastAsia="en-GB"/>
              </w:rPr>
            </w:pPr>
          </w:p>
        </w:tc>
        <w:tc>
          <w:tcPr>
            <w:tcW w:w="701"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2013</w:t>
            </w:r>
          </w:p>
        </w:tc>
        <w:tc>
          <w:tcPr>
            <w:tcW w:w="702" w:type="pct"/>
            <w:gridSpan w:val="2"/>
            <w:tcBorders>
              <w:top w:val="single" w:sz="8" w:space="0" w:color="auto"/>
              <w:left w:val="nil"/>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2020</w:t>
            </w:r>
          </w:p>
        </w:tc>
        <w:tc>
          <w:tcPr>
            <w:tcW w:w="748" w:type="pct"/>
            <w:gridSpan w:val="2"/>
            <w:tcBorders>
              <w:top w:val="single" w:sz="8" w:space="0" w:color="auto"/>
              <w:left w:val="nil"/>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714" w:type="pct"/>
            <w:gridSpan w:val="2"/>
            <w:tcBorders>
              <w:top w:val="single" w:sz="8" w:space="0" w:color="auto"/>
              <w:left w:val="nil"/>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2040</w:t>
            </w:r>
          </w:p>
        </w:tc>
        <w:tc>
          <w:tcPr>
            <w:tcW w:w="693" w:type="pct"/>
            <w:gridSpan w:val="2"/>
            <w:tcBorders>
              <w:top w:val="single" w:sz="8" w:space="0" w:color="auto"/>
              <w:left w:val="nil"/>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777" w:type="pct"/>
            <w:gridSpan w:val="2"/>
            <w:tcBorders>
              <w:top w:val="single" w:sz="8" w:space="0" w:color="auto"/>
              <w:left w:val="nil"/>
              <w:bottom w:val="single" w:sz="4" w:space="0" w:color="auto"/>
              <w:right w:val="single" w:sz="8" w:space="0" w:color="000000"/>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Other date</w:t>
            </w:r>
          </w:p>
        </w:tc>
      </w:tr>
      <w:tr w:rsidR="008702F0">
        <w:trPr>
          <w:trHeight w:val="315"/>
          <w:tblHeader/>
        </w:trPr>
        <w:tc>
          <w:tcPr>
            <w:tcW w:w="383" w:type="pct"/>
            <w:tcBorders>
              <w:top w:val="nil"/>
              <w:left w:val="nil"/>
              <w:bottom w:val="single" w:sz="8" w:space="0" w:color="auto"/>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eastAsia="en-GB"/>
              </w:rPr>
            </w:pPr>
          </w:p>
        </w:tc>
        <w:tc>
          <w:tcPr>
            <w:tcW w:w="282" w:type="pct"/>
            <w:tcBorders>
              <w:top w:val="nil"/>
              <w:left w:val="nil"/>
              <w:bottom w:val="single" w:sz="8" w:space="0" w:color="auto"/>
              <w:right w:val="nil"/>
            </w:tcBorders>
            <w:shd w:val="clear" w:color="auto" w:fill="auto"/>
            <w:noWrap/>
            <w:vAlign w:val="bottom"/>
            <w:hideMark/>
          </w:tcPr>
          <w:p w:rsidR="008702F0" w:rsidRDefault="008702F0">
            <w:pPr>
              <w:spacing w:after="0" w:line="240" w:lineRule="auto"/>
              <w:ind w:right="-105"/>
              <w:rPr>
                <w:rFonts w:eastAsia="Times New Roman" w:cs="Times New Roman"/>
                <w:noProof/>
                <w:color w:val="000000" w:themeColor="text1"/>
                <w:sz w:val="22"/>
                <w:lang w:eastAsia="en-GB"/>
              </w:rPr>
            </w:pPr>
          </w:p>
        </w:tc>
        <w:tc>
          <w:tcPr>
            <w:tcW w:w="374" w:type="pct"/>
            <w:tcBorders>
              <w:top w:val="nil"/>
              <w:left w:val="single" w:sz="8" w:space="0" w:color="auto"/>
              <w:bottom w:val="single" w:sz="8" w:space="0" w:color="auto"/>
              <w:right w:val="single" w:sz="4" w:space="0" w:color="auto"/>
            </w:tcBorders>
            <w:shd w:val="clear" w:color="auto" w:fill="auto"/>
            <w:vAlign w:val="center"/>
            <w:hideMark/>
          </w:tcPr>
          <w:p w:rsidR="008702F0" w:rsidRDefault="00ED659C">
            <w:pPr>
              <w:spacing w:after="0" w:line="240" w:lineRule="auto"/>
              <w:ind w:left="-110" w:right="-15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w:t>
            </w:r>
            <w:r>
              <w:rPr>
                <w:rFonts w:eastAsia="Times New Roman" w:cs="Times New Roman"/>
                <w:noProof/>
                <w:color w:val="000000" w:themeColor="text1"/>
                <w:sz w:val="22"/>
                <w:lang w:eastAsia="en-GB"/>
              </w:rPr>
              <w:br/>
              <w:t>m</w:t>
            </w:r>
            <w:r>
              <w:rPr>
                <w:rFonts w:eastAsia="Times New Roman" w:cs="Times New Roman"/>
                <w:noProof/>
                <w:color w:val="000000" w:themeColor="text1"/>
                <w:sz w:val="22"/>
                <w:vertAlign w:val="superscript"/>
                <w:lang w:eastAsia="en-GB"/>
              </w:rPr>
              <w:t>3</w:t>
            </w:r>
          </w:p>
        </w:tc>
        <w:tc>
          <w:tcPr>
            <w:tcW w:w="32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Decom. </w:t>
            </w:r>
            <w:r>
              <w:rPr>
                <w:rFonts w:eastAsia="Times New Roman" w:cs="Times New Roman"/>
                <w:noProof/>
                <w:color w:val="000000" w:themeColor="text1"/>
                <w:sz w:val="22"/>
                <w:lang w:eastAsia="en-GB"/>
              </w:rPr>
              <w:t>Share, m</w:t>
            </w:r>
            <w:r>
              <w:rPr>
                <w:rFonts w:eastAsia="Times New Roman" w:cs="Times New Roman"/>
                <w:noProof/>
                <w:color w:val="000000" w:themeColor="text1"/>
                <w:sz w:val="22"/>
                <w:vertAlign w:val="superscript"/>
                <w:lang w:eastAsia="en-GB"/>
              </w:rPr>
              <w:t>3</w:t>
            </w:r>
          </w:p>
        </w:tc>
        <w:tc>
          <w:tcPr>
            <w:tcW w:w="326"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109" w:right="-11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Volume, </w:t>
            </w:r>
            <w:r>
              <w:rPr>
                <w:rFonts w:eastAsia="Times New Roman" w:cs="Times New Roman"/>
                <w:noProof/>
                <w:color w:val="000000" w:themeColor="text1"/>
                <w:sz w:val="22"/>
                <w:lang w:eastAsia="en-GB"/>
              </w:rPr>
              <w:br/>
              <w:t>m</w:t>
            </w:r>
            <w:r>
              <w:rPr>
                <w:rFonts w:eastAsia="Times New Roman" w:cs="Times New Roman"/>
                <w:noProof/>
                <w:color w:val="000000" w:themeColor="text1"/>
                <w:sz w:val="22"/>
                <w:vertAlign w:val="superscript"/>
                <w:lang w:eastAsia="en-GB"/>
              </w:rPr>
              <w:t>3</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Decom. Share, m</w:t>
            </w:r>
            <w:r>
              <w:rPr>
                <w:rFonts w:eastAsia="Times New Roman" w:cs="Times New Roman"/>
                <w:noProof/>
                <w:color w:val="000000" w:themeColor="text1"/>
                <w:sz w:val="22"/>
                <w:vertAlign w:val="superscript"/>
                <w:lang w:eastAsia="en-GB"/>
              </w:rPr>
              <w:t>3</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m</w:t>
            </w:r>
            <w:r>
              <w:rPr>
                <w:rFonts w:eastAsia="Times New Roman" w:cs="Times New Roman"/>
                <w:noProof/>
                <w:color w:val="000000" w:themeColor="text1"/>
                <w:sz w:val="22"/>
                <w:vertAlign w:val="superscript"/>
                <w:lang w:eastAsia="en-GB"/>
              </w:rPr>
              <w:t>3</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Decom. Share, m</w:t>
            </w:r>
            <w:r>
              <w:rPr>
                <w:rFonts w:eastAsia="Times New Roman" w:cs="Times New Roman"/>
                <w:noProof/>
                <w:color w:val="000000" w:themeColor="text1"/>
                <w:sz w:val="22"/>
                <w:vertAlign w:val="superscript"/>
                <w:lang w:eastAsia="en-GB"/>
              </w:rPr>
              <w:t>3</w:t>
            </w:r>
          </w:p>
        </w:tc>
        <w:tc>
          <w:tcPr>
            <w:tcW w:w="337"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right="-87"/>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Volume, </w:t>
            </w:r>
            <w:r>
              <w:rPr>
                <w:rFonts w:eastAsia="Times New Roman" w:cs="Times New Roman"/>
                <w:noProof/>
                <w:color w:val="000000" w:themeColor="text1"/>
                <w:sz w:val="22"/>
                <w:lang w:eastAsia="en-GB"/>
              </w:rPr>
              <w:br/>
              <w:t>m</w:t>
            </w:r>
            <w:r>
              <w:rPr>
                <w:rFonts w:eastAsia="Times New Roman" w:cs="Times New Roman"/>
                <w:noProof/>
                <w:color w:val="000000" w:themeColor="text1"/>
                <w:sz w:val="22"/>
                <w:vertAlign w:val="superscript"/>
                <w:lang w:eastAsia="en-GB"/>
              </w:rPr>
              <w:t>3</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Decom. Share, m</w:t>
            </w:r>
            <w:r>
              <w:rPr>
                <w:rFonts w:eastAsia="Times New Roman" w:cs="Times New Roman"/>
                <w:noProof/>
                <w:color w:val="000000" w:themeColor="text1"/>
                <w:sz w:val="22"/>
                <w:vertAlign w:val="superscript"/>
                <w:lang w:eastAsia="en-GB"/>
              </w:rPr>
              <w:t>3</w:t>
            </w:r>
          </w:p>
        </w:tc>
        <w:tc>
          <w:tcPr>
            <w:tcW w:w="317"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135" w:right="-11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m</w:t>
            </w:r>
            <w:r>
              <w:rPr>
                <w:rFonts w:eastAsia="Times New Roman" w:cs="Times New Roman"/>
                <w:noProof/>
                <w:color w:val="000000" w:themeColor="text1"/>
                <w:sz w:val="22"/>
                <w:vertAlign w:val="superscript"/>
                <w:lang w:eastAsia="en-GB"/>
              </w:rPr>
              <w:t>3</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Decom. Share, m</w:t>
            </w:r>
            <w:r>
              <w:rPr>
                <w:rFonts w:eastAsia="Times New Roman" w:cs="Times New Roman"/>
                <w:noProof/>
                <w:color w:val="000000" w:themeColor="text1"/>
                <w:sz w:val="22"/>
                <w:vertAlign w:val="superscript"/>
                <w:lang w:eastAsia="en-GB"/>
              </w:rPr>
              <w:t>3</w:t>
            </w:r>
          </w:p>
        </w:tc>
        <w:tc>
          <w:tcPr>
            <w:tcW w:w="423"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 xml:space="preserve"> (date)</w:t>
            </w:r>
          </w:p>
        </w:tc>
        <w:tc>
          <w:tcPr>
            <w:tcW w:w="354"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Decom. Share, m</w:t>
            </w:r>
            <w:r>
              <w:rPr>
                <w:rFonts w:eastAsia="Times New Roman" w:cs="Times New Roman"/>
                <w:noProof/>
                <w:color w:val="000000" w:themeColor="text1"/>
                <w:sz w:val="22"/>
                <w:vertAlign w:val="superscript"/>
                <w:lang w:eastAsia="en-GB"/>
              </w:rPr>
              <w:t>3</w:t>
            </w:r>
          </w:p>
        </w:tc>
      </w:tr>
      <w:tr w:rsidR="008702F0">
        <w:trPr>
          <w:trHeight w:val="393"/>
        </w:trPr>
        <w:tc>
          <w:tcPr>
            <w:tcW w:w="383"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407"/>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2781</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1390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3120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1980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3660</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2480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3710</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2480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71</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8"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16067</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5371</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4700</w:t>
            </w:r>
          </w:p>
        </w:tc>
        <w:tc>
          <w:tcPr>
            <w:tcW w:w="32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42000</w:t>
            </w:r>
          </w:p>
        </w:tc>
        <w:tc>
          <w:tcPr>
            <w:tcW w:w="37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23000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90200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w:t>
            </w:r>
          </w:p>
        </w:tc>
        <w:tc>
          <w:tcPr>
            <w:tcW w:w="377"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12.5</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113.75</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1546.25</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1548.25</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ind w:right="-11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4561.25</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4540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376"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13580.2</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1120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vMerge w:val="restart"/>
            <w:tcBorders>
              <w:top w:val="single" w:sz="8" w:space="0" w:color="auto"/>
              <w:left w:val="single" w:sz="8" w:space="0" w:color="auto"/>
              <w:right w:val="nil"/>
            </w:tcBorders>
            <w:shd w:val="clear" w:color="auto" w:fill="auto"/>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5000 - 10000</w:t>
            </w:r>
          </w:p>
        </w:tc>
        <w:tc>
          <w:tcPr>
            <w:tcW w:w="354"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vMerge/>
            <w:tcBorders>
              <w:left w:val="single" w:sz="8" w:space="0" w:color="auto"/>
              <w:right w:val="nil"/>
            </w:tcBorders>
            <w:shd w:val="clear" w:color="auto" w:fill="auto"/>
            <w:noWrap/>
            <w:vAlign w:val="center"/>
            <w:hideMark/>
          </w:tcPr>
          <w:p w:rsidR="008702F0" w:rsidRDefault="008702F0">
            <w:pPr>
              <w:spacing w:after="0" w:line="240" w:lineRule="auto"/>
              <w:jc w:val="center"/>
              <w:rPr>
                <w:rFonts w:eastAsia="Times New Roman" w:cs="Times New Roman"/>
                <w:noProof/>
                <w:color w:val="000000" w:themeColor="text1"/>
                <w:sz w:val="22"/>
                <w:lang w:eastAsia="en-GB"/>
              </w:rPr>
            </w:pP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846 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vMerge/>
            <w:tcBorders>
              <w:left w:val="single" w:sz="8" w:space="0" w:color="auto"/>
              <w:right w:val="nil"/>
            </w:tcBorders>
            <w:shd w:val="clear" w:color="auto" w:fill="auto"/>
            <w:noWrap/>
            <w:vAlign w:val="center"/>
            <w:hideMark/>
          </w:tcPr>
          <w:p w:rsidR="008702F0" w:rsidRDefault="008702F0">
            <w:pPr>
              <w:spacing w:after="0" w:line="240" w:lineRule="auto"/>
              <w:jc w:val="center"/>
              <w:rPr>
                <w:rFonts w:eastAsia="Times New Roman" w:cs="Times New Roman"/>
                <w:noProof/>
                <w:color w:val="000000" w:themeColor="text1"/>
                <w:sz w:val="22"/>
                <w:lang w:eastAsia="en-GB"/>
              </w:rPr>
            </w:pP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vMerge/>
            <w:tcBorders>
              <w:left w:val="single" w:sz="8" w:space="0" w:color="auto"/>
              <w:bottom w:val="single" w:sz="8" w:space="0" w:color="auto"/>
              <w:right w:val="nil"/>
            </w:tcBorders>
            <w:shd w:val="clear" w:color="auto" w:fill="auto"/>
            <w:noWrap/>
            <w:vAlign w:val="center"/>
            <w:hideMark/>
          </w:tcPr>
          <w:p w:rsidR="008702F0" w:rsidRDefault="008702F0">
            <w:pPr>
              <w:spacing w:after="0" w:line="240" w:lineRule="auto"/>
              <w:jc w:val="center"/>
              <w:rPr>
                <w:rFonts w:eastAsia="Times New Roman" w:cs="Times New Roman"/>
                <w:noProof/>
                <w:color w:val="000000" w:themeColor="text1"/>
                <w:sz w:val="22"/>
                <w:lang w:eastAsia="en-GB"/>
              </w:rPr>
            </w:pP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1550.9</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1379</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1552.8</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1379</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1555.5</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1379</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1558.2</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1379</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1560.9</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1379</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374.6</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357</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375</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357</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375.6</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357</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376.2</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357</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376.8</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357</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w:t>
            </w:r>
            <w:r>
              <w:rPr>
                <w:rFonts w:eastAsia="Times New Roman" w:cs="Times New Roman"/>
                <w:noProof/>
                <w:color w:val="000000" w:themeColor="text1"/>
                <w:sz w:val="22"/>
                <w:lang w:eastAsia="en-GB"/>
              </w:rPr>
              <w:softHyphen/>
              <w:t>land**</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000000"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6404</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7661</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15383</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31705</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33327</w:t>
            </w:r>
          </w:p>
        </w:tc>
        <w:tc>
          <w:tcPr>
            <w:tcW w:w="376"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000000"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3421</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4526</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10002</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12707</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12852</w:t>
            </w:r>
          </w:p>
        </w:tc>
        <w:tc>
          <w:tcPr>
            <w:tcW w:w="376"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ind w:left="-109" w:right="-11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440000</w:t>
            </w:r>
          </w:p>
        </w:tc>
        <w:tc>
          <w:tcPr>
            <w:tcW w:w="32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650000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1100000</w:t>
            </w:r>
          </w:p>
        </w:tc>
        <w:tc>
          <w:tcPr>
            <w:tcW w:w="37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2200000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880000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ind w:left="-109" w:right="-11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1000000</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1900000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135000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140000</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173000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252000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3200</w:t>
            </w:r>
          </w:p>
        </w:tc>
        <w:tc>
          <w:tcPr>
            <w:tcW w:w="327"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4100</w:t>
            </w:r>
          </w:p>
        </w:tc>
        <w:tc>
          <w:tcPr>
            <w:tcW w:w="376"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5500</w:t>
            </w:r>
          </w:p>
        </w:tc>
        <w:tc>
          <w:tcPr>
            <w:tcW w:w="377"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10000</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215585</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232800</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298900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322300</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342700</w:t>
            </w:r>
          </w:p>
        </w:tc>
        <w:tc>
          <w:tcPr>
            <w:tcW w:w="376"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350200 (2080)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23966</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25900</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34000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36600</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38800</w:t>
            </w:r>
          </w:p>
        </w:tc>
        <w:tc>
          <w:tcPr>
            <w:tcW w:w="376"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39700 (2080)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568</w:t>
            </w:r>
          </w:p>
        </w:tc>
        <w:tc>
          <w:tcPr>
            <w:tcW w:w="327" w:type="pct"/>
            <w:tcBorders>
              <w:top w:val="single" w:sz="4" w:space="0" w:color="auto"/>
              <w:left w:val="nil"/>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376" w:type="pct"/>
            <w:tcBorders>
              <w:top w:val="single" w:sz="4" w:space="0" w:color="auto"/>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377" w:type="pct"/>
            <w:tcBorders>
              <w:top w:val="single" w:sz="4" w:space="0" w:color="auto"/>
              <w:left w:val="single" w:sz="4" w:space="0" w:color="auto"/>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000000"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377" w:type="pct"/>
            <w:tcBorders>
              <w:top w:val="single" w:sz="4" w:space="0" w:color="auto"/>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376" w:type="pct"/>
            <w:tcBorders>
              <w:top w:val="single" w:sz="4" w:space="0" w:color="auto"/>
              <w:left w:val="single" w:sz="4" w:space="0" w:color="auto"/>
              <w:bottom w:val="nil"/>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 (2080)</w:t>
            </w:r>
          </w:p>
        </w:tc>
        <w:tc>
          <w:tcPr>
            <w:tcW w:w="354" w:type="pct"/>
            <w:tcBorders>
              <w:top w:val="single" w:sz="4" w:space="0" w:color="auto"/>
              <w:left w:val="single" w:sz="4" w:space="0" w:color="auto"/>
              <w:bottom w:val="nil"/>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29.344</w:t>
            </w:r>
          </w:p>
        </w:tc>
        <w:tc>
          <w:tcPr>
            <w:tcW w:w="32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8"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62.344</w:t>
            </w:r>
          </w:p>
        </w:tc>
        <w:tc>
          <w:tcPr>
            <w:tcW w:w="354"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21.202</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23.602</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11475</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11949</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14007</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16323</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17359</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65590 (2100)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57330</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4918</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5121</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6003</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6996</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7440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28110 (2100)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6370</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266</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523</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610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 (2100)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243</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5311</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10036</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5625</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17870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13460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22467</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w:t>
            </w:r>
            <w:r>
              <w:rPr>
                <w:rFonts w:eastAsia="Times New Roman" w:cs="Times New Roman"/>
                <w:noProof/>
                <w:color w:val="000000" w:themeColor="text1"/>
                <w:sz w:val="22"/>
                <w:lang w:eastAsia="en-GB"/>
              </w:rPr>
              <w:t>057</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22467</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18057</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22467 (2065)</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18057</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30545</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4499</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38087</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12043</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48927</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22883</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54579</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28534</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56279</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30233</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58659 (2065</w:t>
            </w: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32614</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5540</w:t>
            </w:r>
          </w:p>
        </w:tc>
        <w:tc>
          <w:tcPr>
            <w:tcW w:w="32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5911</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521</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11463</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6073</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8322</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8322</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 (2065)</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8322</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 (2065)</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858</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1858</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1878</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1898</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32.5</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42.5</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47.5</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52.5</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20000</w:t>
            </w:r>
          </w:p>
        </w:tc>
        <w:tc>
          <w:tcPr>
            <w:tcW w:w="32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3502</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35000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60000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60000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30377</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35816</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66130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12840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96130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27220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96130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27220</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7500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10500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r>
              <w:rPr>
                <w:rFonts w:eastAsia="Times New Roman" w:cs="Times New Roman"/>
                <w:noProof/>
                <w:color w:val="000000" w:themeColor="text1"/>
                <w:sz w:val="22"/>
                <w:lang w:eastAsia="en-GB"/>
              </w:rPr>
              <w:t>000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10500</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4"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2F0" w:rsidRDefault="00ED659C">
            <w:pPr>
              <w:spacing w:after="0" w:line="240" w:lineRule="auto"/>
              <w:ind w:right="-109"/>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w:t>
            </w:r>
            <w:r>
              <w:rPr>
                <w:rFonts w:eastAsia="Times New Roman" w:cs="Times New Roman"/>
                <w:noProof/>
                <w:color w:val="000000" w:themeColor="text1"/>
                <w:sz w:val="22"/>
                <w:lang w:eastAsia="en-GB"/>
              </w:rPr>
              <w:softHyphen/>
              <w:t>bourg</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single" w:sz="4" w:space="0" w:color="auto"/>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2</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noProof/>
        </w:rPr>
      </w:pPr>
      <w:r>
        <w:rPr>
          <w:noProof/>
        </w:rPr>
        <w:br w:type="page"/>
      </w:r>
    </w:p>
    <w:tbl>
      <w:tblPr>
        <w:tblW w:w="5440" w:type="pct"/>
        <w:tblInd w:w="228" w:type="dxa"/>
        <w:tblLayout w:type="fixed"/>
        <w:tblLook w:val="04A0" w:firstRow="1" w:lastRow="0" w:firstColumn="1" w:lastColumn="0" w:noHBand="0" w:noVBand="1"/>
      </w:tblPr>
      <w:tblGrid>
        <w:gridCol w:w="1158"/>
        <w:gridCol w:w="853"/>
        <w:gridCol w:w="1132"/>
        <w:gridCol w:w="990"/>
        <w:gridCol w:w="987"/>
        <w:gridCol w:w="1138"/>
        <w:gridCol w:w="1123"/>
        <w:gridCol w:w="1141"/>
        <w:gridCol w:w="1020"/>
        <w:gridCol w:w="1141"/>
        <w:gridCol w:w="959"/>
        <w:gridCol w:w="1138"/>
        <w:gridCol w:w="1280"/>
        <w:gridCol w:w="1071"/>
      </w:tblGrid>
      <w:tr w:rsidR="008702F0">
        <w:trPr>
          <w:trHeight w:val="300"/>
        </w:trPr>
        <w:tc>
          <w:tcPr>
            <w:tcW w:w="383"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Malta </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4" w:space="0" w:color="auto"/>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single" w:sz="4" w:space="0" w:color="auto"/>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w:t>
            </w:r>
            <w:r>
              <w:rPr>
                <w:rFonts w:eastAsia="Times New Roman" w:cs="Times New Roman"/>
                <w:noProof/>
                <w:color w:val="000000" w:themeColor="text1"/>
                <w:sz w:val="22"/>
                <w:lang w:eastAsia="en-GB"/>
              </w:rPr>
              <w:softHyphen/>
              <w:t>lands</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8" w:space="0" w:color="auto"/>
              <w:left w:val="single" w:sz="8" w:space="0" w:color="auto"/>
              <w:bottom w:val="single" w:sz="4" w:space="0" w:color="auto"/>
              <w:right w:val="nil"/>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43.9</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41.7</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8" w:space="0" w:color="auto"/>
              <w:right w:val="nil"/>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844</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1020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1280</w:t>
            </w:r>
          </w:p>
        </w:tc>
        <w:tc>
          <w:tcPr>
            <w:tcW w:w="37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1850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2113</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2250</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2350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2350</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2350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130</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850</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880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910</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940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nil"/>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234</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269</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339</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423</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493</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106</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330</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single" w:sz="4" w:space="0" w:color="auto"/>
              <w:left w:val="single" w:sz="4" w:space="0" w:color="auto"/>
              <w:bottom w:val="single" w:sz="4" w:space="0" w:color="auto"/>
              <w:right w:val="single" w:sz="4"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2802</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7670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12730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17250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32370 (2095)</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16100</w:t>
            </w:r>
          </w:p>
        </w:tc>
      </w:tr>
      <w:tr w:rsidR="008702F0">
        <w:trPr>
          <w:trHeight w:val="300"/>
        </w:trPr>
        <w:tc>
          <w:tcPr>
            <w:tcW w:w="383" w:type="pct"/>
            <w:vMerge/>
            <w:tcBorders>
              <w:top w:val="single" w:sz="4" w:space="0" w:color="auto"/>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960</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1075</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175</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2235 (2095)</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1320</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(2095)</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bl>
    <w:p w:rsidR="008702F0" w:rsidRDefault="00ED659C">
      <w:pPr>
        <w:rPr>
          <w:noProof/>
        </w:rPr>
      </w:pPr>
      <w:r>
        <w:rPr>
          <w:noProof/>
        </w:rPr>
        <w:br w:type="page"/>
      </w:r>
    </w:p>
    <w:tbl>
      <w:tblPr>
        <w:tblW w:w="5440" w:type="pct"/>
        <w:tblInd w:w="228" w:type="dxa"/>
        <w:tblLayout w:type="fixed"/>
        <w:tblLook w:val="04A0" w:firstRow="1" w:lastRow="0" w:firstColumn="1" w:lastColumn="0" w:noHBand="0" w:noVBand="1"/>
      </w:tblPr>
      <w:tblGrid>
        <w:gridCol w:w="1158"/>
        <w:gridCol w:w="853"/>
        <w:gridCol w:w="1132"/>
        <w:gridCol w:w="990"/>
        <w:gridCol w:w="987"/>
        <w:gridCol w:w="1138"/>
        <w:gridCol w:w="1123"/>
        <w:gridCol w:w="1141"/>
        <w:gridCol w:w="1020"/>
        <w:gridCol w:w="1141"/>
        <w:gridCol w:w="959"/>
        <w:gridCol w:w="1138"/>
        <w:gridCol w:w="1280"/>
        <w:gridCol w:w="1071"/>
      </w:tblGrid>
      <w:tr w:rsidR="008702F0">
        <w:trPr>
          <w:trHeight w:val="300"/>
        </w:trPr>
        <w:tc>
          <w:tcPr>
            <w:tcW w:w="383"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000000"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5511</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5246</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ind w:left="-117"/>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13726</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12726</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000000"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13399</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ind w:left="-112" w:right="-107"/>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8273.773</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23558</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12015</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38512</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24648</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41894</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25136</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44644</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25136</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24.813</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1187</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1887</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1887</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nil"/>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2306</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2562</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2970</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3336</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4207</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740</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16777</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2200</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26223</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9371</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44018</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24133</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101955</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81452</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101955</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81452</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w:t>
            </w:r>
            <w:r>
              <w:rPr>
                <w:rFonts w:eastAsia="Times New Roman" w:cs="Times New Roman"/>
                <w:noProof/>
                <w:color w:val="000000" w:themeColor="text1"/>
                <w:sz w:val="22"/>
                <w:lang w:eastAsia="en-GB"/>
              </w:rPr>
              <w:t>01955 (2090)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81452</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38481</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2196</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44372</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5229</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55856</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12608</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85939</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42438</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85939</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42438</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85939 (2090)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42438</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361</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361</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 (2090)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361</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26"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37" w:type="pct"/>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(2090)</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383" w:type="pct"/>
            <w:vMerge w:val="restart"/>
            <w:tcBorders>
              <w:top w:val="nil"/>
              <w:left w:val="single" w:sz="8" w:space="0" w:color="auto"/>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21717</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24000</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26000</w:t>
            </w:r>
          </w:p>
        </w:tc>
        <w:tc>
          <w:tcPr>
            <w:tcW w:w="377"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28000</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30000</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left w:val="single" w:sz="8" w:space="0" w:color="auto"/>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41911</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32000</w:t>
            </w: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97000</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110000</w:t>
            </w:r>
          </w:p>
        </w:tc>
        <w:tc>
          <w:tcPr>
            <w:tcW w:w="377"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157000</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86000</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157000 (2076)</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86000</w:t>
            </w:r>
          </w:p>
        </w:tc>
      </w:tr>
      <w:tr w:rsidR="008702F0">
        <w:trPr>
          <w:trHeight w:val="300"/>
        </w:trPr>
        <w:tc>
          <w:tcPr>
            <w:tcW w:w="383" w:type="pct"/>
            <w:vMerge/>
            <w:tcBorders>
              <w:left w:val="single" w:sz="8" w:space="0" w:color="auto"/>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13000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15500 (2076)</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w:t>
            </w:r>
          </w:p>
        </w:tc>
      </w:tr>
      <w:tr w:rsidR="008702F0">
        <w:trPr>
          <w:trHeight w:val="315"/>
        </w:trPr>
        <w:tc>
          <w:tcPr>
            <w:tcW w:w="383" w:type="pct"/>
            <w:vMerge/>
            <w:tcBorders>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single" w:sz="4" w:space="0" w:color="auto"/>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6296*</w:t>
            </w:r>
          </w:p>
        </w:tc>
        <w:tc>
          <w:tcPr>
            <w:tcW w:w="32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7500*</w:t>
            </w:r>
          </w:p>
        </w:tc>
        <w:tc>
          <w:tcPr>
            <w:tcW w:w="376" w:type="pct"/>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9500*</w:t>
            </w:r>
          </w:p>
        </w:tc>
        <w:tc>
          <w:tcPr>
            <w:tcW w:w="37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ind w:right="-87"/>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w:t>
            </w:r>
          </w:p>
        </w:tc>
        <w:tc>
          <w:tcPr>
            <w:tcW w:w="377" w:type="pct"/>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ind w:right="-11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12600*</w:t>
            </w:r>
          </w:p>
        </w:tc>
        <w:tc>
          <w:tcPr>
            <w:tcW w:w="376" w:type="pct"/>
            <w:tcBorders>
              <w:top w:val="single" w:sz="4" w:space="0" w:color="auto"/>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12600*</w:t>
            </w:r>
          </w:p>
        </w:tc>
        <w:tc>
          <w:tcPr>
            <w:tcW w:w="354"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w:t>
            </w:r>
          </w:p>
        </w:tc>
      </w:tr>
    </w:tbl>
    <w:p w:rsidR="008702F0" w:rsidRDefault="00ED659C">
      <w:pPr>
        <w:rPr>
          <w:noProof/>
        </w:rPr>
      </w:pPr>
      <w:r>
        <w:rPr>
          <w:noProof/>
        </w:rPr>
        <w:br w:type="page"/>
      </w:r>
    </w:p>
    <w:tbl>
      <w:tblPr>
        <w:tblW w:w="5440" w:type="pct"/>
        <w:tblInd w:w="228" w:type="dxa"/>
        <w:tblLayout w:type="fixed"/>
        <w:tblLook w:val="04A0" w:firstRow="1" w:lastRow="0" w:firstColumn="1" w:lastColumn="0" w:noHBand="0" w:noVBand="1"/>
      </w:tblPr>
      <w:tblGrid>
        <w:gridCol w:w="1158"/>
        <w:gridCol w:w="853"/>
        <w:gridCol w:w="1132"/>
        <w:gridCol w:w="990"/>
        <w:gridCol w:w="987"/>
        <w:gridCol w:w="1138"/>
        <w:gridCol w:w="1123"/>
        <w:gridCol w:w="1141"/>
        <w:gridCol w:w="1020"/>
        <w:gridCol w:w="1141"/>
        <w:gridCol w:w="959"/>
        <w:gridCol w:w="1138"/>
        <w:gridCol w:w="1280"/>
        <w:gridCol w:w="1071"/>
      </w:tblGrid>
      <w:tr w:rsidR="008702F0">
        <w:trPr>
          <w:trHeight w:val="300"/>
        </w:trPr>
        <w:tc>
          <w:tcPr>
            <w:tcW w:w="383"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282" w:type="pct"/>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1170</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single" w:sz="4" w:space="0" w:color="auto"/>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2840000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1107500</w:t>
            </w:r>
          </w:p>
        </w:tc>
        <w:tc>
          <w:tcPr>
            <w:tcW w:w="32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2457600</w:t>
            </w:r>
          </w:p>
        </w:tc>
        <w:tc>
          <w:tcPr>
            <w:tcW w:w="354" w:type="pct"/>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374" w:type="pct"/>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153000</w:t>
            </w:r>
          </w:p>
        </w:tc>
        <w:tc>
          <w:tcPr>
            <w:tcW w:w="32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458000</w:t>
            </w:r>
          </w:p>
        </w:tc>
        <w:tc>
          <w:tcPr>
            <w:tcW w:w="35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383" w:type="pct"/>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282" w:type="pct"/>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ind w:right="-105"/>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374" w:type="pct"/>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w:t>
            </w:r>
          </w:p>
        </w:tc>
        <w:tc>
          <w:tcPr>
            <w:tcW w:w="327"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2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1" w:type="pct"/>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7" w:type="pct"/>
            <w:tcBorders>
              <w:top w:val="nil"/>
              <w:left w:val="nil"/>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17" w:type="pct"/>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376" w:type="pct"/>
            <w:tcBorders>
              <w:top w:val="nil"/>
              <w:left w:val="single" w:sz="4"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23" w:type="pct"/>
            <w:tcBorders>
              <w:top w:val="nil"/>
              <w:left w:val="single" w:sz="8" w:space="0" w:color="auto"/>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1410</w:t>
            </w:r>
          </w:p>
        </w:tc>
        <w:tc>
          <w:tcPr>
            <w:tcW w:w="354" w:type="pct"/>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ind w:left="1418" w:hanging="698"/>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Spent fuel either in storage or directly disposed of (Mass of heavy metal, t</w:t>
      </w:r>
      <w:r>
        <w:rPr>
          <w:rFonts w:cs="Times New Roman"/>
          <w:noProof/>
          <w:color w:val="000000" w:themeColor="text1"/>
          <w:sz w:val="20"/>
          <w:szCs w:val="20"/>
          <w:lang w:val="en-US"/>
        </w:rPr>
        <w:t>HM)</w:t>
      </w:r>
    </w:p>
    <w:p w:rsidR="008702F0" w:rsidRDefault="00ED659C">
      <w:pPr>
        <w:ind w:left="1418" w:hanging="698"/>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No HLW expected as spent fuel will be disposed of directly. Finland reported the amounts of spent fuel stored without the information on the overall inventory of spent fuel.</w:t>
      </w:r>
    </w:p>
    <w:p w:rsidR="008702F0" w:rsidRDefault="00ED659C">
      <w:pPr>
        <w:ind w:left="1418" w:hanging="698"/>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Not registered.</w:t>
      </w:r>
    </w:p>
    <w:p w:rsidR="008702F0" w:rsidRDefault="008702F0">
      <w:pPr>
        <w:rPr>
          <w:rFonts w:cs="Times New Roman"/>
          <w:noProof/>
          <w:color w:val="000000" w:themeColor="text1"/>
          <w:szCs w:val="24"/>
          <w:lang w:val="en-US"/>
        </w:rPr>
        <w:sectPr w:rsidR="008702F0">
          <w:headerReference w:type="even" r:id="rId41"/>
          <w:headerReference w:type="default" r:id="rId42"/>
          <w:footerReference w:type="even" r:id="rId43"/>
          <w:footerReference w:type="default" r:id="rId44"/>
          <w:headerReference w:type="first" r:id="rId45"/>
          <w:footerReference w:type="first" r:id="rId46"/>
          <w:pgSz w:w="16838" w:h="11906" w:orient="landscape"/>
          <w:pgMar w:top="1080" w:right="2438" w:bottom="1418" w:left="709" w:header="709" w:footer="709" w:gutter="0"/>
          <w:pgNumType w:fmt="upperRoman"/>
          <w:cols w:space="708"/>
          <w:docGrid w:linePitch="360"/>
        </w:sectPr>
      </w:pPr>
    </w:p>
    <w:p w:rsidR="008702F0" w:rsidRDefault="00ED659C">
      <w:pPr>
        <w:spacing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2. Spent fuel stored on Member States' territory</w:t>
      </w:r>
    </w:p>
    <w:tbl>
      <w:tblPr>
        <w:tblW w:w="9622" w:type="dxa"/>
        <w:tblInd w:w="-34" w:type="dxa"/>
        <w:tblLook w:val="04A0" w:firstRow="1" w:lastRow="0" w:firstColumn="1" w:lastColumn="0" w:noHBand="0" w:noVBand="1"/>
      </w:tblPr>
      <w:tblGrid>
        <w:gridCol w:w="1843"/>
        <w:gridCol w:w="1438"/>
        <w:gridCol w:w="996"/>
        <w:gridCol w:w="1176"/>
        <w:gridCol w:w="996"/>
        <w:gridCol w:w="1235"/>
        <w:gridCol w:w="1938"/>
      </w:tblGrid>
      <w:tr w:rsidR="008702F0">
        <w:trPr>
          <w:trHeight w:val="299"/>
          <w:tblHeader/>
        </w:trPr>
        <w:tc>
          <w:tcPr>
            <w:tcW w:w="1843" w:type="dxa"/>
            <w:vMerge w:val="restart"/>
            <w:tcBorders>
              <w:top w:val="nil"/>
              <w:left w:val="nil"/>
              <w:bottom w:val="nil"/>
              <w:right w:val="nil"/>
            </w:tcBorders>
            <w:shd w:val="clear" w:color="auto" w:fill="auto"/>
            <w:noWrap/>
            <w:vAlign w:val="bottom"/>
            <w:hideMark/>
          </w:tcPr>
          <w:p w:rsidR="008702F0" w:rsidRDefault="008702F0">
            <w:pPr>
              <w:spacing w:after="0" w:line="240" w:lineRule="auto"/>
              <w:jc w:val="center"/>
              <w:rPr>
                <w:rFonts w:eastAsia="Times New Roman" w:cs="Times New Roman"/>
                <w:b/>
                <w:bCs/>
                <w:noProof/>
                <w:color w:val="000000" w:themeColor="text1"/>
                <w:sz w:val="22"/>
                <w:lang w:eastAsia="en-GB"/>
              </w:rPr>
            </w:pPr>
          </w:p>
        </w:tc>
        <w:tc>
          <w:tcPr>
            <w:tcW w:w="777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SF in Storage on a Member State territory, tHM</w:t>
            </w:r>
          </w:p>
        </w:tc>
      </w:tr>
      <w:tr w:rsidR="008702F0">
        <w:trPr>
          <w:trHeight w:val="299"/>
          <w:tblHeader/>
        </w:trPr>
        <w:tc>
          <w:tcPr>
            <w:tcW w:w="1843" w:type="dxa"/>
            <w:vMerge/>
            <w:tcBorders>
              <w:top w:val="nil"/>
              <w:left w:val="nil"/>
              <w:bottom w:val="single" w:sz="4" w:space="0" w:color="auto"/>
              <w:right w:val="nil"/>
            </w:tcBorders>
            <w:vAlign w:val="center"/>
            <w:hideMark/>
          </w:tcPr>
          <w:p w:rsidR="008702F0" w:rsidRDefault="008702F0">
            <w:pPr>
              <w:spacing w:after="0" w:line="240" w:lineRule="auto"/>
              <w:rPr>
                <w:rFonts w:eastAsia="Times New Roman" w:cs="Times New Roman"/>
                <w:b/>
                <w:bCs/>
                <w:noProof/>
                <w:color w:val="000000" w:themeColor="text1"/>
                <w:sz w:val="22"/>
                <w:lang w:eastAsia="en-GB"/>
              </w:rPr>
            </w:pPr>
          </w:p>
        </w:tc>
        <w:tc>
          <w:tcPr>
            <w:tcW w:w="1438"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2013</w:t>
            </w:r>
          </w:p>
        </w:tc>
        <w:tc>
          <w:tcPr>
            <w:tcW w:w="996"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1176"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996"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12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c>
          <w:tcPr>
            <w:tcW w:w="1938"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(Mass/date)</w:t>
            </w:r>
          </w:p>
        </w:tc>
      </w:tr>
      <w:tr w:rsidR="008702F0">
        <w:trPr>
          <w:trHeight w:val="285"/>
        </w:trPr>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1438"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3302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796.5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1530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1521.3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2236</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2612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2979</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3377</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0.2379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1933.9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2361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2658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2251</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2561</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14146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14256</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16277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8397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10500</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10500</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1177.509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1393.13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2063.56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2844.42</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3323.42</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4999.92 / 2086</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30.162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2415.952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2415.95</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2415.95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2415.95</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2415.95</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after 2067</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0.02346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0.3105</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0.4255</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2289.056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6600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10600</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14300</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20400.55 / 2080</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1505.28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2289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3380</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516</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829</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4685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5424</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6679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6679</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6679</w:t>
            </w:r>
          </w:p>
        </w:tc>
        <w:tc>
          <w:tcPr>
            <w:tcW w:w="1938"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2090</w:t>
            </w:r>
          </w:p>
        </w:tc>
      </w:tr>
      <w:tr w:rsidR="008702F0">
        <w:trPr>
          <w:trHeight w:val="285"/>
        </w:trPr>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6296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4000</w:t>
            </w:r>
          </w:p>
        </w:tc>
        <w:tc>
          <w:tcPr>
            <w:tcW w:w="19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299"/>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1438"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5329</w:t>
            </w:r>
          </w:p>
        </w:tc>
        <w:tc>
          <w:tcPr>
            <w:tcW w:w="9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76"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96"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35"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93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11772/ long-term (Date not available)</w:t>
            </w:r>
          </w:p>
        </w:tc>
      </w:tr>
    </w:tbl>
    <w:p w:rsidR="008702F0" w:rsidRDefault="008702F0">
      <w:pPr>
        <w:rPr>
          <w:rFonts w:cs="Times New Roman"/>
          <w:noProof/>
          <w:color w:val="000000" w:themeColor="text1"/>
          <w:sz w:val="22"/>
        </w:rPr>
      </w:pPr>
    </w:p>
    <w:p w:rsidR="008702F0" w:rsidRDefault="00ED659C">
      <w:pPr>
        <w:spacing w:before="0" w:after="200"/>
        <w:jc w:val="left"/>
        <w:rPr>
          <w:rFonts w:cs="Times New Roman"/>
          <w:b/>
          <w:noProof/>
          <w:color w:val="000000" w:themeColor="text1"/>
          <w:sz w:val="22"/>
          <w:lang w:val="en-US"/>
        </w:rPr>
      </w:pPr>
      <w:r>
        <w:rPr>
          <w:rFonts w:cs="Times New Roman"/>
          <w:b/>
          <w:noProof/>
          <w:color w:val="000000" w:themeColor="text1"/>
          <w:sz w:val="22"/>
          <w:lang w:val="en-US"/>
        </w:rPr>
        <w:br w:type="page"/>
      </w:r>
    </w:p>
    <w:p w:rsidR="008702F0" w:rsidRDefault="00ED659C">
      <w:pPr>
        <w:spacing w:before="0" w:after="200"/>
        <w:jc w:val="center"/>
        <w:rPr>
          <w:rFonts w:cs="Times New Roman"/>
          <w:b/>
          <w:noProof/>
          <w:color w:val="000000" w:themeColor="text1"/>
          <w:lang w:val="en-US"/>
        </w:rPr>
      </w:pPr>
      <w:r>
        <w:rPr>
          <w:rFonts w:cs="Times New Roman"/>
          <w:b/>
          <w:noProof/>
          <w:color w:val="000000" w:themeColor="text1"/>
          <w:lang w:val="en-US"/>
        </w:rPr>
        <w:t xml:space="preserve">Table </w:t>
      </w:r>
      <w:r>
        <w:rPr>
          <w:rFonts w:cs="Times New Roman"/>
          <w:b/>
          <w:noProof/>
          <w:color w:val="000000" w:themeColor="text1"/>
        </w:rPr>
        <w:t>I.</w:t>
      </w:r>
      <w:r>
        <w:rPr>
          <w:rFonts w:cs="Times New Roman"/>
          <w:b/>
          <w:noProof/>
          <w:color w:val="000000" w:themeColor="text1"/>
          <w:lang w:val="en-US"/>
        </w:rPr>
        <w:t>3. Spent fuel stored outside European Union territory</w:t>
      </w:r>
    </w:p>
    <w:tbl>
      <w:tblPr>
        <w:tblW w:w="9371" w:type="dxa"/>
        <w:tblInd w:w="108" w:type="dxa"/>
        <w:tblLook w:val="04A0" w:firstRow="1" w:lastRow="0" w:firstColumn="1" w:lastColumn="0" w:noHBand="0" w:noVBand="1"/>
      </w:tblPr>
      <w:tblGrid>
        <w:gridCol w:w="1843"/>
        <w:gridCol w:w="1605"/>
        <w:gridCol w:w="731"/>
        <w:gridCol w:w="731"/>
        <w:gridCol w:w="731"/>
        <w:gridCol w:w="731"/>
        <w:gridCol w:w="2999"/>
      </w:tblGrid>
      <w:tr w:rsidR="008702F0">
        <w:trPr>
          <w:trHeight w:val="315"/>
        </w:trPr>
        <w:tc>
          <w:tcPr>
            <w:tcW w:w="1843" w:type="dxa"/>
            <w:vMerge w:val="restart"/>
            <w:tcBorders>
              <w:top w:val="nil"/>
              <w:left w:val="nil"/>
              <w:bottom w:val="nil"/>
              <w:right w:val="nil"/>
            </w:tcBorders>
            <w:shd w:val="clear" w:color="auto" w:fill="auto"/>
            <w:noWrap/>
            <w:vAlign w:val="bottom"/>
            <w:hideMark/>
          </w:tcPr>
          <w:p w:rsidR="008702F0" w:rsidRDefault="008702F0">
            <w:pPr>
              <w:spacing w:after="0" w:line="240" w:lineRule="auto"/>
              <w:jc w:val="center"/>
              <w:rPr>
                <w:rFonts w:eastAsia="Times New Roman" w:cs="Times New Roman"/>
                <w:b/>
                <w:bCs/>
                <w:noProof/>
                <w:color w:val="000000" w:themeColor="text1"/>
                <w:sz w:val="22"/>
                <w:lang w:eastAsia="en-GB"/>
              </w:rPr>
            </w:pPr>
          </w:p>
        </w:tc>
        <w:tc>
          <w:tcPr>
            <w:tcW w:w="752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SF in Storage outside EU territory, tHM</w:t>
            </w:r>
          </w:p>
        </w:tc>
      </w:tr>
      <w:tr w:rsidR="008702F0">
        <w:trPr>
          <w:trHeight w:val="427"/>
        </w:trPr>
        <w:tc>
          <w:tcPr>
            <w:tcW w:w="1843" w:type="dxa"/>
            <w:vMerge/>
            <w:tcBorders>
              <w:top w:val="nil"/>
              <w:left w:val="nil"/>
              <w:bottom w:val="single" w:sz="4" w:space="0" w:color="auto"/>
              <w:right w:val="nil"/>
            </w:tcBorders>
            <w:vAlign w:val="center"/>
            <w:hideMark/>
          </w:tcPr>
          <w:p w:rsidR="008702F0" w:rsidRDefault="008702F0">
            <w:pPr>
              <w:spacing w:after="0" w:line="240" w:lineRule="auto"/>
              <w:rPr>
                <w:rFonts w:eastAsia="Times New Roman" w:cs="Times New Roman"/>
                <w:b/>
                <w:bCs/>
                <w:noProof/>
                <w:color w:val="000000" w:themeColor="text1"/>
                <w:sz w:val="22"/>
                <w:lang w:eastAsia="en-GB"/>
              </w:rPr>
            </w:pPr>
          </w:p>
        </w:tc>
        <w:tc>
          <w:tcPr>
            <w:tcW w:w="1605"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2013</w:t>
            </w:r>
          </w:p>
        </w:tc>
        <w:tc>
          <w:tcPr>
            <w:tcW w:w="731"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731"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731"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731"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c>
          <w:tcPr>
            <w:tcW w:w="299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Other </w:t>
            </w:r>
            <w:r>
              <w:rPr>
                <w:rFonts w:eastAsia="Times New Roman" w:cs="Times New Roman"/>
                <w:noProof/>
                <w:color w:val="000000" w:themeColor="text1"/>
                <w:sz w:val="22"/>
                <w:lang w:eastAsia="en-GB"/>
              </w:rPr>
              <w:t>(volume/date)</w:t>
            </w:r>
          </w:p>
        </w:tc>
      </w:tr>
      <w:tr w:rsidR="008702F0">
        <w:trPr>
          <w:trHeight w:val="300"/>
        </w:trPr>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160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838</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0.36</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843"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99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160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31"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99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8702F0">
      <w:pPr>
        <w:rPr>
          <w:rFonts w:cs="Times New Roman"/>
          <w:noProof/>
          <w:color w:val="000000" w:themeColor="text1"/>
          <w:szCs w:val="24"/>
          <w:lang w:val="en-US"/>
        </w:rPr>
      </w:pPr>
    </w:p>
    <w:p w:rsidR="008702F0" w:rsidRDefault="008702F0">
      <w:pPr>
        <w:rPr>
          <w:rFonts w:cs="Times New Roman"/>
          <w:noProof/>
          <w:color w:val="000000" w:themeColor="text1"/>
          <w:szCs w:val="24"/>
          <w:lang w:val="en-US"/>
        </w:rPr>
      </w:pPr>
    </w:p>
    <w:p w:rsidR="008702F0" w:rsidRDefault="00ED659C">
      <w:pPr>
        <w:spacing w:before="0" w:after="200"/>
        <w:jc w:val="left"/>
        <w:rPr>
          <w:rFonts w:cs="Times New Roman"/>
          <w:b/>
          <w:noProof/>
          <w:color w:val="000000" w:themeColor="text1"/>
          <w:szCs w:val="24"/>
          <w:lang w:val="en-US"/>
        </w:rPr>
      </w:pPr>
      <w:r>
        <w:rPr>
          <w:rFonts w:cs="Times New Roman"/>
          <w:b/>
          <w:noProof/>
          <w:color w:val="000000" w:themeColor="text1"/>
          <w:szCs w:val="24"/>
          <w:lang w:val="en-US"/>
        </w:rPr>
        <w:br w:type="page"/>
      </w:r>
    </w:p>
    <w:p w:rsidR="008702F0" w:rsidRDefault="00ED659C">
      <w:pPr>
        <w:spacing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4. Radioactive waste stored on Member States’ territory</w:t>
      </w:r>
    </w:p>
    <w:tbl>
      <w:tblPr>
        <w:tblW w:w="9435" w:type="dxa"/>
        <w:tblInd w:w="108" w:type="dxa"/>
        <w:tblLook w:val="04A0" w:firstRow="1" w:lastRow="0" w:firstColumn="1" w:lastColumn="0" w:noHBand="0" w:noVBand="1"/>
      </w:tblPr>
      <w:tblGrid>
        <w:gridCol w:w="1383"/>
        <w:gridCol w:w="959"/>
        <w:gridCol w:w="1164"/>
        <w:gridCol w:w="1345"/>
        <w:gridCol w:w="974"/>
        <w:gridCol w:w="1080"/>
        <w:gridCol w:w="1080"/>
        <w:gridCol w:w="1450"/>
      </w:tblGrid>
      <w:tr w:rsidR="008702F0">
        <w:trPr>
          <w:trHeight w:val="300"/>
          <w:tblHeader/>
        </w:trPr>
        <w:tc>
          <w:tcPr>
            <w:tcW w:w="1383" w:type="dxa"/>
            <w:tcBorders>
              <w:top w:val="nil"/>
              <w:left w:val="nil"/>
              <w:bottom w:val="nil"/>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val="en-US" w:eastAsia="en-GB"/>
              </w:rPr>
            </w:pPr>
          </w:p>
        </w:tc>
        <w:tc>
          <w:tcPr>
            <w:tcW w:w="959" w:type="dxa"/>
            <w:tcBorders>
              <w:top w:val="nil"/>
              <w:left w:val="nil"/>
              <w:bottom w:val="nil"/>
              <w:right w:val="nil"/>
            </w:tcBorders>
            <w:shd w:val="clear" w:color="auto" w:fill="auto"/>
            <w:noWrap/>
            <w:vAlign w:val="bottom"/>
            <w:hideMark/>
          </w:tcPr>
          <w:p w:rsidR="008702F0" w:rsidRDefault="008702F0">
            <w:pPr>
              <w:spacing w:after="0" w:line="240" w:lineRule="auto"/>
              <w:rPr>
                <w:rFonts w:eastAsia="Times New Roman" w:cs="Times New Roman"/>
                <w:noProof/>
                <w:color w:val="000000" w:themeColor="text1"/>
                <w:sz w:val="22"/>
                <w:lang w:eastAsia="en-GB"/>
              </w:rPr>
            </w:pPr>
          </w:p>
        </w:tc>
        <w:tc>
          <w:tcPr>
            <w:tcW w:w="709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as disposed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r>
      <w:tr w:rsidR="008702F0">
        <w:trPr>
          <w:trHeight w:val="315"/>
          <w:tblHeader/>
        </w:trPr>
        <w:tc>
          <w:tcPr>
            <w:tcW w:w="1383" w:type="dxa"/>
            <w:tcBorders>
              <w:top w:val="nil"/>
              <w:left w:val="nil"/>
              <w:bottom w:val="single" w:sz="8" w:space="0" w:color="auto"/>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eastAsia="en-GB"/>
              </w:rPr>
            </w:pPr>
          </w:p>
        </w:tc>
        <w:tc>
          <w:tcPr>
            <w:tcW w:w="959" w:type="dxa"/>
            <w:tcBorders>
              <w:top w:val="nil"/>
              <w:left w:val="nil"/>
              <w:bottom w:val="single" w:sz="8" w:space="0" w:color="auto"/>
              <w:right w:val="nil"/>
            </w:tcBorders>
            <w:shd w:val="clear" w:color="auto" w:fill="auto"/>
            <w:noWrap/>
            <w:vAlign w:val="bottom"/>
            <w:hideMark/>
          </w:tcPr>
          <w:p w:rsidR="008702F0" w:rsidRDefault="008702F0">
            <w:pPr>
              <w:spacing w:after="0" w:line="240" w:lineRule="auto"/>
              <w:rPr>
                <w:rFonts w:eastAsia="Times New Roman" w:cs="Times New Roman"/>
                <w:noProof/>
                <w:color w:val="000000" w:themeColor="text1"/>
                <w:sz w:val="22"/>
                <w:lang w:eastAsia="en-GB"/>
              </w:rPr>
            </w:pPr>
          </w:p>
        </w:tc>
        <w:tc>
          <w:tcPr>
            <w:tcW w:w="1164" w:type="dxa"/>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2013</w:t>
            </w:r>
          </w:p>
        </w:tc>
        <w:tc>
          <w:tcPr>
            <w:tcW w:w="1345"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974"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1080" w:type="dxa"/>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c>
          <w:tcPr>
            <w:tcW w:w="1450" w:type="dxa"/>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tabs>
                <w:tab w:val="left" w:pos="1220"/>
              </w:tabs>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(volume/date)</w:t>
            </w:r>
          </w:p>
        </w:tc>
      </w:tr>
      <w:tr w:rsidR="008702F0">
        <w:trPr>
          <w:trHeight w:val="300"/>
        </w:trPr>
        <w:tc>
          <w:tcPr>
            <w:tcW w:w="138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tabs>
                <w:tab w:val="left" w:pos="1220"/>
              </w:tabs>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2781</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3120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3660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3710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tabs>
                <w:tab w:val="left" w:pos="1220"/>
              </w:tabs>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71</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tabs>
                <w:tab w:val="left" w:pos="1220"/>
              </w:tabs>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tabs>
                <w:tab w:val="left" w:pos="1220"/>
              </w:tabs>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16067</w:t>
            </w:r>
          </w:p>
        </w:tc>
        <w:tc>
          <w:tcPr>
            <w:tcW w:w="1345"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70500 / Unknown</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5371</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11100 / Unknown</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1345" w:type="dxa"/>
            <w:tcBorders>
              <w:top w:val="nil"/>
              <w:left w:val="single" w:sz="4"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4500 / Unknown</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w:t>
            </w:r>
            <w:r>
              <w:rPr>
                <w:rFonts w:eastAsia="Times New Roman" w:cs="Times New Roman"/>
                <w:noProof/>
                <w:color w:val="000000" w:themeColor="text1"/>
                <w:sz w:val="22"/>
                <w:lang w:eastAsia="en-GB"/>
              </w:rPr>
              <w:t>ia</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4700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23000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12.5</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113.75</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1546.25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1548.75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4561.25</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2746.2</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2600</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 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 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 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846 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noProof/>
        </w:rPr>
      </w:pPr>
      <w:r>
        <w:rPr>
          <w:noProof/>
        </w:rPr>
        <w:br w:type="page"/>
      </w:r>
    </w:p>
    <w:tbl>
      <w:tblPr>
        <w:tblW w:w="9435" w:type="dxa"/>
        <w:tblInd w:w="108" w:type="dxa"/>
        <w:tblLook w:val="04A0" w:firstRow="1" w:lastRow="0" w:firstColumn="1" w:lastColumn="0" w:noHBand="0" w:noVBand="1"/>
      </w:tblPr>
      <w:tblGrid>
        <w:gridCol w:w="1383"/>
        <w:gridCol w:w="959"/>
        <w:gridCol w:w="1164"/>
        <w:gridCol w:w="1345"/>
        <w:gridCol w:w="974"/>
        <w:gridCol w:w="1080"/>
        <w:gridCol w:w="1080"/>
        <w:gridCol w:w="1450"/>
      </w:tblGrid>
      <w:tr w:rsidR="008702F0">
        <w:trPr>
          <w:trHeight w:val="300"/>
        </w:trPr>
        <w:tc>
          <w:tcPr>
            <w:tcW w:w="138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1550.9</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1552.8</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1555.5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1558.2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1560.9</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374.6</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375</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375.6</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376.2</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376.8</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403.7</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1473.2</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965.8</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515.8</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265.8</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155.8</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190000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70000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135000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3200</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w:t>
            </w: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140207</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157400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151600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84900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15590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17500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17600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10200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568</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29.344</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62.344</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21.202</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23.602</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0.5</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7560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5966</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2268</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3240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2557</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972</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266</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523</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610</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30</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5311</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10036</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7753</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2189</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1557</w:t>
            </w:r>
          </w:p>
        </w:tc>
        <w:tc>
          <w:tcPr>
            <w:tcW w:w="145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2065</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30545</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38087</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22511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1635</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1684</w:t>
            </w:r>
          </w:p>
        </w:tc>
        <w:tc>
          <w:tcPr>
            <w:tcW w:w="145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2065</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5540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5911</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11463</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w:t>
            </w:r>
          </w:p>
        </w:tc>
        <w:tc>
          <w:tcPr>
            <w:tcW w:w="145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13713 / 2065</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1450"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 / 2065</w:t>
            </w:r>
          </w:p>
        </w:tc>
      </w:tr>
    </w:tbl>
    <w:p w:rsidR="008702F0" w:rsidRDefault="00ED659C">
      <w:pPr>
        <w:rPr>
          <w:noProof/>
        </w:rPr>
      </w:pPr>
      <w:r>
        <w:rPr>
          <w:noProof/>
        </w:rPr>
        <w:br w:type="page"/>
      </w:r>
    </w:p>
    <w:tbl>
      <w:tblPr>
        <w:tblW w:w="9435" w:type="dxa"/>
        <w:tblInd w:w="108" w:type="dxa"/>
        <w:tblLook w:val="04A0" w:firstRow="1" w:lastRow="0" w:firstColumn="1" w:lastColumn="0" w:noHBand="0" w:noVBand="1"/>
      </w:tblPr>
      <w:tblGrid>
        <w:gridCol w:w="1383"/>
        <w:gridCol w:w="959"/>
        <w:gridCol w:w="1164"/>
        <w:gridCol w:w="1345"/>
        <w:gridCol w:w="974"/>
        <w:gridCol w:w="1080"/>
        <w:gridCol w:w="1080"/>
        <w:gridCol w:w="1450"/>
      </w:tblGrid>
      <w:tr w:rsidR="008702F0">
        <w:trPr>
          <w:trHeight w:val="300"/>
        </w:trPr>
        <w:tc>
          <w:tcPr>
            <w:tcW w:w="138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1055</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95</w:t>
            </w:r>
          </w:p>
        </w:tc>
        <w:tc>
          <w:tcPr>
            <w:tcW w:w="1080"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4"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17.5</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4"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18000</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30377</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35816</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43.9</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41.7</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w:t>
            </w:r>
            <w:r>
              <w:rPr>
                <w:rFonts w:eastAsia="Times New Roman" w:cs="Times New Roman"/>
                <w:noProof/>
                <w:color w:val="000000" w:themeColor="text1"/>
                <w:sz w:val="22"/>
                <w:lang w:eastAsia="en-GB"/>
              </w:rPr>
              <w:t>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145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905</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429</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000000"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672</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1600</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950 / 2060</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960</w:t>
            </w:r>
          </w:p>
        </w:tc>
        <w:tc>
          <w:tcPr>
            <w:tcW w:w="1080"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1075</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1075 / 2060</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2060</w:t>
            </w:r>
          </w:p>
        </w:tc>
      </w:tr>
    </w:tbl>
    <w:p w:rsidR="008702F0" w:rsidRDefault="00ED659C">
      <w:pPr>
        <w:rPr>
          <w:noProof/>
        </w:rPr>
      </w:pPr>
      <w:r>
        <w:rPr>
          <w:noProof/>
        </w:rPr>
        <w:br w:type="page"/>
      </w:r>
    </w:p>
    <w:tbl>
      <w:tblPr>
        <w:tblW w:w="9435" w:type="dxa"/>
        <w:tblInd w:w="108" w:type="dxa"/>
        <w:tblLook w:val="04A0" w:firstRow="1" w:lastRow="0" w:firstColumn="1" w:lastColumn="0" w:noHBand="0" w:noVBand="1"/>
      </w:tblPr>
      <w:tblGrid>
        <w:gridCol w:w="1383"/>
        <w:gridCol w:w="959"/>
        <w:gridCol w:w="1164"/>
        <w:gridCol w:w="1345"/>
        <w:gridCol w:w="974"/>
        <w:gridCol w:w="1080"/>
        <w:gridCol w:w="1080"/>
        <w:gridCol w:w="1450"/>
      </w:tblGrid>
      <w:tr w:rsidR="008702F0">
        <w:trPr>
          <w:trHeight w:val="300"/>
        </w:trPr>
        <w:tc>
          <w:tcPr>
            <w:tcW w:w="138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5246</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1804.4</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24.813</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2306</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2562</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1519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1885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2021</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37.6</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8412</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6191</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1986</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29923</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2090</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8221</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9810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3294</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18377</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2090</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2090</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45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 2090</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2058</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2000</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6958</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7000</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7000</w:t>
            </w:r>
          </w:p>
        </w:tc>
        <w:tc>
          <w:tcPr>
            <w:tcW w:w="1080"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15500</w:t>
            </w:r>
          </w:p>
        </w:tc>
        <w:tc>
          <w:tcPr>
            <w:tcW w:w="1080"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10000</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34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959"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164"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1170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69900</w:t>
            </w:r>
          </w:p>
        </w:tc>
        <w:tc>
          <w:tcPr>
            <w:tcW w:w="134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164"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153000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383"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9"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164"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w:t>
            </w:r>
          </w:p>
        </w:tc>
        <w:tc>
          <w:tcPr>
            <w:tcW w:w="134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74"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spacing w:before="360" w:after="360"/>
        <w:jc w:val="left"/>
        <w:rPr>
          <w:rFonts w:cs="Times New Roman"/>
          <w:noProof/>
          <w:color w:val="000000" w:themeColor="text1"/>
          <w:szCs w:val="24"/>
          <w:lang w:val="en-US"/>
        </w:rPr>
      </w:pPr>
      <w:r>
        <w:rPr>
          <w:rFonts w:cs="Times New Roman"/>
          <w:noProof/>
          <w:color w:val="000000" w:themeColor="text1"/>
          <w:sz w:val="20"/>
          <w:szCs w:val="20"/>
          <w:lang w:val="en-US"/>
        </w:rPr>
        <w:t>* All was</w:t>
      </w:r>
      <w:r>
        <w:rPr>
          <w:rFonts w:cs="Times New Roman"/>
          <w:noProof/>
          <w:color w:val="000000" w:themeColor="text1"/>
          <w:sz w:val="20"/>
          <w:szCs w:val="20"/>
          <w:lang w:val="en-US"/>
        </w:rPr>
        <w:t>te declared as disposed of.</w:t>
      </w:r>
      <w:r>
        <w:rPr>
          <w:rFonts w:cs="Times New Roman"/>
          <w:noProof/>
          <w:color w:val="000000" w:themeColor="text1"/>
        </w:rPr>
        <w:t xml:space="preserve"> </w:t>
      </w:r>
    </w:p>
    <w:p w:rsidR="008702F0" w:rsidRDefault="00ED659C">
      <w:pPr>
        <w:rPr>
          <w:rFonts w:cs="Times New Roman"/>
          <w:noProof/>
          <w:color w:val="000000" w:themeColor="text1"/>
          <w:lang w:val="en-US"/>
        </w:rPr>
      </w:pPr>
      <w:r>
        <w:rPr>
          <w:rFonts w:cs="Times New Roman"/>
          <w:noProof/>
          <w:color w:val="000000" w:themeColor="text1"/>
          <w:lang w:val="en-US"/>
        </w:rPr>
        <w:br w:type="page"/>
      </w:r>
    </w:p>
    <w:p w:rsidR="008702F0" w:rsidRDefault="00ED659C">
      <w:pPr>
        <w:spacing w:before="360" w:after="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 xml:space="preserve">5. Radioactive waste stored outside European Union territory </w:t>
      </w:r>
    </w:p>
    <w:p w:rsidR="008702F0" w:rsidRDefault="00ED659C">
      <w:pPr>
        <w:spacing w:before="0"/>
        <w:jc w:val="center"/>
        <w:rPr>
          <w:rFonts w:cs="Times New Roman"/>
          <w:b/>
          <w:noProof/>
          <w:color w:val="000000" w:themeColor="text1"/>
          <w:szCs w:val="24"/>
          <w:lang w:val="en-US"/>
        </w:rPr>
      </w:pPr>
      <w:r>
        <w:rPr>
          <w:rFonts w:cs="Times New Roman"/>
          <w:b/>
          <w:noProof/>
          <w:color w:val="000000" w:themeColor="text1"/>
          <w:szCs w:val="24"/>
          <w:lang w:val="en-US"/>
        </w:rPr>
        <w:t>(to be returned to Member States)</w:t>
      </w:r>
    </w:p>
    <w:tbl>
      <w:tblPr>
        <w:tblW w:w="9120" w:type="dxa"/>
        <w:tblInd w:w="108" w:type="dxa"/>
        <w:tblLook w:val="04A0" w:firstRow="1" w:lastRow="0" w:firstColumn="1" w:lastColumn="0" w:noHBand="0" w:noVBand="1"/>
      </w:tblPr>
      <w:tblGrid>
        <w:gridCol w:w="1456"/>
        <w:gridCol w:w="957"/>
        <w:gridCol w:w="1050"/>
        <w:gridCol w:w="703"/>
        <w:gridCol w:w="935"/>
        <w:gridCol w:w="703"/>
        <w:gridCol w:w="703"/>
        <w:gridCol w:w="2613"/>
      </w:tblGrid>
      <w:tr w:rsidR="008702F0">
        <w:trPr>
          <w:trHeight w:val="300"/>
          <w:tblHeader/>
        </w:trPr>
        <w:tc>
          <w:tcPr>
            <w:tcW w:w="1456" w:type="dxa"/>
            <w:tcBorders>
              <w:top w:val="nil"/>
              <w:left w:val="nil"/>
              <w:bottom w:val="nil"/>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eastAsia="en-GB"/>
              </w:rPr>
            </w:pPr>
          </w:p>
        </w:tc>
        <w:tc>
          <w:tcPr>
            <w:tcW w:w="957" w:type="dxa"/>
            <w:tcBorders>
              <w:top w:val="nil"/>
              <w:left w:val="nil"/>
              <w:bottom w:val="nil"/>
              <w:right w:val="nil"/>
            </w:tcBorders>
            <w:shd w:val="clear" w:color="auto" w:fill="auto"/>
            <w:noWrap/>
            <w:vAlign w:val="bottom"/>
            <w:hideMark/>
          </w:tcPr>
          <w:p w:rsidR="008702F0" w:rsidRDefault="008702F0">
            <w:pPr>
              <w:spacing w:after="0" w:line="240" w:lineRule="auto"/>
              <w:rPr>
                <w:rFonts w:eastAsia="Times New Roman" w:cs="Times New Roman"/>
                <w:noProof/>
                <w:color w:val="000000" w:themeColor="text1"/>
                <w:sz w:val="22"/>
                <w:lang w:eastAsia="en-GB"/>
              </w:rPr>
            </w:pPr>
          </w:p>
        </w:tc>
        <w:tc>
          <w:tcPr>
            <w:tcW w:w="670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as disposed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r>
      <w:tr w:rsidR="008702F0">
        <w:trPr>
          <w:trHeight w:val="315"/>
          <w:tblHeader/>
        </w:trPr>
        <w:tc>
          <w:tcPr>
            <w:tcW w:w="1456" w:type="dxa"/>
            <w:tcBorders>
              <w:top w:val="nil"/>
              <w:left w:val="nil"/>
              <w:bottom w:val="single" w:sz="8" w:space="0" w:color="auto"/>
              <w:right w:val="nil"/>
            </w:tcBorders>
            <w:shd w:val="clear" w:color="auto" w:fill="auto"/>
            <w:noWrap/>
            <w:vAlign w:val="bottom"/>
            <w:hideMark/>
          </w:tcPr>
          <w:p w:rsidR="008702F0" w:rsidRDefault="008702F0">
            <w:pPr>
              <w:spacing w:after="0" w:line="240" w:lineRule="auto"/>
              <w:rPr>
                <w:rFonts w:eastAsia="Times New Roman" w:cs="Times New Roman"/>
                <w:b/>
                <w:bCs/>
                <w:noProof/>
                <w:color w:val="000000" w:themeColor="text1"/>
                <w:sz w:val="22"/>
                <w:lang w:eastAsia="en-GB"/>
              </w:rPr>
            </w:pPr>
          </w:p>
        </w:tc>
        <w:tc>
          <w:tcPr>
            <w:tcW w:w="957" w:type="dxa"/>
            <w:tcBorders>
              <w:top w:val="nil"/>
              <w:left w:val="nil"/>
              <w:bottom w:val="single" w:sz="8" w:space="0" w:color="auto"/>
              <w:right w:val="nil"/>
            </w:tcBorders>
            <w:shd w:val="clear" w:color="auto" w:fill="auto"/>
            <w:noWrap/>
            <w:vAlign w:val="bottom"/>
            <w:hideMark/>
          </w:tcPr>
          <w:p w:rsidR="008702F0" w:rsidRDefault="008702F0">
            <w:pPr>
              <w:spacing w:after="0" w:line="240" w:lineRule="auto"/>
              <w:rPr>
                <w:rFonts w:eastAsia="Times New Roman" w:cs="Times New Roman"/>
                <w:noProof/>
                <w:color w:val="000000" w:themeColor="text1"/>
                <w:sz w:val="22"/>
                <w:lang w:eastAsia="en-GB"/>
              </w:rPr>
            </w:pPr>
          </w:p>
        </w:tc>
        <w:tc>
          <w:tcPr>
            <w:tcW w:w="1050"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Current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(volume/date)</w:t>
            </w:r>
          </w:p>
        </w:tc>
      </w:tr>
      <w:tr w:rsidR="008702F0">
        <w:trPr>
          <w:trHeight w:val="300"/>
        </w:trPr>
        <w:tc>
          <w:tcPr>
            <w:tcW w:w="145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w:t>
            </w:r>
          </w:p>
        </w:tc>
        <w:tc>
          <w:tcPr>
            <w:tcW w:w="703"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w:t>
            </w:r>
            <w:r>
              <w:rPr>
                <w:rFonts w:eastAsia="Times New Roman" w:cs="Times New Roman"/>
                <w:noProof/>
                <w:color w:val="000000" w:themeColor="text1"/>
                <w:sz w:val="22"/>
                <w:lang w:eastAsia="en-GB"/>
              </w:rPr>
              <w:t>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0.5</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trHeight w:val="315"/>
        </w:trPr>
        <w:tc>
          <w:tcPr>
            <w:tcW w:w="1456" w:type="dxa"/>
            <w:vMerge/>
            <w:tcBorders>
              <w:top w:val="nil"/>
              <w:left w:val="single" w:sz="8" w:space="0" w:color="auto"/>
              <w:bottom w:val="single" w:sz="4" w:space="0" w:color="auto"/>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bl>
    <w:p w:rsidR="008702F0" w:rsidRDefault="00ED659C">
      <w:pPr>
        <w:rPr>
          <w:noProof/>
        </w:rPr>
      </w:pPr>
      <w:r>
        <w:rPr>
          <w:noProof/>
        </w:rPr>
        <w:br w:type="page"/>
      </w:r>
    </w:p>
    <w:tbl>
      <w:tblPr>
        <w:tblW w:w="9120" w:type="dxa"/>
        <w:tblInd w:w="108" w:type="dxa"/>
        <w:tblLook w:val="04A0" w:firstRow="1" w:lastRow="0" w:firstColumn="1" w:lastColumn="0" w:noHBand="0" w:noVBand="1"/>
      </w:tblPr>
      <w:tblGrid>
        <w:gridCol w:w="1456"/>
        <w:gridCol w:w="957"/>
        <w:gridCol w:w="1050"/>
        <w:gridCol w:w="703"/>
        <w:gridCol w:w="935"/>
        <w:gridCol w:w="703"/>
        <w:gridCol w:w="703"/>
        <w:gridCol w:w="2613"/>
      </w:tblGrid>
      <w:tr w:rsidR="008702F0">
        <w:trPr>
          <w:trHeight w:val="300"/>
        </w:trPr>
        <w:tc>
          <w:tcPr>
            <w:tcW w:w="1456"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nil"/>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957"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8" w:space="0" w:color="auto"/>
              <w:left w:val="single" w:sz="4" w:space="0" w:color="auto"/>
              <w:bottom w:val="single" w:sz="4" w:space="0" w:color="auto"/>
              <w:right w:val="single" w:sz="8" w:space="0" w:color="auto"/>
            </w:tcBorders>
            <w:shd w:val="clear" w:color="auto" w:fill="auto"/>
            <w:noWrap/>
            <w:vAlign w:val="bottom"/>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70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613" w:type="dxa"/>
            <w:tcBorders>
              <w:top w:val="single" w:sz="4" w:space="0" w:color="auto"/>
              <w:left w:val="single" w:sz="4" w:space="0" w:color="auto"/>
              <w:bottom w:val="single" w:sz="8" w:space="0" w:color="auto"/>
              <w:right w:val="single" w:sz="8" w:space="0" w:color="auto"/>
            </w:tcBorders>
            <w:shd w:val="clear" w:color="auto" w:fill="auto"/>
            <w:noWrap/>
            <w:vAlign w:val="bottom"/>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0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56"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rPr>
                <w:rFonts w:eastAsia="Times New Roman" w:cs="Times New Roman"/>
                <w:noProof/>
                <w:color w:val="000000" w:themeColor="text1"/>
                <w:sz w:val="22"/>
                <w:lang w:eastAsia="en-GB"/>
              </w:rPr>
            </w:pPr>
          </w:p>
        </w:tc>
        <w:tc>
          <w:tcPr>
            <w:tcW w:w="957" w:type="dxa"/>
            <w:tcBorders>
              <w:top w:val="nil"/>
              <w:left w:val="nil"/>
              <w:bottom w:val="single" w:sz="8" w:space="0" w:color="auto"/>
              <w:right w:val="single" w:sz="8"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0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3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70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3"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8702F0">
      <w:pPr>
        <w:spacing w:before="240" w:after="360"/>
        <w:jc w:val="center"/>
        <w:rPr>
          <w:rFonts w:cs="Times New Roman"/>
          <w:noProof/>
          <w:color w:val="000000" w:themeColor="text1"/>
          <w:szCs w:val="24"/>
          <w:lang w:val="en-US"/>
        </w:rPr>
      </w:pPr>
    </w:p>
    <w:p w:rsidR="008702F0" w:rsidRDefault="00ED659C">
      <w:pPr>
        <w:rPr>
          <w:rFonts w:cs="Times New Roman"/>
          <w:noProof/>
          <w:color w:val="000000" w:themeColor="text1"/>
          <w:lang w:val="en-US"/>
        </w:rPr>
      </w:pPr>
      <w:r>
        <w:rPr>
          <w:rFonts w:cs="Times New Roman"/>
          <w:noProof/>
          <w:color w:val="000000" w:themeColor="text1"/>
          <w:lang w:val="en-US"/>
        </w:rPr>
        <w:br w:type="page"/>
      </w: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6. Disposed of radioactive waste on Member States’ territory</w:t>
      </w:r>
    </w:p>
    <w:tbl>
      <w:tblPr>
        <w:tblW w:w="9480" w:type="dxa"/>
        <w:tblInd w:w="108" w:type="dxa"/>
        <w:tblLook w:val="04A0" w:firstRow="1" w:lastRow="0" w:firstColumn="1" w:lastColumn="0" w:noHBand="0" w:noVBand="1"/>
      </w:tblPr>
      <w:tblGrid>
        <w:gridCol w:w="1418"/>
        <w:gridCol w:w="866"/>
        <w:gridCol w:w="1283"/>
        <w:gridCol w:w="1138"/>
        <w:gridCol w:w="1250"/>
        <w:gridCol w:w="1025"/>
        <w:gridCol w:w="1073"/>
        <w:gridCol w:w="1427"/>
      </w:tblGrid>
      <w:tr w:rsidR="008702F0">
        <w:trPr>
          <w:trHeight w:val="646"/>
          <w:tblHeader/>
        </w:trPr>
        <w:tc>
          <w:tcPr>
            <w:tcW w:w="1418" w:type="dxa"/>
            <w:tcBorders>
              <w:top w:val="nil"/>
              <w:left w:val="nil"/>
              <w:bottom w:val="nil"/>
              <w:right w:val="nil"/>
            </w:tcBorders>
            <w:shd w:val="clear" w:color="auto" w:fill="auto"/>
            <w:noWrap/>
            <w:vAlign w:val="bottom"/>
            <w:hideMark/>
          </w:tcPr>
          <w:p w:rsidR="008702F0" w:rsidRDefault="008702F0">
            <w:pPr>
              <w:spacing w:after="0" w:line="240" w:lineRule="auto"/>
              <w:ind w:left="34"/>
              <w:jc w:val="left"/>
              <w:rPr>
                <w:rFonts w:eastAsia="Times New Roman" w:cs="Times New Roman"/>
                <w:b/>
                <w:bCs/>
                <w:noProof/>
                <w:color w:val="000000" w:themeColor="text1"/>
                <w:sz w:val="22"/>
                <w:lang w:eastAsia="en-GB"/>
              </w:rPr>
            </w:pPr>
          </w:p>
        </w:tc>
        <w:tc>
          <w:tcPr>
            <w:tcW w:w="866" w:type="dxa"/>
            <w:tcBorders>
              <w:top w:val="nil"/>
              <w:left w:val="nil"/>
              <w:bottom w:val="nil"/>
              <w:right w:val="single" w:sz="4" w:space="0" w:color="auto"/>
            </w:tcBorders>
            <w:shd w:val="clear" w:color="auto" w:fill="auto"/>
            <w:noWrap/>
            <w:vAlign w:val="bottom"/>
            <w:hideMark/>
          </w:tcPr>
          <w:p w:rsidR="008702F0" w:rsidRDefault="008702F0">
            <w:pPr>
              <w:tabs>
                <w:tab w:val="left" w:pos="655"/>
              </w:tabs>
              <w:spacing w:after="0" w:line="240" w:lineRule="auto"/>
              <w:ind w:left="-477" w:firstLine="423"/>
              <w:jc w:val="left"/>
              <w:rPr>
                <w:rFonts w:eastAsia="Times New Roman" w:cs="Times New Roman"/>
                <w:noProof/>
                <w:color w:val="000000" w:themeColor="text1"/>
                <w:sz w:val="22"/>
                <w:lang w:eastAsia="en-GB"/>
              </w:rPr>
            </w:pPr>
          </w:p>
        </w:tc>
        <w:tc>
          <w:tcPr>
            <w:tcW w:w="7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Volume as disposed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r>
      <w:tr w:rsidR="008702F0">
        <w:trPr>
          <w:trHeight w:val="315"/>
          <w:tblHeader/>
        </w:trPr>
        <w:tc>
          <w:tcPr>
            <w:tcW w:w="1418" w:type="dxa"/>
            <w:tcBorders>
              <w:top w:val="nil"/>
              <w:left w:val="nil"/>
              <w:bottom w:val="single" w:sz="8" w:space="0" w:color="auto"/>
              <w:right w:val="nil"/>
            </w:tcBorders>
            <w:shd w:val="clear" w:color="auto" w:fill="auto"/>
            <w:noWrap/>
            <w:vAlign w:val="bottom"/>
            <w:hideMark/>
          </w:tcPr>
          <w:p w:rsidR="008702F0" w:rsidRDefault="008702F0">
            <w:pPr>
              <w:spacing w:after="0" w:line="240" w:lineRule="auto"/>
              <w:ind w:left="34"/>
              <w:jc w:val="left"/>
              <w:rPr>
                <w:rFonts w:eastAsia="Times New Roman" w:cs="Times New Roman"/>
                <w:b/>
                <w:bCs/>
                <w:noProof/>
                <w:color w:val="000000" w:themeColor="text1"/>
                <w:sz w:val="22"/>
                <w:lang w:eastAsia="en-GB"/>
              </w:rPr>
            </w:pPr>
          </w:p>
        </w:tc>
        <w:tc>
          <w:tcPr>
            <w:tcW w:w="866" w:type="dxa"/>
            <w:tcBorders>
              <w:top w:val="nil"/>
              <w:left w:val="nil"/>
              <w:bottom w:val="single" w:sz="8" w:space="0" w:color="auto"/>
              <w:right w:val="nil"/>
            </w:tcBorders>
            <w:shd w:val="clear" w:color="auto" w:fill="auto"/>
            <w:noWrap/>
            <w:vAlign w:val="bottom"/>
            <w:hideMark/>
          </w:tcPr>
          <w:p w:rsidR="008702F0" w:rsidRDefault="008702F0">
            <w:pPr>
              <w:tabs>
                <w:tab w:val="left" w:pos="655"/>
              </w:tabs>
              <w:spacing w:after="0" w:line="240" w:lineRule="auto"/>
              <w:ind w:left="-477" w:firstLine="423"/>
              <w:jc w:val="left"/>
              <w:rPr>
                <w:rFonts w:eastAsia="Times New Roman" w:cs="Times New Roman"/>
                <w:noProof/>
                <w:color w:val="000000" w:themeColor="text1"/>
                <w:sz w:val="22"/>
                <w:lang w:eastAsia="en-GB"/>
              </w:rPr>
            </w:pPr>
          </w:p>
        </w:tc>
        <w:tc>
          <w:tcPr>
            <w:tcW w:w="1283" w:type="dxa"/>
            <w:tcBorders>
              <w:top w:val="nil"/>
              <w:left w:val="single" w:sz="8" w:space="0" w:color="auto"/>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Current</w:t>
            </w:r>
          </w:p>
        </w:tc>
        <w:tc>
          <w:tcPr>
            <w:tcW w:w="1138"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125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1025"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1073" w:type="dxa"/>
            <w:tcBorders>
              <w:top w:val="nil"/>
              <w:left w:val="nil"/>
              <w:bottom w:val="single" w:sz="8" w:space="0" w:color="auto"/>
              <w:right w:val="nil"/>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c>
          <w:tcPr>
            <w:tcW w:w="1427" w:type="dxa"/>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ind w:left="-127" w:right="-13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(volume/date)</w:t>
            </w:r>
          </w:p>
        </w:tc>
      </w:tr>
      <w:tr w:rsidR="008702F0">
        <w:trPr>
          <w:trHeight w:val="300"/>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w:t>
            </w:r>
            <w:r>
              <w:rPr>
                <w:rFonts w:eastAsia="Times New Roman" w:cs="Times New Roman"/>
                <w:noProof/>
                <w:color w:val="000000" w:themeColor="text1"/>
                <w:sz w:val="22"/>
                <w:lang w:eastAsia="en-GB"/>
              </w:rPr>
              <w:t>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tabs>
                <w:tab w:val="left" w:pos="655"/>
              </w:tabs>
              <w:spacing w:after="0" w:line="240" w:lineRule="auto"/>
              <w:ind w:left="-20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138200/2086</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w:t>
            </w:r>
            <w:r>
              <w:rPr>
                <w:rFonts w:eastAsia="Times New Roman" w:cs="Times New Roman"/>
                <w:noProof/>
                <w:color w:val="000000" w:themeColor="text1"/>
                <w:sz w:val="22"/>
                <w:lang w:eastAsia="en-GB"/>
              </w:rPr>
              <w:t>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10834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13864</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19559</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24959</w:t>
            </w:r>
          </w:p>
        </w:tc>
        <w:tc>
          <w:tcPr>
            <w:tcW w:w="1073"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30359</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w:t>
            </w:r>
            <w:r>
              <w:rPr>
                <w:rFonts w:eastAsia="Times New Roman" w:cs="Times New Roman"/>
                <w:noProof/>
                <w:color w:val="000000" w:themeColor="text1"/>
                <w:sz w:val="22"/>
                <w:lang w:eastAsia="en-GB"/>
              </w:rPr>
              <w:t>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right="-162"/>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5000 - 10000</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vMerge/>
            <w:tcBorders>
              <w:left w:val="single" w:sz="4" w:space="0" w:color="auto"/>
              <w:bottom w:val="single" w:sz="4" w:space="0" w:color="auto"/>
              <w:right w:val="single" w:sz="8"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vMerge/>
            <w:tcBorders>
              <w:left w:val="single" w:sz="4" w:space="0" w:color="auto"/>
              <w:bottom w:val="single" w:sz="4" w:space="0" w:color="auto"/>
              <w:right w:val="single" w:sz="8"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vMerge/>
            <w:tcBorders>
              <w:left w:val="single" w:sz="4" w:space="0" w:color="auto"/>
              <w:bottom w:val="single" w:sz="4" w:space="0" w:color="auto"/>
              <w:right w:val="single" w:sz="8"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5999.8</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7191</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15013</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31435</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33057</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1948</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3561</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9486</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12441</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12696</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nil"/>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250000</w:t>
            </w:r>
          </w:p>
        </w:tc>
        <w:tc>
          <w:tcPr>
            <w:tcW w:w="113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810000</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right="-162"/>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w:t>
            </w:r>
            <w:r>
              <w:rPr>
                <w:rFonts w:eastAsia="Times New Roman" w:cs="Times New Roman"/>
                <w:noProof/>
                <w:color w:val="000000" w:themeColor="text1"/>
                <w:sz w:val="22"/>
                <w:lang w:eastAsia="en-GB"/>
              </w:rPr>
              <w:t>rmany</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75378</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75378</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147400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237400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327400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8375</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8375</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16400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26400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36400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3915</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5983</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11739</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16183</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65590/2100</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1678</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2564</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5031</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6936</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28110/2100</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single" w:sz="4"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27" w:type="dxa"/>
            <w:tcBorders>
              <w:top w:val="nil"/>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1019/2100</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10117</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20278</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20910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22467/2065</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26416</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52944</w:t>
            </w:r>
          </w:p>
        </w:tc>
        <w:tc>
          <w:tcPr>
            <w:tcW w:w="1073"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54595</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58659/2065</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single" w:sz="4" w:space="0" w:color="auto"/>
              <w:bottom w:val="single" w:sz="4" w:space="0" w:color="auto"/>
              <w:right w:val="nil"/>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8"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8" w:space="0" w:color="auto"/>
              <w:right w:val="single" w:sz="4"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8" w:space="0" w:color="auto"/>
              <w:right w:val="nil"/>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8" w:space="0" w:color="auto"/>
              <w:right w:val="single" w:sz="8" w:space="0" w:color="auto"/>
            </w:tcBorders>
            <w:shd w:val="clear" w:color="auto" w:fill="auto"/>
            <w:noWrap/>
            <w:vAlign w:val="bottom"/>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noProof/>
        </w:rPr>
      </w:pPr>
      <w:r>
        <w:rPr>
          <w:noProof/>
        </w:rPr>
        <w:br w:type="page"/>
      </w:r>
    </w:p>
    <w:tbl>
      <w:tblPr>
        <w:tblW w:w="9480" w:type="dxa"/>
        <w:tblInd w:w="108" w:type="dxa"/>
        <w:tblLook w:val="04A0" w:firstRow="1" w:lastRow="0" w:firstColumn="1" w:lastColumn="0" w:noHBand="0" w:noVBand="1"/>
      </w:tblPr>
      <w:tblGrid>
        <w:gridCol w:w="1418"/>
        <w:gridCol w:w="866"/>
        <w:gridCol w:w="1283"/>
        <w:gridCol w:w="1138"/>
        <w:gridCol w:w="1250"/>
        <w:gridCol w:w="1025"/>
        <w:gridCol w:w="1073"/>
        <w:gridCol w:w="1427"/>
      </w:tblGrid>
      <w:tr w:rsidR="008702F0">
        <w:trPr>
          <w:trHeight w:val="300"/>
        </w:trPr>
        <w:tc>
          <w:tcPr>
            <w:tcW w:w="141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803</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803</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1803</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1803</w:t>
            </w:r>
          </w:p>
        </w:tc>
        <w:tc>
          <w:tcPr>
            <w:tcW w:w="1073" w:type="dxa"/>
            <w:tcBorders>
              <w:top w:val="nil"/>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w:t>
            </w:r>
            <w:r>
              <w:rPr>
                <w:rFonts w:eastAsia="Times New Roman" w:cs="Times New Roman"/>
                <w:noProof/>
                <w:color w:val="000000" w:themeColor="text1"/>
                <w:sz w:val="22"/>
                <w:lang w:eastAsia="en-GB"/>
              </w:rPr>
              <w:t>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073"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single" w:sz="4" w:space="0" w:color="auto"/>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right="-162"/>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40000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60000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60000</w:t>
            </w:r>
          </w:p>
        </w:tc>
        <w:tc>
          <w:tcPr>
            <w:tcW w:w="142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51130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96130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96130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center"/>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12000/after 2067</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hideMark/>
          </w:tcPr>
          <w:p w:rsidR="008702F0" w:rsidRDefault="00ED659C">
            <w:pPr>
              <w:spacing w:after="0" w:line="240" w:lineRule="auto"/>
              <w:ind w:left="34" w:right="-162"/>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right="-15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right="198"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793</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970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1230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1490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1800</w:t>
            </w:r>
          </w:p>
        </w:tc>
        <w:tc>
          <w:tcPr>
            <w:tcW w:w="142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1208</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3900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13300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22830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401</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p w:rsidR="008702F0" w:rsidRDefault="008702F0">
            <w:pPr>
              <w:spacing w:after="0" w:line="240" w:lineRule="auto"/>
              <w:ind w:left="34"/>
              <w:jc w:val="left"/>
              <w:rPr>
                <w:rFonts w:eastAsia="Times New Roman" w:cs="Times New Roman"/>
                <w:noProof/>
                <w:color w:val="000000" w:themeColor="text1"/>
                <w:sz w:val="22"/>
                <w:lang w:eastAsia="en-GB"/>
              </w:rPr>
            </w:pPr>
          </w:p>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234</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269</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339</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423</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493</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106</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210</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right="-162"/>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2130</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2660</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5670</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10930</w:t>
            </w:r>
          </w:p>
        </w:tc>
        <w:tc>
          <w:tcPr>
            <w:tcW w:w="1073" w:type="dxa"/>
            <w:tcBorders>
              <w:top w:val="single" w:sz="4" w:space="0" w:color="auto"/>
              <w:left w:val="single" w:sz="4" w:space="0" w:color="auto"/>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15430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19930/2060</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noProof/>
        </w:rPr>
      </w:pPr>
      <w:r>
        <w:rPr>
          <w:noProof/>
        </w:rPr>
        <w:br w:type="page"/>
      </w:r>
    </w:p>
    <w:tbl>
      <w:tblPr>
        <w:tblW w:w="9480" w:type="dxa"/>
        <w:tblInd w:w="108" w:type="dxa"/>
        <w:tblLook w:val="04A0" w:firstRow="1" w:lastRow="0" w:firstColumn="1" w:lastColumn="0" w:noHBand="0" w:noVBand="1"/>
      </w:tblPr>
      <w:tblGrid>
        <w:gridCol w:w="1418"/>
        <w:gridCol w:w="866"/>
        <w:gridCol w:w="1283"/>
        <w:gridCol w:w="1138"/>
        <w:gridCol w:w="1250"/>
        <w:gridCol w:w="1025"/>
        <w:gridCol w:w="1073"/>
        <w:gridCol w:w="1427"/>
      </w:tblGrid>
      <w:tr w:rsidR="008702F0">
        <w:trPr>
          <w:trHeight w:val="300"/>
        </w:trPr>
        <w:tc>
          <w:tcPr>
            <w:tcW w:w="141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265</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12726</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29000</w:t>
            </w:r>
          </w:p>
        </w:tc>
        <w:tc>
          <w:tcPr>
            <w:tcW w:w="1427"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11595</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21558</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36912</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40494</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43644</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vMerge w:val="restart"/>
            <w:tcBorders>
              <w:top w:val="single" w:sz="4" w:space="0" w:color="auto"/>
              <w:left w:val="nil"/>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vMerge w:val="restart"/>
            <w:tcBorders>
              <w:top w:val="single" w:sz="4" w:space="0" w:color="auto"/>
              <w:left w:val="nil"/>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vMerge w:val="restart"/>
            <w:tcBorders>
              <w:top w:val="single" w:sz="4" w:space="0" w:color="auto"/>
              <w:left w:val="nil"/>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1452</w:t>
            </w:r>
          </w:p>
        </w:tc>
        <w:tc>
          <w:tcPr>
            <w:tcW w:w="1025" w:type="dxa"/>
            <w:vMerge w:val="restart"/>
            <w:tcBorders>
              <w:top w:val="single" w:sz="4" w:space="0" w:color="auto"/>
              <w:left w:val="nil"/>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1452</w:t>
            </w:r>
          </w:p>
        </w:tc>
        <w:tc>
          <w:tcPr>
            <w:tcW w:w="1073" w:type="dxa"/>
            <w:vMerge w:val="restart"/>
            <w:tcBorders>
              <w:top w:val="single" w:sz="4" w:space="0" w:color="auto"/>
              <w:left w:val="nil"/>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2187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vMerge/>
            <w:tcBorders>
              <w:left w:val="nil"/>
              <w:bottom w:val="single" w:sz="4" w:space="0" w:color="auto"/>
              <w:right w:val="single" w:sz="4"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c>
          <w:tcPr>
            <w:tcW w:w="1138" w:type="dxa"/>
            <w:vMerge/>
            <w:tcBorders>
              <w:left w:val="nil"/>
              <w:bottom w:val="single" w:sz="4" w:space="0" w:color="auto"/>
              <w:right w:val="single" w:sz="4"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c>
          <w:tcPr>
            <w:tcW w:w="1250" w:type="dxa"/>
            <w:vMerge/>
            <w:tcBorders>
              <w:left w:val="nil"/>
              <w:bottom w:val="single" w:sz="4" w:space="0" w:color="auto"/>
              <w:right w:val="single" w:sz="4"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c>
          <w:tcPr>
            <w:tcW w:w="1025" w:type="dxa"/>
            <w:vMerge/>
            <w:tcBorders>
              <w:left w:val="nil"/>
              <w:bottom w:val="single" w:sz="4" w:space="0" w:color="auto"/>
              <w:right w:val="single" w:sz="4"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c>
          <w:tcPr>
            <w:tcW w:w="1073" w:type="dxa"/>
            <w:vMerge/>
            <w:tcBorders>
              <w:left w:val="nil"/>
              <w:bottom w:val="single" w:sz="4" w:space="0" w:color="auto"/>
              <w:right w:val="single" w:sz="4" w:space="0" w:color="auto"/>
            </w:tcBorders>
            <w:shd w:val="clear" w:color="auto" w:fill="auto"/>
            <w:noWrap/>
            <w:vAlign w:val="bottom"/>
            <w:hideMark/>
          </w:tcPr>
          <w:p w:rsidR="008702F0" w:rsidRDefault="008702F0">
            <w:pPr>
              <w:spacing w:after="0" w:line="240" w:lineRule="auto"/>
              <w:ind w:left="-521" w:firstLine="521"/>
              <w:jc w:val="center"/>
              <w:rPr>
                <w:rFonts w:eastAsia="Times New Roman" w:cs="Times New Roman"/>
                <w:noProof/>
                <w:color w:val="000000" w:themeColor="text1"/>
                <w:sz w:val="22"/>
                <w:lang w:eastAsia="en-GB"/>
              </w:rPr>
            </w:pP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866" w:type="dxa"/>
            <w:tcBorders>
              <w:top w:val="single" w:sz="8" w:space="0" w:color="auto"/>
              <w:left w:val="nil"/>
              <w:bottom w:val="single" w:sz="4" w:space="0" w:color="auto"/>
              <w:right w:val="single" w:sz="8" w:space="0" w:color="auto"/>
            </w:tcBorders>
            <w:shd w:val="clear" w:color="auto" w:fill="auto"/>
            <w:noWrap/>
            <w:vAlign w:val="center"/>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8365</w:t>
            </w:r>
          </w:p>
        </w:tc>
        <w:tc>
          <w:tcPr>
            <w:tcW w:w="1138"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20032</w:t>
            </w:r>
          </w:p>
        </w:tc>
        <w:tc>
          <w:tcPr>
            <w:tcW w:w="125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42032</w:t>
            </w:r>
          </w:p>
        </w:tc>
        <w:tc>
          <w:tcPr>
            <w:tcW w:w="1025"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72032</w:t>
            </w:r>
          </w:p>
        </w:tc>
        <w:tc>
          <w:tcPr>
            <w:tcW w:w="107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101955</w:t>
            </w:r>
          </w:p>
        </w:tc>
        <w:tc>
          <w:tcPr>
            <w:tcW w:w="1427" w:type="dxa"/>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101955/2090</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30260</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34562</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52562</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67562</w:t>
            </w:r>
          </w:p>
        </w:tc>
        <w:tc>
          <w:tcPr>
            <w:tcW w:w="107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85939</w:t>
            </w:r>
          </w:p>
        </w:tc>
        <w:tc>
          <w:tcPr>
            <w:tcW w:w="1427"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85939/2090</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365/2090</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12/2090</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19659</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34953</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w:t>
            </w:r>
          </w:p>
        </w:tc>
        <w:tc>
          <w:tcPr>
            <w:tcW w:w="125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90000</w:t>
            </w:r>
          </w:p>
        </w:tc>
        <w:tc>
          <w:tcPr>
            <w:tcW w:w="1025"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110000</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150000</w:t>
            </w:r>
          </w:p>
        </w:tc>
        <w:tc>
          <w:tcPr>
            <w:tcW w:w="1427"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157000/2076</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center"/>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25"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5500</w:t>
            </w:r>
          </w:p>
        </w:tc>
        <w:tc>
          <w:tcPr>
            <w:tcW w:w="1427" w:type="dxa"/>
            <w:tcBorders>
              <w:top w:val="nil"/>
              <w:left w:val="nil"/>
              <w:bottom w:val="single" w:sz="4"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15500/2076</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nil"/>
              <w:right w:val="single" w:sz="8" w:space="0" w:color="auto"/>
            </w:tcBorders>
            <w:shd w:val="clear" w:color="auto" w:fill="auto"/>
            <w:noWrap/>
            <w:vAlign w:val="center"/>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38"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w:t>
            </w:r>
          </w:p>
        </w:tc>
        <w:tc>
          <w:tcPr>
            <w:tcW w:w="1025"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4000*</w:t>
            </w:r>
          </w:p>
        </w:tc>
        <w:tc>
          <w:tcPr>
            <w:tcW w:w="1073" w:type="dxa"/>
            <w:tcBorders>
              <w:top w:val="single" w:sz="4" w:space="0" w:color="auto"/>
              <w:left w:val="nil"/>
              <w:bottom w:val="single" w:sz="8" w:space="0" w:color="auto"/>
              <w:right w:val="nil"/>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w:t>
            </w:r>
          </w:p>
        </w:tc>
        <w:tc>
          <w:tcPr>
            <w:tcW w:w="1427" w:type="dxa"/>
            <w:tcBorders>
              <w:top w:val="nil"/>
              <w:left w:val="single" w:sz="4" w:space="0" w:color="auto"/>
              <w:bottom w:val="single" w:sz="8" w:space="0" w:color="auto"/>
              <w:right w:val="single" w:sz="8" w:space="0" w:color="auto"/>
            </w:tcBorders>
            <w:shd w:val="clear" w:color="auto" w:fill="auto"/>
            <w:noWrap/>
            <w:vAlign w:val="center"/>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12600*/2076</w:t>
            </w:r>
          </w:p>
        </w:tc>
      </w:tr>
      <w:tr w:rsidR="008702F0">
        <w:trPr>
          <w:trHeight w:val="300"/>
        </w:trPr>
        <w:tc>
          <w:tcPr>
            <w:tcW w:w="1418"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spacing w:after="0" w:line="240" w:lineRule="auto"/>
              <w:ind w:left="34"/>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1037600</w:t>
            </w:r>
          </w:p>
        </w:tc>
        <w:tc>
          <w:tcPr>
            <w:tcW w:w="1138"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4"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15"/>
        </w:trPr>
        <w:tc>
          <w:tcPr>
            <w:tcW w:w="1418" w:type="dxa"/>
            <w:vMerge/>
            <w:tcBorders>
              <w:top w:val="nil"/>
              <w:left w:val="single" w:sz="8" w:space="0" w:color="auto"/>
              <w:bottom w:val="single" w:sz="8" w:space="0" w:color="000000"/>
              <w:right w:val="single" w:sz="8" w:space="0" w:color="auto"/>
            </w:tcBorders>
            <w:vAlign w:val="center"/>
            <w:hideMark/>
          </w:tcPr>
          <w:p w:rsidR="008702F0" w:rsidRDefault="008702F0">
            <w:pPr>
              <w:spacing w:after="0" w:line="240" w:lineRule="auto"/>
              <w:ind w:left="34"/>
              <w:jc w:val="left"/>
              <w:rPr>
                <w:rFonts w:eastAsia="Times New Roman" w:cs="Times New Roman"/>
                <w:noProof/>
                <w:color w:val="000000" w:themeColor="text1"/>
                <w:sz w:val="22"/>
                <w:lang w:eastAsia="en-GB"/>
              </w:rPr>
            </w:pPr>
          </w:p>
        </w:tc>
        <w:tc>
          <w:tcPr>
            <w:tcW w:w="866" w:type="dxa"/>
            <w:tcBorders>
              <w:top w:val="nil"/>
              <w:left w:val="nil"/>
              <w:bottom w:val="single" w:sz="8" w:space="0" w:color="auto"/>
              <w:right w:val="single" w:sz="8" w:space="0" w:color="auto"/>
            </w:tcBorders>
            <w:shd w:val="clear" w:color="auto" w:fill="auto"/>
            <w:noWrap/>
            <w:vAlign w:val="bottom"/>
            <w:hideMark/>
          </w:tcPr>
          <w:p w:rsidR="008702F0" w:rsidRDefault="00ED659C">
            <w:pPr>
              <w:tabs>
                <w:tab w:val="left" w:pos="655"/>
              </w:tabs>
              <w:spacing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8"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25"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ind w:left="-521" w:firstLine="521"/>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rFonts w:cs="Times New Roman"/>
          <w:noProof/>
          <w:color w:val="000000" w:themeColor="text1"/>
          <w:szCs w:val="24"/>
          <w:lang w:val="en-US"/>
        </w:rPr>
      </w:pPr>
      <w:r>
        <w:rPr>
          <w:rFonts w:cs="Times New Roman"/>
          <w:noProof/>
          <w:color w:val="000000" w:themeColor="text1"/>
          <w:szCs w:val="24"/>
          <w:lang w:val="en-US"/>
        </w:rPr>
        <w:t>* Spent fuel disposed of (Mass of heavy metal, tHM)</w:t>
      </w:r>
    </w:p>
    <w:p w:rsidR="008702F0" w:rsidRDefault="00ED659C">
      <w:pPr>
        <w:rPr>
          <w:rFonts w:cs="Times New Roman"/>
          <w:noProof/>
          <w:color w:val="000000" w:themeColor="text1"/>
          <w:szCs w:val="24"/>
          <w:lang w:val="en-US"/>
        </w:rPr>
      </w:pPr>
      <w:r>
        <w:rPr>
          <w:rFonts w:cs="Times New Roman"/>
          <w:noProof/>
          <w:color w:val="000000" w:themeColor="text1"/>
          <w:szCs w:val="24"/>
          <w:lang w:val="en-US"/>
        </w:rPr>
        <w:t>** Not registered.</w:t>
      </w:r>
      <w:r>
        <w:rPr>
          <w:rFonts w:cs="Times New Roman"/>
          <w:noProof/>
          <w:color w:val="000000" w:themeColor="text1"/>
          <w:szCs w:val="24"/>
          <w:lang w:val="en-US"/>
        </w:rPr>
        <w:br w:type="page"/>
      </w: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7. Other radioactive waste on Member States’ territory</w:t>
      </w:r>
    </w:p>
    <w:tbl>
      <w:tblPr>
        <w:tblW w:w="9370" w:type="dxa"/>
        <w:tblInd w:w="98" w:type="dxa"/>
        <w:tblLook w:val="0620" w:firstRow="1" w:lastRow="0" w:firstColumn="0" w:lastColumn="0" w:noHBand="1" w:noVBand="1"/>
      </w:tblPr>
      <w:tblGrid>
        <w:gridCol w:w="1810"/>
        <w:gridCol w:w="1886"/>
        <w:gridCol w:w="1474"/>
        <w:gridCol w:w="1080"/>
        <w:gridCol w:w="1080"/>
        <w:gridCol w:w="1080"/>
        <w:gridCol w:w="960"/>
      </w:tblGrid>
      <w:tr w:rsidR="008702F0">
        <w:trPr>
          <w:cantSplit/>
          <w:trHeight w:val="315"/>
          <w:tblHeader/>
        </w:trPr>
        <w:tc>
          <w:tcPr>
            <w:tcW w:w="1810" w:type="dxa"/>
            <w:vMerge w:val="restart"/>
            <w:tcBorders>
              <w:bottom w:val="single" w:sz="8" w:space="0" w:color="auto"/>
              <w:right w:val="single" w:sz="4" w:space="0" w:color="auto"/>
            </w:tcBorders>
            <w:shd w:val="clear" w:color="auto" w:fill="auto"/>
            <w:noWrap/>
            <w:vAlign w:val="bottom"/>
          </w:tcPr>
          <w:p w:rsidR="008702F0" w:rsidRDefault="008702F0">
            <w:pPr>
              <w:tabs>
                <w:tab w:val="left" w:pos="8640"/>
              </w:tabs>
              <w:spacing w:before="0" w:after="0" w:line="240" w:lineRule="auto"/>
              <w:ind w:right="-120"/>
              <w:jc w:val="left"/>
              <w:rPr>
                <w:rFonts w:eastAsia="Times New Roman" w:cs="Times New Roman"/>
                <w:b/>
                <w:bCs/>
                <w:noProof/>
                <w:color w:val="000000" w:themeColor="text1"/>
                <w:sz w:val="22"/>
                <w:lang w:eastAsia="en-GB"/>
              </w:rPr>
            </w:pPr>
          </w:p>
        </w:tc>
        <w:tc>
          <w:tcPr>
            <w:tcW w:w="1886" w:type="dxa"/>
            <w:vMerge w:val="restart"/>
            <w:tcBorders>
              <w:top w:val="single" w:sz="8" w:space="0" w:color="auto"/>
              <w:left w:val="single" w:sz="4" w:space="0" w:color="auto"/>
              <w:right w:val="nil"/>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Waste type</w:t>
            </w:r>
          </w:p>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567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Amount</w:t>
            </w:r>
          </w:p>
        </w:tc>
      </w:tr>
      <w:tr w:rsidR="008702F0">
        <w:trPr>
          <w:cantSplit/>
          <w:trHeight w:val="315"/>
          <w:tblHeader/>
        </w:trPr>
        <w:tc>
          <w:tcPr>
            <w:tcW w:w="1810" w:type="dxa"/>
            <w:vMerge/>
            <w:tcBorders>
              <w:bottom w:val="single" w:sz="8" w:space="0" w:color="auto"/>
              <w:right w:val="single" w:sz="4" w:space="0" w:color="auto"/>
            </w:tcBorders>
            <w:shd w:val="clear" w:color="auto" w:fill="auto"/>
            <w:noWrap/>
            <w:vAlign w:val="bottom"/>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vMerge/>
            <w:tcBorders>
              <w:left w:val="single" w:sz="4" w:space="0" w:color="auto"/>
              <w:bottom w:val="nil"/>
              <w:right w:val="single" w:sz="8" w:space="0" w:color="auto"/>
            </w:tcBorders>
            <w:shd w:val="clear" w:color="auto" w:fill="auto"/>
            <w:noWrap/>
            <w:vAlign w:val="bottom"/>
            <w:hideMark/>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1474" w:type="dxa"/>
            <w:tcBorders>
              <w:top w:val="single" w:sz="8" w:space="0" w:color="auto"/>
              <w:left w:val="single" w:sz="8" w:space="0" w:color="auto"/>
              <w:bottom w:val="single" w:sz="8" w:space="0" w:color="auto"/>
              <w:right w:val="nil"/>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2013</w:t>
            </w:r>
          </w:p>
        </w:tc>
        <w:tc>
          <w:tcPr>
            <w:tcW w:w="10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2040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2050</w:t>
            </w:r>
          </w:p>
        </w:tc>
      </w:tr>
      <w:tr w:rsidR="008702F0">
        <w:trPr>
          <w:cantSplit/>
          <w:trHeight w:val="300"/>
        </w:trPr>
        <w:tc>
          <w:tcPr>
            <w:tcW w:w="181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single" w:sz="8" w:space="0" w:color="auto"/>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Radium extracting waste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85 000</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nil"/>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nil"/>
              <w:bottom w:val="nil"/>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nil"/>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nil"/>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33119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(tons)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 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750 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1250 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1750 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single" w:sz="4" w:space="0" w:color="auto"/>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Tailings and ore (tons)</w:t>
            </w:r>
          </w:p>
        </w:tc>
        <w:tc>
          <w:tcPr>
            <w:tcW w:w="1474"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4800 t</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23.7</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26.7</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30.7</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34.7</w:t>
            </w:r>
          </w:p>
        </w:tc>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15"/>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8"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8" w:space="0" w:color="auto"/>
              <w:bottom w:val="single" w:sz="8" w:space="0" w:color="000000"/>
              <w:right w:val="single" w:sz="8" w:space="0" w:color="auto"/>
            </w:tcBorders>
            <w:shd w:val="clear" w:color="auto" w:fill="auto"/>
            <w:noWrap/>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1886" w:type="dxa"/>
            <w:tcBorders>
              <w:top w:val="nil"/>
              <w:left w:val="nil"/>
              <w:bottom w:val="single" w:sz="4" w:space="0" w:color="auto"/>
              <w:right w:val="single" w:sz="4" w:space="0" w:color="auto"/>
            </w:tcBorders>
            <w:shd w:val="clear" w:color="auto" w:fill="auto"/>
            <w:noWrap/>
            <w:vAlign w:val="bottom"/>
            <w:hideMark/>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2300000</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top w:val="nil"/>
              <w:left w:val="single" w:sz="8" w:space="0" w:color="auto"/>
              <w:bottom w:val="single" w:sz="8" w:space="0" w:color="000000"/>
              <w:right w:val="single" w:sz="8" w:space="0" w:color="auto"/>
            </w:tcBorders>
            <w:shd w:val="clear" w:color="auto" w:fill="auto"/>
            <w:noWrap/>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(tons)</w:t>
            </w:r>
          </w:p>
        </w:tc>
        <w:tc>
          <w:tcPr>
            <w:tcW w:w="1474"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50000000 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1080" w:type="dxa"/>
            <w:tcBorders>
              <w:top w:val="nil"/>
              <w:left w:val="nil"/>
              <w:bottom w:val="single" w:sz="4" w:space="0" w:color="auto"/>
              <w:right w:val="single" w:sz="4"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1080" w:type="dxa"/>
            <w:tcBorders>
              <w:top w:val="nil"/>
              <w:left w:val="nil"/>
              <w:bottom w:val="single" w:sz="4" w:space="0" w:color="auto"/>
              <w:right w:val="single" w:sz="4"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960" w:type="dxa"/>
            <w:tcBorders>
              <w:top w:val="nil"/>
              <w:left w:val="single" w:sz="4" w:space="0" w:color="auto"/>
              <w:bottom w:val="single" w:sz="4" w:space="0" w:color="auto"/>
              <w:right w:val="single" w:sz="8"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r>
      <w:tr w:rsidR="008702F0">
        <w:trPr>
          <w:cantSplit/>
          <w:trHeight w:val="300"/>
        </w:trPr>
        <w:tc>
          <w:tcPr>
            <w:tcW w:w="1810" w:type="dxa"/>
            <w:vMerge/>
            <w:tcBorders>
              <w:top w:val="nil"/>
              <w:left w:val="single" w:sz="8" w:space="0" w:color="auto"/>
              <w:bottom w:val="single" w:sz="8" w:space="0" w:color="000000"/>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Uranium conversion treatment residues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688000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top w:val="nil"/>
              <w:left w:val="single" w:sz="8" w:space="0" w:color="auto"/>
              <w:bottom w:val="single" w:sz="4" w:space="0" w:color="auto"/>
              <w:right w:val="single" w:sz="8" w:space="0" w:color="auto"/>
            </w:tcBorders>
            <w:vAlign w:val="center"/>
            <w:hideMark/>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Products remaining after extraction of the </w:t>
            </w:r>
            <w:r>
              <w:rPr>
                <w:rFonts w:eastAsia="Times New Roman" w:cs="Times New Roman"/>
                <w:noProof/>
                <w:color w:val="000000" w:themeColor="text1"/>
                <w:sz w:val="22"/>
                <w:lang w:eastAsia="en-GB"/>
              </w:rPr>
              <w:t>uranium contained by the ore (tons)</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50000000 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1080" w:type="dxa"/>
            <w:tcBorders>
              <w:top w:val="nil"/>
              <w:left w:val="nil"/>
              <w:bottom w:val="single" w:sz="4" w:space="0" w:color="auto"/>
              <w:right w:val="single" w:sz="4" w:space="0" w:color="auto"/>
            </w:tcBorders>
            <w:shd w:val="clear" w:color="auto" w:fill="auto"/>
            <w:noWrap/>
            <w:vAlign w:val="center"/>
          </w:tcPr>
          <w:p w:rsidR="008702F0" w:rsidRDefault="008702F0">
            <w:pPr>
              <w:tabs>
                <w:tab w:val="left" w:pos="8640"/>
              </w:tabs>
              <w:spacing w:before="0" w:after="0" w:line="240" w:lineRule="auto"/>
              <w:ind w:right="-120"/>
              <w:jc w:val="center"/>
              <w:rPr>
                <w:rFonts w:eastAsia="Times New Roman" w:cs="Times New Roman"/>
                <w:noProof/>
                <w:color w:val="000000" w:themeColor="text1"/>
                <w:sz w:val="22"/>
                <w:lang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8" w:space="0" w:color="auto"/>
            </w:tcBorders>
            <w:shd w:val="clear" w:color="auto" w:fill="auto"/>
            <w:noWrap/>
            <w:vAlign w:val="center"/>
            <w:hideMark/>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6564</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81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35376</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37251</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41001</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44751</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48501</w:t>
            </w:r>
          </w:p>
        </w:tc>
      </w:tr>
      <w:tr w:rsidR="008702F0">
        <w:trPr>
          <w:cantSplit/>
          <w:trHeight w:val="300"/>
        </w:trPr>
        <w:tc>
          <w:tcPr>
            <w:tcW w:w="181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188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ED659C">
      <w:pPr>
        <w:rPr>
          <w:rFonts w:cs="Times New Roman"/>
          <w:noProof/>
          <w:sz w:val="22"/>
        </w:rPr>
      </w:pPr>
      <w:r>
        <w:rPr>
          <w:rFonts w:cs="Times New Roman"/>
          <w:noProof/>
          <w:sz w:val="22"/>
        </w:rPr>
        <w:br w:type="page"/>
      </w:r>
    </w:p>
    <w:tbl>
      <w:tblPr>
        <w:tblW w:w="9370" w:type="dxa"/>
        <w:tblInd w:w="98" w:type="dxa"/>
        <w:tblLook w:val="0620" w:firstRow="1" w:lastRow="0" w:firstColumn="0" w:lastColumn="0" w:noHBand="1" w:noVBand="1"/>
      </w:tblPr>
      <w:tblGrid>
        <w:gridCol w:w="1660"/>
        <w:gridCol w:w="2036"/>
        <w:gridCol w:w="1474"/>
        <w:gridCol w:w="1080"/>
        <w:gridCol w:w="1080"/>
        <w:gridCol w:w="1080"/>
        <w:gridCol w:w="960"/>
      </w:tblGrid>
      <w:tr w:rsidR="008702F0">
        <w:trPr>
          <w:cantSplit/>
          <w:trHeight w:val="300"/>
        </w:trPr>
        <w:tc>
          <w:tcPr>
            <w:tcW w:w="1660" w:type="dxa"/>
            <w:vMerge w:val="restart"/>
            <w:tcBorders>
              <w:top w:val="single" w:sz="4" w:space="0" w:color="auto"/>
              <w:left w:val="single" w:sz="4" w:space="0" w:color="auto"/>
              <w:bottom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50</w:t>
            </w:r>
          </w:p>
        </w:tc>
      </w:tr>
      <w:tr w:rsidR="008702F0">
        <w:trPr>
          <w:cantSplit/>
          <w:trHeight w:val="300"/>
        </w:trPr>
        <w:tc>
          <w:tcPr>
            <w:tcW w:w="1660" w:type="dxa"/>
            <w:vMerge/>
            <w:tcBorders>
              <w:top w:val="single" w:sz="4" w:space="0" w:color="auto"/>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(GBq)</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1135464</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45000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50000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80000</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80000</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 m</w:t>
            </w:r>
            <w:r>
              <w:rPr>
                <w:rFonts w:eastAsia="Times New Roman" w:cs="Times New Roman"/>
                <w:noProof/>
                <w:color w:val="000000" w:themeColor="text1"/>
                <w:sz w:val="22"/>
                <w:vertAlign w:val="superscript"/>
                <w:lang w:eastAsia="en-GB"/>
              </w:rPr>
              <w:t>3</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2 m</w:t>
            </w:r>
            <w:r>
              <w:rPr>
                <w:rFonts w:eastAsia="Times New Roman" w:cs="Times New Roman"/>
                <w:noProof/>
                <w:color w:val="000000" w:themeColor="text1"/>
                <w:sz w:val="22"/>
                <w:vertAlign w:val="superscript"/>
                <w:lang w:eastAsia="en-GB"/>
              </w:rPr>
              <w:t>3</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Contaminated material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Uranium salts (kg)</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2.23 kg</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Thorium salts (kg)</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0.125 kg</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17000</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nil"/>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nil"/>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nil"/>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550</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2679900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25135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Sterile and </w:t>
            </w:r>
            <w:r>
              <w:rPr>
                <w:rFonts w:eastAsia="Times New Roman" w:cs="Times New Roman"/>
                <w:noProof/>
                <w:color w:val="000000" w:themeColor="text1"/>
                <w:sz w:val="22"/>
                <w:lang w:eastAsia="en-GB"/>
              </w:rPr>
              <w:t>radioactive rock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7072525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2266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1614443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1614443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1614443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1614443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2376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val="restart"/>
            <w:tcBorders>
              <w:top w:val="single" w:sz="4" w:space="0" w:color="auto"/>
              <w:left w:val="single" w:sz="4" w:space="0" w:color="auto"/>
              <w:right w:val="single" w:sz="8" w:space="0" w:color="auto"/>
            </w:tcBorders>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cantSplit/>
          <w:trHeight w:val="300"/>
        </w:trPr>
        <w:tc>
          <w:tcPr>
            <w:tcW w:w="1660" w:type="dxa"/>
            <w:vMerge/>
            <w:tcBorders>
              <w:left w:val="single" w:sz="4" w:space="0" w:color="auto"/>
              <w:bottom w:val="single" w:sz="4" w:space="0" w:color="auto"/>
              <w:right w:val="single" w:sz="8" w:space="0" w:color="auto"/>
            </w:tcBorders>
            <w:vAlign w:val="center"/>
          </w:tcPr>
          <w:p w:rsidR="008702F0" w:rsidRDefault="008702F0">
            <w:pPr>
              <w:tabs>
                <w:tab w:val="left" w:pos="8640"/>
              </w:tabs>
              <w:spacing w:before="0" w:after="0" w:line="240" w:lineRule="auto"/>
              <w:ind w:right="-120"/>
              <w:jc w:val="left"/>
              <w:rPr>
                <w:rFonts w:eastAsia="Times New Roman" w:cs="Times New Roman"/>
                <w:noProof/>
                <w:color w:val="000000" w:themeColor="text1"/>
                <w:sz w:val="22"/>
                <w:lang w:eastAsia="en-GB"/>
              </w:rPr>
            </w:pPr>
          </w:p>
        </w:tc>
        <w:tc>
          <w:tcPr>
            <w:tcW w:w="2036" w:type="dxa"/>
            <w:tcBorders>
              <w:top w:val="single" w:sz="4" w:space="0" w:color="auto"/>
              <w:left w:val="nil"/>
              <w:bottom w:val="single" w:sz="4" w:space="0" w:color="auto"/>
              <w:right w:val="single" w:sz="4" w:space="0" w:color="auto"/>
            </w:tcBorders>
            <w:shd w:val="clear" w:color="auto" w:fill="auto"/>
            <w:noWrap/>
            <w:vAlign w:val="bottom"/>
          </w:tcPr>
          <w:p w:rsidR="008702F0" w:rsidRDefault="00ED659C">
            <w:pPr>
              <w:tabs>
                <w:tab w:val="left" w:pos="8640"/>
              </w:tabs>
              <w:spacing w:before="0" w:after="0" w:line="240" w:lineRule="auto"/>
              <w:ind w:right="-120"/>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702F0" w:rsidRDefault="00ED659C">
            <w:pPr>
              <w:tabs>
                <w:tab w:val="left" w:pos="8640"/>
              </w:tabs>
              <w:spacing w:before="0" w:after="0" w:line="240" w:lineRule="auto"/>
              <w:ind w:right="-120"/>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rsidR="008702F0" w:rsidRDefault="008702F0">
      <w:pPr>
        <w:tabs>
          <w:tab w:val="left" w:pos="8640"/>
        </w:tabs>
        <w:ind w:right="-120"/>
        <w:rPr>
          <w:rFonts w:cs="Times New Roman"/>
          <w:noProof/>
          <w:color w:val="000000" w:themeColor="text1"/>
        </w:rPr>
      </w:pPr>
    </w:p>
    <w:p w:rsidR="008702F0" w:rsidRDefault="008702F0">
      <w:pPr>
        <w:tabs>
          <w:tab w:val="left" w:pos="8640"/>
        </w:tabs>
        <w:ind w:right="-120"/>
        <w:rPr>
          <w:rFonts w:cs="Times New Roman"/>
          <w:noProof/>
          <w:color w:val="000000" w:themeColor="text1"/>
        </w:rPr>
      </w:pPr>
    </w:p>
    <w:p w:rsidR="008702F0" w:rsidRDefault="008702F0">
      <w:pPr>
        <w:spacing w:before="240" w:after="360"/>
        <w:jc w:val="center"/>
        <w:rPr>
          <w:rFonts w:cs="Times New Roman"/>
          <w:noProof/>
          <w:color w:val="000000" w:themeColor="text1"/>
          <w:szCs w:val="24"/>
          <w:lang w:val="en-US"/>
        </w:rPr>
      </w:pPr>
    </w:p>
    <w:p w:rsidR="008702F0" w:rsidRDefault="00ED659C">
      <w:pPr>
        <w:rPr>
          <w:rFonts w:cs="Times New Roman"/>
          <w:noProof/>
          <w:color w:val="000000" w:themeColor="text1"/>
          <w:lang w:val="en-US"/>
        </w:rPr>
      </w:pPr>
      <w:r>
        <w:rPr>
          <w:rFonts w:cs="Times New Roman"/>
          <w:noProof/>
          <w:color w:val="000000" w:themeColor="text1"/>
          <w:lang w:val="en-US"/>
        </w:rPr>
        <w:br w:type="page"/>
      </w: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8. Radioactive waste disposed of at sea</w:t>
      </w:r>
      <w:r>
        <w:rPr>
          <w:rStyle w:val="FootnoteReference"/>
          <w:rFonts w:cs="Times New Roman"/>
          <w:b/>
          <w:noProof/>
          <w:color w:val="000000" w:themeColor="text1"/>
          <w:szCs w:val="24"/>
          <w:lang w:val="en-US"/>
        </w:rPr>
        <w:footnoteReference w:id="13"/>
      </w:r>
    </w:p>
    <w:tbl>
      <w:tblPr>
        <w:tblW w:w="3700" w:type="dxa"/>
        <w:tblInd w:w="108" w:type="dxa"/>
        <w:tblLook w:val="04A0" w:firstRow="1" w:lastRow="0" w:firstColumn="1" w:lastColumn="0" w:noHBand="0" w:noVBand="1"/>
      </w:tblPr>
      <w:tblGrid>
        <w:gridCol w:w="1920"/>
        <w:gridCol w:w="1780"/>
      </w:tblGrid>
      <w:tr w:rsidR="008702F0">
        <w:trPr>
          <w:trHeight w:val="315"/>
          <w:tblHeader/>
        </w:trPr>
        <w:tc>
          <w:tcPr>
            <w:tcW w:w="1920" w:type="dxa"/>
            <w:tcBorders>
              <w:top w:val="nil"/>
              <w:left w:val="nil"/>
              <w:bottom w:val="single" w:sz="4" w:space="0" w:color="auto"/>
              <w:right w:val="nil"/>
            </w:tcBorders>
            <w:shd w:val="clear" w:color="auto" w:fill="auto"/>
            <w:noWrap/>
            <w:vAlign w:val="bottom"/>
            <w:hideMark/>
          </w:tcPr>
          <w:p w:rsidR="008702F0" w:rsidRDefault="008702F0">
            <w:pPr>
              <w:spacing w:after="0" w:line="240" w:lineRule="auto"/>
              <w:jc w:val="left"/>
              <w:rPr>
                <w:rFonts w:eastAsia="Times New Roman" w:cs="Times New Roman"/>
                <w:b/>
                <w:bCs/>
                <w:noProof/>
                <w:color w:val="000000" w:themeColor="text1"/>
                <w:sz w:val="22"/>
                <w:lang w:eastAsia="en-GB"/>
              </w:rPr>
            </w:pP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Activity, GBq</w:t>
            </w:r>
          </w:p>
        </w:tc>
      </w:tr>
      <w:tr w:rsidR="008702F0">
        <w:trPr>
          <w:trHeight w:val="300"/>
        </w:trPr>
        <w:tc>
          <w:tcPr>
            <w:tcW w:w="19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1780" w:type="dxa"/>
            <w:tcBorders>
              <w:top w:val="nil"/>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29 730.5</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1780" w:type="dxa"/>
            <w:tcBorders>
              <w:top w:val="nil"/>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354 000</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1780" w:type="dxa"/>
            <w:tcBorders>
              <w:top w:val="single" w:sz="4" w:space="0" w:color="auto"/>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203.5</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185</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340 000</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1780" w:type="dxa"/>
            <w:tcBorders>
              <w:top w:val="nil"/>
              <w:left w:val="nil"/>
              <w:bottom w:val="single" w:sz="4"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rsidR="008702F0">
        <w:trPr>
          <w:trHeight w:val="300"/>
        </w:trPr>
        <w:tc>
          <w:tcPr>
            <w:tcW w:w="1920" w:type="dxa"/>
            <w:tcBorders>
              <w:top w:val="single" w:sz="4" w:space="0" w:color="auto"/>
              <w:left w:val="single" w:sz="8"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1780" w:type="dxa"/>
            <w:tcBorders>
              <w:top w:val="nil"/>
              <w:left w:val="single" w:sz="4" w:space="0" w:color="auto"/>
              <w:bottom w:val="nil"/>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3255</w:t>
            </w:r>
          </w:p>
        </w:tc>
      </w:tr>
      <w:tr w:rsidR="008702F0">
        <w:trPr>
          <w:trHeight w:val="315"/>
        </w:trPr>
        <w:tc>
          <w:tcPr>
            <w:tcW w:w="19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178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702F0" w:rsidRDefault="00ED659C">
            <w:pPr>
              <w:spacing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35 109 397</w:t>
            </w:r>
          </w:p>
        </w:tc>
      </w:tr>
    </w:tbl>
    <w:p w:rsidR="008702F0" w:rsidRDefault="008702F0">
      <w:pPr>
        <w:rPr>
          <w:rFonts w:cs="Times New Roman"/>
          <w:noProof/>
          <w:color w:val="000000" w:themeColor="text1"/>
          <w:szCs w:val="24"/>
          <w:lang w:val="en-US"/>
        </w:rPr>
      </w:pPr>
    </w:p>
    <w:p w:rsidR="008702F0" w:rsidRDefault="008702F0">
      <w:pPr>
        <w:rPr>
          <w:rFonts w:cs="Times New Roman"/>
          <w:noProof/>
          <w:color w:val="000000" w:themeColor="text1"/>
          <w:szCs w:val="24"/>
        </w:rPr>
        <w:sectPr w:rsidR="008702F0">
          <w:headerReference w:type="even" r:id="rId47"/>
          <w:headerReference w:type="default" r:id="rId48"/>
          <w:footerReference w:type="even" r:id="rId49"/>
          <w:footerReference w:type="default" r:id="rId50"/>
          <w:headerReference w:type="first" r:id="rId51"/>
          <w:footerReference w:type="first" r:id="rId52"/>
          <w:pgSz w:w="11906" w:h="16838"/>
          <w:pgMar w:top="1440" w:right="1106" w:bottom="1440" w:left="1440" w:header="708" w:footer="708" w:gutter="0"/>
          <w:cols w:space="708"/>
          <w:docGrid w:linePitch="360"/>
        </w:sectPr>
      </w:pP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9. Comparison of global European Union radioactive wastes in disposal (m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14050" w:type="dxa"/>
        <w:tblInd w:w="98" w:type="dxa"/>
        <w:tblLook w:val="04A0" w:firstRow="1" w:lastRow="0" w:firstColumn="1" w:lastColumn="0" w:noHBand="0" w:noVBand="1"/>
      </w:tblPr>
      <w:tblGrid>
        <w:gridCol w:w="1570"/>
        <w:gridCol w:w="2200"/>
        <w:gridCol w:w="1920"/>
        <w:gridCol w:w="2240"/>
        <w:gridCol w:w="1560"/>
        <w:gridCol w:w="1100"/>
        <w:gridCol w:w="1120"/>
        <w:gridCol w:w="1120"/>
        <w:gridCol w:w="1220"/>
      </w:tblGrid>
      <w:tr w:rsidR="008702F0">
        <w:trPr>
          <w:trHeight w:val="300"/>
        </w:trPr>
        <w:tc>
          <w:tcPr>
            <w:tcW w:w="15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702F0" w:rsidRDefault="008702F0">
            <w:pPr>
              <w:spacing w:after="0" w:line="240" w:lineRule="auto"/>
              <w:jc w:val="center"/>
              <w:rPr>
                <w:rFonts w:eastAsia="Times New Roman" w:cs="Times New Roman"/>
                <w:b/>
                <w:noProof/>
                <w:color w:val="000000" w:themeColor="text1"/>
                <w:sz w:val="22"/>
                <w:lang w:eastAsia="en-GB"/>
              </w:rPr>
            </w:pPr>
          </w:p>
        </w:tc>
        <w:tc>
          <w:tcPr>
            <w:tcW w:w="220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t xml:space="preserve"> </w:t>
            </w:r>
            <w:r>
              <w:rPr>
                <w:rFonts w:eastAsia="Times New Roman" w:cs="Times New Roman"/>
                <w:b/>
                <w:bCs/>
                <w:noProof/>
                <w:color w:val="000000" w:themeColor="text1"/>
                <w:sz w:val="22"/>
                <w:lang w:eastAsia="en-GB"/>
              </w:rPr>
              <w:br/>
              <w:t>(2004*)</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r>
              <w:rPr>
                <w:rFonts w:eastAsia="Times New Roman" w:cs="Times New Roman"/>
                <w:b/>
                <w:bCs/>
                <w:noProof/>
                <w:color w:val="000000" w:themeColor="text1"/>
                <w:sz w:val="22"/>
                <w:lang w:eastAsia="en-GB"/>
              </w:rPr>
              <w:t xml:space="preserve"> (2007*)</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 xml:space="preserve">EC internal data </w:t>
            </w:r>
            <w:r>
              <w:rPr>
                <w:rFonts w:eastAsia="Times New Roman" w:cs="Times New Roman"/>
                <w:b/>
                <w:bCs/>
                <w:noProof/>
                <w:color w:val="000000" w:themeColor="text1"/>
                <w:sz w:val="22"/>
                <w:lang w:eastAsia="en-GB"/>
              </w:rPr>
              <w:t>(2010*)</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110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2020**</w:t>
            </w:r>
          </w:p>
        </w:tc>
        <w:tc>
          <w:tcPr>
            <w:tcW w:w="112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p>
        </w:tc>
        <w:tc>
          <w:tcPr>
            <w:tcW w:w="112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2040**</w:t>
            </w:r>
          </w:p>
        </w:tc>
        <w:tc>
          <w:tcPr>
            <w:tcW w:w="122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2050**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waste</w:t>
            </w:r>
          </w:p>
        </w:tc>
        <w:tc>
          <w:tcPr>
            <w:tcW w:w="220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 xml:space="preserve">1 856 000 </w:t>
            </w:r>
            <w:r>
              <w:rPr>
                <w:rFonts w:eastAsia="Times New Roman" w:cs="Times New Roman"/>
                <w:b/>
                <w:noProof/>
                <w:color w:val="000000" w:themeColor="text1"/>
                <w:sz w:val="22"/>
                <w:lang w:eastAsia="en-GB"/>
              </w:rPr>
              <w:br/>
              <w:t>(1 851 000)</w:t>
            </w:r>
          </w:p>
        </w:tc>
        <w:tc>
          <w:tcPr>
            <w:tcW w:w="192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2 083 000</w:t>
            </w:r>
            <w:r>
              <w:rPr>
                <w:rFonts w:eastAsia="Times New Roman" w:cs="Times New Roman"/>
                <w:b/>
                <w:noProof/>
                <w:color w:val="000000" w:themeColor="text1"/>
                <w:sz w:val="22"/>
                <w:lang w:eastAsia="en-GB"/>
              </w:rPr>
              <w:br/>
              <w:t>(2 045 000)</w:t>
            </w:r>
          </w:p>
        </w:tc>
        <w:tc>
          <w:tcPr>
            <w:tcW w:w="224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2 214 000</w:t>
            </w:r>
            <w:r>
              <w:rPr>
                <w:rFonts w:eastAsia="Times New Roman" w:cs="Times New Roman"/>
                <w:b/>
                <w:noProof/>
                <w:color w:val="000000" w:themeColor="text1"/>
                <w:sz w:val="22"/>
                <w:lang w:eastAsia="en-GB"/>
              </w:rPr>
              <w:br/>
              <w:t>(2 188 000)</w:t>
            </w:r>
          </w:p>
        </w:tc>
        <w:tc>
          <w:tcPr>
            <w:tcW w:w="156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2 316 000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271 000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617 000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934 000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1 130 000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220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34 000</w:t>
            </w:r>
          </w:p>
        </w:tc>
        <w:tc>
          <w:tcPr>
            <w:tcW w:w="192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105 000</w:t>
            </w:r>
          </w:p>
        </w:tc>
        <w:tc>
          <w:tcPr>
            <w:tcW w:w="224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197 000</w:t>
            </w:r>
          </w:p>
        </w:tc>
        <w:tc>
          <w:tcPr>
            <w:tcW w:w="156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279 000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122 000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183 000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214 000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220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1 822 000</w:t>
            </w:r>
            <w:r>
              <w:rPr>
                <w:rFonts w:eastAsia="Times New Roman" w:cs="Times New Roman"/>
                <w:noProof/>
                <w:color w:val="000000" w:themeColor="text1"/>
                <w:sz w:val="22"/>
                <w:lang w:eastAsia="en-GB"/>
              </w:rPr>
              <w:br/>
              <w:t xml:space="preserve">(1 817 </w:t>
            </w:r>
            <w:r>
              <w:rPr>
                <w:rFonts w:eastAsia="Times New Roman" w:cs="Times New Roman"/>
                <w:noProof/>
                <w:color w:val="000000" w:themeColor="text1"/>
                <w:sz w:val="22"/>
                <w:lang w:eastAsia="en-GB"/>
              </w:rPr>
              <w:t>000)</w:t>
            </w:r>
          </w:p>
        </w:tc>
        <w:tc>
          <w:tcPr>
            <w:tcW w:w="192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1 977 000</w:t>
            </w:r>
            <w:r>
              <w:rPr>
                <w:rFonts w:eastAsia="Times New Roman" w:cs="Times New Roman"/>
                <w:noProof/>
                <w:color w:val="000000" w:themeColor="text1"/>
                <w:sz w:val="22"/>
                <w:lang w:eastAsia="en-GB"/>
              </w:rPr>
              <w:br/>
              <w:t>(1 940 000)</w:t>
            </w:r>
          </w:p>
        </w:tc>
        <w:tc>
          <w:tcPr>
            <w:tcW w:w="224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2 017 000</w:t>
            </w:r>
          </w:p>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(1 991 000)</w:t>
            </w:r>
          </w:p>
        </w:tc>
        <w:tc>
          <w:tcPr>
            <w:tcW w:w="156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2 025 000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705 000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862 000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220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92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24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60" w:type="dxa"/>
            <w:tcBorders>
              <w:top w:val="nil"/>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31 000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55 000</w:t>
            </w:r>
          </w:p>
        </w:tc>
      </w:tr>
      <w:tr w:rsidR="008702F0">
        <w:trPr>
          <w:trHeight w:val="315"/>
        </w:trPr>
        <w:tc>
          <w:tcPr>
            <w:tcW w:w="1570"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220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92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224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60" w:type="dxa"/>
            <w:tcBorders>
              <w:top w:val="nil"/>
              <w:left w:val="nil"/>
              <w:bottom w:val="single" w:sz="8"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00" w:type="dxa"/>
            <w:tcBorders>
              <w:top w:val="nil"/>
              <w:left w:val="nil"/>
              <w:bottom w:val="single" w:sz="8"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20" w:type="dxa"/>
            <w:tcBorders>
              <w:top w:val="nil"/>
              <w:left w:val="nil"/>
              <w:bottom w:val="single" w:sz="8"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120" w:type="dxa"/>
            <w:tcBorders>
              <w:top w:val="nil"/>
              <w:left w:val="nil"/>
              <w:bottom w:val="single" w:sz="8"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20" w:type="dxa"/>
            <w:tcBorders>
              <w:top w:val="nil"/>
              <w:left w:val="nil"/>
              <w:bottom w:val="single" w:sz="8"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bl>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Reviewed and updated data</w:t>
      </w:r>
    </w:p>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xml:space="preserve">** Not all Member States reported such information, thus the values </w:t>
      </w:r>
      <w:r>
        <w:rPr>
          <w:rFonts w:cs="Times New Roman"/>
          <w:noProof/>
          <w:color w:val="000000" w:themeColor="text1"/>
          <w:sz w:val="20"/>
          <w:szCs w:val="20"/>
          <w:lang w:val="en-US"/>
        </w:rPr>
        <w:t>given do not represent the overall EU situation</w:t>
      </w:r>
    </w:p>
    <w:p w:rsidR="008702F0" w:rsidRDefault="00ED659C">
      <w:pPr>
        <w:spacing w:before="0" w:after="200"/>
        <w:jc w:val="left"/>
        <w:rPr>
          <w:rFonts w:cs="Times New Roman"/>
          <w:noProof/>
          <w:color w:val="000000" w:themeColor="text1"/>
          <w:szCs w:val="24"/>
          <w:lang w:val="en-US"/>
        </w:rPr>
      </w:pPr>
      <w:r>
        <w:rPr>
          <w:rFonts w:cs="Times New Roman"/>
          <w:noProof/>
          <w:color w:val="000000" w:themeColor="text1"/>
          <w:szCs w:val="24"/>
          <w:lang w:val="en-US"/>
        </w:rPr>
        <w:br w:type="page"/>
      </w: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10. Comparison of global European Union spent fuel and radioactive wastes in storage (m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14050" w:type="dxa"/>
        <w:tblInd w:w="98" w:type="dxa"/>
        <w:tblLook w:val="04A0" w:firstRow="1" w:lastRow="0" w:firstColumn="1" w:lastColumn="0" w:noHBand="0" w:noVBand="1"/>
      </w:tblPr>
      <w:tblGrid>
        <w:gridCol w:w="1570"/>
        <w:gridCol w:w="2200"/>
        <w:gridCol w:w="1920"/>
        <w:gridCol w:w="2240"/>
        <w:gridCol w:w="1560"/>
        <w:gridCol w:w="1100"/>
        <w:gridCol w:w="1120"/>
        <w:gridCol w:w="1120"/>
        <w:gridCol w:w="1220"/>
      </w:tblGrid>
      <w:tr w:rsidR="008702F0">
        <w:trPr>
          <w:trHeight w:val="300"/>
        </w:trPr>
        <w:tc>
          <w:tcPr>
            <w:tcW w:w="15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702F0" w:rsidRDefault="008702F0">
            <w:pPr>
              <w:spacing w:after="0" w:line="240" w:lineRule="auto"/>
              <w:jc w:val="center"/>
              <w:rPr>
                <w:rFonts w:eastAsia="Times New Roman" w:cs="Times New Roman"/>
                <w:b/>
                <w:noProof/>
                <w:color w:val="000000" w:themeColor="text1"/>
                <w:sz w:val="22"/>
                <w:lang w:eastAsia="en-GB"/>
              </w:rPr>
            </w:pPr>
          </w:p>
        </w:tc>
        <w:tc>
          <w:tcPr>
            <w:tcW w:w="220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br/>
              <w:t>(2004*)</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r>
              <w:rPr>
                <w:rFonts w:eastAsia="Times New Roman" w:cs="Times New Roman"/>
                <w:b/>
                <w:bCs/>
                <w:noProof/>
                <w:color w:val="000000" w:themeColor="text1"/>
                <w:sz w:val="22"/>
                <w:lang w:eastAsia="en-GB"/>
              </w:rPr>
              <w:t xml:space="preserve"> (2007*)</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EC internal data (2010*)</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110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2020**</w:t>
            </w:r>
          </w:p>
        </w:tc>
        <w:tc>
          <w:tcPr>
            <w:tcW w:w="112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p>
        </w:tc>
        <w:tc>
          <w:tcPr>
            <w:tcW w:w="112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2040**</w:t>
            </w:r>
          </w:p>
        </w:tc>
        <w:tc>
          <w:tcPr>
            <w:tcW w:w="122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2050**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SF</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53 000</w:t>
            </w:r>
          </w:p>
        </w:tc>
        <w:tc>
          <w:tcPr>
            <w:tcW w:w="156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radioactive waste</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800 000</w:t>
            </w:r>
          </w:p>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(798 000)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546 000</w:t>
            </w:r>
            <w:r>
              <w:rPr>
                <w:rFonts w:eastAsia="Times New Roman" w:cs="Times New Roman"/>
                <w:b/>
                <w:noProof/>
                <w:color w:val="000000" w:themeColor="text1"/>
                <w:sz w:val="22"/>
                <w:lang w:eastAsia="en-GB"/>
              </w:rPr>
              <w:br/>
              <w:t>(962 000)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585 000</w:t>
            </w:r>
            <w:r>
              <w:rPr>
                <w:rFonts w:eastAsia="Times New Roman" w:cs="Times New Roman"/>
                <w:b/>
                <w:noProof/>
                <w:color w:val="000000" w:themeColor="text1"/>
                <w:sz w:val="22"/>
                <w:lang w:eastAsia="en-GB"/>
              </w:rPr>
              <w:br/>
              <w:t>(909 000)</w:t>
            </w:r>
          </w:p>
        </w:tc>
        <w:tc>
          <w:tcPr>
            <w:tcW w:w="156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997 000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339 000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286 000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217 000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91 000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176 000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33 000</w:t>
            </w:r>
            <w:r>
              <w:rPr>
                <w:rFonts w:eastAsia="Times New Roman" w:cs="Times New Roman"/>
                <w:noProof/>
                <w:color w:val="000000" w:themeColor="text1"/>
                <w:sz w:val="22"/>
                <w:lang w:eastAsia="en-GB"/>
              </w:rPr>
              <w:br/>
              <w:t>(175 000)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32 000</w:t>
            </w:r>
            <w:r>
              <w:rPr>
                <w:rFonts w:eastAsia="Times New Roman" w:cs="Times New Roman"/>
                <w:noProof/>
                <w:color w:val="000000" w:themeColor="text1"/>
                <w:sz w:val="22"/>
                <w:lang w:eastAsia="en-GB"/>
              </w:rPr>
              <w:br/>
              <w:t>(217 000)</w:t>
            </w:r>
          </w:p>
        </w:tc>
        <w:tc>
          <w:tcPr>
            <w:tcW w:w="156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237 000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w:t>
            </w:r>
            <w:r>
              <w:rPr>
                <w:rFonts w:eastAsia="Times New Roman" w:cs="Times New Roman"/>
                <w:noProof/>
                <w:color w:val="000000" w:themeColor="text1"/>
                <w:sz w:val="22"/>
                <w:lang w:eastAsia="en-GB"/>
              </w:rPr>
              <w:t xml:space="preserve">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401 000</w:t>
            </w:r>
            <w:r>
              <w:rPr>
                <w:rFonts w:eastAsia="Times New Roman" w:cs="Times New Roman"/>
                <w:noProof/>
                <w:color w:val="000000" w:themeColor="text1"/>
                <w:sz w:val="22"/>
                <w:lang w:eastAsia="en-GB"/>
              </w:rPr>
              <w:br/>
              <w:t>(411 000)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222 000</w:t>
            </w:r>
            <w:r>
              <w:rPr>
                <w:rFonts w:eastAsia="Times New Roman" w:cs="Times New Roman"/>
                <w:noProof/>
                <w:color w:val="000000" w:themeColor="text1"/>
                <w:sz w:val="22"/>
                <w:lang w:eastAsia="en-GB"/>
              </w:rPr>
              <w:br/>
              <w:t>(495 000)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133 000</w:t>
            </w:r>
            <w:r>
              <w:rPr>
                <w:rFonts w:eastAsia="Times New Roman" w:cs="Times New Roman"/>
                <w:noProof/>
                <w:color w:val="000000" w:themeColor="text1"/>
                <w:sz w:val="22"/>
                <w:lang w:eastAsia="en-GB"/>
              </w:rPr>
              <w:br/>
              <w:t>(365 000)</w:t>
            </w:r>
          </w:p>
        </w:tc>
        <w:tc>
          <w:tcPr>
            <w:tcW w:w="156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428 000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269 000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217 000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128 000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217 000</w:t>
            </w:r>
            <w:r>
              <w:rPr>
                <w:rFonts w:eastAsia="Times New Roman" w:cs="Times New Roman"/>
                <w:noProof/>
                <w:color w:val="000000" w:themeColor="text1"/>
                <w:sz w:val="22"/>
                <w:lang w:eastAsia="en-GB"/>
              </w:rPr>
              <w:br/>
              <w:t>(206 000)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287 000</w:t>
            </w:r>
            <w:r>
              <w:rPr>
                <w:rFonts w:eastAsia="Times New Roman" w:cs="Times New Roman"/>
                <w:noProof/>
                <w:color w:val="000000" w:themeColor="text1"/>
                <w:sz w:val="22"/>
                <w:lang w:eastAsia="en-GB"/>
              </w:rPr>
              <w:br/>
              <w:t>(288 000)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415 000</w:t>
            </w:r>
            <w:r>
              <w:rPr>
                <w:rFonts w:eastAsia="Times New Roman" w:cs="Times New Roman"/>
                <w:noProof/>
                <w:color w:val="000000" w:themeColor="text1"/>
                <w:sz w:val="22"/>
                <w:lang w:eastAsia="en-GB"/>
              </w:rPr>
              <w:br/>
              <w:t>(321 000)</w:t>
            </w:r>
          </w:p>
        </w:tc>
        <w:tc>
          <w:tcPr>
            <w:tcW w:w="156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326 000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54 000</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56 000</w:t>
            </w:r>
          </w:p>
        </w:tc>
        <w:tc>
          <w:tcPr>
            <w:tcW w:w="1220" w:type="dxa"/>
            <w:tcBorders>
              <w:top w:val="nil"/>
              <w:left w:val="nil"/>
              <w:bottom w:val="single" w:sz="4"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43 000</w:t>
            </w:r>
          </w:p>
        </w:tc>
      </w:tr>
      <w:tr w:rsidR="008702F0">
        <w:trPr>
          <w:trHeight w:val="315"/>
        </w:trPr>
        <w:tc>
          <w:tcPr>
            <w:tcW w:w="1570"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220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92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4 000</w:t>
            </w:r>
          </w:p>
        </w:tc>
        <w:tc>
          <w:tcPr>
            <w:tcW w:w="224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56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1100" w:type="dxa"/>
            <w:tcBorders>
              <w:top w:val="nil"/>
              <w:left w:val="nil"/>
              <w:bottom w:val="single" w:sz="8"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w:t>
            </w:r>
            <w:r>
              <w:rPr>
                <w:rFonts w:eastAsia="Times New Roman" w:cs="Times New Roman"/>
                <w:noProof/>
                <w:color w:val="000000" w:themeColor="text1"/>
                <w:sz w:val="22"/>
                <w:lang w:eastAsia="en-GB"/>
              </w:rPr>
              <w:t xml:space="preserve"> 000</w:t>
            </w:r>
          </w:p>
        </w:tc>
        <w:tc>
          <w:tcPr>
            <w:tcW w:w="1120" w:type="dxa"/>
            <w:tcBorders>
              <w:top w:val="nil"/>
              <w:left w:val="nil"/>
              <w:bottom w:val="single" w:sz="8"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c>
          <w:tcPr>
            <w:tcW w:w="1120" w:type="dxa"/>
            <w:tcBorders>
              <w:top w:val="nil"/>
              <w:left w:val="nil"/>
              <w:bottom w:val="single" w:sz="8"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c>
          <w:tcPr>
            <w:tcW w:w="1220" w:type="dxa"/>
            <w:tcBorders>
              <w:top w:val="nil"/>
              <w:left w:val="nil"/>
              <w:bottom w:val="single" w:sz="8" w:space="0" w:color="auto"/>
              <w:right w:val="single" w:sz="8"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r>
    </w:tbl>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Reviewed and updated data (Significant changes are mainly due to inclusion of missing data for France and review of UK data)</w:t>
      </w:r>
    </w:p>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xml:space="preserve">** Not all Member States reported such information, thus the values given do not represent overall EU </w:t>
      </w:r>
      <w:r>
        <w:rPr>
          <w:rFonts w:cs="Times New Roman"/>
          <w:noProof/>
          <w:color w:val="000000" w:themeColor="text1"/>
          <w:sz w:val="20"/>
          <w:szCs w:val="20"/>
          <w:lang w:val="en-US"/>
        </w:rPr>
        <w:t>situation</w:t>
      </w:r>
    </w:p>
    <w:p w:rsidR="008702F0" w:rsidRDefault="008702F0">
      <w:pPr>
        <w:rPr>
          <w:rFonts w:cs="Times New Roman"/>
          <w:noProof/>
          <w:color w:val="000000" w:themeColor="text1"/>
          <w:szCs w:val="24"/>
          <w:lang w:val="en-US"/>
        </w:rPr>
      </w:pPr>
    </w:p>
    <w:p w:rsidR="008702F0" w:rsidRDefault="00ED659C">
      <w:pPr>
        <w:spacing w:before="0" w:after="200"/>
        <w:jc w:val="left"/>
        <w:rPr>
          <w:rFonts w:cs="Times New Roman"/>
          <w:noProof/>
          <w:color w:val="000000" w:themeColor="text1"/>
          <w:szCs w:val="24"/>
          <w:lang w:val="en-US"/>
        </w:rPr>
      </w:pPr>
      <w:r>
        <w:rPr>
          <w:rFonts w:cs="Times New Roman"/>
          <w:noProof/>
          <w:color w:val="000000" w:themeColor="text1"/>
          <w:szCs w:val="24"/>
          <w:lang w:val="en-US"/>
        </w:rPr>
        <w:br w:type="page"/>
      </w:r>
    </w:p>
    <w:p w:rsidR="008702F0" w:rsidRDefault="00ED659C">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11. Comparison of global European Union spent fuel and radioactive wastes (m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14050" w:type="dxa"/>
        <w:tblInd w:w="98" w:type="dxa"/>
        <w:tblLook w:val="04A0" w:firstRow="1" w:lastRow="0" w:firstColumn="1" w:lastColumn="0" w:noHBand="0" w:noVBand="1"/>
      </w:tblPr>
      <w:tblGrid>
        <w:gridCol w:w="1570"/>
        <w:gridCol w:w="2200"/>
        <w:gridCol w:w="1920"/>
        <w:gridCol w:w="2240"/>
        <w:gridCol w:w="1719"/>
        <w:gridCol w:w="2241"/>
        <w:gridCol w:w="2160"/>
      </w:tblGrid>
      <w:tr w:rsidR="008702F0">
        <w:trPr>
          <w:trHeight w:val="300"/>
        </w:trPr>
        <w:tc>
          <w:tcPr>
            <w:tcW w:w="15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702F0" w:rsidRDefault="008702F0">
            <w:pPr>
              <w:spacing w:after="0" w:line="240" w:lineRule="auto"/>
              <w:jc w:val="center"/>
              <w:rPr>
                <w:rFonts w:eastAsia="Times New Roman" w:cs="Times New Roman"/>
                <w:b/>
                <w:noProof/>
                <w:color w:val="000000" w:themeColor="text1"/>
                <w:sz w:val="22"/>
                <w:lang w:eastAsia="en-GB"/>
              </w:rPr>
            </w:pPr>
          </w:p>
        </w:tc>
        <w:tc>
          <w:tcPr>
            <w:tcW w:w="220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br/>
              <w:t>(2004*)</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vertAlign w:val="superscript"/>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p>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(2007*)</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EC internal data (2010*)</w:t>
            </w:r>
          </w:p>
        </w:tc>
        <w:tc>
          <w:tcPr>
            <w:tcW w:w="1719" w:type="dxa"/>
            <w:tcBorders>
              <w:top w:val="single" w:sz="8" w:space="0" w:color="auto"/>
              <w:left w:val="nil"/>
              <w:bottom w:val="single" w:sz="4" w:space="0" w:color="auto"/>
              <w:right w:val="single" w:sz="4" w:space="0" w:color="auto"/>
            </w:tcBorders>
            <w:shd w:val="clear" w:color="auto" w:fill="auto"/>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2241"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2020**</w:t>
            </w:r>
          </w:p>
        </w:tc>
        <w:tc>
          <w:tcPr>
            <w:tcW w:w="216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702F0" w:rsidRDefault="00ED659C">
            <w:pPr>
              <w:spacing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SF</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45 000</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53 000</w:t>
            </w:r>
          </w:p>
        </w:tc>
        <w:tc>
          <w:tcPr>
            <w:tcW w:w="1719"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54 000</w:t>
            </w:r>
          </w:p>
        </w:tc>
        <w:tc>
          <w:tcPr>
            <w:tcW w:w="2241"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49 000</w:t>
            </w:r>
          </w:p>
        </w:tc>
        <w:tc>
          <w:tcPr>
            <w:tcW w:w="2160" w:type="dxa"/>
            <w:tcBorders>
              <w:top w:val="nil"/>
              <w:left w:val="nil"/>
              <w:bottom w:val="single" w:sz="4" w:space="0" w:color="auto"/>
              <w:right w:val="single" w:sz="4" w:space="0" w:color="auto"/>
            </w:tcBorders>
            <w:shd w:val="clear" w:color="auto" w:fill="D9D9D9" w:themeFill="background1" w:themeFillShade="D9"/>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64 </w:t>
            </w:r>
            <w:r>
              <w:rPr>
                <w:rFonts w:eastAsia="Times New Roman" w:cs="Times New Roman"/>
                <w:noProof/>
                <w:color w:val="000000" w:themeColor="text1"/>
                <w:sz w:val="22"/>
                <w:lang w:eastAsia="en-GB"/>
              </w:rPr>
              <w:t>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radioactive waste</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2 655 000</w:t>
            </w:r>
          </w:p>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(2 649 000</w:t>
            </w:r>
            <w:r>
              <w:rPr>
                <w:rFonts w:eastAsia="Times New Roman" w:cs="Times New Roman"/>
                <w:b/>
                <w:bCs/>
                <w:noProof/>
                <w:color w:val="000000" w:themeColor="text1"/>
                <w:sz w:val="22"/>
                <w:lang w:eastAsia="en-GB"/>
              </w:rPr>
              <w:t>*</w:t>
            </w:r>
            <w:r>
              <w:rPr>
                <w:rFonts w:eastAsia="Times New Roman" w:cs="Times New Roman"/>
                <w:b/>
                <w:noProof/>
                <w:color w:val="000000" w:themeColor="text1"/>
                <w:sz w:val="22"/>
                <w:lang w:eastAsia="en-GB"/>
              </w:rPr>
              <w:t>)</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2 628 000</w:t>
            </w:r>
            <w:r>
              <w:rPr>
                <w:rFonts w:eastAsia="Times New Roman" w:cs="Times New Roman"/>
                <w:b/>
                <w:noProof/>
                <w:color w:val="000000" w:themeColor="text1"/>
                <w:sz w:val="22"/>
                <w:lang w:eastAsia="en-GB"/>
              </w:rPr>
              <w:br/>
              <w:t>(3 007 000</w:t>
            </w:r>
            <w:r>
              <w:rPr>
                <w:rFonts w:eastAsia="Times New Roman" w:cs="Times New Roman"/>
                <w:b/>
                <w:bCs/>
                <w:noProof/>
                <w:color w:val="000000" w:themeColor="text1"/>
                <w:sz w:val="22"/>
                <w:lang w:eastAsia="en-GB"/>
              </w:rPr>
              <w:t>*</w:t>
            </w:r>
            <w:r>
              <w:rPr>
                <w:rFonts w:eastAsia="Times New Roman" w:cs="Times New Roman"/>
                <w:b/>
                <w:noProof/>
                <w:color w:val="000000" w:themeColor="text1"/>
                <w:sz w:val="22"/>
                <w:lang w:eastAsia="en-GB"/>
              </w:rPr>
              <w:t>)</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2 799 000</w:t>
            </w:r>
            <w:r>
              <w:rPr>
                <w:rFonts w:eastAsia="Times New Roman" w:cs="Times New Roman"/>
                <w:b/>
                <w:noProof/>
                <w:color w:val="000000" w:themeColor="text1"/>
                <w:sz w:val="22"/>
                <w:lang w:eastAsia="en-GB"/>
              </w:rPr>
              <w:br/>
              <w:t>(3 097 000</w:t>
            </w:r>
            <w:r>
              <w:rPr>
                <w:rFonts w:eastAsia="Times New Roman" w:cs="Times New Roman"/>
                <w:b/>
                <w:bCs/>
                <w:noProof/>
                <w:color w:val="000000" w:themeColor="text1"/>
                <w:sz w:val="22"/>
                <w:lang w:eastAsia="en-GB"/>
              </w:rPr>
              <w:t>*</w:t>
            </w:r>
            <w:r>
              <w:rPr>
                <w:rFonts w:eastAsia="Times New Roman" w:cs="Times New Roman"/>
                <w:b/>
                <w:noProof/>
                <w:color w:val="000000" w:themeColor="text1"/>
                <w:sz w:val="22"/>
                <w:lang w:eastAsia="en-GB"/>
              </w:rPr>
              <w:t>)</w:t>
            </w:r>
          </w:p>
        </w:tc>
        <w:tc>
          <w:tcPr>
            <w:tcW w:w="1719" w:type="dxa"/>
            <w:tcBorders>
              <w:top w:val="nil"/>
              <w:left w:val="nil"/>
              <w:bottom w:val="single" w:sz="4" w:space="0" w:color="auto"/>
              <w:right w:val="single" w:sz="4" w:space="0" w:color="auto"/>
            </w:tcBorders>
            <w:shd w:val="clear" w:color="auto" w:fill="auto"/>
            <w:noWrap/>
            <w:vAlign w:val="center"/>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3 313 000</w:t>
            </w:r>
          </w:p>
        </w:tc>
        <w:tc>
          <w:tcPr>
            <w:tcW w:w="2241"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610 000</w:t>
            </w:r>
          </w:p>
        </w:tc>
        <w:tc>
          <w:tcPr>
            <w:tcW w:w="2160"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903 000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210 000</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138 000</w:t>
            </w:r>
            <w:r>
              <w:rPr>
                <w:rFonts w:eastAsia="Times New Roman" w:cs="Times New Roman"/>
                <w:noProof/>
                <w:color w:val="000000" w:themeColor="text1"/>
                <w:sz w:val="22"/>
                <w:lang w:eastAsia="en-GB"/>
              </w:rPr>
              <w:br/>
              <w:t>(280 000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229 000</w:t>
            </w:r>
            <w:r>
              <w:rPr>
                <w:rFonts w:eastAsia="Times New Roman" w:cs="Times New Roman"/>
                <w:noProof/>
                <w:color w:val="000000" w:themeColor="text1"/>
                <w:sz w:val="22"/>
                <w:lang w:eastAsia="en-GB"/>
              </w:rPr>
              <w:br/>
              <w:t>(414 000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719" w:type="dxa"/>
            <w:tcBorders>
              <w:top w:val="nil"/>
              <w:left w:val="nil"/>
              <w:bottom w:val="single" w:sz="4" w:space="0" w:color="auto"/>
              <w:right w:val="single" w:sz="4" w:space="0" w:color="auto"/>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516 000</w:t>
            </w:r>
          </w:p>
        </w:tc>
        <w:tc>
          <w:tcPr>
            <w:tcW w:w="2241"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77 000</w:t>
            </w:r>
          </w:p>
        </w:tc>
        <w:tc>
          <w:tcPr>
            <w:tcW w:w="2160"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136 000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2 223 000</w:t>
            </w:r>
            <w:r>
              <w:rPr>
                <w:rFonts w:eastAsia="Times New Roman" w:cs="Times New Roman"/>
                <w:noProof/>
                <w:color w:val="000000" w:themeColor="text1"/>
                <w:sz w:val="22"/>
                <w:lang w:eastAsia="en-GB"/>
              </w:rPr>
              <w:br/>
              <w:t>(2 228 000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2 199 000</w:t>
            </w:r>
            <w:r>
              <w:rPr>
                <w:rFonts w:eastAsia="Times New Roman" w:cs="Times New Roman"/>
                <w:noProof/>
                <w:color w:val="000000" w:themeColor="text1"/>
                <w:sz w:val="22"/>
                <w:lang w:eastAsia="en-GB"/>
              </w:rPr>
              <w:br/>
              <w:t>(2 435 000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2 150 </w:t>
            </w:r>
            <w:r>
              <w:rPr>
                <w:rFonts w:eastAsia="Times New Roman" w:cs="Times New Roman"/>
                <w:noProof/>
                <w:color w:val="000000" w:themeColor="text1"/>
                <w:sz w:val="22"/>
                <w:lang w:eastAsia="en-GB"/>
              </w:rPr>
              <w:t>000</w:t>
            </w:r>
            <w:r>
              <w:rPr>
                <w:rFonts w:eastAsia="Times New Roman" w:cs="Times New Roman"/>
                <w:noProof/>
                <w:color w:val="000000" w:themeColor="text1"/>
                <w:sz w:val="22"/>
                <w:lang w:eastAsia="en-GB"/>
              </w:rPr>
              <w:br/>
              <w:t>(2 356 000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719" w:type="dxa"/>
            <w:tcBorders>
              <w:top w:val="nil"/>
              <w:left w:val="nil"/>
              <w:bottom w:val="single" w:sz="4" w:space="0" w:color="auto"/>
              <w:right w:val="single" w:sz="4" w:space="0" w:color="auto"/>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2 453 000</w:t>
            </w:r>
          </w:p>
        </w:tc>
        <w:tc>
          <w:tcPr>
            <w:tcW w:w="2241"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483 000</w:t>
            </w:r>
          </w:p>
        </w:tc>
        <w:tc>
          <w:tcPr>
            <w:tcW w:w="2160"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681 000</w:t>
            </w:r>
          </w:p>
        </w:tc>
      </w:tr>
      <w:tr w:rsidR="008702F0">
        <w:trPr>
          <w:trHeight w:val="300"/>
        </w:trPr>
        <w:tc>
          <w:tcPr>
            <w:tcW w:w="1570" w:type="dxa"/>
            <w:tcBorders>
              <w:top w:val="nil"/>
              <w:left w:val="single" w:sz="8" w:space="0" w:color="auto"/>
              <w:bottom w:val="single" w:sz="4"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220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217 000</w:t>
            </w:r>
            <w:r>
              <w:rPr>
                <w:rFonts w:eastAsia="Times New Roman" w:cs="Times New Roman"/>
                <w:noProof/>
                <w:color w:val="000000" w:themeColor="text1"/>
                <w:sz w:val="22"/>
                <w:lang w:eastAsia="en-GB"/>
              </w:rPr>
              <w:br/>
              <w:t>(206 000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92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287 000</w:t>
            </w:r>
            <w:r>
              <w:rPr>
                <w:rFonts w:eastAsia="Times New Roman" w:cs="Times New Roman"/>
                <w:noProof/>
                <w:color w:val="000000" w:themeColor="text1"/>
                <w:sz w:val="22"/>
                <w:lang w:eastAsia="en-GB"/>
              </w:rPr>
              <w:br/>
              <w:t>(288 000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2240" w:type="dxa"/>
            <w:tcBorders>
              <w:top w:val="nil"/>
              <w:left w:val="nil"/>
              <w:bottom w:val="single" w:sz="4"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415 000</w:t>
            </w:r>
            <w:r>
              <w:rPr>
                <w:rFonts w:eastAsia="Times New Roman" w:cs="Times New Roman"/>
                <w:noProof/>
                <w:color w:val="000000" w:themeColor="text1"/>
                <w:sz w:val="22"/>
                <w:lang w:eastAsia="en-GB"/>
              </w:rPr>
              <w:br/>
              <w:t>(321 000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719" w:type="dxa"/>
            <w:tcBorders>
              <w:top w:val="nil"/>
              <w:left w:val="nil"/>
              <w:bottom w:val="single" w:sz="4" w:space="0" w:color="auto"/>
              <w:right w:val="single" w:sz="4" w:space="0" w:color="auto"/>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338 000</w:t>
            </w:r>
          </w:p>
        </w:tc>
        <w:tc>
          <w:tcPr>
            <w:tcW w:w="2241"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49 000</w:t>
            </w:r>
          </w:p>
        </w:tc>
        <w:tc>
          <w:tcPr>
            <w:tcW w:w="2160" w:type="dxa"/>
            <w:tcBorders>
              <w:top w:val="nil"/>
              <w:left w:val="nil"/>
              <w:bottom w:val="single" w:sz="4"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85 000</w:t>
            </w:r>
          </w:p>
        </w:tc>
      </w:tr>
      <w:tr w:rsidR="008702F0">
        <w:trPr>
          <w:trHeight w:val="315"/>
        </w:trPr>
        <w:tc>
          <w:tcPr>
            <w:tcW w:w="1570" w:type="dxa"/>
            <w:tcBorders>
              <w:top w:val="nil"/>
              <w:left w:val="single" w:sz="8" w:space="0" w:color="auto"/>
              <w:bottom w:val="single" w:sz="8" w:space="0" w:color="auto"/>
              <w:right w:val="single" w:sz="4" w:space="0" w:color="auto"/>
            </w:tcBorders>
            <w:shd w:val="clear" w:color="auto" w:fill="auto"/>
            <w:noWrap/>
            <w:vAlign w:val="bottom"/>
            <w:hideMark/>
          </w:tcPr>
          <w:p w:rsidR="008702F0" w:rsidRDefault="00ED659C">
            <w:pPr>
              <w:spacing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220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r>
              <w:rPr>
                <w:rFonts w:eastAsia="Times New Roman" w:cs="Times New Roman"/>
                <w:b/>
                <w:bCs/>
                <w:noProof/>
                <w:color w:val="000000" w:themeColor="text1"/>
                <w:sz w:val="22"/>
                <w:lang w:eastAsia="en-GB"/>
              </w:rPr>
              <w:t>*</w:t>
            </w:r>
            <w:r>
              <w:rPr>
                <w:rFonts w:eastAsia="Times New Roman" w:cs="Times New Roman"/>
                <w:noProof/>
                <w:color w:val="000000" w:themeColor="text1"/>
                <w:sz w:val="22"/>
                <w:lang w:eastAsia="en-GB"/>
              </w:rPr>
              <w:t>)</w:t>
            </w:r>
          </w:p>
        </w:tc>
        <w:tc>
          <w:tcPr>
            <w:tcW w:w="192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4 000</w:t>
            </w:r>
          </w:p>
        </w:tc>
        <w:tc>
          <w:tcPr>
            <w:tcW w:w="2240" w:type="dxa"/>
            <w:tcBorders>
              <w:top w:val="nil"/>
              <w:left w:val="nil"/>
              <w:bottom w:val="single" w:sz="8" w:space="0" w:color="auto"/>
              <w:right w:val="single" w:sz="4" w:space="0" w:color="auto"/>
            </w:tcBorders>
            <w:shd w:val="clear" w:color="auto" w:fill="auto"/>
            <w:noWrap/>
            <w:vAlign w:val="center"/>
            <w:hideMark/>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719" w:type="dxa"/>
            <w:tcBorders>
              <w:top w:val="nil"/>
              <w:left w:val="nil"/>
              <w:bottom w:val="single" w:sz="8" w:space="0" w:color="auto"/>
              <w:right w:val="single" w:sz="4" w:space="0" w:color="auto"/>
            </w:tcBorders>
            <w:shd w:val="clear" w:color="auto" w:fill="auto"/>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2241" w:type="dxa"/>
            <w:tcBorders>
              <w:top w:val="nil"/>
              <w:left w:val="nil"/>
              <w:bottom w:val="single" w:sz="8"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c>
          <w:tcPr>
            <w:tcW w:w="2160" w:type="dxa"/>
            <w:tcBorders>
              <w:top w:val="nil"/>
              <w:left w:val="nil"/>
              <w:bottom w:val="single" w:sz="8" w:space="0" w:color="auto"/>
              <w:right w:val="single" w:sz="4" w:space="0" w:color="auto"/>
            </w:tcBorders>
            <w:shd w:val="clear" w:color="auto" w:fill="D9D9D9" w:themeFill="background1" w:themeFillShade="D9"/>
            <w:noWrap/>
            <w:vAlign w:val="center"/>
          </w:tcPr>
          <w:p w:rsidR="008702F0" w:rsidRDefault="00ED659C">
            <w:pPr>
              <w:spacing w:after="0"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r>
    </w:tbl>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xml:space="preserve">* Reviewed and updated data (Significant changes are mainly due to inclusion </w:t>
      </w:r>
      <w:r>
        <w:rPr>
          <w:rFonts w:cs="Times New Roman"/>
          <w:noProof/>
          <w:color w:val="000000" w:themeColor="text1"/>
          <w:sz w:val="20"/>
          <w:szCs w:val="20"/>
          <w:lang w:val="en-US"/>
        </w:rPr>
        <w:t>of missing data for France and review of UK data)</w:t>
      </w:r>
    </w:p>
    <w:p w:rsidR="008702F0" w:rsidRDefault="00ED659C">
      <w:pPr>
        <w:ind w:left="720"/>
        <w:rPr>
          <w:rFonts w:cs="Times New Roman"/>
          <w:noProof/>
          <w:color w:val="000000" w:themeColor="text1"/>
          <w:sz w:val="20"/>
          <w:szCs w:val="20"/>
          <w:lang w:val="en-US"/>
        </w:rPr>
      </w:pPr>
      <w:r>
        <w:rPr>
          <w:rFonts w:cs="Times New Roman"/>
          <w:noProof/>
          <w:color w:val="000000" w:themeColor="text1"/>
          <w:sz w:val="20"/>
          <w:szCs w:val="20"/>
          <w:lang w:val="en-US"/>
        </w:rPr>
        <w:t>** For 2020 and 2030 UK did not provide data thus the values given do not represent overall EU situation</w:t>
      </w:r>
    </w:p>
    <w:p w:rsidR="008702F0" w:rsidRDefault="008702F0">
      <w:pPr>
        <w:ind w:left="720"/>
        <w:rPr>
          <w:rFonts w:cs="Times New Roman"/>
          <w:b/>
          <w:noProof/>
          <w:color w:val="000000" w:themeColor="text1"/>
          <w:sz w:val="20"/>
          <w:szCs w:val="20"/>
          <w:lang w:val="en-US"/>
        </w:rPr>
      </w:pPr>
    </w:p>
    <w:p w:rsidR="008702F0" w:rsidRDefault="008702F0">
      <w:pPr>
        <w:rPr>
          <w:rFonts w:cs="Times New Roman"/>
          <w:noProof/>
          <w:lang w:val="en-US"/>
        </w:rPr>
      </w:pPr>
    </w:p>
    <w:sectPr w:rsidR="008702F0">
      <w:headerReference w:type="even" r:id="rId53"/>
      <w:headerReference w:type="default" r:id="rId54"/>
      <w:footerReference w:type="even" r:id="rId55"/>
      <w:footerReference w:type="default" r:id="rId56"/>
      <w:headerReference w:type="first" r:id="rId57"/>
      <w:footerReference w:type="first" r:id="rId58"/>
      <w:pgSz w:w="16838" w:h="11906" w:orient="landscape"/>
      <w:pgMar w:top="1418" w:right="1701" w:bottom="1418" w:left="1701"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F0" w:rsidRDefault="00ED659C">
      <w:pPr>
        <w:spacing w:before="0" w:after="0" w:line="240" w:lineRule="auto"/>
      </w:pPr>
      <w:r>
        <w:separator/>
      </w:r>
    </w:p>
  </w:endnote>
  <w:endnote w:type="continuationSeparator" w:id="0">
    <w:p w:rsidR="008702F0" w:rsidRDefault="00ED65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F0" w:rsidRDefault="008702F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49</w:t>
    </w:r>
    <w:r>
      <w:rPr>
        <w:rStyle w:val="PageNumber"/>
      </w:rPr>
      <w:fldChar w:fldCharType="end"/>
    </w:r>
  </w:p>
  <w:p w:rsidR="008702F0" w:rsidRDefault="008702F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20329"/>
      <w:docPartObj>
        <w:docPartGallery w:val="Page Numbers (Bottom of Page)"/>
        <w:docPartUnique/>
      </w:docPartObj>
    </w:sdtPr>
    <w:sdtEndPr>
      <w:rPr>
        <w:noProof/>
      </w:rPr>
    </w:sdtEndPr>
    <w:sdtContent>
      <w:p w:rsidR="008702F0" w:rsidRDefault="00ED65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702F0" w:rsidRDefault="008702F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F0" w:rsidRDefault="008702F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52</w:t>
    </w:r>
    <w:r>
      <w:rPr>
        <w:rStyle w:val="PageNumber"/>
      </w:rPr>
      <w:fldChar w:fldCharType="end"/>
    </w:r>
  </w:p>
  <w:p w:rsidR="008702F0" w:rsidRDefault="008702F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5824"/>
      <w:docPartObj>
        <w:docPartGallery w:val="Page Numbers (Bottom of Page)"/>
        <w:docPartUnique/>
      </w:docPartObj>
    </w:sdtPr>
    <w:sdtEndPr>
      <w:rPr>
        <w:noProof/>
      </w:rPr>
    </w:sdtEndPr>
    <w:sdtContent>
      <w:p w:rsidR="008702F0" w:rsidRDefault="00ED65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702F0" w:rsidRDefault="00870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F0" w:rsidRDefault="008702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02F0" w:rsidRDefault="008702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64018"/>
      <w:docPartObj>
        <w:docPartGallery w:val="Page Numbers (Bottom of Page)"/>
        <w:docPartUnique/>
      </w:docPartObj>
    </w:sdtPr>
    <w:sdtEndPr>
      <w:rPr>
        <w:noProof/>
      </w:rPr>
    </w:sdtEndPr>
    <w:sdtContent>
      <w:p w:rsidR="008702F0" w:rsidRDefault="00ED65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702F0" w:rsidRDefault="008702F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F0" w:rsidRDefault="008702F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ED659C">
    <w:pPr>
      <w:pStyle w:val="Foot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32</w:t>
    </w:r>
    <w:r>
      <w:rPr>
        <w:rStyle w:val="PageNumber"/>
      </w:rPr>
      <w:fldChar w:fldCharType="end"/>
    </w:r>
  </w:p>
  <w:p w:rsidR="008702F0" w:rsidRDefault="008702F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0358"/>
      <w:docPartObj>
        <w:docPartGallery w:val="Page Numbers (Bottom of Page)"/>
        <w:docPartUnique/>
      </w:docPartObj>
    </w:sdtPr>
    <w:sdtEndPr>
      <w:rPr>
        <w:noProof/>
      </w:rPr>
    </w:sdtEndPr>
    <w:sdtContent>
      <w:p w:rsidR="008702F0" w:rsidRDefault="00ED65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702F0" w:rsidRDefault="00870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F0" w:rsidRDefault="00ED659C">
      <w:pPr>
        <w:spacing w:before="0" w:after="0" w:line="240" w:lineRule="auto"/>
      </w:pPr>
      <w:r>
        <w:separator/>
      </w:r>
    </w:p>
  </w:footnote>
  <w:footnote w:type="continuationSeparator" w:id="0">
    <w:p w:rsidR="008702F0" w:rsidRDefault="00ED659C">
      <w:pPr>
        <w:spacing w:before="0" w:after="0" w:line="240" w:lineRule="auto"/>
      </w:pPr>
      <w:r>
        <w:continuationSeparator/>
      </w:r>
    </w:p>
  </w:footnote>
  <w:footnote w:id="1">
    <w:p w:rsidR="008702F0" w:rsidRDefault="00ED659C">
      <w:pPr>
        <w:pStyle w:val="Default"/>
        <w:ind w:left="720" w:hanging="720"/>
        <w:jc w:val="both"/>
        <w:rPr>
          <w:rFonts w:ascii="Times" w:hAnsi="Times" w:cstheme="minorBidi"/>
          <w:color w:val="auto"/>
          <w:sz w:val="20"/>
          <w:szCs w:val="20"/>
        </w:rPr>
      </w:pPr>
      <w:r>
        <w:rPr>
          <w:rStyle w:val="FootnoteReference"/>
        </w:rPr>
        <w:footnoteRef/>
      </w:r>
      <w:r>
        <w:rPr>
          <w:sz w:val="20"/>
          <w:szCs w:val="20"/>
        </w:rPr>
        <w:t xml:space="preserve"> </w:t>
      </w:r>
      <w:r>
        <w:rPr>
          <w:sz w:val="20"/>
          <w:szCs w:val="20"/>
        </w:rPr>
        <w:tab/>
      </w:r>
      <w:r>
        <w:rPr>
          <w:rFonts w:ascii="Times" w:hAnsi="Times" w:cstheme="minorBidi"/>
          <w:color w:val="auto"/>
          <w:sz w:val="20"/>
          <w:szCs w:val="20"/>
        </w:rPr>
        <w:t xml:space="preserve">Council Directive </w:t>
      </w:r>
      <w:r>
        <w:rPr>
          <w:rFonts w:ascii="Times" w:hAnsi="Times" w:cstheme="minorBidi"/>
          <w:color w:val="auto"/>
          <w:sz w:val="20"/>
          <w:szCs w:val="20"/>
        </w:rPr>
        <w:t>2011/70/EURATOM of 19 July 2011 establishing a Community framework for the responsible and safe management of spent fuel and radioactive waste; OJ L 199/48, 2.8.2011.</w:t>
      </w:r>
    </w:p>
  </w:footnote>
  <w:footnote w:id="2">
    <w:p w:rsidR="008702F0" w:rsidRDefault="00ED659C">
      <w:pPr>
        <w:pStyle w:val="Default"/>
        <w:ind w:left="720" w:hanging="720"/>
        <w:jc w:val="both"/>
        <w:rPr>
          <w:rFonts w:ascii="Times" w:hAnsi="Times"/>
          <w:sz w:val="20"/>
          <w:szCs w:val="20"/>
        </w:rPr>
      </w:pPr>
      <w:r>
        <w:rPr>
          <w:rStyle w:val="FootnoteReference"/>
          <w:rFonts w:ascii="Times" w:hAnsi="Times"/>
        </w:rPr>
        <w:footnoteRef/>
      </w:r>
      <w:r>
        <w:rPr>
          <w:rFonts w:ascii="Times" w:hAnsi="Times" w:cstheme="minorBidi"/>
          <w:color w:val="auto"/>
          <w:sz w:val="20"/>
          <w:szCs w:val="20"/>
        </w:rPr>
        <w:t xml:space="preserve"> </w:t>
      </w:r>
      <w:r>
        <w:rPr>
          <w:rFonts w:ascii="Times" w:hAnsi="Times" w:cstheme="minorBidi"/>
          <w:color w:val="auto"/>
          <w:sz w:val="20"/>
          <w:szCs w:val="20"/>
        </w:rPr>
        <w:tab/>
        <w:t>The last one of the series was "Commission staff working paper, Seventh situation repo</w:t>
      </w:r>
      <w:r>
        <w:rPr>
          <w:rFonts w:ascii="Times" w:hAnsi="Times" w:cstheme="minorBidi"/>
          <w:color w:val="auto"/>
          <w:sz w:val="20"/>
          <w:szCs w:val="20"/>
        </w:rPr>
        <w:t>rt, radioactive waste and spent fuel management in the European Union; SEC(2011) 1007 final, 22.8.2011".</w:t>
      </w:r>
    </w:p>
  </w:footnote>
  <w:footnote w:id="3">
    <w:p w:rsidR="008702F0" w:rsidRDefault="00ED659C">
      <w:pPr>
        <w:pStyle w:val="FootnoteText"/>
        <w:ind w:left="720" w:hanging="720"/>
        <w:rPr>
          <w:rFonts w:cs="Times New Roman"/>
          <w:szCs w:val="24"/>
        </w:rPr>
      </w:pPr>
      <w:r>
        <w:rPr>
          <w:rStyle w:val="FootnoteReference"/>
        </w:rPr>
        <w:footnoteRef/>
      </w:r>
      <w:r>
        <w:t xml:space="preserve"> </w:t>
      </w:r>
      <w:r>
        <w:tab/>
      </w:r>
      <w:r>
        <w:rPr>
          <w:lang w:val="en-US"/>
        </w:rPr>
        <w:t xml:space="preserve">Report from the Commission to the European Parliament and the Council, Sixth situation report on radioactive waste and spent fuel management in the </w:t>
      </w:r>
      <w:r>
        <w:rPr>
          <w:lang w:val="en-US"/>
        </w:rPr>
        <w:t>European Union; COM(2008)542 final, 8.9. 2008 and accompanying document SEC(2008)2416 final/2, 16.7.2010.</w:t>
      </w:r>
    </w:p>
  </w:footnote>
  <w:footnote w:id="4">
    <w:p w:rsidR="008702F0" w:rsidRDefault="00ED659C">
      <w:pPr>
        <w:pStyle w:val="FootnoteText"/>
        <w:ind w:left="720" w:hanging="720"/>
      </w:pPr>
      <w:r>
        <w:rPr>
          <w:rStyle w:val="FootnoteReference"/>
        </w:rPr>
        <w:footnoteRef/>
      </w:r>
      <w:r>
        <w:t xml:space="preserve"> </w:t>
      </w:r>
      <w:r>
        <w:tab/>
      </w:r>
      <w:r>
        <w:rPr>
          <w:rFonts w:ascii="Times" w:hAnsi="Times"/>
        </w:rPr>
        <w:t xml:space="preserve">Commission staff working paper, Seventh situation report, radioactive waste and spent fuel management in the European Union; SEC(2011) 1007 final, </w:t>
      </w:r>
      <w:r>
        <w:rPr>
          <w:rFonts w:ascii="Times" w:hAnsi="Times"/>
        </w:rPr>
        <w:t>22.8.2011.</w:t>
      </w:r>
    </w:p>
  </w:footnote>
  <w:footnote w:id="5">
    <w:p w:rsidR="008702F0" w:rsidRDefault="00ED659C">
      <w:pPr>
        <w:pStyle w:val="FootnoteText"/>
        <w:ind w:left="720" w:hanging="720"/>
      </w:pPr>
      <w:r>
        <w:rPr>
          <w:rStyle w:val="FootnoteReference"/>
        </w:rPr>
        <w:footnoteRef/>
      </w:r>
      <w:r>
        <w:t xml:space="preserve"> </w:t>
      </w:r>
      <w:r>
        <w:tab/>
        <w:t>Article 14(1) of the Directive states “...taking advantage of the review and reporting under the Joint Convention.” In the last Joint Convention reporting cycle (5</w:t>
      </w:r>
      <w:r>
        <w:rPr>
          <w:vertAlign w:val="superscript"/>
        </w:rPr>
        <w:t>th</w:t>
      </w:r>
      <w:r>
        <w:t xml:space="preserve"> Joint Convention meeting in May 2015) the Member States used 2013 as a refer</w:t>
      </w:r>
      <w:r>
        <w:t>ence date.</w:t>
      </w:r>
    </w:p>
  </w:footnote>
  <w:footnote w:id="6">
    <w:p w:rsidR="008702F0" w:rsidRDefault="00ED659C">
      <w:pPr>
        <w:pStyle w:val="FootnoteText"/>
        <w:ind w:left="720" w:hanging="720"/>
      </w:pPr>
      <w:r>
        <w:rPr>
          <w:rStyle w:val="FootnoteReference"/>
        </w:rPr>
        <w:footnoteRef/>
      </w:r>
      <w:r>
        <w:t xml:space="preserve"> </w:t>
      </w:r>
      <w:r>
        <w:tab/>
        <w:t>Joint Convention on the Safety of Spent Fuel Management and on the Safety of Radioactive Waste Management, INFCIRC/546, 24.12.1997.</w:t>
      </w:r>
    </w:p>
  </w:footnote>
  <w:footnote w:id="7">
    <w:p w:rsidR="008702F0" w:rsidRDefault="00ED659C">
      <w:pPr>
        <w:pStyle w:val="FootnoteText"/>
        <w:ind w:left="720" w:hanging="720"/>
        <w:rPr>
          <w:lang w:val="en-US"/>
        </w:rPr>
      </w:pPr>
      <w:r>
        <w:rPr>
          <w:rStyle w:val="FootnoteReference"/>
        </w:rPr>
        <w:footnoteRef/>
      </w:r>
      <w:r>
        <w:rPr>
          <w:lang w:val="en-US"/>
        </w:rPr>
        <w:t xml:space="preserve"> </w:t>
      </w:r>
      <w:r>
        <w:rPr>
          <w:lang w:val="en-US"/>
        </w:rPr>
        <w:tab/>
        <w:t>Classification of Radioactive Waste. IAEA Safety Standards No. GSG-1, 2009, Vienna.</w:t>
      </w:r>
    </w:p>
  </w:footnote>
  <w:footnote w:id="8">
    <w:p w:rsidR="008702F0" w:rsidRDefault="00ED659C">
      <w:pPr>
        <w:pStyle w:val="FootnoteText"/>
        <w:ind w:left="720" w:hanging="720"/>
      </w:pPr>
      <w:r>
        <w:rPr>
          <w:rStyle w:val="FootnoteReference"/>
        </w:rPr>
        <w:footnoteRef/>
      </w:r>
      <w:r>
        <w:t xml:space="preserve"> </w:t>
      </w:r>
      <w:r>
        <w:tab/>
      </w:r>
      <w:r>
        <w:rPr>
          <w:rFonts w:ascii="Times" w:eastAsia="Times New Roman" w:hAnsi="Times"/>
          <w:color w:val="000000" w:themeColor="text1"/>
        </w:rPr>
        <w:t>Bulgaria and Lithuan</w:t>
      </w:r>
      <w:r>
        <w:rPr>
          <w:rFonts w:ascii="Times" w:eastAsia="Times New Roman" w:hAnsi="Times"/>
          <w:color w:val="000000" w:themeColor="text1"/>
        </w:rPr>
        <w:t>ia categorised and using these past disposal (RADON type) facilities as storage facilities. See Table 8 of the Staff Working Document (2017)159 on Progress of Implementation of Council Directive 2011/70/Euratom.</w:t>
      </w:r>
    </w:p>
  </w:footnote>
  <w:footnote w:id="9">
    <w:p w:rsidR="008702F0" w:rsidRDefault="00ED659C">
      <w:pPr>
        <w:pStyle w:val="FootnoteText"/>
        <w:ind w:left="720" w:hanging="720"/>
      </w:pPr>
      <w:r>
        <w:rPr>
          <w:rStyle w:val="FootnoteReference"/>
        </w:rPr>
        <w:footnoteRef/>
      </w:r>
      <w:r>
        <w:t xml:space="preserve"> </w:t>
      </w:r>
      <w:r>
        <w:tab/>
        <w:t>The chart shows increase factors of radio</w:t>
      </w:r>
      <w:r>
        <w:t>active waste volumes over the time in comparison to the 2004 volumes.</w:t>
      </w:r>
    </w:p>
  </w:footnote>
  <w:footnote w:id="10">
    <w:p w:rsidR="008702F0" w:rsidRDefault="00ED659C">
      <w:pPr>
        <w:pStyle w:val="FootnoteText"/>
        <w:ind w:left="720" w:hanging="720"/>
      </w:pPr>
      <w:r>
        <w:rPr>
          <w:rStyle w:val="FootnoteReference"/>
        </w:rPr>
        <w:footnoteRef/>
      </w:r>
      <w:r>
        <w:t xml:space="preserve"> </w:t>
      </w:r>
      <w:r>
        <w:tab/>
        <w:t>The chart shows increase factors of radioactive waste volumes over the time in comparison to the 2004 volumes.</w:t>
      </w:r>
    </w:p>
  </w:footnote>
  <w:footnote w:id="11">
    <w:p w:rsidR="008702F0" w:rsidRDefault="00ED659C">
      <w:pPr>
        <w:pStyle w:val="FootnoteText"/>
        <w:ind w:left="720" w:hanging="720"/>
        <w:rPr>
          <w:lang w:val="en-US"/>
        </w:rPr>
      </w:pPr>
      <w:r>
        <w:rPr>
          <w:rStyle w:val="FootnoteReference"/>
        </w:rPr>
        <w:footnoteRef/>
      </w:r>
      <w:r>
        <w:t xml:space="preserve"> </w:t>
      </w:r>
      <w:r>
        <w:tab/>
        <w:t>The chart shows percentage increase of radioactive waste volumes over</w:t>
      </w:r>
      <w:r>
        <w:t xml:space="preserve"> the time.</w:t>
      </w:r>
    </w:p>
  </w:footnote>
  <w:footnote w:id="12">
    <w:p w:rsidR="008702F0" w:rsidRDefault="00ED659C">
      <w:pPr>
        <w:pStyle w:val="FootnoteText"/>
        <w:ind w:left="720" w:hanging="720"/>
      </w:pPr>
      <w:r>
        <w:rPr>
          <w:rStyle w:val="FootnoteReference"/>
        </w:rPr>
        <w:footnoteRef/>
      </w:r>
      <w:r>
        <w:t xml:space="preserve"> </w:t>
      </w:r>
      <w:r>
        <w:tab/>
      </w:r>
      <w:r>
        <w:rPr>
          <w:rFonts w:ascii="Times" w:hAnsi="Times"/>
        </w:rPr>
        <w:t>See footnote 4.</w:t>
      </w:r>
    </w:p>
  </w:footnote>
  <w:footnote w:id="13">
    <w:p w:rsidR="008702F0" w:rsidRDefault="00ED659C">
      <w:pPr>
        <w:pStyle w:val="FootnoteText"/>
        <w:rPr>
          <w:lang w:val="en-US"/>
        </w:rPr>
      </w:pPr>
      <w:r>
        <w:rPr>
          <w:rStyle w:val="FootnoteReference"/>
        </w:rPr>
        <w:footnoteRef/>
      </w:r>
      <w:r>
        <w:t xml:space="preserve"> The </w:t>
      </w:r>
      <w:r>
        <w:rPr>
          <w:rFonts w:eastAsia="Calibri"/>
          <w:szCs w:val="24"/>
          <w:lang w:eastAsia="en-GB"/>
        </w:rPr>
        <w:t xml:space="preserve">London Convention that entered into force in 1975 prohibits such practices and </w:t>
      </w:r>
      <w:r>
        <w:rPr>
          <w:rFonts w:ascii="TimesNewRoman" w:hAnsi="TimesNewRoman" w:cs="TimesNewRoman"/>
          <w:szCs w:val="24"/>
          <w:lang w:eastAsia="en-GB"/>
        </w:rPr>
        <w:t>promotes the effective control    of all sources of pollution of the marine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F0" w:rsidRDefault="00870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6514"/>
    <w:multiLevelType w:val="hybridMultilevel"/>
    <w:tmpl w:val="12F0F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9F09DC"/>
    <w:multiLevelType w:val="hybridMultilevel"/>
    <w:tmpl w:val="D772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8A3122"/>
    <w:multiLevelType w:val="hybridMultilevel"/>
    <w:tmpl w:val="21A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532E1"/>
    <w:multiLevelType w:val="hybridMultilevel"/>
    <w:tmpl w:val="958E0C48"/>
    <w:lvl w:ilvl="0" w:tplc="834A2E8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43E66"/>
    <w:multiLevelType w:val="hybridMultilevel"/>
    <w:tmpl w:val="613C904E"/>
    <w:lvl w:ilvl="0" w:tplc="BE30ADD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C5FA8"/>
    <w:multiLevelType w:val="hybridMultilevel"/>
    <w:tmpl w:val="01B0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646FE5"/>
    <w:multiLevelType w:val="hybridMultilevel"/>
    <w:tmpl w:val="6C2A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47939"/>
    <w:multiLevelType w:val="hybridMultilevel"/>
    <w:tmpl w:val="C9EC0720"/>
    <w:lvl w:ilvl="0" w:tplc="4BB26E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F32468"/>
    <w:multiLevelType w:val="hybridMultilevel"/>
    <w:tmpl w:val="DA8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2345F2"/>
    <w:multiLevelType w:val="hybridMultilevel"/>
    <w:tmpl w:val="CF2AFAC8"/>
    <w:lvl w:ilvl="0" w:tplc="E1D67EA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83020"/>
    <w:multiLevelType w:val="hybridMultilevel"/>
    <w:tmpl w:val="CD20E8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nsid w:val="5E290E62"/>
    <w:multiLevelType w:val="hybridMultilevel"/>
    <w:tmpl w:val="15FC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C60997"/>
    <w:multiLevelType w:val="hybridMultilevel"/>
    <w:tmpl w:val="DEB204B6"/>
    <w:lvl w:ilvl="0" w:tplc="7A5CA28E">
      <w:start w:val="1"/>
      <w:numFmt w:val="decimal"/>
      <w:pStyle w:val="Heading1"/>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8DE637C"/>
    <w:multiLevelType w:val="hybridMultilevel"/>
    <w:tmpl w:val="D35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145BD2"/>
    <w:multiLevelType w:val="hybridMultilevel"/>
    <w:tmpl w:val="9070BEB0"/>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5"/>
  </w:num>
  <w:num w:numId="2">
    <w:abstractNumId w:val="4"/>
  </w:num>
  <w:num w:numId="3">
    <w:abstractNumId w:val="13"/>
  </w:num>
  <w:num w:numId="4">
    <w:abstractNumId w:val="10"/>
  </w:num>
  <w:num w:numId="5">
    <w:abstractNumId w:val="8"/>
  </w:num>
  <w:num w:numId="6">
    <w:abstractNumId w:val="12"/>
  </w:num>
  <w:num w:numId="7">
    <w:abstractNumId w:val="12"/>
    <w:lvlOverride w:ilvl="0">
      <w:startOverride w:val="1"/>
    </w:lvlOverride>
  </w:num>
  <w:num w:numId="8">
    <w:abstractNumId w:val="14"/>
  </w:num>
  <w:num w:numId="9">
    <w:abstractNumId w:val="6"/>
  </w:num>
  <w:num w:numId="10">
    <w:abstractNumId w:val="3"/>
  </w:num>
  <w:num w:numId="11">
    <w:abstractNumId w:val="9"/>
  </w:num>
  <w:num w:numId="12">
    <w:abstractNumId w:val="1"/>
  </w:num>
  <w:num w:numId="13">
    <w:abstractNumId w:val="11"/>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6BA2B73B7E04DC39E2B9D9C46D9A0B7"/>
    <w:docVar w:name="LW_CROSSREFERENCE" w:val="{COM(2017) 236 final}_x000b_{SWD(2017) 159 final}"/>
    <w:docVar w:name="LW_DocType" w:val="NORMAL"/>
    <w:docVar w:name="LW_EMISSION" w:val="15.5.2017"/>
    <w:docVar w:name="LW_EMISSION_ISODATE" w:val="2017-05-1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progress of implementation of Council Directive 2011/70/EURATOM and an inventory of radioactive waste and spent fuel present in the Community's territory and the future prospects "/>
    <w:docVar w:name="LW_PART_NBR" w:val="1"/>
    <w:docVar w:name="LW_PART_NBR_TOTAL" w:val="1"/>
    <w:docVar w:name="LW_REF.INST.NEW" w:val="SWD"/>
    <w:docVar w:name="LW_REF.INST.NEW_ADOPTED" w:val="final"/>
    <w:docVar w:name="LW_REF.INST.NEW_TEXT" w:val="(2017) 161"/>
    <w:docVar w:name="LW_REF.INTERNE" w:val="&lt;UNUSED&gt;"/>
    <w:docVar w:name="LW_SUPERTITRE" w:val="&lt;UNUSED&gt;"/>
    <w:docVar w:name="LW_TITRE.OBJ.CP" w:val="Inventory of radioactive waste and spent fuel present in the Community's territory and the future prospects"/>
    <w:docVar w:name="LW_TYPE.DOC.CP" w:val="COMMISSION STAFF WORKING DOCUMENT"/>
    <w:docVar w:name="LW_TYPEACTEPRINCIPAL.CP" w:val="REPORT FROM THE COMMISSION TO THE COUNCIL AND THE EUROPEAN PARLIAMENT"/>
  </w:docVars>
  <w:rsids>
    <w:rsidRoot w:val="008702F0"/>
    <w:rsid w:val="008702F0"/>
    <w:rsid w:val="00ED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6"/>
      </w:numPr>
      <w:spacing w:before="480" w:after="0" w:line="240" w:lineRule="exact"/>
      <w:jc w:val="left"/>
      <w:outlineLvl w:val="0"/>
    </w:pPr>
    <w:rPr>
      <w:rFonts w:eastAsiaTheme="majorEastAsia" w:cstheme="majorBidi"/>
      <w:b/>
      <w:bCs/>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ind w:left="851" w:hanging="85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imes New Roman" w:hAnsi="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72"/>
    <w:qFormat/>
    <w:pPr>
      <w:numPr>
        <w:numId w:val="2"/>
      </w:numPr>
      <w:spacing w:after="0" w:line="280" w:lineRule="exact"/>
      <w:jc w:val="left"/>
    </w:pPr>
  </w:style>
  <w:style w:type="paragraph" w:styleId="FootnoteText">
    <w:name w:val="footnote text"/>
    <w:basedOn w:val="Normal"/>
    <w:link w:val="FootnoteTextChar"/>
    <w:uiPriority w:val="99"/>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aliases w:val="BVI fnr,E FNZ,-E Fußnotenzeichen,SUPERS"/>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Textblock">
    <w:name w:val="Textblock"/>
    <w:basedOn w:val="Normal"/>
    <w:pPr>
      <w:spacing w:before="240" w:after="0" w:line="320" w:lineRule="exact"/>
    </w:pPr>
  </w:style>
  <w:style w:type="paragraph" w:customStyle="1" w:styleId="FigureCaption">
    <w:name w:val="Figure Caption"/>
    <w:basedOn w:val="Normal"/>
    <w:pPr>
      <w:spacing w:before="240" w:after="0" w:line="240" w:lineRule="exact"/>
      <w:jc w:val="center"/>
    </w:pPr>
    <w:rPr>
      <w:rFonts w:ascii="Arial" w:hAnsi="Arial" w:cs="Arial"/>
      <w:sz w:val="20"/>
      <w:szCs w:val="20"/>
    </w:rPr>
  </w:style>
  <w:style w:type="paragraph" w:customStyle="1" w:styleId="Figure">
    <w:name w:val="Figure"/>
    <w:basedOn w:val="Normal"/>
    <w:pPr>
      <w:jc w:val="center"/>
    </w:pPr>
    <w:rPr>
      <w:noProof/>
      <w:lang w:val="de-DE" w:eastAsia="de-DE"/>
    </w:rPr>
  </w:style>
  <w:style w:type="paragraph" w:customStyle="1" w:styleId="TableCaption">
    <w:name w:val="Table Caption"/>
    <w:basedOn w:val="FigureCaption"/>
    <w:pPr>
      <w:spacing w:after="120"/>
      <w:jc w:val="left"/>
    </w:pPr>
  </w:style>
  <w:style w:type="paragraph" w:styleId="TOC1">
    <w:name w:val="toc 1"/>
    <w:basedOn w:val="Normal"/>
    <w:next w:val="Normal"/>
    <w:autoRedefine/>
    <w:uiPriority w:val="39"/>
    <w:unhideWhenUsed/>
    <w:pPr>
      <w:tabs>
        <w:tab w:val="left" w:pos="480"/>
        <w:tab w:val="right" w:leader="dot" w:pos="9060"/>
      </w:tabs>
    </w:pPr>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tabs>
        <w:tab w:val="right" w:leader="dot" w:pos="9072"/>
      </w:tabs>
      <w:ind w:left="851" w:right="1132" w:hanging="851"/>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color w:val="FF0000"/>
    </w:rPr>
  </w:style>
  <w:style w:type="character" w:customStyle="1" w:styleId="FooterCoverPageChar">
    <w:name w:val="Footer Cover Page Char"/>
    <w:basedOn w:val="DefaultParagraphFont"/>
    <w:link w:val="FooterCoverPage"/>
    <w:rPr>
      <w:rFonts w:ascii="Times New Roman" w:hAnsi="Times New Roman"/>
      <w:color w:val="FF0000"/>
      <w:sz w:val="24"/>
    </w:rPr>
  </w:style>
  <w:style w:type="paragraph" w:customStyle="1" w:styleId="HeaderCoverPage">
    <w:name w:val="Header Cover Page"/>
    <w:basedOn w:val="Normal"/>
    <w:link w:val="HeaderCoverPageChar"/>
    <w:pPr>
      <w:tabs>
        <w:tab w:val="center" w:pos="4535"/>
        <w:tab w:val="right" w:pos="9071"/>
      </w:tabs>
      <w:spacing w:before="0" w:line="240" w:lineRule="auto"/>
    </w:pPr>
    <w:rPr>
      <w:color w:val="FF0000"/>
    </w:rPr>
  </w:style>
  <w:style w:type="character" w:customStyle="1" w:styleId="HeaderCoverPageChar">
    <w:name w:val="Header Cover Page Char"/>
    <w:basedOn w:val="DefaultParagraphFont"/>
    <w:link w:val="HeaderCoverPage"/>
    <w:rPr>
      <w:rFonts w:ascii="Times New Roman" w:hAnsi="Times New Roman"/>
      <w:color w:val="FF0000"/>
      <w:sz w:val="24"/>
    </w:rPr>
  </w:style>
  <w:style w:type="paragraph" w:styleId="TOCHeading">
    <w:name w:val="TOC Heading"/>
    <w:basedOn w:val="Heading1"/>
    <w:next w:val="Normal"/>
    <w:uiPriority w:val="39"/>
    <w:unhideWhenUsed/>
    <w:qFormat/>
    <w:pPr>
      <w:numPr>
        <w:numId w:val="0"/>
      </w:numPr>
      <w:spacing w:line="276" w:lineRule="auto"/>
      <w:outlineLvl w:val="9"/>
    </w:pPr>
    <w:rPr>
      <w:rFonts w:asciiTheme="majorHAnsi" w:hAnsiTheme="majorHAnsi"/>
      <w:color w:val="365F91" w:themeColor="accent1" w:themeShade="BF"/>
      <w:sz w:val="28"/>
      <w:szCs w:val="28"/>
      <w:lang w:val="en-US" w:eastAsia="ja-JP"/>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6"/>
      </w:numPr>
      <w:spacing w:before="480" w:after="0" w:line="240" w:lineRule="exact"/>
      <w:jc w:val="left"/>
      <w:outlineLvl w:val="0"/>
    </w:pPr>
    <w:rPr>
      <w:rFonts w:eastAsiaTheme="majorEastAsia" w:cstheme="majorBidi"/>
      <w:b/>
      <w:bCs/>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ind w:left="851" w:hanging="85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imes New Roman" w:hAnsi="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72"/>
    <w:qFormat/>
    <w:pPr>
      <w:numPr>
        <w:numId w:val="2"/>
      </w:numPr>
      <w:spacing w:after="0" w:line="280" w:lineRule="exact"/>
      <w:jc w:val="left"/>
    </w:pPr>
  </w:style>
  <w:style w:type="paragraph" w:styleId="FootnoteText">
    <w:name w:val="footnote text"/>
    <w:basedOn w:val="Normal"/>
    <w:link w:val="FootnoteTextChar"/>
    <w:uiPriority w:val="99"/>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aliases w:val="BVI fnr,E FNZ,-E Fußnotenzeichen,SUPERS"/>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Textblock">
    <w:name w:val="Textblock"/>
    <w:basedOn w:val="Normal"/>
    <w:pPr>
      <w:spacing w:before="240" w:after="0" w:line="320" w:lineRule="exact"/>
    </w:pPr>
  </w:style>
  <w:style w:type="paragraph" w:customStyle="1" w:styleId="FigureCaption">
    <w:name w:val="Figure Caption"/>
    <w:basedOn w:val="Normal"/>
    <w:pPr>
      <w:spacing w:before="240" w:after="0" w:line="240" w:lineRule="exact"/>
      <w:jc w:val="center"/>
    </w:pPr>
    <w:rPr>
      <w:rFonts w:ascii="Arial" w:hAnsi="Arial" w:cs="Arial"/>
      <w:sz w:val="20"/>
      <w:szCs w:val="20"/>
    </w:rPr>
  </w:style>
  <w:style w:type="paragraph" w:customStyle="1" w:styleId="Figure">
    <w:name w:val="Figure"/>
    <w:basedOn w:val="Normal"/>
    <w:pPr>
      <w:jc w:val="center"/>
    </w:pPr>
    <w:rPr>
      <w:noProof/>
      <w:lang w:val="de-DE" w:eastAsia="de-DE"/>
    </w:rPr>
  </w:style>
  <w:style w:type="paragraph" w:customStyle="1" w:styleId="TableCaption">
    <w:name w:val="Table Caption"/>
    <w:basedOn w:val="FigureCaption"/>
    <w:pPr>
      <w:spacing w:after="120"/>
      <w:jc w:val="left"/>
    </w:pPr>
  </w:style>
  <w:style w:type="paragraph" w:styleId="TOC1">
    <w:name w:val="toc 1"/>
    <w:basedOn w:val="Normal"/>
    <w:next w:val="Normal"/>
    <w:autoRedefine/>
    <w:uiPriority w:val="39"/>
    <w:unhideWhenUsed/>
    <w:pPr>
      <w:tabs>
        <w:tab w:val="left" w:pos="480"/>
        <w:tab w:val="right" w:leader="dot" w:pos="9060"/>
      </w:tabs>
    </w:pPr>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tabs>
        <w:tab w:val="right" w:leader="dot" w:pos="9072"/>
      </w:tabs>
      <w:ind w:left="851" w:right="1132" w:hanging="851"/>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color w:val="FF0000"/>
    </w:rPr>
  </w:style>
  <w:style w:type="character" w:customStyle="1" w:styleId="FooterCoverPageChar">
    <w:name w:val="Footer Cover Page Char"/>
    <w:basedOn w:val="DefaultParagraphFont"/>
    <w:link w:val="FooterCoverPage"/>
    <w:rPr>
      <w:rFonts w:ascii="Times New Roman" w:hAnsi="Times New Roman"/>
      <w:color w:val="FF0000"/>
      <w:sz w:val="24"/>
    </w:rPr>
  </w:style>
  <w:style w:type="paragraph" w:customStyle="1" w:styleId="HeaderCoverPage">
    <w:name w:val="Header Cover Page"/>
    <w:basedOn w:val="Normal"/>
    <w:link w:val="HeaderCoverPageChar"/>
    <w:pPr>
      <w:tabs>
        <w:tab w:val="center" w:pos="4535"/>
        <w:tab w:val="right" w:pos="9071"/>
      </w:tabs>
      <w:spacing w:before="0" w:line="240" w:lineRule="auto"/>
    </w:pPr>
    <w:rPr>
      <w:color w:val="FF0000"/>
    </w:rPr>
  </w:style>
  <w:style w:type="character" w:customStyle="1" w:styleId="HeaderCoverPageChar">
    <w:name w:val="Header Cover Page Char"/>
    <w:basedOn w:val="DefaultParagraphFont"/>
    <w:link w:val="HeaderCoverPage"/>
    <w:rPr>
      <w:rFonts w:ascii="Times New Roman" w:hAnsi="Times New Roman"/>
      <w:color w:val="FF0000"/>
      <w:sz w:val="24"/>
    </w:rPr>
  </w:style>
  <w:style w:type="paragraph" w:styleId="TOCHeading">
    <w:name w:val="TOC Heading"/>
    <w:basedOn w:val="Heading1"/>
    <w:next w:val="Normal"/>
    <w:uiPriority w:val="39"/>
    <w:unhideWhenUsed/>
    <w:qFormat/>
    <w:pPr>
      <w:numPr>
        <w:numId w:val="0"/>
      </w:numPr>
      <w:spacing w:line="276" w:lineRule="auto"/>
      <w:outlineLvl w:val="9"/>
    </w:pPr>
    <w:rPr>
      <w:rFonts w:asciiTheme="majorHAnsi" w:hAnsiTheme="majorHAnsi"/>
      <w:color w:val="365F91" w:themeColor="accent1" w:themeShade="BF"/>
      <w:sz w:val="28"/>
      <w:szCs w:val="28"/>
      <w:lang w:val="en-US" w:eastAsia="ja-JP"/>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6.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eader" Target="header7.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eader" Target="header5.xml"/><Relationship Id="rId49" Type="http://schemas.openxmlformats.org/officeDocument/2006/relationships/footer" Target="footer10.xml"/><Relationship Id="rId57" Type="http://schemas.openxmlformats.org/officeDocument/2006/relationships/header" Target="header15.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header" Target="header11.xml"/><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Overal_Inventory_v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12-10-2016\Overal_Inventory_0810201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Overal_Inventory_v1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Overal_Inventory_v12_30-09-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JRC-Services\PTT-Users\matuzva\Desktop\Overal_Inventory_v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12-10-2016\Overal_Inventory_0810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et1.cec.eu.int\JRC-Services\PTT-Users\matuzva\Desktop\Overal_Inventory_v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et1.cec.eu.int\JRC-Services\PTT-Users\matuzva\Projects\DGENER\_INVENTORY_\2016-11-XX\Overal_Inventory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778372208694913"/>
          <c:y val="4.4994375703037118E-2"/>
          <c:w val="0.78225897721944671"/>
          <c:h val="0.85334749315298197"/>
        </c:manualLayout>
      </c:layout>
      <c:barChart>
        <c:barDir val="col"/>
        <c:grouping val="stacked"/>
        <c:varyColors val="0"/>
        <c:ser>
          <c:idx val="0"/>
          <c:order val="0"/>
          <c:tx>
            <c:strRef>
              <c:f>Plots!$B$43</c:f>
              <c:strCache>
                <c:ptCount val="1"/>
                <c:pt idx="0">
                  <c:v>VLLW</c:v>
                </c:pt>
              </c:strCache>
            </c:strRef>
          </c:tx>
          <c:invertIfNegative val="0"/>
          <c:cat>
            <c:strRef>
              <c:f>Plots!$C$42:$D$42</c:f>
              <c:strCache>
                <c:ptCount val="2"/>
                <c:pt idx="0">
                  <c:v>Stored</c:v>
                </c:pt>
                <c:pt idx="1">
                  <c:v>Disposed</c:v>
                </c:pt>
              </c:strCache>
            </c:strRef>
          </c:cat>
          <c:val>
            <c:numRef>
              <c:f>Plots!$C$43:$D$43</c:f>
              <c:numCache>
                <c:formatCode>0.0</c:formatCode>
                <c:ptCount val="2"/>
                <c:pt idx="0" formatCode="General">
                  <c:v>237307.34400000001</c:v>
                </c:pt>
                <c:pt idx="1">
                  <c:v>279082</c:v>
                </c:pt>
              </c:numCache>
            </c:numRef>
          </c:val>
          <c:extLst xmlns:c16r2="http://schemas.microsoft.com/office/drawing/2015/06/chart">
            <c:ext xmlns:c16="http://schemas.microsoft.com/office/drawing/2014/chart" uri="{C3380CC4-5D6E-409C-BE32-E72D297353CC}">
              <c16:uniqueId val="{00000000-7F02-4801-9E21-2D8B16251BFD}"/>
            </c:ext>
          </c:extLst>
        </c:ser>
        <c:ser>
          <c:idx val="1"/>
          <c:order val="1"/>
          <c:tx>
            <c:strRef>
              <c:f>Plots!$B$44</c:f>
              <c:strCache>
                <c:ptCount val="1"/>
                <c:pt idx="0">
                  <c:v>LLW</c:v>
                </c:pt>
              </c:strCache>
            </c:strRef>
          </c:tx>
          <c:invertIfNegative val="0"/>
          <c:cat>
            <c:strRef>
              <c:f>Plots!$C$42:$D$42</c:f>
              <c:strCache>
                <c:ptCount val="2"/>
                <c:pt idx="0">
                  <c:v>Stored</c:v>
                </c:pt>
                <c:pt idx="1">
                  <c:v>Disposed</c:v>
                </c:pt>
              </c:strCache>
            </c:strRef>
          </c:cat>
          <c:val>
            <c:numRef>
              <c:f>Plots!$C$44:$D$44</c:f>
              <c:numCache>
                <c:formatCode>0.0</c:formatCode>
                <c:ptCount val="2"/>
                <c:pt idx="0" formatCode="General">
                  <c:v>427781.90200000006</c:v>
                </c:pt>
                <c:pt idx="1">
                  <c:v>2024909.8</c:v>
                </c:pt>
              </c:numCache>
            </c:numRef>
          </c:val>
          <c:extLst xmlns:c16r2="http://schemas.microsoft.com/office/drawing/2015/06/chart">
            <c:ext xmlns:c16="http://schemas.microsoft.com/office/drawing/2014/chart" uri="{C3380CC4-5D6E-409C-BE32-E72D297353CC}">
              <c16:uniqueId val="{00000001-7F02-4801-9E21-2D8B16251BFD}"/>
            </c:ext>
          </c:extLst>
        </c:ser>
        <c:ser>
          <c:idx val="2"/>
          <c:order val="2"/>
          <c:tx>
            <c:strRef>
              <c:f>Plots!$B$45</c:f>
              <c:strCache>
                <c:ptCount val="1"/>
                <c:pt idx="0">
                  <c:v>ILW</c:v>
                </c:pt>
              </c:strCache>
            </c:strRef>
          </c:tx>
          <c:invertIfNegative val="0"/>
          <c:cat>
            <c:strRef>
              <c:f>Plots!$C$42:$D$42</c:f>
              <c:strCache>
                <c:ptCount val="2"/>
                <c:pt idx="0">
                  <c:v>Stored</c:v>
                </c:pt>
                <c:pt idx="1">
                  <c:v>Disposed</c:v>
                </c:pt>
              </c:strCache>
            </c:strRef>
          </c:cat>
          <c:val>
            <c:numRef>
              <c:f>Plots!$C$45:$D$45</c:f>
              <c:numCache>
                <c:formatCode>0.0</c:formatCode>
                <c:ptCount val="2"/>
                <c:pt idx="0" formatCode="General">
                  <c:v>325608.11300000001</c:v>
                </c:pt>
                <c:pt idx="1">
                  <c:v>12448</c:v>
                </c:pt>
              </c:numCache>
            </c:numRef>
          </c:val>
          <c:extLst xmlns:c16r2="http://schemas.microsoft.com/office/drawing/2015/06/chart">
            <c:ext xmlns:c16="http://schemas.microsoft.com/office/drawing/2014/chart" uri="{C3380CC4-5D6E-409C-BE32-E72D297353CC}">
              <c16:uniqueId val="{00000002-7F02-4801-9E21-2D8B16251BFD}"/>
            </c:ext>
          </c:extLst>
        </c:ser>
        <c:ser>
          <c:idx val="3"/>
          <c:order val="3"/>
          <c:tx>
            <c:strRef>
              <c:f>Plots!$B$46</c:f>
              <c:strCache>
                <c:ptCount val="1"/>
                <c:pt idx="0">
                  <c:v>HLW</c:v>
                </c:pt>
              </c:strCache>
            </c:strRef>
          </c:tx>
          <c:invertIfNegative val="0"/>
          <c:cat>
            <c:strRef>
              <c:f>Plots!$C$42:$D$42</c:f>
              <c:strCache>
                <c:ptCount val="2"/>
                <c:pt idx="0">
                  <c:v>Stored</c:v>
                </c:pt>
                <c:pt idx="1">
                  <c:v>Disposed</c:v>
                </c:pt>
              </c:strCache>
            </c:strRef>
          </c:cat>
          <c:val>
            <c:numRef>
              <c:f>Plots!$C$46:$D$46</c:f>
              <c:numCache>
                <c:formatCode>General</c:formatCode>
                <c:ptCount val="2"/>
                <c:pt idx="0">
                  <c:v>5857.7</c:v>
                </c:pt>
              </c:numCache>
            </c:numRef>
          </c:val>
          <c:extLst xmlns:c16r2="http://schemas.microsoft.com/office/drawing/2015/06/chart">
            <c:ext xmlns:c16="http://schemas.microsoft.com/office/drawing/2014/chart" uri="{C3380CC4-5D6E-409C-BE32-E72D297353CC}">
              <c16:uniqueId val="{00000003-7F02-4801-9E21-2D8B16251BFD}"/>
            </c:ext>
          </c:extLst>
        </c:ser>
        <c:dLbls>
          <c:showLegendKey val="0"/>
          <c:showVal val="0"/>
          <c:showCatName val="0"/>
          <c:showSerName val="0"/>
          <c:showPercent val="0"/>
          <c:showBubbleSize val="0"/>
        </c:dLbls>
        <c:gapWidth val="150"/>
        <c:overlap val="100"/>
        <c:axId val="146039552"/>
        <c:axId val="146041088"/>
      </c:barChart>
      <c:catAx>
        <c:axId val="14603955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46041088"/>
        <c:crosses val="autoZero"/>
        <c:auto val="1"/>
        <c:lblAlgn val="ctr"/>
        <c:lblOffset val="100"/>
        <c:noMultiLvlLbl val="0"/>
      </c:catAx>
      <c:valAx>
        <c:axId val="146041088"/>
        <c:scaling>
          <c:orientation val="minMax"/>
        </c:scaling>
        <c:delete val="0"/>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m</a:t>
                </a:r>
                <a:r>
                  <a:rPr lang="en-GB" baseline="30000">
                    <a:latin typeface="Times New Roman" panose="02020603050405020304" pitchFamily="18" charset="0"/>
                    <a:cs typeface="Times New Roman" panose="02020603050405020304" pitchFamily="18" charset="0"/>
                  </a:rPr>
                  <a:t>3</a:t>
                </a:r>
              </a:p>
            </c:rich>
          </c:tx>
          <c:layout>
            <c:manualLayout>
              <c:xMode val="edge"/>
              <c:yMode val="edge"/>
              <c:x val="2.003240675565314E-2"/>
              <c:y val="0.33250652762362559"/>
            </c:manualLayout>
          </c:layout>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46039552"/>
        <c:crosses val="autoZero"/>
        <c:crossBetween val="between"/>
      </c:valAx>
    </c:plotArea>
    <c:legend>
      <c:legendPos val="r"/>
      <c:layout>
        <c:manualLayout>
          <c:xMode val="edge"/>
          <c:yMode val="edge"/>
          <c:x val="0.88740624104111732"/>
          <c:y val="0.32896220765428746"/>
          <c:w val="0.10007350473659948"/>
          <c:h val="0.29339955444477273"/>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17216626515329E-2"/>
          <c:y val="3.1901445925146051E-2"/>
          <c:w val="0.87199126564701035"/>
          <c:h val="0.83364296463291121"/>
        </c:manualLayout>
      </c:layout>
      <c:barChart>
        <c:barDir val="bar"/>
        <c:grouping val="stacked"/>
        <c:varyColors val="0"/>
        <c:ser>
          <c:idx val="0"/>
          <c:order val="0"/>
          <c:tx>
            <c:strRef>
              <c:f>Plots!$B$246</c:f>
              <c:strCache>
                <c:ptCount val="1"/>
                <c:pt idx="0">
                  <c:v>VLLW</c:v>
                </c:pt>
              </c:strCache>
            </c:strRef>
          </c:tx>
          <c:invertIfNegative val="0"/>
          <c:cat>
            <c:strRef>
              <c:f>Plots!$A$247:$A$248</c:f>
              <c:strCache>
                <c:ptCount val="2"/>
                <c:pt idx="0">
                  <c:v>With nuclear power program</c:v>
                </c:pt>
                <c:pt idx="1">
                  <c:v>Without nuclear power program</c:v>
                </c:pt>
              </c:strCache>
            </c:strRef>
          </c:cat>
          <c:val>
            <c:numRef>
              <c:f>Plots!$B$247:$B$248</c:f>
              <c:numCache>
                <c:formatCode>General</c:formatCode>
                <c:ptCount val="2"/>
                <c:pt idx="0">
                  <c:v>237227</c:v>
                </c:pt>
                <c:pt idx="1">
                  <c:v>80.343999999999994</c:v>
                </c:pt>
              </c:numCache>
            </c:numRef>
          </c:val>
          <c:extLst xmlns:c16r2="http://schemas.microsoft.com/office/drawing/2015/06/chart">
            <c:ext xmlns:c16="http://schemas.microsoft.com/office/drawing/2014/chart" uri="{C3380CC4-5D6E-409C-BE32-E72D297353CC}">
              <c16:uniqueId val="{00000000-076B-4D69-B26F-3645D6AF48AF}"/>
            </c:ext>
          </c:extLst>
        </c:ser>
        <c:ser>
          <c:idx val="1"/>
          <c:order val="1"/>
          <c:tx>
            <c:strRef>
              <c:f>Plots!$C$246</c:f>
              <c:strCache>
                <c:ptCount val="1"/>
                <c:pt idx="0">
                  <c:v>LLW</c:v>
                </c:pt>
              </c:strCache>
            </c:strRef>
          </c:tx>
          <c:invertIfNegative val="0"/>
          <c:cat>
            <c:strRef>
              <c:f>Plots!$A$247:$A$248</c:f>
              <c:strCache>
                <c:ptCount val="2"/>
                <c:pt idx="0">
                  <c:v>With nuclear power program</c:v>
                </c:pt>
                <c:pt idx="1">
                  <c:v>Without nuclear power program</c:v>
                </c:pt>
              </c:strCache>
            </c:strRef>
          </c:cat>
          <c:val>
            <c:numRef>
              <c:f>Plots!$C$247:$C$248</c:f>
              <c:numCache>
                <c:formatCode>General</c:formatCode>
                <c:ptCount val="2"/>
                <c:pt idx="0">
                  <c:v>421767.30000000005</c:v>
                </c:pt>
                <c:pt idx="1">
                  <c:v>6014.6019999999999</c:v>
                </c:pt>
              </c:numCache>
            </c:numRef>
          </c:val>
          <c:extLst xmlns:c16r2="http://schemas.microsoft.com/office/drawing/2015/06/chart">
            <c:ext xmlns:c16="http://schemas.microsoft.com/office/drawing/2014/chart" uri="{C3380CC4-5D6E-409C-BE32-E72D297353CC}">
              <c16:uniqueId val="{00000001-076B-4D69-B26F-3645D6AF48AF}"/>
            </c:ext>
          </c:extLst>
        </c:ser>
        <c:ser>
          <c:idx val="2"/>
          <c:order val="2"/>
          <c:tx>
            <c:strRef>
              <c:f>Plots!$D$246</c:f>
              <c:strCache>
                <c:ptCount val="1"/>
                <c:pt idx="0">
                  <c:v>ILW</c:v>
                </c:pt>
              </c:strCache>
            </c:strRef>
          </c:tx>
          <c:invertIfNegative val="0"/>
          <c:cat>
            <c:strRef>
              <c:f>Plots!$A$247:$A$248</c:f>
              <c:strCache>
                <c:ptCount val="2"/>
                <c:pt idx="0">
                  <c:v>With nuclear power program</c:v>
                </c:pt>
                <c:pt idx="1">
                  <c:v>Without nuclear power program</c:v>
                </c:pt>
              </c:strCache>
            </c:strRef>
          </c:cat>
          <c:val>
            <c:numRef>
              <c:f>Plots!$D$247:$D$248</c:f>
              <c:numCache>
                <c:formatCode>General</c:formatCode>
                <c:ptCount val="2"/>
                <c:pt idx="0">
                  <c:v>323881.01300000004</c:v>
                </c:pt>
                <c:pt idx="1">
                  <c:v>1727.1</c:v>
                </c:pt>
              </c:numCache>
            </c:numRef>
          </c:val>
          <c:extLst xmlns:c16r2="http://schemas.microsoft.com/office/drawing/2015/06/chart">
            <c:ext xmlns:c16="http://schemas.microsoft.com/office/drawing/2014/chart" uri="{C3380CC4-5D6E-409C-BE32-E72D297353CC}">
              <c16:uniqueId val="{00000002-076B-4D69-B26F-3645D6AF48AF}"/>
            </c:ext>
          </c:extLst>
        </c:ser>
        <c:ser>
          <c:idx val="3"/>
          <c:order val="3"/>
          <c:tx>
            <c:strRef>
              <c:f>Plots!$E$246</c:f>
              <c:strCache>
                <c:ptCount val="1"/>
                <c:pt idx="0">
                  <c:v>HLW</c:v>
                </c:pt>
              </c:strCache>
            </c:strRef>
          </c:tx>
          <c:invertIfNegative val="0"/>
          <c:cat>
            <c:strRef>
              <c:f>Plots!$A$247:$A$248</c:f>
              <c:strCache>
                <c:ptCount val="2"/>
                <c:pt idx="0">
                  <c:v>With nuclear power program</c:v>
                </c:pt>
                <c:pt idx="1">
                  <c:v>Without nuclear power program</c:v>
                </c:pt>
              </c:strCache>
            </c:strRef>
          </c:cat>
          <c:val>
            <c:numRef>
              <c:f>Plots!$E$247:$E$248</c:f>
              <c:numCache>
                <c:formatCode>General</c:formatCode>
                <c:ptCount val="2"/>
                <c:pt idx="0">
                  <c:v>5857.7</c:v>
                </c:pt>
                <c:pt idx="1">
                  <c:v>0</c:v>
                </c:pt>
              </c:numCache>
            </c:numRef>
          </c:val>
          <c:extLst xmlns:c16r2="http://schemas.microsoft.com/office/drawing/2015/06/chart">
            <c:ext xmlns:c16="http://schemas.microsoft.com/office/drawing/2014/chart" uri="{C3380CC4-5D6E-409C-BE32-E72D297353CC}">
              <c16:uniqueId val="{00000003-076B-4D69-B26F-3645D6AF48AF}"/>
            </c:ext>
          </c:extLst>
        </c:ser>
        <c:dLbls>
          <c:showLegendKey val="0"/>
          <c:showVal val="0"/>
          <c:showCatName val="0"/>
          <c:showSerName val="0"/>
          <c:showPercent val="0"/>
          <c:showBubbleSize val="0"/>
        </c:dLbls>
        <c:gapWidth val="55"/>
        <c:overlap val="100"/>
        <c:axId val="209113856"/>
        <c:axId val="209115392"/>
      </c:barChart>
      <c:catAx>
        <c:axId val="209113856"/>
        <c:scaling>
          <c:orientation val="minMax"/>
        </c:scaling>
        <c:delete val="0"/>
        <c:axPos val="l"/>
        <c:numFmt formatCode="@" sourceLinked="0"/>
        <c:majorTickMark val="none"/>
        <c:minorTickMark val="none"/>
        <c:tickLblPos val="nextTo"/>
        <c:txPr>
          <a:bodyPr rot="-5400000" vert="horz"/>
          <a:lstStyle/>
          <a:p>
            <a:pPr>
              <a:defRPr>
                <a:latin typeface="Times New Roman" panose="02020603050405020304" pitchFamily="18" charset="0"/>
                <a:cs typeface="Times New Roman" panose="02020603050405020304" pitchFamily="18" charset="0"/>
              </a:defRPr>
            </a:pPr>
            <a:endParaRPr lang="en-US"/>
          </a:p>
        </c:txPr>
        <c:crossAx val="209115392"/>
        <c:crosses val="autoZero"/>
        <c:auto val="1"/>
        <c:lblAlgn val="ctr"/>
        <c:lblOffset val="100"/>
        <c:noMultiLvlLbl val="0"/>
      </c:catAx>
      <c:valAx>
        <c:axId val="209115392"/>
        <c:scaling>
          <c:orientation val="minMax"/>
          <c:max val="1000000"/>
        </c:scaling>
        <c:delete val="0"/>
        <c:axPos val="b"/>
        <c:majorGridlines/>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m</a:t>
                </a:r>
                <a:r>
                  <a:rPr lang="en-GB" baseline="30000">
                    <a:latin typeface="Times New Roman" panose="02020603050405020304" pitchFamily="18" charset="0"/>
                    <a:cs typeface="Times New Roman" panose="02020603050405020304" pitchFamily="18" charset="0"/>
                  </a:rPr>
                  <a:t>3</a:t>
                </a:r>
              </a:p>
            </c:rich>
          </c:tx>
          <c:layout>
            <c:manualLayout>
              <c:xMode val="edge"/>
              <c:yMode val="edge"/>
              <c:x val="0.42370209158637778"/>
              <c:y val="0.92245600878837519"/>
            </c:manualLayout>
          </c:layout>
          <c:overlay val="0"/>
        </c:title>
        <c:numFmt formatCode="#\ ###\ ##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113856"/>
        <c:crosses val="autoZero"/>
        <c:crossBetween val="between"/>
        <c:majorUnit val="200000"/>
        <c:minorUnit val="20000"/>
      </c:valAx>
    </c:plotArea>
    <c:legend>
      <c:legendPos val="r"/>
      <c:layout>
        <c:manualLayout>
          <c:xMode val="edge"/>
          <c:yMode val="edge"/>
          <c:x val="0.80405461336563699"/>
          <c:y val="0.11783119215361237"/>
          <c:w val="0.12149030516484585"/>
          <c:h val="0.2828234849154089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93669022563738"/>
          <c:y val="1.3482902029370908E-2"/>
          <c:w val="0.7995081370538214"/>
          <c:h val="0.88300551585709097"/>
        </c:manualLayout>
      </c:layout>
      <c:barChart>
        <c:barDir val="bar"/>
        <c:grouping val="stacked"/>
        <c:varyColors val="0"/>
        <c:ser>
          <c:idx val="0"/>
          <c:order val="0"/>
          <c:tx>
            <c:strRef>
              <c:f>Plots!$C$273</c:f>
              <c:strCache>
                <c:ptCount val="1"/>
                <c:pt idx="0">
                  <c:v>VLLW</c:v>
                </c:pt>
              </c:strCache>
            </c:strRef>
          </c:tx>
          <c:invertIfNegative val="0"/>
          <c:cat>
            <c:strRef>
              <c:f>Plots!$B$274:$B$285</c:f>
              <c:strCache>
                <c:ptCount val="12"/>
                <c:pt idx="0">
                  <c:v>Austria</c:v>
                </c:pt>
                <c:pt idx="1">
                  <c:v>Denmark</c:v>
                </c:pt>
                <c:pt idx="2">
                  <c:v>Estonia</c:v>
                </c:pt>
                <c:pt idx="3">
                  <c:v>Poland</c:v>
                </c:pt>
                <c:pt idx="4">
                  <c:v>Latvia</c:v>
                </c:pt>
                <c:pt idx="5">
                  <c:v>Greece</c:v>
                </c:pt>
                <c:pt idx="6">
                  <c:v>Ireland</c:v>
                </c:pt>
                <c:pt idx="7">
                  <c:v>Croatia</c:v>
                </c:pt>
                <c:pt idx="8">
                  <c:v>Portugal</c:v>
                </c:pt>
                <c:pt idx="9">
                  <c:v>Cyprus</c:v>
                </c:pt>
                <c:pt idx="10">
                  <c:v>Luxembourg</c:v>
                </c:pt>
                <c:pt idx="11">
                  <c:v>Malta</c:v>
                </c:pt>
              </c:strCache>
            </c:strRef>
          </c:cat>
          <c:val>
            <c:numRef>
              <c:f>Plots!$C$274:$C$285</c:f>
              <c:numCache>
                <c:formatCode>General</c:formatCode>
                <c:ptCount val="12"/>
                <c:pt idx="0">
                  <c:v>0</c:v>
                </c:pt>
                <c:pt idx="1">
                  <c:v>0</c:v>
                </c:pt>
                <c:pt idx="2">
                  <c:v>0</c:v>
                </c:pt>
                <c:pt idx="3">
                  <c:v>51</c:v>
                </c:pt>
                <c:pt idx="4">
                  <c:v>0</c:v>
                </c:pt>
                <c:pt idx="5">
                  <c:v>29.344000000000001</c:v>
                </c:pt>
                <c:pt idx="6">
                  <c:v>0</c:v>
                </c:pt>
                <c:pt idx="7">
                  <c:v>0</c:v>
                </c:pt>
                <c:pt idx="8">
                  <c:v>0</c:v>
                </c:pt>
              </c:numCache>
            </c:numRef>
          </c:val>
          <c:extLst xmlns:c16r2="http://schemas.microsoft.com/office/drawing/2015/06/chart">
            <c:ext xmlns:c16="http://schemas.microsoft.com/office/drawing/2014/chart" uri="{C3380CC4-5D6E-409C-BE32-E72D297353CC}">
              <c16:uniqueId val="{00000000-2625-4F04-91D5-ABF178727719}"/>
            </c:ext>
          </c:extLst>
        </c:ser>
        <c:ser>
          <c:idx val="1"/>
          <c:order val="1"/>
          <c:tx>
            <c:strRef>
              <c:f>Plots!$D$273</c:f>
              <c:strCache>
                <c:ptCount val="1"/>
                <c:pt idx="0">
                  <c:v>LLW</c:v>
                </c:pt>
              </c:strCache>
            </c:strRef>
          </c:tx>
          <c:invertIfNegative val="0"/>
          <c:cat>
            <c:strRef>
              <c:f>Plots!$B$274:$B$285</c:f>
              <c:strCache>
                <c:ptCount val="12"/>
                <c:pt idx="0">
                  <c:v>Austria</c:v>
                </c:pt>
                <c:pt idx="1">
                  <c:v>Denmark</c:v>
                </c:pt>
                <c:pt idx="2">
                  <c:v>Estonia</c:v>
                </c:pt>
                <c:pt idx="3">
                  <c:v>Poland</c:v>
                </c:pt>
                <c:pt idx="4">
                  <c:v>Latvia</c:v>
                </c:pt>
                <c:pt idx="5">
                  <c:v>Greece</c:v>
                </c:pt>
                <c:pt idx="6">
                  <c:v>Ireland</c:v>
                </c:pt>
                <c:pt idx="7">
                  <c:v>Croatia</c:v>
                </c:pt>
                <c:pt idx="8">
                  <c:v>Portugal</c:v>
                </c:pt>
                <c:pt idx="9">
                  <c:v>Cyprus</c:v>
                </c:pt>
                <c:pt idx="10">
                  <c:v>Luxembourg</c:v>
                </c:pt>
                <c:pt idx="11">
                  <c:v>Malta</c:v>
                </c:pt>
              </c:strCache>
            </c:strRef>
          </c:cat>
          <c:val>
            <c:numRef>
              <c:f>Plots!$D$274:$D$285</c:f>
              <c:numCache>
                <c:formatCode>General</c:formatCode>
                <c:ptCount val="12"/>
                <c:pt idx="0">
                  <c:v>2240</c:v>
                </c:pt>
                <c:pt idx="1">
                  <c:v>1200</c:v>
                </c:pt>
                <c:pt idx="2">
                  <c:v>1550.9</c:v>
                </c:pt>
                <c:pt idx="3">
                  <c:v>905</c:v>
                </c:pt>
                <c:pt idx="4">
                  <c:v>55</c:v>
                </c:pt>
                <c:pt idx="5">
                  <c:v>21.202000000000002</c:v>
                </c:pt>
                <c:pt idx="6">
                  <c:v>30</c:v>
                </c:pt>
                <c:pt idx="7">
                  <c:v>12.5</c:v>
                </c:pt>
                <c:pt idx="8">
                  <c:v>0</c:v>
                </c:pt>
              </c:numCache>
            </c:numRef>
          </c:val>
          <c:extLst xmlns:c16r2="http://schemas.microsoft.com/office/drawing/2015/06/chart">
            <c:ext xmlns:c16="http://schemas.microsoft.com/office/drawing/2014/chart" uri="{C3380CC4-5D6E-409C-BE32-E72D297353CC}">
              <c16:uniqueId val="{00000001-2625-4F04-91D5-ABF178727719}"/>
            </c:ext>
          </c:extLst>
        </c:ser>
        <c:ser>
          <c:idx val="2"/>
          <c:order val="2"/>
          <c:tx>
            <c:strRef>
              <c:f>Plots!$E$273</c:f>
              <c:strCache>
                <c:ptCount val="1"/>
                <c:pt idx="0">
                  <c:v>ILW</c:v>
                </c:pt>
              </c:strCache>
            </c:strRef>
          </c:tx>
          <c:invertIfNegative val="0"/>
          <c:cat>
            <c:strRef>
              <c:f>Plots!$B$274:$B$285</c:f>
              <c:strCache>
                <c:ptCount val="12"/>
                <c:pt idx="0">
                  <c:v>Austria</c:v>
                </c:pt>
                <c:pt idx="1">
                  <c:v>Denmark</c:v>
                </c:pt>
                <c:pt idx="2">
                  <c:v>Estonia</c:v>
                </c:pt>
                <c:pt idx="3">
                  <c:v>Poland</c:v>
                </c:pt>
                <c:pt idx="4">
                  <c:v>Latvia</c:v>
                </c:pt>
                <c:pt idx="5">
                  <c:v>Greece</c:v>
                </c:pt>
                <c:pt idx="6">
                  <c:v>Ireland</c:v>
                </c:pt>
                <c:pt idx="7">
                  <c:v>Croatia</c:v>
                </c:pt>
                <c:pt idx="8">
                  <c:v>Portugal</c:v>
                </c:pt>
                <c:pt idx="9">
                  <c:v>Cyprus</c:v>
                </c:pt>
                <c:pt idx="10">
                  <c:v>Luxembourg</c:v>
                </c:pt>
                <c:pt idx="11">
                  <c:v>Malta</c:v>
                </c:pt>
              </c:strCache>
            </c:strRef>
          </c:cat>
          <c:val>
            <c:numRef>
              <c:f>Plots!$E$274:$E$285</c:f>
              <c:numCache>
                <c:formatCode>General</c:formatCode>
                <c:ptCount val="12"/>
                <c:pt idx="0">
                  <c:v>60</c:v>
                </c:pt>
                <c:pt idx="1">
                  <c:v>846</c:v>
                </c:pt>
                <c:pt idx="2">
                  <c:v>374.6</c:v>
                </c:pt>
                <c:pt idx="3">
                  <c:v>429</c:v>
                </c:pt>
                <c:pt idx="4">
                  <c:v>17.5</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2625-4F04-91D5-ABF178727719}"/>
            </c:ext>
          </c:extLst>
        </c:ser>
        <c:ser>
          <c:idx val="4"/>
          <c:order val="3"/>
          <c:tx>
            <c:strRef>
              <c:f>Plots!$G$273</c:f>
              <c:strCache>
                <c:ptCount val="1"/>
                <c:pt idx="0">
                  <c:v>HLW</c:v>
                </c:pt>
              </c:strCache>
            </c:strRef>
          </c:tx>
          <c:invertIfNegative val="0"/>
          <c:cat>
            <c:strRef>
              <c:f>Plots!$B$274:$B$285</c:f>
              <c:strCache>
                <c:ptCount val="12"/>
                <c:pt idx="0">
                  <c:v>Austria</c:v>
                </c:pt>
                <c:pt idx="1">
                  <c:v>Denmark</c:v>
                </c:pt>
                <c:pt idx="2">
                  <c:v>Estonia</c:v>
                </c:pt>
                <c:pt idx="3">
                  <c:v>Poland</c:v>
                </c:pt>
                <c:pt idx="4">
                  <c:v>Latvia</c:v>
                </c:pt>
                <c:pt idx="5">
                  <c:v>Greece</c:v>
                </c:pt>
                <c:pt idx="6">
                  <c:v>Ireland</c:v>
                </c:pt>
                <c:pt idx="7">
                  <c:v>Croatia</c:v>
                </c:pt>
                <c:pt idx="8">
                  <c:v>Portugal</c:v>
                </c:pt>
                <c:pt idx="9">
                  <c:v>Cyprus</c:v>
                </c:pt>
                <c:pt idx="10">
                  <c:v>Luxembourg</c:v>
                </c:pt>
                <c:pt idx="11">
                  <c:v>Malta</c:v>
                </c:pt>
              </c:strCache>
            </c:strRef>
          </c:cat>
          <c:val>
            <c:numRef>
              <c:f>Plots!$G$274:$G$285</c:f>
              <c:numCache>
                <c:formatCode>General</c:formatCode>
                <c:ptCount val="12"/>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150"/>
        <c:overlap val="100"/>
        <c:axId val="209472128"/>
        <c:axId val="209482112"/>
      </c:barChart>
      <c:catAx>
        <c:axId val="209472128"/>
        <c:scaling>
          <c:orientation val="minMax"/>
        </c:scaling>
        <c:delete val="0"/>
        <c:axPos val="l"/>
        <c:numFmt formatCode="General" sourceLinked="0"/>
        <c:majorTickMark val="out"/>
        <c:minorTickMark val="none"/>
        <c:tickLblPos val="nextTo"/>
        <c:crossAx val="209482112"/>
        <c:crosses val="autoZero"/>
        <c:auto val="1"/>
        <c:lblAlgn val="ctr"/>
        <c:lblOffset val="100"/>
        <c:tickLblSkip val="1"/>
        <c:noMultiLvlLbl val="0"/>
      </c:catAx>
      <c:valAx>
        <c:axId val="209482112"/>
        <c:scaling>
          <c:orientation val="minMax"/>
        </c:scaling>
        <c:delete val="0"/>
        <c:axPos val="b"/>
        <c:majorGridlines/>
        <c:title>
          <c:tx>
            <c:rich>
              <a:bodyPr/>
              <a:lstStyle/>
              <a:p>
                <a:pPr>
                  <a:defRPr/>
                </a:pPr>
                <a:r>
                  <a:rPr lang="en-GB"/>
                  <a:t>Volume, m3</a:t>
                </a:r>
              </a:p>
            </c:rich>
          </c:tx>
          <c:overlay val="0"/>
        </c:title>
        <c:numFmt formatCode="#\ ###\ ##0" sourceLinked="0"/>
        <c:majorTickMark val="out"/>
        <c:minorTickMark val="none"/>
        <c:tickLblPos val="nextTo"/>
        <c:crossAx val="209472128"/>
        <c:crosses val="autoZero"/>
        <c:crossBetween val="between"/>
      </c:valAx>
    </c:plotArea>
    <c:legend>
      <c:legendPos val="r"/>
      <c:layout>
        <c:manualLayout>
          <c:xMode val="edge"/>
          <c:yMode val="edge"/>
          <c:x val="0.85259667541557305"/>
          <c:y val="0.40265725158883858"/>
          <c:w val="7.9489756796748426E-2"/>
          <c:h val="0.20957656094968471"/>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11988413498378"/>
          <c:y val="6.3821792963641516E-2"/>
          <c:w val="0.76675751996918684"/>
          <c:h val="0.80768726658261825"/>
        </c:manualLayout>
      </c:layout>
      <c:barChart>
        <c:barDir val="bar"/>
        <c:grouping val="stacked"/>
        <c:varyColors val="0"/>
        <c:ser>
          <c:idx val="0"/>
          <c:order val="0"/>
          <c:tx>
            <c:strRef>
              <c:f>Plots!$C$301</c:f>
              <c:strCache>
                <c:ptCount val="1"/>
                <c:pt idx="0">
                  <c:v>VLLW</c:v>
                </c:pt>
              </c:strCache>
            </c:strRef>
          </c:tx>
          <c:invertIfNegative val="0"/>
          <c:cat>
            <c:strRef>
              <c:f>Plots!$B$302:$B$314</c:f>
              <c:strCache>
                <c:ptCount val="13"/>
                <c:pt idx="0">
                  <c:v>France</c:v>
                </c:pt>
                <c:pt idx="1">
                  <c:v>UK</c:v>
                </c:pt>
                <c:pt idx="2">
                  <c:v>Germany</c:v>
                </c:pt>
                <c:pt idx="3">
                  <c:v>Sweden</c:v>
                </c:pt>
                <c:pt idx="4">
                  <c:v>Spain</c:v>
                </c:pt>
                <c:pt idx="5">
                  <c:v>Slovakia</c:v>
                </c:pt>
                <c:pt idx="6">
                  <c:v>Czech Republic</c:v>
                </c:pt>
                <c:pt idx="7">
                  <c:v>Finland</c:v>
                </c:pt>
                <c:pt idx="8">
                  <c:v>Hungary</c:v>
                </c:pt>
                <c:pt idx="9">
                  <c:v>Poland</c:v>
                </c:pt>
                <c:pt idx="10">
                  <c:v>Romania</c:v>
                </c:pt>
                <c:pt idx="11">
                  <c:v>Latvia</c:v>
                </c:pt>
                <c:pt idx="12">
                  <c:v>Portugal</c:v>
                </c:pt>
              </c:strCache>
            </c:strRef>
          </c:cat>
          <c:val>
            <c:numRef>
              <c:f>Plots!$C$302:$C$314</c:f>
              <c:numCache>
                <c:formatCode>General</c:formatCode>
                <c:ptCount val="13"/>
                <c:pt idx="0">
                  <c:v>250000</c:v>
                </c:pt>
                <c:pt idx="1">
                  <c:v>0</c:v>
                </c:pt>
                <c:pt idx="2">
                  <c:v>0</c:v>
                </c:pt>
                <c:pt idx="3">
                  <c:v>19659</c:v>
                </c:pt>
                <c:pt idx="4">
                  <c:v>8365</c:v>
                </c:pt>
                <c:pt idx="5">
                  <c:v>265</c:v>
                </c:pt>
                <c:pt idx="6">
                  <c:v>0</c:v>
                </c:pt>
                <c:pt idx="7">
                  <c:v>0</c:v>
                </c:pt>
                <c:pt idx="8">
                  <c:v>0</c:v>
                </c:pt>
                <c:pt idx="9">
                  <c:v>793</c:v>
                </c:pt>
                <c:pt idx="10">
                  <c:v>0</c:v>
                </c:pt>
                <c:pt idx="11">
                  <c:v>0</c:v>
                </c:pt>
                <c:pt idx="12">
                  <c:v>0</c:v>
                </c:pt>
              </c:numCache>
            </c:numRef>
          </c:val>
          <c:extLst xmlns:c16r2="http://schemas.microsoft.com/office/drawing/2015/06/chart">
            <c:ext xmlns:c16="http://schemas.microsoft.com/office/drawing/2014/chart" uri="{C3380CC4-5D6E-409C-BE32-E72D297353CC}">
              <c16:uniqueId val="{00000000-AFD9-460E-9177-C4B05254D4DE}"/>
            </c:ext>
          </c:extLst>
        </c:ser>
        <c:ser>
          <c:idx val="1"/>
          <c:order val="1"/>
          <c:tx>
            <c:strRef>
              <c:f>Plots!$D$301</c:f>
              <c:strCache>
                <c:ptCount val="1"/>
                <c:pt idx="0">
                  <c:v>LLW</c:v>
                </c:pt>
              </c:strCache>
            </c:strRef>
          </c:tx>
          <c:invertIfNegative val="0"/>
          <c:cat>
            <c:strRef>
              <c:f>Plots!$B$302:$B$314</c:f>
              <c:strCache>
                <c:ptCount val="13"/>
                <c:pt idx="0">
                  <c:v>France</c:v>
                </c:pt>
                <c:pt idx="1">
                  <c:v>UK</c:v>
                </c:pt>
                <c:pt idx="2">
                  <c:v>Germany</c:v>
                </c:pt>
                <c:pt idx="3">
                  <c:v>Sweden</c:v>
                </c:pt>
                <c:pt idx="4">
                  <c:v>Spain</c:v>
                </c:pt>
                <c:pt idx="5">
                  <c:v>Slovakia</c:v>
                </c:pt>
                <c:pt idx="6">
                  <c:v>Czech Republic</c:v>
                </c:pt>
                <c:pt idx="7">
                  <c:v>Finland</c:v>
                </c:pt>
                <c:pt idx="8">
                  <c:v>Hungary</c:v>
                </c:pt>
                <c:pt idx="9">
                  <c:v>Poland</c:v>
                </c:pt>
                <c:pt idx="10">
                  <c:v>Romania</c:v>
                </c:pt>
                <c:pt idx="11">
                  <c:v>Latvia</c:v>
                </c:pt>
                <c:pt idx="12">
                  <c:v>Portugal</c:v>
                </c:pt>
              </c:strCache>
            </c:strRef>
          </c:cat>
          <c:val>
            <c:numRef>
              <c:f>Plots!$D$302:$D$314</c:f>
              <c:numCache>
                <c:formatCode>General</c:formatCode>
                <c:ptCount val="13"/>
                <c:pt idx="0">
                  <c:v>810000</c:v>
                </c:pt>
                <c:pt idx="1">
                  <c:v>1037600</c:v>
                </c:pt>
                <c:pt idx="2">
                  <c:v>75378</c:v>
                </c:pt>
                <c:pt idx="3">
                  <c:v>34953</c:v>
                </c:pt>
                <c:pt idx="4">
                  <c:v>30260</c:v>
                </c:pt>
                <c:pt idx="5">
                  <c:v>11595</c:v>
                </c:pt>
                <c:pt idx="6">
                  <c:v>10834</c:v>
                </c:pt>
                <c:pt idx="7">
                  <c:v>5999.8</c:v>
                </c:pt>
                <c:pt idx="8">
                  <c:v>3915</c:v>
                </c:pt>
                <c:pt idx="9">
                  <c:v>1208</c:v>
                </c:pt>
                <c:pt idx="10">
                  <c:v>2130</c:v>
                </c:pt>
                <c:pt idx="11">
                  <c:v>803</c:v>
                </c:pt>
                <c:pt idx="12">
                  <c:v>234</c:v>
                </c:pt>
              </c:numCache>
            </c:numRef>
          </c:val>
          <c:extLst xmlns:c16r2="http://schemas.microsoft.com/office/drawing/2015/06/chart">
            <c:ext xmlns:c16="http://schemas.microsoft.com/office/drawing/2014/chart" uri="{C3380CC4-5D6E-409C-BE32-E72D297353CC}">
              <c16:uniqueId val="{00000001-AFD9-460E-9177-C4B05254D4DE}"/>
            </c:ext>
          </c:extLst>
        </c:ser>
        <c:ser>
          <c:idx val="2"/>
          <c:order val="2"/>
          <c:tx>
            <c:strRef>
              <c:f>Plots!$E$301</c:f>
              <c:strCache>
                <c:ptCount val="1"/>
                <c:pt idx="0">
                  <c:v>ILW</c:v>
                </c:pt>
              </c:strCache>
            </c:strRef>
          </c:tx>
          <c:invertIfNegative val="0"/>
          <c:cat>
            <c:strRef>
              <c:f>Plots!$B$302:$B$314</c:f>
              <c:strCache>
                <c:ptCount val="13"/>
                <c:pt idx="0">
                  <c:v>France</c:v>
                </c:pt>
                <c:pt idx="1">
                  <c:v>UK</c:v>
                </c:pt>
                <c:pt idx="2">
                  <c:v>Germany</c:v>
                </c:pt>
                <c:pt idx="3">
                  <c:v>Sweden</c:v>
                </c:pt>
                <c:pt idx="4">
                  <c:v>Spain</c:v>
                </c:pt>
                <c:pt idx="5">
                  <c:v>Slovakia</c:v>
                </c:pt>
                <c:pt idx="6">
                  <c:v>Czech Republic</c:v>
                </c:pt>
                <c:pt idx="7">
                  <c:v>Finland</c:v>
                </c:pt>
                <c:pt idx="8">
                  <c:v>Hungary</c:v>
                </c:pt>
                <c:pt idx="9">
                  <c:v>Poland</c:v>
                </c:pt>
                <c:pt idx="10">
                  <c:v>Romania</c:v>
                </c:pt>
                <c:pt idx="11">
                  <c:v>Latvia</c:v>
                </c:pt>
                <c:pt idx="12">
                  <c:v>Portugal</c:v>
                </c:pt>
              </c:strCache>
            </c:strRef>
          </c:cat>
          <c:val>
            <c:numRef>
              <c:f>Plots!$E$302:$E$314</c:f>
              <c:numCache>
                <c:formatCode>General</c:formatCode>
                <c:ptCount val="13"/>
                <c:pt idx="0">
                  <c:v>0</c:v>
                </c:pt>
                <c:pt idx="1">
                  <c:v>0</c:v>
                </c:pt>
                <c:pt idx="2">
                  <c:v>8375</c:v>
                </c:pt>
                <c:pt idx="3">
                  <c:v>0</c:v>
                </c:pt>
                <c:pt idx="4">
                  <c:v>0</c:v>
                </c:pt>
                <c:pt idx="5">
                  <c:v>0</c:v>
                </c:pt>
                <c:pt idx="6">
                  <c:v>0</c:v>
                </c:pt>
                <c:pt idx="7">
                  <c:v>1948</c:v>
                </c:pt>
                <c:pt idx="8">
                  <c:v>1678</c:v>
                </c:pt>
                <c:pt idx="9">
                  <c:v>401</c:v>
                </c:pt>
                <c:pt idx="10">
                  <c:v>0</c:v>
                </c:pt>
                <c:pt idx="11">
                  <c:v>15</c:v>
                </c:pt>
                <c:pt idx="12">
                  <c:v>31</c:v>
                </c:pt>
              </c:numCache>
            </c:numRef>
          </c:val>
          <c:extLst xmlns:c16r2="http://schemas.microsoft.com/office/drawing/2015/06/chart">
            <c:ext xmlns:c16="http://schemas.microsoft.com/office/drawing/2014/chart" uri="{C3380CC4-5D6E-409C-BE32-E72D297353CC}">
              <c16:uniqueId val="{00000002-AFD9-460E-9177-C4B05254D4DE}"/>
            </c:ext>
          </c:extLst>
        </c:ser>
        <c:dLbls>
          <c:showLegendKey val="0"/>
          <c:showVal val="0"/>
          <c:showCatName val="0"/>
          <c:showSerName val="0"/>
          <c:showPercent val="0"/>
          <c:showBubbleSize val="0"/>
        </c:dLbls>
        <c:gapWidth val="150"/>
        <c:overlap val="100"/>
        <c:axId val="209505280"/>
        <c:axId val="209507072"/>
      </c:barChart>
      <c:catAx>
        <c:axId val="209505280"/>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507072"/>
        <c:crosses val="autoZero"/>
        <c:auto val="1"/>
        <c:lblAlgn val="ctr"/>
        <c:lblOffset val="100"/>
        <c:noMultiLvlLbl val="0"/>
      </c:catAx>
      <c:valAx>
        <c:axId val="209507072"/>
        <c:scaling>
          <c:orientation val="minMax"/>
          <c:max val="1100000"/>
          <c:min val="0"/>
        </c:scaling>
        <c:delete val="0"/>
        <c:axPos val="b"/>
        <c:majorGridlines/>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m</a:t>
                </a:r>
                <a:r>
                  <a:rPr lang="en-GB" baseline="30000">
                    <a:latin typeface="Times New Roman" panose="02020603050405020304" pitchFamily="18" charset="0"/>
                    <a:cs typeface="Times New Roman" panose="02020603050405020304" pitchFamily="18" charset="0"/>
                  </a:rPr>
                  <a:t>3</a:t>
                </a:r>
              </a:p>
            </c:rich>
          </c:tx>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505280"/>
        <c:crosses val="autoZero"/>
        <c:crossBetween val="between"/>
        <c:majorUnit val="200000"/>
      </c:valAx>
    </c:plotArea>
    <c:legend>
      <c:legendPos val="r"/>
      <c:layout>
        <c:manualLayout>
          <c:xMode val="edge"/>
          <c:yMode val="edge"/>
          <c:x val="0.87938580967572588"/>
          <c:y val="0.27299737436602445"/>
          <c:w val="9.0046249848533461E-2"/>
          <c:h val="0.15436079513311107"/>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3273626828041"/>
          <c:y val="3.5706173256556867E-2"/>
          <c:w val="0.84504486999701955"/>
          <c:h val="0.81283364297228633"/>
        </c:manualLayout>
      </c:layout>
      <c:barChart>
        <c:barDir val="col"/>
        <c:grouping val="stacked"/>
        <c:varyColors val="0"/>
        <c:ser>
          <c:idx val="0"/>
          <c:order val="0"/>
          <c:tx>
            <c:strRef>
              <c:f>Plots!$C$329</c:f>
              <c:strCache>
                <c:ptCount val="1"/>
                <c:pt idx="0">
                  <c:v>Stored</c:v>
                </c:pt>
              </c:strCache>
            </c:strRef>
          </c:tx>
          <c:invertIfNegative val="0"/>
          <c:cat>
            <c:multiLvlStrRef>
              <c:f>Plots!$A$330:$B$345</c:f>
              <c:multiLvlStrCache>
                <c:ptCount val="16"/>
                <c:lvl>
                  <c:pt idx="0">
                    <c:v>VLLW</c:v>
                  </c:pt>
                  <c:pt idx="1">
                    <c:v>LLW</c:v>
                  </c:pt>
                  <c:pt idx="2">
                    <c:v>ILW</c:v>
                  </c:pt>
                  <c:pt idx="3">
                    <c:v>HLW</c:v>
                  </c:pt>
                  <c:pt idx="4">
                    <c:v>VLLW</c:v>
                  </c:pt>
                  <c:pt idx="5">
                    <c:v>LLW</c:v>
                  </c:pt>
                  <c:pt idx="6">
                    <c:v>ILW</c:v>
                  </c:pt>
                  <c:pt idx="7">
                    <c:v>HLW</c:v>
                  </c:pt>
                  <c:pt idx="8">
                    <c:v>VLLW</c:v>
                  </c:pt>
                  <c:pt idx="9">
                    <c:v>LLW</c:v>
                  </c:pt>
                  <c:pt idx="10">
                    <c:v>ILW</c:v>
                  </c:pt>
                  <c:pt idx="11">
                    <c:v>HLW</c:v>
                  </c:pt>
                  <c:pt idx="12">
                    <c:v>VLLW</c:v>
                  </c:pt>
                  <c:pt idx="13">
                    <c:v>LLW</c:v>
                  </c:pt>
                  <c:pt idx="14">
                    <c:v>ILW</c:v>
                  </c:pt>
                  <c:pt idx="15">
                    <c:v>HLW</c:v>
                  </c:pt>
                </c:lvl>
                <c:lvl>
                  <c:pt idx="0">
                    <c:v>2004</c:v>
                  </c:pt>
                  <c:pt idx="4">
                    <c:v>2007</c:v>
                  </c:pt>
                  <c:pt idx="8">
                    <c:v>2010</c:v>
                  </c:pt>
                  <c:pt idx="12">
                    <c:v>2013</c:v>
                  </c:pt>
                </c:lvl>
              </c:multiLvlStrCache>
            </c:multiLvlStrRef>
          </c:cat>
          <c:val>
            <c:numRef>
              <c:f>Plots!$C$330:$C$345</c:f>
              <c:numCache>
                <c:formatCode>General</c:formatCode>
                <c:ptCount val="16"/>
                <c:pt idx="0">
                  <c:v>175770</c:v>
                </c:pt>
                <c:pt idx="1">
                  <c:v>410610</c:v>
                </c:pt>
                <c:pt idx="2">
                  <c:v>206317</c:v>
                </c:pt>
                <c:pt idx="3">
                  <c:v>5248</c:v>
                </c:pt>
                <c:pt idx="4">
                  <c:v>174946.2</c:v>
                </c:pt>
                <c:pt idx="5">
                  <c:v>495218.2</c:v>
                </c:pt>
                <c:pt idx="6">
                  <c:v>287803</c:v>
                </c:pt>
                <c:pt idx="7">
                  <c:v>4148.3</c:v>
                </c:pt>
                <c:pt idx="8">
                  <c:v>217416.53</c:v>
                </c:pt>
                <c:pt idx="9">
                  <c:v>365403.9</c:v>
                </c:pt>
                <c:pt idx="10">
                  <c:v>321392.40000000002</c:v>
                </c:pt>
                <c:pt idx="11">
                  <c:v>4852</c:v>
                </c:pt>
                <c:pt idx="12">
                  <c:v>237307.34400000001</c:v>
                </c:pt>
                <c:pt idx="13">
                  <c:v>427781.902</c:v>
                </c:pt>
                <c:pt idx="14">
                  <c:v>325608.11300000001</c:v>
                </c:pt>
                <c:pt idx="15">
                  <c:v>5857.7</c:v>
                </c:pt>
              </c:numCache>
            </c:numRef>
          </c:val>
          <c:extLst xmlns:c16r2="http://schemas.microsoft.com/office/drawing/2015/06/chart">
            <c:ext xmlns:c16="http://schemas.microsoft.com/office/drawing/2014/chart" uri="{C3380CC4-5D6E-409C-BE32-E72D297353CC}">
              <c16:uniqueId val="{00000000-723A-4D99-825D-CD0FF7730C5D}"/>
            </c:ext>
          </c:extLst>
        </c:ser>
        <c:ser>
          <c:idx val="1"/>
          <c:order val="1"/>
          <c:tx>
            <c:strRef>
              <c:f>Plots!$D$329</c:f>
              <c:strCache>
                <c:ptCount val="1"/>
                <c:pt idx="0">
                  <c:v>Disposed</c:v>
                </c:pt>
              </c:strCache>
            </c:strRef>
          </c:tx>
          <c:invertIfNegative val="0"/>
          <c:dLbls>
            <c:dLbl>
              <c:idx val="0"/>
              <c:layout>
                <c:manualLayout>
                  <c:x val="1.8609743710126425E-3"/>
                  <c:y val="-5.2407240216455458E-2"/>
                </c:manualLayout>
              </c:layout>
              <c:tx>
                <c:rich>
                  <a:bodyPr/>
                  <a:lstStyle/>
                  <a:p>
                    <a:r>
                      <a:rPr lang="en-US">
                        <a:latin typeface="Times New Roman" panose="02020603050405020304" pitchFamily="18" charset="0"/>
                        <a:cs typeface="Times New Roman" panose="02020603050405020304" pitchFamily="18" charset="0"/>
                      </a:rPr>
                      <a:t>16 %</a:t>
                    </a:r>
                    <a:endParaRPr lang="en-US"/>
                  </a:p>
                </c:rich>
              </c:tx>
              <c:showLegendKey val="0"/>
              <c:showVal val="1"/>
              <c:showCatName val="0"/>
              <c:showSerName val="0"/>
              <c:showPercent val="0"/>
              <c:showBubbleSize val="0"/>
            </c:dLbl>
            <c:dLbl>
              <c:idx val="1"/>
              <c:layout>
                <c:manualLayout>
                  <c:x val="0"/>
                  <c:y val="-0.28449644688932962"/>
                </c:manualLayout>
              </c:layout>
              <c:tx>
                <c:rich>
                  <a:bodyPr/>
                  <a:lstStyle/>
                  <a:p>
                    <a:r>
                      <a:rPr lang="en-US">
                        <a:latin typeface="Times New Roman" panose="02020603050405020304" pitchFamily="18" charset="0"/>
                        <a:cs typeface="Times New Roman" panose="02020603050405020304" pitchFamily="18" charset="0"/>
                      </a:rPr>
                      <a:t>82 %</a:t>
                    </a:r>
                    <a:endParaRPr lang="en-US"/>
                  </a:p>
                </c:rich>
              </c:tx>
              <c:showLegendKey val="0"/>
              <c:showVal val="1"/>
              <c:showCatName val="0"/>
              <c:showSerName val="0"/>
              <c:showPercent val="0"/>
              <c:showBubbleSize val="0"/>
            </c:dLbl>
            <c:dLbl>
              <c:idx val="2"/>
              <c:layout>
                <c:manualLayout>
                  <c:x val="1.8606813041825618E-3"/>
                  <c:y val="-4.4920491614104684E-2"/>
                </c:manualLayout>
              </c:layout>
              <c:tx>
                <c:rich>
                  <a:bodyPr/>
                  <a:lstStyle/>
                  <a:p>
                    <a:r>
                      <a:rPr lang="en-US">
                        <a:latin typeface="Times New Roman" panose="02020603050405020304" pitchFamily="18" charset="0"/>
                        <a:cs typeface="Times New Roman" panose="02020603050405020304" pitchFamily="18" charset="0"/>
                      </a:rPr>
                      <a:t>0 %</a:t>
                    </a:r>
                    <a:endParaRPr lang="en-US"/>
                  </a:p>
                </c:rich>
              </c:tx>
              <c:showLegendKey val="0"/>
              <c:showVal val="1"/>
              <c:showCatName val="0"/>
              <c:showSerName val="0"/>
              <c:showPercent val="0"/>
              <c:showBubbleSize val="0"/>
            </c:dLbl>
            <c:dLbl>
              <c:idx val="3"/>
              <c:delete val="1"/>
            </c:dLbl>
            <c:dLbl>
              <c:idx val="4"/>
              <c:layout>
                <c:manualLayout>
                  <c:x val="0"/>
                  <c:y val="-4.1177117312929293E-2"/>
                </c:manualLayout>
              </c:layout>
              <c:tx>
                <c:rich>
                  <a:bodyPr/>
                  <a:lstStyle/>
                  <a:p>
                    <a:r>
                      <a:rPr lang="en-US">
                        <a:latin typeface="Times New Roman" panose="02020603050405020304" pitchFamily="18" charset="0"/>
                        <a:cs typeface="Times New Roman" panose="02020603050405020304" pitchFamily="18" charset="0"/>
                      </a:rPr>
                      <a:t>38 %</a:t>
                    </a:r>
                    <a:endParaRPr lang="en-US"/>
                  </a:p>
                </c:rich>
              </c:tx>
              <c:showLegendKey val="0"/>
              <c:showVal val="1"/>
              <c:showCatName val="0"/>
              <c:showSerName val="0"/>
              <c:showPercent val="0"/>
              <c:showBubbleSize val="0"/>
            </c:dLbl>
            <c:dLbl>
              <c:idx val="5"/>
              <c:layout>
                <c:manualLayout>
                  <c:x val="3.7219487420252851E-3"/>
                  <c:y val="-0.31444344129873275"/>
                </c:manualLayout>
              </c:layout>
              <c:tx>
                <c:rich>
                  <a:bodyPr/>
                  <a:lstStyle/>
                  <a:p>
                    <a:r>
                      <a:rPr lang="en-US">
                        <a:latin typeface="Times New Roman" panose="02020603050405020304" pitchFamily="18" charset="0"/>
                        <a:cs typeface="Times New Roman" panose="02020603050405020304" pitchFamily="18" charset="0"/>
                      </a:rPr>
                      <a:t>80 %</a:t>
                    </a:r>
                    <a:endParaRPr lang="en-US"/>
                  </a:p>
                </c:rich>
              </c:tx>
              <c:showLegendKey val="0"/>
              <c:showVal val="1"/>
              <c:showCatName val="0"/>
              <c:showSerName val="0"/>
              <c:showPercent val="0"/>
              <c:showBubbleSize val="0"/>
            </c:dLbl>
            <c:dLbl>
              <c:idx val="6"/>
              <c:layout>
                <c:manualLayout>
                  <c:x val="1.8609743710126425E-3"/>
                  <c:y val="-2.994699440940312E-2"/>
                </c:manualLayout>
              </c:layout>
              <c:tx>
                <c:rich>
                  <a:bodyPr/>
                  <a:lstStyle/>
                  <a:p>
                    <a:r>
                      <a:rPr lang="en-US">
                        <a:latin typeface="Times New Roman" panose="02020603050405020304" pitchFamily="18" charset="0"/>
                        <a:cs typeface="Times New Roman" panose="02020603050405020304" pitchFamily="18" charset="0"/>
                      </a:rPr>
                      <a:t>0 %</a:t>
                    </a:r>
                    <a:endParaRPr lang="en-US"/>
                  </a:p>
                </c:rich>
              </c:tx>
              <c:showLegendKey val="0"/>
              <c:showVal val="1"/>
              <c:showCatName val="0"/>
              <c:showSerName val="0"/>
              <c:showPercent val="0"/>
              <c:showBubbleSize val="0"/>
            </c:dLbl>
            <c:dLbl>
              <c:idx val="7"/>
              <c:delete val="1"/>
            </c:dLbl>
            <c:dLbl>
              <c:idx val="8"/>
              <c:layout>
                <c:manualLayout>
                  <c:x val="0"/>
                  <c:y val="-7.4867486023507804E-2"/>
                </c:manualLayout>
              </c:layout>
              <c:tx>
                <c:rich>
                  <a:bodyPr/>
                  <a:lstStyle/>
                  <a:p>
                    <a:r>
                      <a:rPr lang="en-US">
                        <a:latin typeface="Times New Roman" panose="02020603050405020304" pitchFamily="18" charset="0"/>
                        <a:cs typeface="Times New Roman" panose="02020603050405020304" pitchFamily="18" charset="0"/>
                      </a:rPr>
                      <a:t>48 %</a:t>
                    </a:r>
                    <a:endParaRPr lang="en-US"/>
                  </a:p>
                </c:rich>
              </c:tx>
              <c:showLegendKey val="0"/>
              <c:showVal val="1"/>
              <c:showCatName val="0"/>
              <c:showSerName val="0"/>
              <c:showPercent val="0"/>
              <c:showBubbleSize val="0"/>
            </c:dLbl>
            <c:dLbl>
              <c:idx val="9"/>
              <c:layout>
                <c:manualLayout>
                  <c:x val="3.7219487420252851E-3"/>
                  <c:y val="-0.33316031280460973"/>
                </c:manualLayout>
              </c:layout>
              <c:tx>
                <c:rich>
                  <a:bodyPr/>
                  <a:lstStyle/>
                  <a:p>
                    <a:r>
                      <a:rPr lang="en-US">
                        <a:latin typeface="Times New Roman" panose="02020603050405020304" pitchFamily="18" charset="0"/>
                        <a:cs typeface="Times New Roman" panose="02020603050405020304" pitchFamily="18" charset="0"/>
                      </a:rPr>
                      <a:t>85 %</a:t>
                    </a:r>
                    <a:endParaRPr lang="en-US"/>
                  </a:p>
                </c:rich>
              </c:tx>
              <c:showLegendKey val="0"/>
              <c:showVal val="1"/>
              <c:showCatName val="0"/>
              <c:showSerName val="0"/>
              <c:showPercent val="0"/>
              <c:showBubbleSize val="0"/>
            </c:dLbl>
            <c:dLbl>
              <c:idx val="10"/>
              <c:layout>
                <c:manualLayout>
                  <c:x val="0"/>
                  <c:y val="-3.3690368710578511E-2"/>
                </c:manualLayout>
              </c:layout>
              <c:tx>
                <c:rich>
                  <a:bodyPr/>
                  <a:lstStyle/>
                  <a:p>
                    <a:r>
                      <a:rPr lang="en-US">
                        <a:latin typeface="Times New Roman" panose="02020603050405020304" pitchFamily="18" charset="0"/>
                        <a:cs typeface="Times New Roman" panose="02020603050405020304" pitchFamily="18" charset="0"/>
                      </a:rPr>
                      <a:t>0 %</a:t>
                    </a:r>
                    <a:endParaRPr lang="en-US"/>
                  </a:p>
                </c:rich>
              </c:tx>
              <c:showLegendKey val="0"/>
              <c:showVal val="1"/>
              <c:showCatName val="0"/>
              <c:showSerName val="0"/>
              <c:showPercent val="0"/>
              <c:showBubbleSize val="0"/>
            </c:dLbl>
            <c:dLbl>
              <c:idx val="11"/>
              <c:delete val="1"/>
            </c:dLbl>
            <c:dLbl>
              <c:idx val="12"/>
              <c:layout>
                <c:manualLayout>
                  <c:x val="0"/>
                  <c:y val="-7.4867486023507804E-2"/>
                </c:manualLayout>
              </c:layout>
              <c:tx>
                <c:rich>
                  <a:bodyPr/>
                  <a:lstStyle/>
                  <a:p>
                    <a:r>
                      <a:rPr lang="en-US">
                        <a:latin typeface="Times New Roman" panose="02020603050405020304" pitchFamily="18" charset="0"/>
                        <a:cs typeface="Times New Roman" panose="02020603050405020304" pitchFamily="18" charset="0"/>
                      </a:rPr>
                      <a:t>54 %</a:t>
                    </a:r>
                    <a:endParaRPr lang="en-US"/>
                  </a:p>
                </c:rich>
              </c:tx>
              <c:showLegendKey val="0"/>
              <c:showVal val="1"/>
              <c:showCatName val="0"/>
              <c:showSerName val="0"/>
              <c:showPercent val="0"/>
              <c:showBubbleSize val="0"/>
            </c:dLbl>
            <c:dLbl>
              <c:idx val="13"/>
              <c:layout>
                <c:manualLayout>
                  <c:x val="3.7219487420252851E-3"/>
                  <c:y val="-0.32193018990108352"/>
                </c:manualLayout>
              </c:layout>
              <c:tx>
                <c:rich>
                  <a:bodyPr/>
                  <a:lstStyle/>
                  <a:p>
                    <a:r>
                      <a:rPr lang="en-US">
                        <a:latin typeface="Times New Roman" panose="02020603050405020304" pitchFamily="18" charset="0"/>
                        <a:cs typeface="Times New Roman" panose="02020603050405020304" pitchFamily="18" charset="0"/>
                      </a:rPr>
                      <a:t>83 %</a:t>
                    </a:r>
                    <a:endParaRPr lang="en-US"/>
                  </a:p>
                </c:rich>
              </c:tx>
              <c:showLegendKey val="0"/>
              <c:showVal val="1"/>
              <c:showCatName val="0"/>
              <c:showSerName val="0"/>
              <c:showPercent val="0"/>
              <c:showBubbleSize val="0"/>
            </c:dLbl>
            <c:dLbl>
              <c:idx val="14"/>
              <c:layout>
                <c:manualLayout>
                  <c:x val="1.8609743710126425E-3"/>
                  <c:y val="-7.1124111722332406E-2"/>
                </c:manualLayout>
              </c:layout>
              <c:tx>
                <c:rich>
                  <a:bodyPr/>
                  <a:lstStyle/>
                  <a:p>
                    <a:r>
                      <a:rPr lang="en-US">
                        <a:latin typeface="Times New Roman" panose="02020603050405020304" pitchFamily="18" charset="0"/>
                        <a:cs typeface="Times New Roman" panose="02020603050405020304" pitchFamily="18" charset="0"/>
                      </a:rPr>
                      <a:t>4 %</a:t>
                    </a:r>
                    <a:endParaRPr lang="en-US"/>
                  </a:p>
                </c:rich>
              </c:tx>
              <c:showLegendKey val="0"/>
              <c:showVal val="1"/>
              <c:showCatName val="0"/>
              <c:showSerName val="0"/>
              <c:showPercent val="0"/>
              <c:showBubbleSize val="0"/>
            </c:dLbl>
            <c:dLbl>
              <c:idx val="15"/>
              <c:delete val="1"/>
            </c:dLbl>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multiLvlStrRef>
              <c:f>Plots!$A$330:$B$345</c:f>
              <c:multiLvlStrCache>
                <c:ptCount val="16"/>
                <c:lvl>
                  <c:pt idx="0">
                    <c:v>VLLW</c:v>
                  </c:pt>
                  <c:pt idx="1">
                    <c:v>LLW</c:v>
                  </c:pt>
                  <c:pt idx="2">
                    <c:v>ILW</c:v>
                  </c:pt>
                  <c:pt idx="3">
                    <c:v>HLW</c:v>
                  </c:pt>
                  <c:pt idx="4">
                    <c:v>VLLW</c:v>
                  </c:pt>
                  <c:pt idx="5">
                    <c:v>LLW</c:v>
                  </c:pt>
                  <c:pt idx="6">
                    <c:v>ILW</c:v>
                  </c:pt>
                  <c:pt idx="7">
                    <c:v>HLW</c:v>
                  </c:pt>
                  <c:pt idx="8">
                    <c:v>VLLW</c:v>
                  </c:pt>
                  <c:pt idx="9">
                    <c:v>LLW</c:v>
                  </c:pt>
                  <c:pt idx="10">
                    <c:v>ILW</c:v>
                  </c:pt>
                  <c:pt idx="11">
                    <c:v>HLW</c:v>
                  </c:pt>
                  <c:pt idx="12">
                    <c:v>VLLW</c:v>
                  </c:pt>
                  <c:pt idx="13">
                    <c:v>LLW</c:v>
                  </c:pt>
                  <c:pt idx="14">
                    <c:v>ILW</c:v>
                  </c:pt>
                  <c:pt idx="15">
                    <c:v>HLW</c:v>
                  </c:pt>
                </c:lvl>
                <c:lvl>
                  <c:pt idx="0">
                    <c:v>2004</c:v>
                  </c:pt>
                  <c:pt idx="4">
                    <c:v>2007</c:v>
                  </c:pt>
                  <c:pt idx="8">
                    <c:v>2010</c:v>
                  </c:pt>
                  <c:pt idx="12">
                    <c:v>2013</c:v>
                  </c:pt>
                </c:lvl>
              </c:multiLvlStrCache>
            </c:multiLvlStrRef>
          </c:cat>
          <c:val>
            <c:numRef>
              <c:f>Plots!$D$330:$D$345</c:f>
              <c:numCache>
                <c:formatCode>General</c:formatCode>
                <c:ptCount val="16"/>
                <c:pt idx="0">
                  <c:v>33945</c:v>
                </c:pt>
                <c:pt idx="1">
                  <c:v>1817034.5</c:v>
                </c:pt>
                <c:pt idx="2">
                  <c:v>0</c:v>
                </c:pt>
                <c:pt idx="3">
                  <c:v>0</c:v>
                </c:pt>
                <c:pt idx="4">
                  <c:v>105446</c:v>
                </c:pt>
                <c:pt idx="5">
                  <c:v>1939535.15</c:v>
                </c:pt>
                <c:pt idx="6">
                  <c:v>0</c:v>
                </c:pt>
                <c:pt idx="7">
                  <c:v>0</c:v>
                </c:pt>
                <c:pt idx="8">
                  <c:v>196746</c:v>
                </c:pt>
                <c:pt idx="9">
                  <c:v>1990973.5</c:v>
                </c:pt>
                <c:pt idx="10">
                  <c:v>0</c:v>
                </c:pt>
                <c:pt idx="11">
                  <c:v>0</c:v>
                </c:pt>
                <c:pt idx="12">
                  <c:v>279082</c:v>
                </c:pt>
                <c:pt idx="13">
                  <c:v>2024909.8</c:v>
                </c:pt>
                <c:pt idx="14">
                  <c:v>12448</c:v>
                </c:pt>
                <c:pt idx="15">
                  <c:v>0</c:v>
                </c:pt>
              </c:numCache>
            </c:numRef>
          </c:val>
          <c:extLst xmlns:c16r2="http://schemas.microsoft.com/office/drawing/2015/06/chart">
            <c:ext xmlns:c16="http://schemas.microsoft.com/office/drawing/2014/chart" uri="{C3380CC4-5D6E-409C-BE32-E72D297353CC}">
              <c16:uniqueId val="{00000001-723A-4D99-825D-CD0FF7730C5D}"/>
            </c:ext>
          </c:extLst>
        </c:ser>
        <c:dLbls>
          <c:showLegendKey val="0"/>
          <c:showVal val="0"/>
          <c:showCatName val="0"/>
          <c:showSerName val="0"/>
          <c:showPercent val="0"/>
          <c:showBubbleSize val="0"/>
        </c:dLbls>
        <c:gapWidth val="150"/>
        <c:overlap val="100"/>
        <c:axId val="209595776"/>
        <c:axId val="210158720"/>
      </c:barChart>
      <c:catAx>
        <c:axId val="209595776"/>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10158720"/>
        <c:crosses val="autoZero"/>
        <c:auto val="1"/>
        <c:lblAlgn val="ctr"/>
        <c:lblOffset val="100"/>
        <c:noMultiLvlLbl val="0"/>
      </c:catAx>
      <c:valAx>
        <c:axId val="210158720"/>
        <c:scaling>
          <c:orientation val="minMax"/>
        </c:scaling>
        <c:delete val="0"/>
        <c:axPos val="l"/>
        <c:majorGridlines/>
        <c:title>
          <c:tx>
            <c:rich>
              <a:bodyPr rot="-5400000" vert="horz"/>
              <a:lstStyle/>
              <a:p>
                <a:pPr>
                  <a:defRPr b="1">
                    <a:latin typeface="Times New Roman" panose="02020603050405020304" pitchFamily="18" charset="0"/>
                    <a:cs typeface="Times New Roman" panose="02020603050405020304" pitchFamily="18" charset="0"/>
                  </a:defRPr>
                </a:pPr>
                <a:r>
                  <a:rPr lang="en-GB" b="1">
                    <a:latin typeface="Times New Roman" panose="02020603050405020304" pitchFamily="18" charset="0"/>
                    <a:cs typeface="Times New Roman" panose="02020603050405020304" pitchFamily="18" charset="0"/>
                  </a:rPr>
                  <a:t>Volume, m</a:t>
                </a:r>
                <a:r>
                  <a:rPr lang="en-GB" b="1" baseline="30000">
                    <a:latin typeface="Times New Roman" panose="02020603050405020304" pitchFamily="18" charset="0"/>
                    <a:cs typeface="Times New Roman" panose="02020603050405020304" pitchFamily="18" charset="0"/>
                  </a:rPr>
                  <a:t>3</a:t>
                </a:r>
              </a:p>
            </c:rich>
          </c:tx>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5957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75420396045"/>
          <c:y val="4.5062073975605403E-2"/>
          <c:w val="0.84718977896358005"/>
          <c:h val="0.84006671656933896"/>
        </c:manualLayout>
      </c:layout>
      <c:scatterChart>
        <c:scatterStyle val="lineMarker"/>
        <c:varyColors val="0"/>
        <c:ser>
          <c:idx val="0"/>
          <c:order val="0"/>
          <c:tx>
            <c:strRef>
              <c:f>Plots!$B$115</c:f>
              <c:strCache>
                <c:ptCount val="1"/>
                <c:pt idx="0">
                  <c:v>VLLW</c:v>
                </c:pt>
              </c:strCache>
            </c:strRef>
          </c:tx>
          <c:xVal>
            <c:numRef>
              <c:f>Plots!$C$114:$F$114</c:f>
              <c:numCache>
                <c:formatCode>General</c:formatCode>
                <c:ptCount val="4"/>
                <c:pt idx="0">
                  <c:v>2004</c:v>
                </c:pt>
                <c:pt idx="1">
                  <c:v>2007</c:v>
                </c:pt>
                <c:pt idx="2">
                  <c:v>2010</c:v>
                </c:pt>
                <c:pt idx="3">
                  <c:v>2013</c:v>
                </c:pt>
              </c:numCache>
            </c:numRef>
          </c:xVal>
          <c:yVal>
            <c:numRef>
              <c:f>Plots!$C$115:$F$115</c:f>
              <c:numCache>
                <c:formatCode>0.000</c:formatCode>
                <c:ptCount val="4"/>
                <c:pt idx="0">
                  <c:v>1</c:v>
                </c:pt>
                <c:pt idx="1">
                  <c:v>0.99531319337770896</c:v>
                </c:pt>
                <c:pt idx="2">
                  <c:v>1.236937645787108</c:v>
                </c:pt>
                <c:pt idx="3">
                  <c:v>1.256240223018718</c:v>
                </c:pt>
              </c:numCache>
            </c:numRef>
          </c:yVal>
          <c:smooth val="0"/>
          <c:extLst xmlns:c16r2="http://schemas.microsoft.com/office/drawing/2015/06/chart">
            <c:ext xmlns:c16="http://schemas.microsoft.com/office/drawing/2014/chart" uri="{C3380CC4-5D6E-409C-BE32-E72D297353CC}">
              <c16:uniqueId val="{00000000-28C1-4417-B849-264E36BA5059}"/>
            </c:ext>
          </c:extLst>
        </c:ser>
        <c:ser>
          <c:idx val="1"/>
          <c:order val="1"/>
          <c:tx>
            <c:strRef>
              <c:f>Plots!$B$116</c:f>
              <c:strCache>
                <c:ptCount val="1"/>
                <c:pt idx="0">
                  <c:v>LLW</c:v>
                </c:pt>
              </c:strCache>
            </c:strRef>
          </c:tx>
          <c:xVal>
            <c:numRef>
              <c:f>Plots!$C$114:$F$114</c:f>
              <c:numCache>
                <c:formatCode>General</c:formatCode>
                <c:ptCount val="4"/>
                <c:pt idx="0">
                  <c:v>2004</c:v>
                </c:pt>
                <c:pt idx="1">
                  <c:v>2007</c:v>
                </c:pt>
                <c:pt idx="2">
                  <c:v>2010</c:v>
                </c:pt>
                <c:pt idx="3">
                  <c:v>2013</c:v>
                </c:pt>
              </c:numCache>
            </c:numRef>
          </c:xVal>
          <c:yVal>
            <c:numRef>
              <c:f>Plots!$C$116:$F$116</c:f>
              <c:numCache>
                <c:formatCode>0.000</c:formatCode>
                <c:ptCount val="4"/>
                <c:pt idx="0">
                  <c:v>1</c:v>
                </c:pt>
                <c:pt idx="1">
                  <c:v>1.2060548939382869</c:v>
                </c:pt>
                <c:pt idx="2">
                  <c:v>0.88990501936143795</c:v>
                </c:pt>
                <c:pt idx="3">
                  <c:v>1.0198185674971381</c:v>
                </c:pt>
              </c:numCache>
            </c:numRef>
          </c:yVal>
          <c:smooth val="0"/>
          <c:extLst xmlns:c16r2="http://schemas.microsoft.com/office/drawing/2015/06/chart">
            <c:ext xmlns:c16="http://schemas.microsoft.com/office/drawing/2014/chart" uri="{C3380CC4-5D6E-409C-BE32-E72D297353CC}">
              <c16:uniqueId val="{00000001-28C1-4417-B849-264E36BA5059}"/>
            </c:ext>
          </c:extLst>
        </c:ser>
        <c:ser>
          <c:idx val="2"/>
          <c:order val="2"/>
          <c:tx>
            <c:strRef>
              <c:f>Plots!$B$117</c:f>
              <c:strCache>
                <c:ptCount val="1"/>
                <c:pt idx="0">
                  <c:v>ILW</c:v>
                </c:pt>
              </c:strCache>
            </c:strRef>
          </c:tx>
          <c:xVal>
            <c:numRef>
              <c:f>Plots!$C$114:$F$114</c:f>
              <c:numCache>
                <c:formatCode>General</c:formatCode>
                <c:ptCount val="4"/>
                <c:pt idx="0">
                  <c:v>2004</c:v>
                </c:pt>
                <c:pt idx="1">
                  <c:v>2007</c:v>
                </c:pt>
                <c:pt idx="2">
                  <c:v>2010</c:v>
                </c:pt>
                <c:pt idx="3">
                  <c:v>2013</c:v>
                </c:pt>
              </c:numCache>
            </c:numRef>
          </c:xVal>
          <c:yVal>
            <c:numRef>
              <c:f>Plots!$C$117:$F$117</c:f>
              <c:numCache>
                <c:formatCode>0.000</c:formatCode>
                <c:ptCount val="4"/>
                <c:pt idx="0">
                  <c:v>1</c:v>
                </c:pt>
                <c:pt idx="1">
                  <c:v>1.394955335721245</c:v>
                </c:pt>
                <c:pt idx="2">
                  <c:v>1.5577601457950629</c:v>
                </c:pt>
                <c:pt idx="3">
                  <c:v>1.575847424109502</c:v>
                </c:pt>
              </c:numCache>
            </c:numRef>
          </c:yVal>
          <c:smooth val="0"/>
          <c:extLst xmlns:c16r2="http://schemas.microsoft.com/office/drawing/2015/06/chart">
            <c:ext xmlns:c16="http://schemas.microsoft.com/office/drawing/2014/chart" uri="{C3380CC4-5D6E-409C-BE32-E72D297353CC}">
              <c16:uniqueId val="{00000002-28C1-4417-B849-264E36BA5059}"/>
            </c:ext>
          </c:extLst>
        </c:ser>
        <c:ser>
          <c:idx val="3"/>
          <c:order val="3"/>
          <c:tx>
            <c:strRef>
              <c:f>Plots!$B$118</c:f>
              <c:strCache>
                <c:ptCount val="1"/>
                <c:pt idx="0">
                  <c:v>HLW</c:v>
                </c:pt>
              </c:strCache>
            </c:strRef>
          </c:tx>
          <c:xVal>
            <c:numRef>
              <c:f>Plots!$C$114:$F$114</c:f>
              <c:numCache>
                <c:formatCode>General</c:formatCode>
                <c:ptCount val="4"/>
                <c:pt idx="0">
                  <c:v>2004</c:v>
                </c:pt>
                <c:pt idx="1">
                  <c:v>2007</c:v>
                </c:pt>
                <c:pt idx="2">
                  <c:v>2010</c:v>
                </c:pt>
                <c:pt idx="3">
                  <c:v>2013</c:v>
                </c:pt>
              </c:numCache>
            </c:numRef>
          </c:xVal>
          <c:yVal>
            <c:numRef>
              <c:f>Plots!$C$118:$F$118</c:f>
              <c:numCache>
                <c:formatCode>0.000</c:formatCode>
                <c:ptCount val="4"/>
                <c:pt idx="0">
                  <c:v>1</c:v>
                </c:pt>
                <c:pt idx="1">
                  <c:v>0.79045350609756104</c:v>
                </c:pt>
                <c:pt idx="2">
                  <c:v>0.92454268292682895</c:v>
                </c:pt>
                <c:pt idx="3">
                  <c:v>1.1252667682926829</c:v>
                </c:pt>
              </c:numCache>
            </c:numRef>
          </c:yVal>
          <c:smooth val="0"/>
          <c:extLst xmlns:c16r2="http://schemas.microsoft.com/office/drawing/2015/06/chart">
            <c:ext xmlns:c16="http://schemas.microsoft.com/office/drawing/2014/chart" uri="{C3380CC4-5D6E-409C-BE32-E72D297353CC}">
              <c16:uniqueId val="{00000003-28C1-4417-B849-264E36BA5059}"/>
            </c:ext>
          </c:extLst>
        </c:ser>
        <c:dLbls>
          <c:showLegendKey val="0"/>
          <c:showVal val="0"/>
          <c:showCatName val="0"/>
          <c:showSerName val="0"/>
          <c:showPercent val="0"/>
          <c:showBubbleSize val="0"/>
        </c:dLbls>
        <c:axId val="206393728"/>
        <c:axId val="206395648"/>
      </c:scatterChart>
      <c:valAx>
        <c:axId val="206393728"/>
        <c:scaling>
          <c:orientation val="minMax"/>
          <c:max val="2013"/>
          <c:min val="2004"/>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Date</a:t>
                </a:r>
              </a:p>
            </c:rich>
          </c:tx>
          <c:overlay val="0"/>
        </c:title>
        <c:numFmt formatCode="@"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206395648"/>
        <c:crosses val="autoZero"/>
        <c:crossBetween val="midCat"/>
        <c:majorUnit val="3"/>
      </c:valAx>
      <c:valAx>
        <c:axId val="206395648"/>
        <c:scaling>
          <c:orientation val="minMax"/>
          <c:max val="1.6"/>
          <c:min val="0.6"/>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Normalized volume</a:t>
                </a:r>
              </a:p>
            </c:rich>
          </c:tx>
          <c:layout>
            <c:manualLayout>
              <c:xMode val="edge"/>
              <c:yMode val="edge"/>
              <c:x val="1.14660114660115E-2"/>
              <c:y val="0.38631331531319801"/>
            </c:manualLayout>
          </c:layout>
          <c:overlay val="0"/>
        </c:title>
        <c:numFmt formatCode="#,##0.00"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206393728"/>
        <c:crossesAt val="2003"/>
        <c:crossBetween val="midCat"/>
      </c:valAx>
    </c:plotArea>
    <c:legend>
      <c:legendPos val="r"/>
      <c:layout>
        <c:manualLayout>
          <c:xMode val="edge"/>
          <c:yMode val="edge"/>
          <c:x val="0.82607735190125997"/>
          <c:y val="0.66480244540482503"/>
          <c:w val="0.13970327027754401"/>
          <c:h val="0.20366831000724317"/>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965296609814"/>
          <c:y val="3.0869822084047611E-2"/>
          <c:w val="0.85070137796979861"/>
          <c:h val="0.8540637863071544"/>
        </c:manualLayout>
      </c:layout>
      <c:scatterChart>
        <c:scatterStyle val="lineMarker"/>
        <c:varyColors val="0"/>
        <c:ser>
          <c:idx val="0"/>
          <c:order val="0"/>
          <c:tx>
            <c:strRef>
              <c:f>Plots!$B$362</c:f>
              <c:strCache>
                <c:ptCount val="1"/>
                <c:pt idx="0">
                  <c:v>VLLW</c:v>
                </c:pt>
              </c:strCache>
            </c:strRef>
          </c:tx>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29-42D4-A4BD-7103D1CCFB0A}"/>
                </c:ext>
              </c:extLst>
            </c:dLbl>
            <c:dLbl>
              <c:idx val="1"/>
              <c:layout>
                <c:manualLayout>
                  <c:x val="-4.2118984647953016E-2"/>
                  <c:y val="-4.2023202101821887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29-42D4-A4BD-7103D1CCFB0A}"/>
                </c:ext>
              </c:extLst>
            </c:dLbl>
            <c:dLbl>
              <c:idx val="2"/>
              <c:layout>
                <c:manualLayout>
                  <c:x val="-3.7685581866878176E-2"/>
                  <c:y val="-4.8488310117486791E-2"/>
                </c:manualLayout>
              </c:layout>
              <c:tx>
                <c:rich>
                  <a:bodyPr/>
                  <a:lstStyle/>
                  <a:p>
                    <a:r>
                      <a:rPr lang="en-US"/>
                      <a:t>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29-42D4-A4BD-7103D1CCFB0A}"/>
                </c:ext>
              </c:extLst>
            </c:dLbl>
            <c:dLbl>
              <c:idx val="3"/>
              <c:layout>
                <c:manualLayout>
                  <c:x val="-1.3300731994090426E-2"/>
                  <c:y val="4.8488310117486791E-2"/>
                </c:manualLayout>
              </c:layout>
              <c:tx>
                <c:rich>
                  <a:bodyPr/>
                  <a:lstStyle/>
                  <a:p>
                    <a:r>
                      <a:rPr lang="en-US"/>
                      <a:t>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29-42D4-A4BD-7103D1CCFB0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Plots!$C$361:$F$361</c:f>
              <c:numCache>
                <c:formatCode>General</c:formatCode>
                <c:ptCount val="4"/>
                <c:pt idx="0">
                  <c:v>2004</c:v>
                </c:pt>
                <c:pt idx="1">
                  <c:v>2007</c:v>
                </c:pt>
                <c:pt idx="2">
                  <c:v>2010</c:v>
                </c:pt>
                <c:pt idx="3">
                  <c:v>2013</c:v>
                </c:pt>
              </c:numCache>
            </c:numRef>
          </c:xVal>
          <c:yVal>
            <c:numRef>
              <c:f>Plots!$C$362:$F$362</c:f>
              <c:numCache>
                <c:formatCode>General</c:formatCode>
                <c:ptCount val="4"/>
                <c:pt idx="0">
                  <c:v>1</c:v>
                </c:pt>
                <c:pt idx="1">
                  <c:v>3.1063779643541021</c:v>
                </c:pt>
                <c:pt idx="2">
                  <c:v>5.7960229783473265</c:v>
                </c:pt>
                <c:pt idx="3">
                  <c:v>8.2215937546030347</c:v>
                </c:pt>
              </c:numCache>
            </c:numRef>
          </c:yVal>
          <c:smooth val="0"/>
          <c:extLst xmlns:c16r2="http://schemas.microsoft.com/office/drawing/2015/06/chart">
            <c:ext xmlns:c16="http://schemas.microsoft.com/office/drawing/2014/chart" uri="{C3380CC4-5D6E-409C-BE32-E72D297353CC}">
              <c16:uniqueId val="{00000000-F134-4749-8EBD-B003FC41C9DB}"/>
            </c:ext>
          </c:extLst>
        </c:ser>
        <c:ser>
          <c:idx val="1"/>
          <c:order val="1"/>
          <c:tx>
            <c:strRef>
              <c:f>Plots!$B$363</c:f>
              <c:strCache>
                <c:ptCount val="1"/>
                <c:pt idx="0">
                  <c:v>LLW</c:v>
                </c:pt>
              </c:strCache>
            </c:strRef>
          </c:tx>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29-42D4-A4BD-7103D1CCFB0A}"/>
                </c:ext>
              </c:extLst>
            </c:dLbl>
            <c:dLbl>
              <c:idx val="1"/>
              <c:layout>
                <c:manualLayout>
                  <c:x val="-4.8769350644998183E-2"/>
                  <c:y val="-6.1418526148816606E-2"/>
                </c:manualLayout>
              </c:layout>
              <c:tx>
                <c:rich>
                  <a:bodyPr/>
                  <a:lstStyle/>
                  <a:p>
                    <a:r>
                      <a:rPr lang="en-US"/>
                      <a:t>1.067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E29-42D4-A4BD-7103D1CCFB0A}"/>
                </c:ext>
              </c:extLst>
            </c:dLbl>
            <c:dLbl>
              <c:idx val="2"/>
              <c:layout>
                <c:manualLayout>
                  <c:x val="-4.2119159198241649E-2"/>
                  <c:y val="-4.8488310117486791E-2"/>
                </c:manualLayout>
              </c:layout>
              <c:tx>
                <c:rich>
                  <a:bodyPr/>
                  <a:lstStyle/>
                  <a:p>
                    <a:r>
                      <a:rPr lang="en-US"/>
                      <a:t>1.095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E29-42D4-A4BD-7103D1CCFB0A}"/>
                </c:ext>
              </c:extLst>
            </c:dLbl>
            <c:dLbl>
              <c:idx val="3"/>
              <c:layout>
                <c:manualLayout>
                  <c:x val="-2.2167886656817376E-2"/>
                  <c:y val="-7.1116188172313965E-2"/>
                </c:manualLayout>
              </c:layout>
              <c:tx>
                <c:rich>
                  <a:bodyPr/>
                  <a:lstStyle/>
                  <a:p>
                    <a:r>
                      <a:rPr lang="en-US"/>
                      <a:t>1.11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29-42D4-A4BD-7103D1CCFB0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Plots!$C$361:$F$361</c:f>
              <c:numCache>
                <c:formatCode>General</c:formatCode>
                <c:ptCount val="4"/>
                <c:pt idx="0">
                  <c:v>2004</c:v>
                </c:pt>
                <c:pt idx="1">
                  <c:v>2007</c:v>
                </c:pt>
                <c:pt idx="2">
                  <c:v>2010</c:v>
                </c:pt>
                <c:pt idx="3">
                  <c:v>2013</c:v>
                </c:pt>
              </c:numCache>
            </c:numRef>
          </c:xVal>
          <c:yVal>
            <c:numRef>
              <c:f>Plots!$C$363:$F$363</c:f>
              <c:numCache>
                <c:formatCode>General</c:formatCode>
                <c:ptCount val="4"/>
                <c:pt idx="0">
                  <c:v>1</c:v>
                </c:pt>
                <c:pt idx="1">
                  <c:v>1.0674178998802719</c:v>
                </c:pt>
                <c:pt idx="2">
                  <c:v>1.0957268560393323</c:v>
                </c:pt>
                <c:pt idx="3">
                  <c:v>1.114274825271617</c:v>
                </c:pt>
              </c:numCache>
            </c:numRef>
          </c:yVal>
          <c:smooth val="0"/>
          <c:extLst xmlns:c16r2="http://schemas.microsoft.com/office/drawing/2015/06/chart">
            <c:ext xmlns:c16="http://schemas.microsoft.com/office/drawing/2014/chart" uri="{C3380CC4-5D6E-409C-BE32-E72D297353CC}">
              <c16:uniqueId val="{00000001-F134-4749-8EBD-B003FC41C9DB}"/>
            </c:ext>
          </c:extLst>
        </c:ser>
        <c:dLbls>
          <c:showLegendKey val="0"/>
          <c:showVal val="0"/>
          <c:showCatName val="0"/>
          <c:showSerName val="0"/>
          <c:showPercent val="0"/>
          <c:showBubbleSize val="0"/>
        </c:dLbls>
        <c:axId val="206421376"/>
        <c:axId val="206427648"/>
      </c:scatterChart>
      <c:valAx>
        <c:axId val="206421376"/>
        <c:scaling>
          <c:orientation val="minMax"/>
          <c:max val="2013"/>
          <c:min val="2004"/>
        </c:scaling>
        <c:delete val="0"/>
        <c:axPos val="b"/>
        <c:title>
          <c:tx>
            <c:rich>
              <a:bodyPr/>
              <a:lstStyle/>
              <a:p>
                <a:pPr>
                  <a:defRPr sz="1100"/>
                </a:pPr>
                <a:r>
                  <a:rPr lang="en-GB" sz="1100"/>
                  <a:t>Date</a:t>
                </a:r>
              </a:p>
            </c:rich>
          </c:tx>
          <c:overlay val="0"/>
        </c:title>
        <c:numFmt formatCode="@" sourceLinked="0"/>
        <c:majorTickMark val="out"/>
        <c:minorTickMark val="none"/>
        <c:tickLblPos val="nextTo"/>
        <c:txPr>
          <a:bodyPr/>
          <a:lstStyle/>
          <a:p>
            <a:pPr>
              <a:defRPr sz="1100"/>
            </a:pPr>
            <a:endParaRPr lang="en-US"/>
          </a:p>
        </c:txPr>
        <c:crossAx val="206427648"/>
        <c:crosses val="autoZero"/>
        <c:crossBetween val="midCat"/>
        <c:majorUnit val="3"/>
      </c:valAx>
      <c:valAx>
        <c:axId val="206427648"/>
        <c:scaling>
          <c:logBase val="2"/>
          <c:orientation val="minMax"/>
          <c:max val="9"/>
          <c:min val="1"/>
        </c:scaling>
        <c:delete val="0"/>
        <c:axPos val="l"/>
        <c:majorGridlines/>
        <c:title>
          <c:tx>
            <c:rich>
              <a:bodyPr rot="-5400000" vert="horz"/>
              <a:lstStyle/>
              <a:p>
                <a:pPr>
                  <a:defRPr sz="1100"/>
                </a:pPr>
                <a:r>
                  <a:rPr lang="en-GB" sz="1100"/>
                  <a:t>Normalized volume</a:t>
                </a:r>
              </a:p>
            </c:rich>
          </c:tx>
          <c:layout>
            <c:manualLayout>
              <c:xMode val="edge"/>
              <c:yMode val="edge"/>
              <c:x val="7.0283813548113984E-3"/>
              <c:y val="0.38968525572415619"/>
            </c:manualLayout>
          </c:layout>
          <c:overlay val="0"/>
        </c:title>
        <c:numFmt formatCode="#,##0.00" sourceLinked="0"/>
        <c:majorTickMark val="out"/>
        <c:minorTickMark val="none"/>
        <c:tickLblPos val="nextTo"/>
        <c:txPr>
          <a:bodyPr/>
          <a:lstStyle/>
          <a:p>
            <a:pPr>
              <a:defRPr sz="1100"/>
            </a:pPr>
            <a:endParaRPr lang="en-US"/>
          </a:p>
        </c:txPr>
        <c:crossAx val="206421376"/>
        <c:crossesAt val="2003"/>
        <c:crossBetween val="midCat"/>
        <c:minorUnit val="2"/>
      </c:valAx>
    </c:plotArea>
    <c:legend>
      <c:legendPos val="r"/>
      <c:layout>
        <c:manualLayout>
          <c:xMode val="edge"/>
          <c:yMode val="edge"/>
          <c:x val="0.68928397917304995"/>
          <c:y val="0.44008135514426"/>
          <c:w val="0.2803728315974337"/>
          <c:h val="0.1831249365819078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2468214892699"/>
          <c:y val="3.5954107418394499E-2"/>
          <c:w val="0.84931178977181199"/>
          <c:h val="0.82349817214853904"/>
        </c:manualLayout>
      </c:layout>
      <c:scatterChart>
        <c:scatterStyle val="lineMarker"/>
        <c:varyColors val="0"/>
        <c:ser>
          <c:idx val="0"/>
          <c:order val="0"/>
          <c:tx>
            <c:strRef>
              <c:f>Plots!$B$217</c:f>
              <c:strCache>
                <c:ptCount val="1"/>
                <c:pt idx="0">
                  <c:v>VLLW</c:v>
                </c:pt>
              </c:strCache>
            </c:strRef>
          </c:tx>
          <c:marker>
            <c:symbol val="diamond"/>
            <c:size val="7"/>
          </c:marker>
          <c:xVal>
            <c:numRef>
              <c:f>Plots!$C$216:$F$216</c:f>
              <c:numCache>
                <c:formatCode>General</c:formatCode>
                <c:ptCount val="4"/>
                <c:pt idx="0">
                  <c:v>2004</c:v>
                </c:pt>
                <c:pt idx="1">
                  <c:v>2007</c:v>
                </c:pt>
                <c:pt idx="2">
                  <c:v>2010</c:v>
                </c:pt>
                <c:pt idx="3">
                  <c:v>2013</c:v>
                </c:pt>
              </c:numCache>
            </c:numRef>
          </c:xVal>
          <c:yVal>
            <c:numRef>
              <c:f>Plots!$C$217:$F$217</c:f>
              <c:numCache>
                <c:formatCode>0.000</c:formatCode>
                <c:ptCount val="4"/>
                <c:pt idx="0">
                  <c:v>1</c:v>
                </c:pt>
                <c:pt idx="1">
                  <c:v>1.3370154733805411</c:v>
                </c:pt>
                <c:pt idx="2">
                  <c:v>1.974882721789095</c:v>
                </c:pt>
                <c:pt idx="3">
                  <c:v>2.38366995207782</c:v>
                </c:pt>
              </c:numCache>
            </c:numRef>
          </c:yVal>
          <c:smooth val="0"/>
          <c:extLst xmlns:c16r2="http://schemas.microsoft.com/office/drawing/2015/06/chart">
            <c:ext xmlns:c16="http://schemas.microsoft.com/office/drawing/2014/chart" uri="{C3380CC4-5D6E-409C-BE32-E72D297353CC}">
              <c16:uniqueId val="{00000000-9567-4FA0-A42E-5DF6A4696407}"/>
            </c:ext>
          </c:extLst>
        </c:ser>
        <c:ser>
          <c:idx val="1"/>
          <c:order val="1"/>
          <c:tx>
            <c:strRef>
              <c:f>Plots!$B$218</c:f>
              <c:strCache>
                <c:ptCount val="1"/>
                <c:pt idx="0">
                  <c:v>LLW</c:v>
                </c:pt>
              </c:strCache>
            </c:strRef>
          </c:tx>
          <c:xVal>
            <c:numRef>
              <c:f>Plots!$C$216:$F$216</c:f>
              <c:numCache>
                <c:formatCode>General</c:formatCode>
                <c:ptCount val="4"/>
                <c:pt idx="0">
                  <c:v>2004</c:v>
                </c:pt>
                <c:pt idx="1">
                  <c:v>2007</c:v>
                </c:pt>
                <c:pt idx="2">
                  <c:v>2010</c:v>
                </c:pt>
                <c:pt idx="3">
                  <c:v>2013</c:v>
                </c:pt>
              </c:numCache>
            </c:numRef>
          </c:xVal>
          <c:yVal>
            <c:numRef>
              <c:f>Plots!$C$218:$F$218</c:f>
              <c:numCache>
                <c:formatCode>0.000</c:formatCode>
                <c:ptCount val="4"/>
                <c:pt idx="0">
                  <c:v>1</c:v>
                </c:pt>
                <c:pt idx="1">
                  <c:v>1.092972128182931</c:v>
                </c:pt>
                <c:pt idx="2">
                  <c:v>1.057788798885998</c:v>
                </c:pt>
                <c:pt idx="3">
                  <c:v>1.096864199830808</c:v>
                </c:pt>
              </c:numCache>
            </c:numRef>
          </c:yVal>
          <c:smooth val="0"/>
          <c:extLst xmlns:c16r2="http://schemas.microsoft.com/office/drawing/2015/06/chart">
            <c:ext xmlns:c16="http://schemas.microsoft.com/office/drawing/2014/chart" uri="{C3380CC4-5D6E-409C-BE32-E72D297353CC}">
              <c16:uniqueId val="{00000001-9567-4FA0-A42E-5DF6A4696407}"/>
            </c:ext>
          </c:extLst>
        </c:ser>
        <c:ser>
          <c:idx val="2"/>
          <c:order val="2"/>
          <c:tx>
            <c:strRef>
              <c:f>Plots!$B$219</c:f>
              <c:strCache>
                <c:ptCount val="1"/>
                <c:pt idx="0">
                  <c:v>ILW</c:v>
                </c:pt>
              </c:strCache>
            </c:strRef>
          </c:tx>
          <c:xVal>
            <c:numRef>
              <c:f>Plots!$C$216:$F$216</c:f>
              <c:numCache>
                <c:formatCode>General</c:formatCode>
                <c:ptCount val="4"/>
                <c:pt idx="0">
                  <c:v>2004</c:v>
                </c:pt>
                <c:pt idx="1">
                  <c:v>2007</c:v>
                </c:pt>
                <c:pt idx="2">
                  <c:v>2010</c:v>
                </c:pt>
                <c:pt idx="3">
                  <c:v>2013</c:v>
                </c:pt>
              </c:numCache>
            </c:numRef>
          </c:xVal>
          <c:yVal>
            <c:numRef>
              <c:f>Plots!$C$219:$F$219</c:f>
              <c:numCache>
                <c:formatCode>0.000</c:formatCode>
                <c:ptCount val="4"/>
                <c:pt idx="0">
                  <c:v>1</c:v>
                </c:pt>
                <c:pt idx="1">
                  <c:v>1.394955335721245</c:v>
                </c:pt>
                <c:pt idx="2">
                  <c:v>1.5577601457950629</c:v>
                </c:pt>
                <c:pt idx="3">
                  <c:v>1.6360315097641009</c:v>
                </c:pt>
              </c:numCache>
            </c:numRef>
          </c:yVal>
          <c:smooth val="0"/>
          <c:extLst xmlns:c16r2="http://schemas.microsoft.com/office/drawing/2015/06/chart">
            <c:ext xmlns:c16="http://schemas.microsoft.com/office/drawing/2014/chart" uri="{C3380CC4-5D6E-409C-BE32-E72D297353CC}">
              <c16:uniqueId val="{00000002-9567-4FA0-A42E-5DF6A4696407}"/>
            </c:ext>
          </c:extLst>
        </c:ser>
        <c:ser>
          <c:idx val="3"/>
          <c:order val="3"/>
          <c:tx>
            <c:strRef>
              <c:f>Plots!$B$220</c:f>
              <c:strCache>
                <c:ptCount val="1"/>
                <c:pt idx="0">
                  <c:v>HLW</c:v>
                </c:pt>
              </c:strCache>
            </c:strRef>
          </c:tx>
          <c:xVal>
            <c:numRef>
              <c:f>Plots!$C$216:$F$216</c:f>
              <c:numCache>
                <c:formatCode>General</c:formatCode>
                <c:ptCount val="4"/>
                <c:pt idx="0">
                  <c:v>2004</c:v>
                </c:pt>
                <c:pt idx="1">
                  <c:v>2007</c:v>
                </c:pt>
                <c:pt idx="2">
                  <c:v>2010</c:v>
                </c:pt>
                <c:pt idx="3">
                  <c:v>2013</c:v>
                </c:pt>
              </c:numCache>
            </c:numRef>
          </c:xVal>
          <c:yVal>
            <c:numRef>
              <c:f>Plots!$C$220:$F$220</c:f>
              <c:numCache>
                <c:formatCode>0.000</c:formatCode>
                <c:ptCount val="4"/>
                <c:pt idx="0">
                  <c:v>1</c:v>
                </c:pt>
                <c:pt idx="1">
                  <c:v>0.79045350609756104</c:v>
                </c:pt>
                <c:pt idx="2">
                  <c:v>0.92454268292682895</c:v>
                </c:pt>
                <c:pt idx="3">
                  <c:v>1.1252667682926829</c:v>
                </c:pt>
              </c:numCache>
            </c:numRef>
          </c:yVal>
          <c:smooth val="0"/>
          <c:extLst xmlns:c16r2="http://schemas.microsoft.com/office/drawing/2015/06/chart">
            <c:ext xmlns:c16="http://schemas.microsoft.com/office/drawing/2014/chart" uri="{C3380CC4-5D6E-409C-BE32-E72D297353CC}">
              <c16:uniqueId val="{00000003-9567-4FA0-A42E-5DF6A4696407}"/>
            </c:ext>
          </c:extLst>
        </c:ser>
        <c:dLbls>
          <c:showLegendKey val="0"/>
          <c:showVal val="0"/>
          <c:showCatName val="0"/>
          <c:showSerName val="0"/>
          <c:showPercent val="0"/>
          <c:showBubbleSize val="0"/>
        </c:dLbls>
        <c:axId val="206460416"/>
        <c:axId val="206462336"/>
      </c:scatterChart>
      <c:valAx>
        <c:axId val="206460416"/>
        <c:scaling>
          <c:orientation val="minMax"/>
          <c:max val="2013"/>
          <c:min val="2004"/>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Date</a:t>
                </a:r>
              </a:p>
            </c:rich>
          </c:tx>
          <c:overlay val="0"/>
        </c:title>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206462336"/>
        <c:crosses val="autoZero"/>
        <c:crossBetween val="midCat"/>
        <c:majorUnit val="3"/>
      </c:valAx>
      <c:valAx>
        <c:axId val="206462336"/>
        <c:scaling>
          <c:orientation val="minMax"/>
          <c:max val="2.5"/>
          <c:min val="0"/>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Normalized volume</a:t>
                </a:r>
              </a:p>
            </c:rich>
          </c:tx>
          <c:overlay val="0"/>
        </c:title>
        <c:numFmt formatCode="#,##0.00" sourceLinked="0"/>
        <c:majorTickMark val="out"/>
        <c:minorTickMark val="none"/>
        <c:tickLblPos val="nextTo"/>
        <c:crossAx val="206460416"/>
        <c:crossesAt val="2003"/>
        <c:crossBetween val="midCat"/>
      </c:valAx>
    </c:plotArea>
    <c:legend>
      <c:legendPos val="r"/>
      <c:layout>
        <c:manualLayout>
          <c:xMode val="edge"/>
          <c:yMode val="edge"/>
          <c:x val="0.84617385340614104"/>
          <c:y val="0.59217089212774998"/>
          <c:w val="0.126436241014031"/>
          <c:h val="0.272351635819921"/>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27349642891528"/>
          <c:y val="8.5151666168311241E-2"/>
          <c:w val="0.76864378332383543"/>
          <c:h val="0.77383346069083137"/>
        </c:manualLayout>
      </c:layout>
      <c:barChart>
        <c:barDir val="bar"/>
        <c:grouping val="clustered"/>
        <c:varyColors val="0"/>
        <c:ser>
          <c:idx val="0"/>
          <c:order val="0"/>
          <c:invertIfNegative val="0"/>
          <c:dPt>
            <c:idx val="14"/>
            <c:invertIfNegative val="0"/>
            <c:bubble3D val="0"/>
            <c:spPr>
              <a:ln>
                <a:solidFill>
                  <a:schemeClr val="accent1"/>
                </a:solidFill>
              </a:ln>
            </c:spPr>
            <c:extLst xmlns:c16r2="http://schemas.microsoft.com/office/drawing/2015/06/chart">
              <c:ext xmlns:c16="http://schemas.microsoft.com/office/drawing/2014/chart" uri="{C3380CC4-5D6E-409C-BE32-E72D297353CC}">
                <c16:uniqueId val="{00000001-4D47-492F-834E-6D16F48F041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47-492F-834E-6D16F48F041C}"/>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47-492F-834E-6D16F48F041C}"/>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47-492F-834E-6D16F48F041C}"/>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47-492F-834E-6D16F48F041C}"/>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D47-492F-834E-6D16F48F041C}"/>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47-492F-834E-6D16F48F041C}"/>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D47-492F-834E-6D16F48F041C}"/>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D47-492F-834E-6D16F48F041C}"/>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D47-492F-834E-6D16F48F041C}"/>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D47-492F-834E-6D16F48F041C}"/>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D47-492F-834E-6D16F48F041C}"/>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D47-492F-834E-6D16F48F041C}"/>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D47-492F-834E-6D16F48F041C}"/>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D47-492F-834E-6D16F48F041C}"/>
                </c:ext>
              </c:extLst>
            </c:dLbl>
            <c:dLbl>
              <c:idx val="14"/>
              <c:layout>
                <c:manualLayout>
                  <c:x val="1.1802627357783917E-2"/>
                  <c:y val="0"/>
                </c:manualLayout>
              </c:layout>
              <c:tx>
                <c:rich>
                  <a:bodyPr/>
                  <a:lstStyle/>
                  <a:p>
                    <a:r>
                      <a:rPr lang="en-US"/>
                      <a:t>30.16 tHM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D47-492F-834E-6D16F48F041C}"/>
                </c:ext>
              </c:extLst>
            </c:dLbl>
            <c:dLbl>
              <c:idx val="15"/>
              <c:layout>
                <c:manualLayout>
                  <c:x val="1.6523678300897484E-2"/>
                  <c:y val="2.8129395218002813E-3"/>
                </c:manualLayout>
              </c:layout>
              <c:tx>
                <c:rich>
                  <a:bodyPr/>
                  <a:lstStyle/>
                  <a:p>
                    <a:r>
                      <a:rPr lang="en-US"/>
                      <a:t>0.24</a:t>
                    </a:r>
                    <a:r>
                      <a:rPr lang="en-US" baseline="0"/>
                      <a:t> tHM</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4D47-492F-834E-6D16F48F041C}"/>
                </c:ext>
              </c:extLst>
            </c:dLbl>
            <c:dLbl>
              <c:idx val="16"/>
              <c:layout>
                <c:manualLayout>
                  <c:x val="1.41631528293407E-2"/>
                  <c:y val="0"/>
                </c:manualLayout>
              </c:layout>
              <c:tx>
                <c:rich>
                  <a:bodyPr/>
                  <a:lstStyle/>
                  <a:p>
                    <a:r>
                      <a:rPr lang="en-US"/>
                      <a:t>0.02 tHM</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Plots!$B$434:$B$450</c:f>
              <c:strCache>
                <c:ptCount val="17"/>
                <c:pt idx="0">
                  <c:v>France</c:v>
                </c:pt>
                <c:pt idx="1">
                  <c:v>Germany</c:v>
                </c:pt>
                <c:pt idx="2">
                  <c:v>Sweden</c:v>
                </c:pt>
                <c:pt idx="3">
                  <c:v>UK</c:v>
                </c:pt>
                <c:pt idx="4">
                  <c:v>Spain</c:v>
                </c:pt>
                <c:pt idx="5">
                  <c:v>Belgium</c:v>
                </c:pt>
                <c:pt idx="6">
                  <c:v>Lithuania</c:v>
                </c:pt>
                <c:pt idx="7">
                  <c:v>Romania</c:v>
                </c:pt>
                <c:pt idx="8">
                  <c:v>Finland</c:v>
                </c:pt>
                <c:pt idx="9">
                  <c:v>Czech Republic</c:v>
                </c:pt>
                <c:pt idx="10">
                  <c:v>Slovakia</c:v>
                </c:pt>
                <c:pt idx="11">
                  <c:v>Hungary</c:v>
                </c:pt>
                <c:pt idx="12">
                  <c:v>Bulgaria</c:v>
                </c:pt>
                <c:pt idx="13">
                  <c:v>Slovenia</c:v>
                </c:pt>
                <c:pt idx="14">
                  <c:v>Italy</c:v>
                </c:pt>
                <c:pt idx="15">
                  <c:v>Denmark</c:v>
                </c:pt>
                <c:pt idx="16">
                  <c:v>Poland</c:v>
                </c:pt>
              </c:strCache>
            </c:strRef>
          </c:cat>
          <c:val>
            <c:numRef>
              <c:f>Plots!$C$434:$C$450</c:f>
              <c:numCache>
                <c:formatCode>0.00</c:formatCode>
                <c:ptCount val="17"/>
                <c:pt idx="0">
                  <c:v>14146</c:v>
                </c:pt>
                <c:pt idx="1">
                  <c:v>8397</c:v>
                </c:pt>
                <c:pt idx="2">
                  <c:v>6296</c:v>
                </c:pt>
                <c:pt idx="3">
                  <c:v>5329</c:v>
                </c:pt>
                <c:pt idx="4">
                  <c:v>4685</c:v>
                </c:pt>
                <c:pt idx="5">
                  <c:v>3302</c:v>
                </c:pt>
                <c:pt idx="6">
                  <c:v>2415.9520000000002</c:v>
                </c:pt>
                <c:pt idx="7">
                  <c:v>2289.056</c:v>
                </c:pt>
                <c:pt idx="8">
                  <c:v>1933.9</c:v>
                </c:pt>
                <c:pt idx="9">
                  <c:v>1521.3</c:v>
                </c:pt>
                <c:pt idx="10">
                  <c:v>1505.28</c:v>
                </c:pt>
                <c:pt idx="11">
                  <c:v>1177.509</c:v>
                </c:pt>
                <c:pt idx="12">
                  <c:v>796.5</c:v>
                </c:pt>
                <c:pt idx="13">
                  <c:v>426</c:v>
                </c:pt>
                <c:pt idx="14">
                  <c:v>30.161999999999999</c:v>
                </c:pt>
                <c:pt idx="15">
                  <c:v>0.2379</c:v>
                </c:pt>
                <c:pt idx="16">
                  <c:v>2.3460000000000002E-2</c:v>
                </c:pt>
              </c:numCache>
            </c:numRef>
          </c:val>
          <c:extLst xmlns:c16r2="http://schemas.microsoft.com/office/drawing/2015/06/chart">
            <c:ext xmlns:c16="http://schemas.microsoft.com/office/drawing/2014/chart" uri="{C3380CC4-5D6E-409C-BE32-E72D297353CC}">
              <c16:uniqueId val="{00000012-4D47-492F-834E-6D16F48F041C}"/>
            </c:ext>
          </c:extLst>
        </c:ser>
        <c:dLbls>
          <c:showLegendKey val="0"/>
          <c:showVal val="0"/>
          <c:showCatName val="0"/>
          <c:showSerName val="0"/>
          <c:showPercent val="0"/>
          <c:showBubbleSize val="0"/>
        </c:dLbls>
        <c:gapWidth val="150"/>
        <c:axId val="209128832"/>
        <c:axId val="209138816"/>
      </c:barChart>
      <c:catAx>
        <c:axId val="209128832"/>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138816"/>
        <c:crosses val="autoZero"/>
        <c:auto val="1"/>
        <c:lblAlgn val="ctr"/>
        <c:lblOffset val="100"/>
        <c:tickLblSkip val="1"/>
        <c:noMultiLvlLbl val="0"/>
      </c:catAx>
      <c:valAx>
        <c:axId val="209138816"/>
        <c:scaling>
          <c:orientation val="minMax"/>
          <c:max val="15000"/>
          <c:min val="0"/>
        </c:scaling>
        <c:delete val="0"/>
        <c:axPos val="b"/>
        <c:majorGridlines/>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Mass of heavy metals, tHM</a:t>
                </a:r>
              </a:p>
            </c:rich>
          </c:tx>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128832"/>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107300255180927E-2"/>
          <c:y val="1.7460524778134475E-2"/>
          <c:w val="0.68171855217016175"/>
          <c:h val="0.97295428871275602"/>
        </c:manualLayout>
      </c:layout>
      <c:pieChart>
        <c:varyColors val="1"/>
        <c:ser>
          <c:idx val="0"/>
          <c:order val="0"/>
          <c:dPt>
            <c:idx val="0"/>
            <c:bubble3D val="0"/>
            <c:spPr>
              <a:solidFill>
                <a:schemeClr val="accent1">
                  <a:lumMod val="60000"/>
                  <a:lumOff val="40000"/>
                </a:schemeClr>
              </a:solidFill>
            </c:spPr>
          </c:dPt>
          <c:dPt>
            <c:idx val="1"/>
            <c:bubble3D val="0"/>
            <c:spPr>
              <a:solidFill>
                <a:schemeClr val="accent2">
                  <a:lumMod val="40000"/>
                  <a:lumOff val="60000"/>
                </a:schemeClr>
              </a:solidFill>
            </c:spPr>
          </c:dPt>
          <c:dPt>
            <c:idx val="2"/>
            <c:bubble3D val="0"/>
            <c:spPr>
              <a:solidFill>
                <a:schemeClr val="accent3">
                  <a:lumMod val="75000"/>
                  <a:alpha val="41000"/>
                </a:schemeClr>
              </a:solidFill>
            </c:spPr>
          </c:dPt>
          <c:dPt>
            <c:idx val="3"/>
            <c:bubble3D val="0"/>
            <c:spPr>
              <a:solidFill>
                <a:schemeClr val="tx2">
                  <a:lumMod val="75000"/>
                  <a:alpha val="25000"/>
                </a:schemeClr>
              </a:solidFill>
            </c:spPr>
          </c:dPt>
          <c:dPt>
            <c:idx val="4"/>
            <c:bubble3D val="0"/>
            <c:spPr>
              <a:solidFill>
                <a:schemeClr val="accent6">
                  <a:lumMod val="75000"/>
                  <a:alpha val="37000"/>
                </a:schemeClr>
              </a:solidFill>
            </c:spPr>
          </c:dPt>
          <c:dPt>
            <c:idx val="5"/>
            <c:bubble3D val="0"/>
            <c:spPr>
              <a:solidFill>
                <a:schemeClr val="accent6">
                  <a:lumMod val="75000"/>
                  <a:alpha val="58000"/>
                </a:schemeClr>
              </a:solidFill>
            </c:spPr>
          </c:dPt>
          <c:dPt>
            <c:idx val="6"/>
            <c:bubble3D val="0"/>
            <c:spPr>
              <a:solidFill>
                <a:schemeClr val="tx2">
                  <a:lumMod val="60000"/>
                  <a:lumOff val="40000"/>
                  <a:alpha val="50000"/>
                </a:schemeClr>
              </a:solidFill>
            </c:spPr>
          </c:dPt>
          <c:dPt>
            <c:idx val="7"/>
            <c:bubble3D val="0"/>
            <c:spPr>
              <a:solidFill>
                <a:schemeClr val="accent2">
                  <a:lumMod val="75000"/>
                  <a:alpha val="63000"/>
                </a:schemeClr>
              </a:solidFill>
            </c:spPr>
          </c:dPt>
          <c:dPt>
            <c:idx val="9"/>
            <c:bubble3D val="0"/>
            <c:spPr>
              <a:solidFill>
                <a:schemeClr val="accent5">
                  <a:lumMod val="75000"/>
                </a:schemeClr>
              </a:solidFill>
            </c:spPr>
          </c:dPt>
          <c:dPt>
            <c:idx val="10"/>
            <c:bubble3D val="0"/>
            <c:spPr>
              <a:solidFill>
                <a:schemeClr val="accent4">
                  <a:lumMod val="75000"/>
                </a:schemeClr>
              </a:solidFill>
            </c:spPr>
          </c:dPt>
          <c:dPt>
            <c:idx val="11"/>
            <c:bubble3D val="0"/>
            <c:spPr>
              <a:solidFill>
                <a:schemeClr val="accent3">
                  <a:lumMod val="75000"/>
                </a:schemeClr>
              </a:solidFill>
            </c:spPr>
          </c:dPt>
          <c:dPt>
            <c:idx val="12"/>
            <c:bubble3D val="0"/>
            <c:spPr>
              <a:solidFill>
                <a:schemeClr val="accent1">
                  <a:lumMod val="75000"/>
                </a:schemeClr>
              </a:solidFill>
            </c:spPr>
          </c:dPt>
          <c:dPt>
            <c:idx val="13"/>
            <c:bubble3D val="0"/>
            <c:spPr>
              <a:solidFill>
                <a:schemeClr val="accent2">
                  <a:lumMod val="75000"/>
                </a:schemeClr>
              </a:solidFill>
            </c:spPr>
          </c:dPt>
          <c:dLbls>
            <c:dLbl>
              <c:idx val="0"/>
              <c:layout>
                <c:manualLayout>
                  <c:x val="-0.10191920330376934"/>
                  <c:y val="-0.14841446061414301"/>
                </c:manualLayout>
              </c:layout>
              <c:tx>
                <c:rich>
                  <a:bodyPr/>
                  <a:lstStyle/>
                  <a:p>
                    <a:r>
                      <a:rPr lang="en-US">
                        <a:latin typeface="Times New Roman" panose="02020603050405020304" pitchFamily="18" charset="0"/>
                        <a:cs typeface="Times New Roman" panose="02020603050405020304" pitchFamily="18" charset="0"/>
                      </a:rPr>
                      <a:t>France
26.1 %</a:t>
                    </a:r>
                    <a:endParaRPr lang="en-US"/>
                  </a:p>
                </c:rich>
              </c:tx>
              <c:dLblPos val="bestFit"/>
              <c:showLegendKey val="0"/>
              <c:showVal val="0"/>
              <c:showCatName val="1"/>
              <c:showSerName val="0"/>
              <c:showPercent val="1"/>
              <c:showBubbleSize val="0"/>
            </c:dLbl>
            <c:dLbl>
              <c:idx val="1"/>
              <c:layout>
                <c:manualLayout>
                  <c:x val="0.129036551528597"/>
                  <c:y val="-0.12187010927722135"/>
                </c:manualLayout>
              </c:layout>
              <c:tx>
                <c:rich>
                  <a:bodyPr/>
                  <a:lstStyle/>
                  <a:p>
                    <a:r>
                      <a:rPr lang="en-US">
                        <a:latin typeface="Times New Roman" panose="02020603050405020304" pitchFamily="18" charset="0"/>
                        <a:cs typeface="Times New Roman" panose="02020603050405020304" pitchFamily="18" charset="0"/>
                      </a:rPr>
                      <a:t>Germany
15.5 %</a:t>
                    </a:r>
                    <a:endParaRPr lang="en-US"/>
                  </a:p>
                </c:rich>
              </c:tx>
              <c:dLblPos val="bestFit"/>
              <c:showLegendKey val="0"/>
              <c:showVal val="0"/>
              <c:showCatName val="1"/>
              <c:showSerName val="0"/>
              <c:showPercent val="1"/>
              <c:showBubbleSize val="0"/>
            </c:dLbl>
            <c:dLbl>
              <c:idx val="2"/>
              <c:layout>
                <c:manualLayout>
                  <c:x val="0.13715998755402967"/>
                  <c:y val="4.4731710558576394E-2"/>
                </c:manualLayout>
              </c:layout>
              <c:tx>
                <c:rich>
                  <a:bodyPr/>
                  <a:lstStyle/>
                  <a:p>
                    <a:r>
                      <a:rPr lang="en-US">
                        <a:latin typeface="Times New Roman" panose="02020603050405020304" pitchFamily="18" charset="0"/>
                        <a:cs typeface="Times New Roman" panose="02020603050405020304" pitchFamily="18" charset="0"/>
                      </a:rPr>
                      <a:t>Sweden
11.6</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dLbl>
            <c:dLbl>
              <c:idx val="3"/>
              <c:layout>
                <c:manualLayout>
                  <c:x val="7.6530676137934489E-2"/>
                  <c:y val="0.141139241956587"/>
                </c:manualLayout>
              </c:layout>
              <c:tx>
                <c:rich>
                  <a:bodyPr/>
                  <a:lstStyle/>
                  <a:p>
                    <a:r>
                      <a:rPr lang="en-US">
                        <a:latin typeface="Times New Roman" panose="02020603050405020304" pitchFamily="18" charset="0"/>
                        <a:cs typeface="Times New Roman" panose="02020603050405020304" pitchFamily="18" charset="0"/>
                      </a:rPr>
                      <a:t>UK
9.8</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dLbl>
            <c:dLbl>
              <c:idx val="4"/>
              <c:layout>
                <c:manualLayout>
                  <c:x val="1.4961334326185249E-2"/>
                  <c:y val="8.7302623890672365E-2"/>
                </c:manualLayout>
              </c:layout>
              <c:tx>
                <c:rich>
                  <a:bodyPr/>
                  <a:lstStyle/>
                  <a:p>
                    <a:r>
                      <a:rPr lang="en-US">
                        <a:latin typeface="Times New Roman" panose="02020603050405020304" pitchFamily="18" charset="0"/>
                        <a:cs typeface="Times New Roman" panose="02020603050405020304" pitchFamily="18" charset="0"/>
                      </a:rPr>
                      <a:t>Spain
8.6 %</a:t>
                    </a:r>
                    <a:endParaRPr lang="en-US"/>
                  </a:p>
                </c:rich>
              </c:tx>
              <c:dLblPos val="bestFit"/>
              <c:showLegendKey val="0"/>
              <c:showVal val="0"/>
              <c:showCatName val="1"/>
              <c:showSerName val="0"/>
              <c:showPercent val="1"/>
              <c:showBubbleSize val="0"/>
            </c:dLbl>
            <c:dLbl>
              <c:idx val="5"/>
              <c:layout>
                <c:manualLayout>
                  <c:x val="-6.7784392595866633E-2"/>
                  <c:y val="0.11058332359485167"/>
                </c:manualLayout>
              </c:layout>
              <c:tx>
                <c:rich>
                  <a:bodyPr/>
                  <a:lstStyle/>
                  <a:p>
                    <a:r>
                      <a:rPr lang="en-US">
                        <a:latin typeface="Times New Roman" panose="02020603050405020304" pitchFamily="18" charset="0"/>
                        <a:cs typeface="Times New Roman" panose="02020603050405020304" pitchFamily="18" charset="0"/>
                      </a:rPr>
                      <a:t>Belgium
6.1 %</a:t>
                    </a:r>
                    <a:endParaRPr lang="en-US"/>
                  </a:p>
                </c:rich>
              </c:tx>
              <c:dLblPos val="bestFit"/>
              <c:showLegendKey val="0"/>
              <c:showVal val="0"/>
              <c:showCatName val="1"/>
              <c:showSerName val="0"/>
              <c:showPercent val="1"/>
              <c:showBubbleSize val="0"/>
            </c:dLbl>
            <c:dLbl>
              <c:idx val="6"/>
              <c:layout>
                <c:manualLayout>
                  <c:x val="-8.9447865801870807E-2"/>
                  <c:y val="0.12123057745759178"/>
                </c:manualLayout>
              </c:layout>
              <c:tx>
                <c:rich>
                  <a:bodyPr/>
                  <a:lstStyle/>
                  <a:p>
                    <a:r>
                      <a:rPr lang="en-US">
                        <a:latin typeface="Times New Roman" panose="02020603050405020304" pitchFamily="18" charset="0"/>
                        <a:cs typeface="Times New Roman" panose="02020603050405020304" pitchFamily="18" charset="0"/>
                      </a:rPr>
                      <a:t>Lithuania
4.5 %</a:t>
                    </a:r>
                    <a:endParaRPr lang="en-US"/>
                  </a:p>
                </c:rich>
              </c:tx>
              <c:dLblPos val="bestFit"/>
              <c:showLegendKey val="0"/>
              <c:showVal val="0"/>
              <c:showCatName val="1"/>
              <c:showSerName val="0"/>
              <c:showPercent val="1"/>
              <c:showBubbleSize val="0"/>
            </c:dLbl>
            <c:dLbl>
              <c:idx val="7"/>
              <c:layout>
                <c:manualLayout>
                  <c:x val="-0.10228863284098538"/>
                  <c:y val="8.1758792703242114E-2"/>
                </c:manualLayout>
              </c:layout>
              <c:tx>
                <c:rich>
                  <a:bodyPr/>
                  <a:lstStyle/>
                  <a:p>
                    <a:r>
                      <a:rPr lang="en-US">
                        <a:latin typeface="Times New Roman" panose="02020603050405020304" pitchFamily="18" charset="0"/>
                        <a:cs typeface="Times New Roman" panose="02020603050405020304" pitchFamily="18" charset="0"/>
                      </a:rPr>
                      <a:t>Romania
4.2 %</a:t>
                    </a:r>
                    <a:endParaRPr lang="en-US"/>
                  </a:p>
                </c:rich>
              </c:tx>
              <c:dLblPos val="bestFit"/>
              <c:showLegendKey val="0"/>
              <c:showVal val="0"/>
              <c:showCatName val="1"/>
              <c:showSerName val="0"/>
              <c:showPercent val="1"/>
              <c:showBubbleSize val="0"/>
            </c:dLbl>
            <c:dLbl>
              <c:idx val="8"/>
              <c:layout>
                <c:manualLayout>
                  <c:x val="-0.10187232219778625"/>
                  <c:y val="5.2320393755456412E-2"/>
                </c:manualLayout>
              </c:layout>
              <c:tx>
                <c:rich>
                  <a:bodyPr/>
                  <a:lstStyle/>
                  <a:p>
                    <a:r>
                      <a:rPr lang="en-US">
                        <a:latin typeface="Times New Roman" panose="02020603050405020304" pitchFamily="18" charset="0"/>
                        <a:cs typeface="Times New Roman" panose="02020603050405020304" pitchFamily="18" charset="0"/>
                      </a:rPr>
                      <a:t>Finland
3.6</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dLbl>
            <c:dLbl>
              <c:idx val="9"/>
              <c:layout>
                <c:manualLayout>
                  <c:x val="5.8297939703833429E-3"/>
                  <c:y val="-0.1493285030464262"/>
                </c:manualLayout>
              </c:layout>
              <c:tx>
                <c:rich>
                  <a:bodyPr/>
                  <a:lstStyle/>
                  <a:p>
                    <a:r>
                      <a:rPr lang="en-US">
                        <a:latin typeface="Times New Roman" panose="02020603050405020304" pitchFamily="18" charset="0"/>
                        <a:cs typeface="Times New Roman" panose="02020603050405020304" pitchFamily="18" charset="0"/>
                      </a:rPr>
                      <a:t>Czech Republic
2.8 %</a:t>
                    </a:r>
                    <a:endParaRPr lang="en-US"/>
                  </a:p>
                </c:rich>
              </c:tx>
              <c:dLblPos val="bestFit"/>
              <c:showLegendKey val="0"/>
              <c:showVal val="0"/>
              <c:showCatName val="1"/>
              <c:showSerName val="0"/>
              <c:showPercent val="1"/>
              <c:showBubbleSize val="0"/>
            </c:dLbl>
            <c:dLbl>
              <c:idx val="10"/>
              <c:layout>
                <c:manualLayout>
                  <c:x val="3.2013373317136877E-2"/>
                  <c:y val="-0.15137770873003326"/>
                </c:manualLayout>
              </c:layout>
              <c:tx>
                <c:rich>
                  <a:bodyPr/>
                  <a:lstStyle/>
                  <a:p>
                    <a:r>
                      <a:rPr lang="en-US">
                        <a:latin typeface="Times New Roman" panose="02020603050405020304" pitchFamily="18" charset="0"/>
                        <a:cs typeface="Times New Roman" panose="02020603050405020304" pitchFamily="18" charset="0"/>
                      </a:rPr>
                      <a:t>Slovakia
2.8 %</a:t>
                    </a:r>
                    <a:endParaRPr lang="en-US"/>
                  </a:p>
                </c:rich>
              </c:tx>
              <c:dLblPos val="bestFit"/>
              <c:showLegendKey val="0"/>
              <c:showVal val="0"/>
              <c:showCatName val="1"/>
              <c:showSerName val="0"/>
              <c:showPercent val="1"/>
              <c:showBubbleSize val="0"/>
            </c:dLbl>
            <c:dLbl>
              <c:idx val="11"/>
              <c:layout>
                <c:manualLayout>
                  <c:x val="3.6125745401557545E-2"/>
                  <c:y val="-0.13574710194242609"/>
                </c:manualLayout>
              </c:layout>
              <c:tx>
                <c:rich>
                  <a:bodyPr/>
                  <a:lstStyle/>
                  <a:p>
                    <a:r>
                      <a:rPr lang="en-US">
                        <a:latin typeface="Times New Roman" panose="02020603050405020304" pitchFamily="18" charset="0"/>
                        <a:cs typeface="Times New Roman" panose="02020603050405020304" pitchFamily="18" charset="0"/>
                      </a:rPr>
                      <a:t>Hungary
2.2 %</a:t>
                    </a:r>
                    <a:endParaRPr lang="en-US"/>
                  </a:p>
                </c:rich>
              </c:tx>
              <c:dLblPos val="bestFit"/>
              <c:showLegendKey val="0"/>
              <c:showVal val="0"/>
              <c:showCatName val="1"/>
              <c:showSerName val="0"/>
              <c:showPercent val="1"/>
              <c:showBubbleSize val="0"/>
            </c:dLbl>
            <c:dLbl>
              <c:idx val="12"/>
              <c:layout>
                <c:manualLayout>
                  <c:x val="4.9628467235084024E-2"/>
                  <c:y val="-8.8238663834487058E-2"/>
                </c:manualLayout>
              </c:layout>
              <c:tx>
                <c:rich>
                  <a:bodyPr/>
                  <a:lstStyle/>
                  <a:p>
                    <a:r>
                      <a:rPr lang="en-US">
                        <a:latin typeface="Times New Roman" panose="02020603050405020304" pitchFamily="18" charset="0"/>
                        <a:cs typeface="Times New Roman" panose="02020603050405020304" pitchFamily="18" charset="0"/>
                      </a:rPr>
                      <a:t>Bulgaria
1.5 %</a:t>
                    </a:r>
                    <a:endParaRPr lang="en-US"/>
                  </a:p>
                </c:rich>
              </c:tx>
              <c:dLblPos val="bestFit"/>
              <c:showLegendKey val="0"/>
              <c:showVal val="0"/>
              <c:showCatName val="1"/>
              <c:showSerName val="0"/>
              <c:showPercent val="1"/>
              <c:showBubbleSize val="0"/>
            </c:dLbl>
            <c:dLbl>
              <c:idx val="13"/>
              <c:layout>
                <c:manualLayout>
                  <c:x val="5.6338726908245651E-2"/>
                  <c:y val="-3.0548127576401254E-2"/>
                </c:manualLayout>
              </c:layout>
              <c:tx>
                <c:rich>
                  <a:bodyPr/>
                  <a:lstStyle/>
                  <a:p>
                    <a:r>
                      <a:rPr lang="en-US">
                        <a:latin typeface="Times New Roman" panose="02020603050405020304" pitchFamily="18" charset="0"/>
                        <a:cs typeface="Times New Roman" panose="02020603050405020304" pitchFamily="18" charset="0"/>
                      </a:rPr>
                      <a:t>Slovenia
0.8 %</a:t>
                    </a:r>
                    <a:endParaRPr lang="en-US"/>
                  </a:p>
                </c:rich>
              </c:tx>
              <c:dLblPos val="bestFit"/>
              <c:showLegendKey val="0"/>
              <c:showVal val="0"/>
              <c:showCatName val="1"/>
              <c:showSerName val="0"/>
              <c:showPercent val="1"/>
              <c:showBubbleSize val="0"/>
            </c:dLbl>
            <c:dLbl>
              <c:idx val="14"/>
              <c:layout>
                <c:manualLayout>
                  <c:x val="7.0190648760653007E-2"/>
                  <c:y val="3.9791206953046769E-2"/>
                </c:manualLayout>
              </c:layout>
              <c:tx>
                <c:rich>
                  <a:bodyPr/>
                  <a:lstStyle/>
                  <a:p>
                    <a:r>
                      <a:rPr lang="en-US">
                        <a:latin typeface="Times New Roman" panose="02020603050405020304" pitchFamily="18" charset="0"/>
                        <a:cs typeface="Times New Roman" panose="02020603050405020304" pitchFamily="18" charset="0"/>
                      </a:rPr>
                      <a:t>Italy
0.1 %</a:t>
                    </a:r>
                    <a:endParaRPr lang="en-US"/>
                  </a:p>
                </c:rich>
              </c:tx>
              <c:dLblPos val="bestFit"/>
              <c:showLegendKey val="0"/>
              <c:showVal val="0"/>
              <c:showCatName val="1"/>
              <c:showSerName val="0"/>
              <c:showPercent val="1"/>
              <c:showBubbleSize val="0"/>
            </c:dLbl>
            <c:dLbl>
              <c:idx val="15"/>
              <c:layout>
                <c:manualLayout>
                  <c:x val="5.4554997156628815E-2"/>
                  <c:y val="0.11785052232632851"/>
                </c:manualLayout>
              </c:layout>
              <c:tx>
                <c:rich>
                  <a:bodyPr/>
                  <a:lstStyle/>
                  <a:p>
                    <a:r>
                      <a:rPr lang="en-US">
                        <a:latin typeface="Times New Roman" panose="02020603050405020304" pitchFamily="18" charset="0"/>
                        <a:cs typeface="Times New Roman" panose="02020603050405020304" pitchFamily="18" charset="0"/>
                      </a:rPr>
                      <a:t>Denmark
0 %</a:t>
                    </a:r>
                    <a:endParaRPr lang="en-US"/>
                  </a:p>
                </c:rich>
              </c:tx>
              <c:dLblPos val="bestFit"/>
              <c:showLegendKey val="0"/>
              <c:showVal val="0"/>
              <c:showCatName val="1"/>
              <c:showSerName val="0"/>
              <c:showPercent val="1"/>
              <c:showBubbleSize val="0"/>
            </c:dLbl>
            <c:dLbl>
              <c:idx val="16"/>
              <c:layout>
                <c:manualLayout>
                  <c:x val="6.2456550687305913E-2"/>
                  <c:y val="0.2051398560537839"/>
                </c:manualLayout>
              </c:layout>
              <c:tx>
                <c:rich>
                  <a:bodyPr/>
                  <a:lstStyle/>
                  <a:p>
                    <a:r>
                      <a:rPr lang="en-US">
                        <a:latin typeface="Times New Roman" panose="02020603050405020304" pitchFamily="18" charset="0"/>
                        <a:cs typeface="Times New Roman" panose="02020603050405020304" pitchFamily="18" charset="0"/>
                      </a:rPr>
                      <a:t>Poland
0 %</a:t>
                    </a:r>
                    <a:endParaRPr lang="en-US"/>
                  </a:p>
                </c:rich>
              </c:tx>
              <c:dLblPos val="bestFit"/>
              <c:showLegendKey val="0"/>
              <c:showVal val="0"/>
              <c:showCatName val="1"/>
              <c:showSerName val="0"/>
              <c:showPercent val="1"/>
              <c:showBubbleSize val="0"/>
            </c:dLbl>
            <c:txPr>
              <a:bodyPr/>
              <a:lstStyle/>
              <a:p>
                <a:pPr>
                  <a:defRPr>
                    <a:latin typeface="Times New Roman" panose="02020603050405020304" pitchFamily="18" charset="0"/>
                    <a:cs typeface="Times New Roman" panose="02020603050405020304" pitchFamily="18" charset="0"/>
                  </a:defRPr>
                </a:pPr>
                <a:endParaRPr lang="en-US"/>
              </a:p>
            </c:txPr>
            <c:dLblPos val="bestFit"/>
            <c:showLegendKey val="0"/>
            <c:showVal val="0"/>
            <c:showCatName val="1"/>
            <c:showSerName val="0"/>
            <c:showPercent val="1"/>
            <c:showBubbleSize val="0"/>
            <c:showLeaderLines val="1"/>
          </c:dLbls>
          <c:cat>
            <c:strRef>
              <c:f>Plots!$B$434:$B$450</c:f>
              <c:strCache>
                <c:ptCount val="17"/>
                <c:pt idx="0">
                  <c:v>France</c:v>
                </c:pt>
                <c:pt idx="1">
                  <c:v>Germany</c:v>
                </c:pt>
                <c:pt idx="2">
                  <c:v>Sweden</c:v>
                </c:pt>
                <c:pt idx="3">
                  <c:v>UK</c:v>
                </c:pt>
                <c:pt idx="4">
                  <c:v>Spain</c:v>
                </c:pt>
                <c:pt idx="5">
                  <c:v>Belgium</c:v>
                </c:pt>
                <c:pt idx="6">
                  <c:v>Lithuania</c:v>
                </c:pt>
                <c:pt idx="7">
                  <c:v>Romania</c:v>
                </c:pt>
                <c:pt idx="8">
                  <c:v>Finland</c:v>
                </c:pt>
                <c:pt idx="9">
                  <c:v>Czech Republic</c:v>
                </c:pt>
                <c:pt idx="10">
                  <c:v>Slovakia</c:v>
                </c:pt>
                <c:pt idx="11">
                  <c:v>Hungary</c:v>
                </c:pt>
                <c:pt idx="12">
                  <c:v>Bulgaria</c:v>
                </c:pt>
                <c:pt idx="13">
                  <c:v>Slovenia</c:v>
                </c:pt>
                <c:pt idx="14">
                  <c:v>Italy</c:v>
                </c:pt>
                <c:pt idx="15">
                  <c:v>Denmark</c:v>
                </c:pt>
                <c:pt idx="16">
                  <c:v>Poland</c:v>
                </c:pt>
              </c:strCache>
            </c:strRef>
          </c:cat>
          <c:val>
            <c:numRef>
              <c:f>Plots!$C$434:$C$450</c:f>
              <c:numCache>
                <c:formatCode>0.00</c:formatCode>
                <c:ptCount val="17"/>
                <c:pt idx="0">
                  <c:v>14146</c:v>
                </c:pt>
                <c:pt idx="1">
                  <c:v>8397</c:v>
                </c:pt>
                <c:pt idx="2">
                  <c:v>6296</c:v>
                </c:pt>
                <c:pt idx="3">
                  <c:v>5329</c:v>
                </c:pt>
                <c:pt idx="4">
                  <c:v>4685</c:v>
                </c:pt>
                <c:pt idx="5">
                  <c:v>3302</c:v>
                </c:pt>
                <c:pt idx="6">
                  <c:v>2415.9520000000002</c:v>
                </c:pt>
                <c:pt idx="7">
                  <c:v>2289.056</c:v>
                </c:pt>
                <c:pt idx="8">
                  <c:v>1933.9</c:v>
                </c:pt>
                <c:pt idx="9">
                  <c:v>1521.3</c:v>
                </c:pt>
                <c:pt idx="10">
                  <c:v>1505.28</c:v>
                </c:pt>
                <c:pt idx="11">
                  <c:v>1177.509</c:v>
                </c:pt>
                <c:pt idx="12">
                  <c:v>796.5</c:v>
                </c:pt>
                <c:pt idx="13">
                  <c:v>426</c:v>
                </c:pt>
                <c:pt idx="14">
                  <c:v>30.161999999999999</c:v>
                </c:pt>
                <c:pt idx="15">
                  <c:v>0.2379</c:v>
                </c:pt>
                <c:pt idx="16">
                  <c:v>2.3460000000000002E-2</c:v>
                </c:pt>
              </c:numCache>
            </c:numRef>
          </c:val>
        </c:ser>
        <c:dLbls>
          <c:dLblPos val="bestFit"/>
          <c:showLegendKey val="0"/>
          <c:showVal val="0"/>
          <c:showCatName val="1"/>
          <c:showSerName val="0"/>
          <c:showPercent val="1"/>
          <c:showBubbleSize val="0"/>
          <c:showLeaderLines val="1"/>
        </c:dLbls>
        <c:firstSliceAng val="114"/>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Plots!$A$483</c:f>
              <c:strCache>
                <c:ptCount val="1"/>
                <c:pt idx="0">
                  <c:v>SF</c:v>
                </c:pt>
              </c:strCache>
            </c:strRef>
          </c:tx>
          <c:invertIfNegative val="0"/>
          <c:cat>
            <c:numRef>
              <c:f>Plots!$B$482:$E$482</c:f>
              <c:numCache>
                <c:formatCode>General</c:formatCode>
                <c:ptCount val="4"/>
                <c:pt idx="0">
                  <c:v>2004</c:v>
                </c:pt>
                <c:pt idx="1">
                  <c:v>2007</c:v>
                </c:pt>
                <c:pt idx="2">
                  <c:v>2010</c:v>
                </c:pt>
                <c:pt idx="3">
                  <c:v>2013</c:v>
                </c:pt>
              </c:numCache>
            </c:numRef>
          </c:cat>
          <c:val>
            <c:numRef>
              <c:f>Plots!$B$483:$E$483</c:f>
              <c:numCache>
                <c:formatCode>General</c:formatCode>
                <c:ptCount val="4"/>
                <c:pt idx="0">
                  <c:v>38097.599999999999</c:v>
                </c:pt>
                <c:pt idx="1">
                  <c:v>44852.9</c:v>
                </c:pt>
                <c:pt idx="2">
                  <c:v>53298.899999999994</c:v>
                </c:pt>
                <c:pt idx="3">
                  <c:v>54250.920359999996</c:v>
                </c:pt>
              </c:numCache>
            </c:numRef>
          </c:val>
        </c:ser>
        <c:dLbls>
          <c:showLegendKey val="0"/>
          <c:showVal val="0"/>
          <c:showCatName val="0"/>
          <c:showSerName val="0"/>
          <c:showPercent val="0"/>
          <c:showBubbleSize val="0"/>
        </c:dLbls>
        <c:gapWidth val="150"/>
        <c:axId val="209547264"/>
        <c:axId val="209548800"/>
      </c:barChart>
      <c:catAx>
        <c:axId val="20954726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548800"/>
        <c:crosses val="autoZero"/>
        <c:auto val="1"/>
        <c:lblAlgn val="ctr"/>
        <c:lblOffset val="100"/>
        <c:noMultiLvlLbl val="0"/>
      </c:catAx>
      <c:valAx>
        <c:axId val="209548800"/>
        <c:scaling>
          <c:orientation val="minMax"/>
        </c:scaling>
        <c:delete val="0"/>
        <c:axPos val="l"/>
        <c:majorGridlines/>
        <c:title>
          <c:tx>
            <c:rich>
              <a:bodyPr rot="-5400000" vert="horz"/>
              <a:lstStyle/>
              <a:p>
                <a:pPr>
                  <a:defRPr/>
                </a:pPr>
                <a:r>
                  <a:rPr lang="en-GB"/>
                  <a:t>Mass of heavy metals, tHM</a:t>
                </a:r>
              </a:p>
            </c:rich>
          </c:tx>
          <c:layout>
            <c:manualLayout>
              <c:xMode val="edge"/>
              <c:yMode val="edge"/>
              <c:x val="1.7031630170316302E-2"/>
              <c:y val="0.24281334398417589"/>
            </c:manualLayout>
          </c:layout>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5472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08368845554901"/>
          <c:y val="0.12795514610977199"/>
          <c:w val="0.78091641665728095"/>
          <c:h val="0.86832433023062106"/>
        </c:manualLayout>
      </c:layout>
      <c:pieChart>
        <c:varyColors val="1"/>
        <c:ser>
          <c:idx val="0"/>
          <c:order val="0"/>
          <c:tx>
            <c:strRef>
              <c:f>Plots!$C$611</c:f>
              <c:strCache>
                <c:ptCount val="1"/>
                <c:pt idx="0">
                  <c:v>2013</c:v>
                </c:pt>
              </c:strCache>
            </c:strRef>
          </c:tx>
          <c:explosion val="26"/>
          <c:dPt>
            <c:idx val="0"/>
            <c:bubble3D val="0"/>
            <c:explosion val="12"/>
            <c:spPr>
              <a:solidFill>
                <a:schemeClr val="bg2">
                  <a:lumMod val="75000"/>
                </a:schemeClr>
              </a:solidFill>
            </c:spPr>
            <c:extLst xmlns:c16r2="http://schemas.microsoft.com/office/drawing/2015/06/chart">
              <c:ext xmlns:c16="http://schemas.microsoft.com/office/drawing/2014/chart" uri="{C3380CC4-5D6E-409C-BE32-E72D297353CC}">
                <c16:uniqueId val="{00000000-B51B-46D2-905A-5833F31EEDF2}"/>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1-B51B-46D2-905A-5833F31EEDF2}"/>
              </c:ext>
            </c:extLst>
          </c:dPt>
          <c:dLbls>
            <c:dLbl>
              <c:idx val="0"/>
              <c:layout>
                <c:manualLayout>
                  <c:x val="-0.16040067257217799"/>
                  <c:y val="0.142414470918408"/>
                </c:manualLayout>
              </c:layout>
              <c:tx>
                <c:rich>
                  <a:bodyPr/>
                  <a:lstStyle/>
                  <a:p>
                    <a:r>
                      <a:rPr lang="en-US"/>
                      <a:t>30 %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51B-46D2-905A-5833F31EEDF2}"/>
                </c:ext>
              </c:extLst>
            </c:dLbl>
            <c:dLbl>
              <c:idx val="1"/>
              <c:layout>
                <c:manualLayout>
                  <c:x val="0.22966835741285099"/>
                  <c:y val="-0.130572730860605"/>
                </c:manualLayout>
              </c:layout>
              <c:tx>
                <c:rich>
                  <a:bodyPr/>
                  <a:lstStyle/>
                  <a:p>
                    <a:r>
                      <a:rPr lang="en-US"/>
                      <a:t>70 %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51B-46D2-905A-5833F31EEDF2}"/>
                </c:ext>
              </c:extLst>
            </c:dLbl>
            <c:dLbl>
              <c:idx val="2"/>
              <c:layout>
                <c:manualLayout>
                  <c:x val="0.10190384552139201"/>
                  <c:y val="8.2906700619598095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51B-46D2-905A-5833F31EEDF2}"/>
                </c:ext>
              </c:extLst>
            </c:dLbl>
            <c:dLbl>
              <c:idx val="3"/>
              <c:layout>
                <c:manualLayout>
                  <c:x val="1.11114872135534E-2"/>
                  <c:y val="4.2037625456991801E-3"/>
                </c:manualLayout>
              </c:layout>
              <c:tx>
                <c:rich>
                  <a:bodyPr/>
                  <a:lstStyle/>
                  <a:p>
                    <a:r>
                      <a:rPr lang="en-US"/>
                      <a:t>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51B-46D2-905A-5833F31EEDF2}"/>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Plots!$B$612:$B$613</c:f>
              <c:strCache>
                <c:ptCount val="2"/>
                <c:pt idx="0">
                  <c:v>Stored</c:v>
                </c:pt>
                <c:pt idx="1">
                  <c:v>Disposed</c:v>
                </c:pt>
              </c:strCache>
            </c:strRef>
          </c:cat>
          <c:val>
            <c:numRef>
              <c:f>Plots!$C$612:$C$613</c:f>
              <c:numCache>
                <c:formatCode>General</c:formatCode>
                <c:ptCount val="2"/>
                <c:pt idx="0">
                  <c:v>970586.55900000012</c:v>
                </c:pt>
                <c:pt idx="1">
                  <c:v>2316174.7999999998</c:v>
                </c:pt>
              </c:numCache>
            </c:numRef>
          </c:val>
          <c:extLst xmlns:c16r2="http://schemas.microsoft.com/office/drawing/2015/06/chart">
            <c:ext xmlns:c16="http://schemas.microsoft.com/office/drawing/2014/chart" uri="{C3380CC4-5D6E-409C-BE32-E72D297353CC}">
              <c16:uniqueId val="{00000004-B51B-46D2-905A-5833F31EEDF2}"/>
            </c:ext>
          </c:extLst>
        </c:ser>
        <c:dLbls>
          <c:showLegendKey val="0"/>
          <c:showVal val="0"/>
          <c:showCatName val="0"/>
          <c:showSerName val="0"/>
          <c:showPercent val="0"/>
          <c:showBubbleSize val="0"/>
          <c:showLeaderLines val="1"/>
        </c:dLbls>
        <c:firstSliceAng val="0"/>
      </c:pieChart>
    </c:plotArea>
    <c:legend>
      <c:legendPos val="l"/>
      <c:legendEntry>
        <c:idx val="0"/>
        <c:txPr>
          <a:bodyPr/>
          <a:lstStyle/>
          <a:p>
            <a:pPr>
              <a:defRPr sz="1100">
                <a:latin typeface="Times New Roman" panose="02020603050405020304" pitchFamily="18" charset="0"/>
                <a:cs typeface="Times New Roman" panose="02020603050405020304" pitchFamily="18" charset="0"/>
              </a:defRPr>
            </a:pPr>
            <a:endParaRPr lang="en-US"/>
          </a:p>
        </c:txPr>
      </c:legendEntry>
      <c:legendEntry>
        <c:idx val="1"/>
        <c:txPr>
          <a:bodyPr/>
          <a:lstStyle/>
          <a:p>
            <a:pPr>
              <a:defRPr sz="1100">
                <a:latin typeface="Times New Roman" panose="02020603050405020304" pitchFamily="18" charset="0"/>
                <a:cs typeface="Times New Roman" panose="02020603050405020304" pitchFamily="18" charset="0"/>
              </a:defRPr>
            </a:pPr>
            <a:endParaRPr lang="en-US"/>
          </a:p>
        </c:txPr>
      </c:legendEntry>
      <c:layout>
        <c:manualLayout>
          <c:xMode val="edge"/>
          <c:yMode val="edge"/>
          <c:x val="3.6402842288064001E-2"/>
          <c:y val="6.0186253821481302E-2"/>
          <c:w val="0.30687432256521702"/>
          <c:h val="0.226457512411989"/>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0303268875104E-2"/>
          <c:y val="8.8266828745279399E-2"/>
          <c:w val="0.74794724254142797"/>
          <c:h val="0.87703787677017397"/>
        </c:manualLayout>
      </c:layout>
      <c:pieChart>
        <c:varyColors val="1"/>
        <c:ser>
          <c:idx val="0"/>
          <c:order val="0"/>
          <c:tx>
            <c:strRef>
              <c:f>Plots!$F$564</c:f>
              <c:strCache>
                <c:ptCount val="1"/>
                <c:pt idx="0">
                  <c:v>WD</c:v>
                </c:pt>
              </c:strCache>
            </c:strRef>
          </c:tx>
          <c:explosion val="26"/>
          <c:dLbls>
            <c:dLbl>
              <c:idx val="0"/>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B49-4ED0-84C0-E51B2CB30054}"/>
                </c:ext>
              </c:extLst>
            </c:dLbl>
            <c:dLbl>
              <c:idx val="1"/>
              <c:layout>
                <c:manualLayout>
                  <c:x val="4.6633839334293499E-2"/>
                  <c:y val="-0.17476072656276301"/>
                </c:manualLayout>
              </c:layout>
              <c:tx>
                <c:rich>
                  <a:bodyPr/>
                  <a:lstStyle/>
                  <a:p>
                    <a:r>
                      <a:rPr lang="en-US"/>
                      <a:t>74 %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B49-4ED0-84C0-E51B2CB30054}"/>
                </c:ext>
              </c:extLst>
            </c:dLbl>
            <c:dLbl>
              <c:idx val="2"/>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B49-4ED0-84C0-E51B2CB30054}"/>
                </c:ext>
              </c:extLst>
            </c:dLbl>
            <c:dLbl>
              <c:idx val="3"/>
              <c:layout>
                <c:manualLayout>
                  <c:x val="2.7572819148671398E-3"/>
                  <c:y val="1.31637434564246E-2"/>
                </c:manualLayout>
              </c:layout>
              <c:tx>
                <c:rich>
                  <a:bodyPr/>
                  <a:lstStyle/>
                  <a:p>
                    <a:r>
                      <a:rPr lang="en-US"/>
                      <a:t>0.2%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B49-4ED0-84C0-E51B2CB30054}"/>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Plots!$B$565:$B$568</c:f>
              <c:strCache>
                <c:ptCount val="4"/>
                <c:pt idx="0">
                  <c:v>VLLW</c:v>
                </c:pt>
                <c:pt idx="1">
                  <c:v>LLW</c:v>
                </c:pt>
                <c:pt idx="2">
                  <c:v>ILW</c:v>
                </c:pt>
                <c:pt idx="3">
                  <c:v>HLW</c:v>
                </c:pt>
              </c:strCache>
            </c:strRef>
          </c:cat>
          <c:val>
            <c:numRef>
              <c:f>Plots!$F$565:$F$568</c:f>
              <c:numCache>
                <c:formatCode>General</c:formatCode>
                <c:ptCount val="4"/>
                <c:pt idx="0">
                  <c:v>499891.34399999998</c:v>
                </c:pt>
                <c:pt idx="1">
                  <c:v>2443423.5019999999</c:v>
                </c:pt>
                <c:pt idx="2">
                  <c:v>337541.11300000001</c:v>
                </c:pt>
                <c:pt idx="3">
                  <c:v>5905.4</c:v>
                </c:pt>
              </c:numCache>
            </c:numRef>
          </c:val>
          <c:extLst xmlns:c16r2="http://schemas.microsoft.com/office/drawing/2015/06/chart">
            <c:ext xmlns:c16="http://schemas.microsoft.com/office/drawing/2014/chart" uri="{C3380CC4-5D6E-409C-BE32-E72D297353CC}">
              <c16:uniqueId val="{00000004-FB49-4ED0-84C0-E51B2CB3005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356080489938769"/>
          <c:y val="3.2638808266919699E-3"/>
          <c:w val="0.26604505427945768"/>
          <c:h val="0.55955778254990851"/>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863921894082"/>
          <c:y val="2.3289665211062592E-2"/>
          <c:w val="0.81681881667105238"/>
          <c:h val="0.87757888342559787"/>
        </c:manualLayout>
      </c:layout>
      <c:barChart>
        <c:barDir val="bar"/>
        <c:grouping val="stacked"/>
        <c:varyColors val="0"/>
        <c:ser>
          <c:idx val="0"/>
          <c:order val="0"/>
          <c:tx>
            <c:strRef>
              <c:f>Plots!$C$86</c:f>
              <c:strCache>
                <c:ptCount val="1"/>
                <c:pt idx="0">
                  <c:v>Stored</c:v>
                </c:pt>
              </c:strCache>
            </c:strRef>
          </c:tx>
          <c:invertIfNegative val="0"/>
          <c:cat>
            <c:strRef>
              <c:f>Plots!$B$87:$B$102</c:f>
              <c:strCache>
                <c:ptCount val="16"/>
                <c:pt idx="0">
                  <c:v>France</c:v>
                </c:pt>
                <c:pt idx="1">
                  <c:v>UK</c:v>
                </c:pt>
                <c:pt idx="2">
                  <c:v>Germany</c:v>
                </c:pt>
                <c:pt idx="3">
                  <c:v>Sweden</c:v>
                </c:pt>
                <c:pt idx="4">
                  <c:v>Spain</c:v>
                </c:pt>
                <c:pt idx="5">
                  <c:v>Lithuania</c:v>
                </c:pt>
                <c:pt idx="6">
                  <c:v>Italy</c:v>
                </c:pt>
                <c:pt idx="7">
                  <c:v>Bulgaria</c:v>
                </c:pt>
                <c:pt idx="8">
                  <c:v>Belgium</c:v>
                </c:pt>
                <c:pt idx="9">
                  <c:v>Slovakia</c:v>
                </c:pt>
                <c:pt idx="10">
                  <c:v>Hungary</c:v>
                </c:pt>
                <c:pt idx="11">
                  <c:v>Czech Republic</c:v>
                </c:pt>
                <c:pt idx="12">
                  <c:v>The Netherlands</c:v>
                </c:pt>
                <c:pt idx="13">
                  <c:v>Finland</c:v>
                </c:pt>
                <c:pt idx="14">
                  <c:v>Romania</c:v>
                </c:pt>
                <c:pt idx="15">
                  <c:v>Slovenia</c:v>
                </c:pt>
              </c:strCache>
            </c:strRef>
          </c:cat>
          <c:val>
            <c:numRef>
              <c:f>Plots!$C$87:$C$102</c:f>
              <c:numCache>
                <c:formatCode>General</c:formatCode>
                <c:ptCount val="16"/>
                <c:pt idx="0">
                  <c:v>398200</c:v>
                </c:pt>
                <c:pt idx="1">
                  <c:v>225620</c:v>
                </c:pt>
                <c:pt idx="2">
                  <c:v>156365</c:v>
                </c:pt>
                <c:pt idx="3">
                  <c:v>13016</c:v>
                </c:pt>
                <c:pt idx="4">
                  <c:v>16676</c:v>
                </c:pt>
                <c:pt idx="5">
                  <c:v>50877</c:v>
                </c:pt>
                <c:pt idx="6">
                  <c:v>41396</c:v>
                </c:pt>
                <c:pt idx="7">
                  <c:v>27710</c:v>
                </c:pt>
                <c:pt idx="8">
                  <c:v>21723</c:v>
                </c:pt>
                <c:pt idx="9">
                  <c:v>7075.2129999999997</c:v>
                </c:pt>
                <c:pt idx="10">
                  <c:v>11001</c:v>
                </c:pt>
                <c:pt idx="11">
                  <c:v>2761.2</c:v>
                </c:pt>
                <c:pt idx="12">
                  <c:v>11085.6</c:v>
                </c:pt>
                <c:pt idx="13">
                  <c:v>1876.9</c:v>
                </c:pt>
                <c:pt idx="14">
                  <c:v>1006.5</c:v>
                </c:pt>
                <c:pt idx="15">
                  <c:v>2343.6</c:v>
                </c:pt>
              </c:numCache>
            </c:numRef>
          </c:val>
          <c:extLst xmlns:c16r2="http://schemas.microsoft.com/office/drawing/2015/06/chart">
            <c:ext xmlns:c16="http://schemas.microsoft.com/office/drawing/2014/chart" uri="{C3380CC4-5D6E-409C-BE32-E72D297353CC}">
              <c16:uniqueId val="{00000000-6E0E-41D7-BD79-BC2B8D5CB6C2}"/>
            </c:ext>
          </c:extLst>
        </c:ser>
        <c:ser>
          <c:idx val="1"/>
          <c:order val="1"/>
          <c:tx>
            <c:strRef>
              <c:f>Plots!$D$86</c:f>
              <c:strCache>
                <c:ptCount val="1"/>
                <c:pt idx="0">
                  <c:v>Disposed</c:v>
                </c:pt>
              </c:strCache>
            </c:strRef>
          </c:tx>
          <c:invertIfNegative val="0"/>
          <c:cat>
            <c:strRef>
              <c:f>Plots!$B$87:$B$102</c:f>
              <c:strCache>
                <c:ptCount val="16"/>
                <c:pt idx="0">
                  <c:v>France</c:v>
                </c:pt>
                <c:pt idx="1">
                  <c:v>UK</c:v>
                </c:pt>
                <c:pt idx="2">
                  <c:v>Germany</c:v>
                </c:pt>
                <c:pt idx="3">
                  <c:v>Sweden</c:v>
                </c:pt>
                <c:pt idx="4">
                  <c:v>Spain</c:v>
                </c:pt>
                <c:pt idx="5">
                  <c:v>Lithuania</c:v>
                </c:pt>
                <c:pt idx="6">
                  <c:v>Italy</c:v>
                </c:pt>
                <c:pt idx="7">
                  <c:v>Bulgaria</c:v>
                </c:pt>
                <c:pt idx="8">
                  <c:v>Belgium</c:v>
                </c:pt>
                <c:pt idx="9">
                  <c:v>Slovakia</c:v>
                </c:pt>
                <c:pt idx="10">
                  <c:v>Hungary</c:v>
                </c:pt>
                <c:pt idx="11">
                  <c:v>Czech Republic</c:v>
                </c:pt>
                <c:pt idx="12">
                  <c:v>The Netherlands</c:v>
                </c:pt>
                <c:pt idx="13">
                  <c:v>Finland</c:v>
                </c:pt>
                <c:pt idx="14">
                  <c:v>Romania</c:v>
                </c:pt>
                <c:pt idx="15">
                  <c:v>Slovenia</c:v>
                </c:pt>
              </c:strCache>
            </c:strRef>
          </c:cat>
          <c:val>
            <c:numRef>
              <c:f>Plots!$D$87:$D$102</c:f>
              <c:numCache>
                <c:formatCode>General</c:formatCode>
                <c:ptCount val="16"/>
                <c:pt idx="0">
                  <c:v>1060000</c:v>
                </c:pt>
                <c:pt idx="1">
                  <c:v>1037600</c:v>
                </c:pt>
                <c:pt idx="2">
                  <c:v>83753</c:v>
                </c:pt>
                <c:pt idx="3">
                  <c:v>54612</c:v>
                </c:pt>
                <c:pt idx="4">
                  <c:v>38625</c:v>
                </c:pt>
                <c:pt idx="5">
                  <c:v>0</c:v>
                </c:pt>
                <c:pt idx="6">
                  <c:v>0</c:v>
                </c:pt>
                <c:pt idx="7">
                  <c:v>0</c:v>
                </c:pt>
                <c:pt idx="8">
                  <c:v>0</c:v>
                </c:pt>
                <c:pt idx="9">
                  <c:v>11860</c:v>
                </c:pt>
                <c:pt idx="10">
                  <c:v>5593</c:v>
                </c:pt>
                <c:pt idx="11">
                  <c:v>10834</c:v>
                </c:pt>
                <c:pt idx="12">
                  <c:v>0</c:v>
                </c:pt>
                <c:pt idx="13">
                  <c:v>7947.8</c:v>
                </c:pt>
                <c:pt idx="14">
                  <c:v>2130</c:v>
                </c:pt>
                <c:pt idx="15">
                  <c:v>0</c:v>
                </c:pt>
              </c:numCache>
            </c:numRef>
          </c:val>
          <c:extLst xmlns:c16r2="http://schemas.microsoft.com/office/drawing/2015/06/chart">
            <c:ext xmlns:c16="http://schemas.microsoft.com/office/drawing/2014/chart" uri="{C3380CC4-5D6E-409C-BE32-E72D297353CC}">
              <c16:uniqueId val="{00000001-6E0E-41D7-BD79-BC2B8D5CB6C2}"/>
            </c:ext>
          </c:extLst>
        </c:ser>
        <c:dLbls>
          <c:showLegendKey val="0"/>
          <c:showVal val="0"/>
          <c:showCatName val="0"/>
          <c:showSerName val="0"/>
          <c:showPercent val="0"/>
          <c:showBubbleSize val="0"/>
        </c:dLbls>
        <c:gapWidth val="150"/>
        <c:overlap val="100"/>
        <c:axId val="146099200"/>
        <c:axId val="146100992"/>
      </c:barChart>
      <c:catAx>
        <c:axId val="146099200"/>
        <c:scaling>
          <c:orientation val="minMax"/>
        </c:scaling>
        <c:delete val="0"/>
        <c:axPos val="l"/>
        <c:numFmt formatCode="General" sourceLinked="0"/>
        <c:majorTickMark val="out"/>
        <c:minorTickMark val="none"/>
        <c:tickLblPos val="nextTo"/>
        <c:crossAx val="146100992"/>
        <c:crosses val="autoZero"/>
        <c:auto val="1"/>
        <c:lblAlgn val="ctr"/>
        <c:lblOffset val="100"/>
        <c:noMultiLvlLbl val="0"/>
      </c:catAx>
      <c:valAx>
        <c:axId val="146100992"/>
        <c:scaling>
          <c:orientation val="minMax"/>
          <c:max val="1500000"/>
          <c:min val="0"/>
        </c:scaling>
        <c:delete val="0"/>
        <c:axPos val="b"/>
        <c:majorGridlines/>
        <c:title>
          <c:tx>
            <c:rich>
              <a:bodyPr/>
              <a:lstStyle/>
              <a:p>
                <a:pPr>
                  <a:defRPr/>
                </a:pPr>
                <a:r>
                  <a:rPr lang="en-GB"/>
                  <a:t>Volume, m3</a:t>
                </a:r>
              </a:p>
            </c:rich>
          </c:tx>
          <c:layout>
            <c:manualLayout>
              <c:xMode val="edge"/>
              <c:yMode val="edge"/>
              <c:x val="0.46294880877679501"/>
              <c:y val="0.95050946142649195"/>
            </c:manualLayout>
          </c:layout>
          <c:overlay val="0"/>
        </c:title>
        <c:numFmt formatCode="#\ ###\ ##0" sourceLinked="0"/>
        <c:majorTickMark val="out"/>
        <c:minorTickMark val="none"/>
        <c:tickLblPos val="nextTo"/>
        <c:crossAx val="146099200"/>
        <c:crosses val="autoZero"/>
        <c:crossBetween val="between"/>
        <c:majorUnit val="300000"/>
      </c:valAx>
    </c:plotArea>
    <c:legend>
      <c:legendPos val="r"/>
      <c:layout>
        <c:manualLayout>
          <c:xMode val="edge"/>
          <c:yMode val="edge"/>
          <c:x val="0.84231416445694929"/>
          <c:y val="0.37748787951724377"/>
          <c:w val="0.10627195379497871"/>
          <c:h val="0.1285759149101995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357613304166335E-3"/>
          <c:y val="1.7573348656077774E-2"/>
          <c:w val="0.74726040586765674"/>
          <c:h val="0.95181397299092241"/>
        </c:manualLayout>
      </c:layout>
      <c:pieChart>
        <c:varyColors val="1"/>
        <c:ser>
          <c:idx val="0"/>
          <c:order val="0"/>
          <c:dPt>
            <c:idx val="0"/>
            <c:bubble3D val="0"/>
          </c:dPt>
          <c:dPt>
            <c:idx val="1"/>
            <c:bubble3D val="0"/>
          </c:dPt>
          <c:dLbls>
            <c:dLbl>
              <c:idx val="0"/>
              <c:layout>
                <c:manualLayout>
                  <c:x val="-9.922101896872422E-2"/>
                  <c:y val="-0.19994993920536711"/>
                </c:manualLayout>
              </c:layout>
              <c:tx>
                <c:rich>
                  <a:bodyPr/>
                  <a:lstStyle/>
                  <a:p>
                    <a:r>
                      <a:rPr lang="en-US">
                        <a:latin typeface="Times New Roman" panose="02020603050405020304" pitchFamily="18" charset="0"/>
                        <a:cs typeface="Times New Roman" panose="02020603050405020304" pitchFamily="18" charset="0"/>
                      </a:rPr>
                      <a:t>France 44.2 %</a:t>
                    </a:r>
                    <a:endParaRPr lang="en-US"/>
                  </a:p>
                </c:rich>
              </c:tx>
              <c:dLblPos val="bestFit"/>
              <c:showLegendKey val="0"/>
              <c:showVal val="0"/>
              <c:showCatName val="1"/>
              <c:showSerName val="0"/>
              <c:showPercent val="1"/>
              <c:showBubbleSize val="0"/>
              <c:separator> </c:separator>
            </c:dLbl>
            <c:dLbl>
              <c:idx val="1"/>
              <c:layout>
                <c:manualLayout>
                  <c:x val="0.16933530341120456"/>
                  <c:y val="0.18040743018890765"/>
                </c:manualLayout>
              </c:layout>
              <c:tx>
                <c:rich>
                  <a:bodyPr/>
                  <a:lstStyle/>
                  <a:p>
                    <a:r>
                      <a:rPr lang="en-US">
                        <a:latin typeface="Times New Roman" panose="02020603050405020304" pitchFamily="18" charset="0"/>
                        <a:cs typeface="Times New Roman" panose="02020603050405020304" pitchFamily="18" charset="0"/>
                      </a:rPr>
                      <a:t>UK 38.3 %</a:t>
                    </a:r>
                    <a:endParaRPr lang="en-US"/>
                  </a:p>
                </c:rich>
              </c:tx>
              <c:dLblPos val="bestFit"/>
              <c:showLegendKey val="0"/>
              <c:showVal val="0"/>
              <c:showCatName val="1"/>
              <c:showSerName val="0"/>
              <c:showPercent val="1"/>
              <c:showBubbleSize val="0"/>
              <c:separator> </c:separator>
            </c:dLbl>
            <c:dLbl>
              <c:idx val="2"/>
              <c:layout>
                <c:manualLayout>
                  <c:x val="-0.13825326511855407"/>
                  <c:y val="0.136999860231723"/>
                </c:manualLayout>
              </c:layout>
              <c:tx>
                <c:rich>
                  <a:bodyPr/>
                  <a:lstStyle/>
                  <a:p>
                    <a:r>
                      <a:rPr lang="en-US">
                        <a:latin typeface="Times New Roman" panose="02020603050405020304" pitchFamily="18" charset="0"/>
                        <a:cs typeface="Times New Roman" panose="02020603050405020304" pitchFamily="18" charset="0"/>
                      </a:rPr>
                      <a:t>Germany 7.3 %</a:t>
                    </a:r>
                    <a:endParaRPr lang="en-US"/>
                  </a:p>
                </c:rich>
              </c:tx>
              <c:dLblPos val="bestFit"/>
              <c:showLegendKey val="0"/>
              <c:showVal val="0"/>
              <c:showCatName val="1"/>
              <c:showSerName val="0"/>
              <c:showPercent val="1"/>
              <c:showBubbleSize val="0"/>
              <c:separator> </c:separator>
            </c:dLbl>
            <c:dLbl>
              <c:idx val="3"/>
              <c:layout>
                <c:manualLayout>
                  <c:x val="9.9310622821361993E-2"/>
                  <c:y val="-0.17271298270036686"/>
                </c:manualLayout>
              </c:layout>
              <c:tx>
                <c:rich>
                  <a:bodyPr/>
                  <a:lstStyle/>
                  <a:p>
                    <a:r>
                      <a:rPr lang="en-US">
                        <a:latin typeface="Times New Roman" panose="02020603050405020304" pitchFamily="18" charset="0"/>
                        <a:cs typeface="Times New Roman" panose="02020603050405020304" pitchFamily="18" charset="0"/>
                      </a:rPr>
                      <a:t>Sweden 2.0 %</a:t>
                    </a:r>
                    <a:endParaRPr lang="en-US"/>
                  </a:p>
                </c:rich>
              </c:tx>
              <c:dLblPos val="bestFit"/>
              <c:showLegendKey val="0"/>
              <c:showVal val="0"/>
              <c:showCatName val="1"/>
              <c:showSerName val="0"/>
              <c:showPercent val="1"/>
              <c:showBubbleSize val="0"/>
              <c:separator> </c:separator>
            </c:dLbl>
            <c:dLbl>
              <c:idx val="4"/>
              <c:layout>
                <c:manualLayout>
                  <c:x val="8.067499415976144E-2"/>
                  <c:y val="-0.16872638157799336"/>
                </c:manualLayout>
              </c:layout>
              <c:tx>
                <c:rich>
                  <a:bodyPr/>
                  <a:lstStyle/>
                  <a:p>
                    <a:r>
                      <a:rPr lang="en-US">
                        <a:latin typeface="Times New Roman" panose="02020603050405020304" pitchFamily="18" charset="0"/>
                        <a:cs typeface="Times New Roman" panose="02020603050405020304" pitchFamily="18" charset="0"/>
                      </a:rPr>
                      <a:t>Spain 1.7</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separator> </c:separator>
            </c:dLbl>
            <c:dLbl>
              <c:idx val="5"/>
              <c:layout>
                <c:manualLayout>
                  <c:x val="6.2640323626939692E-2"/>
                  <c:y val="-0.16317717958579259"/>
                </c:manualLayout>
              </c:layout>
              <c:tx>
                <c:rich>
                  <a:bodyPr/>
                  <a:lstStyle/>
                  <a:p>
                    <a:r>
                      <a:rPr lang="en-US">
                        <a:latin typeface="Times New Roman" panose="02020603050405020304" pitchFamily="18" charset="0"/>
                        <a:cs typeface="Times New Roman" panose="02020603050405020304" pitchFamily="18" charset="0"/>
                      </a:rPr>
                      <a:t>Lithuania 1.5 %</a:t>
                    </a:r>
                    <a:endParaRPr lang="en-US"/>
                  </a:p>
                </c:rich>
              </c:tx>
              <c:dLblPos val="bestFit"/>
              <c:showLegendKey val="0"/>
              <c:showVal val="0"/>
              <c:showCatName val="1"/>
              <c:showSerName val="0"/>
              <c:showPercent val="1"/>
              <c:showBubbleSize val="0"/>
              <c:separator> </c:separator>
            </c:dLbl>
            <c:dLbl>
              <c:idx val="6"/>
              <c:layout>
                <c:manualLayout>
                  <c:x val="5.434596683763393E-2"/>
                  <c:y val="-0.15020910430458886"/>
                </c:manualLayout>
              </c:layout>
              <c:tx>
                <c:rich>
                  <a:bodyPr/>
                  <a:lstStyle/>
                  <a:p>
                    <a:r>
                      <a:rPr lang="en-US">
                        <a:latin typeface="Times New Roman" panose="02020603050405020304" pitchFamily="18" charset="0"/>
                        <a:cs typeface="Times New Roman" panose="02020603050405020304" pitchFamily="18" charset="0"/>
                      </a:rPr>
                      <a:t>Italy 1.3 %</a:t>
                    </a:r>
                    <a:endParaRPr lang="en-US"/>
                  </a:p>
                </c:rich>
              </c:tx>
              <c:dLblPos val="bestFit"/>
              <c:showLegendKey val="0"/>
              <c:showVal val="0"/>
              <c:showCatName val="1"/>
              <c:showSerName val="0"/>
              <c:showPercent val="1"/>
              <c:showBubbleSize val="0"/>
              <c:separator> </c:separator>
            </c:dLbl>
            <c:dLbl>
              <c:idx val="7"/>
              <c:layout>
                <c:manualLayout>
                  <c:x val="4.4226708115739449E-2"/>
                  <c:y val="-0.12228468148819414"/>
                </c:manualLayout>
              </c:layout>
              <c:tx>
                <c:rich>
                  <a:bodyPr/>
                  <a:lstStyle/>
                  <a:p>
                    <a:r>
                      <a:rPr lang="en-US">
                        <a:latin typeface="Times New Roman" panose="02020603050405020304" pitchFamily="18" charset="0"/>
                        <a:cs typeface="Times New Roman" panose="02020603050405020304" pitchFamily="18" charset="0"/>
                      </a:rPr>
                      <a:t>Bulgaria 0.8</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separator> </c:separator>
            </c:dLbl>
            <c:dLbl>
              <c:idx val="8"/>
              <c:layout>
                <c:manualLayout>
                  <c:x val="3.9178195272754526E-2"/>
                  <c:y val="-8.6172623870777371E-2"/>
                </c:manualLayout>
              </c:layout>
              <c:tx>
                <c:rich>
                  <a:bodyPr/>
                  <a:lstStyle/>
                  <a:p>
                    <a:r>
                      <a:rPr lang="en-US">
                        <a:latin typeface="Times New Roman" panose="02020603050405020304" pitchFamily="18" charset="0"/>
                        <a:cs typeface="Times New Roman" panose="02020603050405020304" pitchFamily="18" charset="0"/>
                      </a:rPr>
                      <a:t>Belgium 0.7</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separator> </c:separator>
            </c:dLbl>
            <c:dLbl>
              <c:idx val="9"/>
              <c:layout>
                <c:manualLayout>
                  <c:x val="3.7948385648503592E-2"/>
                  <c:y val="-4.3736280099281155E-2"/>
                </c:manualLayout>
              </c:layout>
              <c:tx>
                <c:rich>
                  <a:bodyPr/>
                  <a:lstStyle/>
                  <a:p>
                    <a:r>
                      <a:rPr lang="en-US">
                        <a:latin typeface="Times New Roman" panose="02020603050405020304" pitchFamily="18" charset="0"/>
                        <a:cs typeface="Times New Roman" panose="02020603050405020304" pitchFamily="18" charset="0"/>
                      </a:rPr>
                      <a:t>Slovakia 0.6</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1"/>
              <c:showSerName val="0"/>
              <c:showPercent val="1"/>
              <c:showBubbleSize val="0"/>
              <c:separator> </c:separator>
            </c:dLbl>
            <c:dLbl>
              <c:idx val="10"/>
              <c:layout>
                <c:manualLayout>
                  <c:x val="3.9444095210466164E-2"/>
                  <c:y val="-1.2633499258680021E-2"/>
                </c:manualLayout>
              </c:layout>
              <c:tx>
                <c:rich>
                  <a:bodyPr/>
                  <a:lstStyle/>
                  <a:p>
                    <a:r>
                      <a:rPr lang="en-US">
                        <a:latin typeface="Times New Roman" panose="02020603050405020304" pitchFamily="18" charset="0"/>
                        <a:cs typeface="Times New Roman" panose="02020603050405020304" pitchFamily="18" charset="0"/>
                      </a:rPr>
                      <a:t>Hungary 0.5 %</a:t>
                    </a:r>
                    <a:endParaRPr lang="en-US"/>
                  </a:p>
                </c:rich>
              </c:tx>
              <c:dLblPos val="bestFit"/>
              <c:showLegendKey val="0"/>
              <c:showVal val="0"/>
              <c:showCatName val="1"/>
              <c:showSerName val="0"/>
              <c:showPercent val="1"/>
              <c:showBubbleSize val="0"/>
              <c:separator> </c:separator>
            </c:dLbl>
            <c:dLbl>
              <c:idx val="11"/>
              <c:layout>
                <c:manualLayout>
                  <c:x val="3.6542578774511822E-2"/>
                  <c:y val="4.4434970490567133E-2"/>
                </c:manualLayout>
              </c:layout>
              <c:tx>
                <c:rich>
                  <a:bodyPr/>
                  <a:lstStyle/>
                  <a:p>
                    <a:r>
                      <a:rPr lang="en-US">
                        <a:latin typeface="Times New Roman" panose="02020603050405020304" pitchFamily="18" charset="0"/>
                        <a:cs typeface="Times New Roman" panose="02020603050405020304" pitchFamily="18" charset="0"/>
                      </a:rPr>
                      <a:t>Czech Republic </a:t>
                    </a:r>
                    <a:br>
                      <a:rPr lang="en-US">
                        <a:latin typeface="Times New Roman" panose="02020603050405020304" pitchFamily="18" charset="0"/>
                        <a:cs typeface="Times New Roman" panose="02020603050405020304" pitchFamily="18" charset="0"/>
                      </a:rPr>
                    </a:br>
                    <a:r>
                      <a:rPr lang="en-US">
                        <a:latin typeface="Times New Roman" panose="02020603050405020304" pitchFamily="18" charset="0"/>
                        <a:cs typeface="Times New Roman" panose="02020603050405020304" pitchFamily="18" charset="0"/>
                      </a:rPr>
                      <a:t>0.4 %</a:t>
                    </a:r>
                    <a:endParaRPr lang="en-US"/>
                  </a:p>
                </c:rich>
              </c:tx>
              <c:dLblPos val="bestFit"/>
              <c:showLegendKey val="0"/>
              <c:showVal val="0"/>
              <c:showCatName val="1"/>
              <c:showSerName val="0"/>
              <c:showPercent val="1"/>
              <c:showBubbleSize val="0"/>
              <c:separator> </c:separator>
            </c:dLbl>
            <c:dLbl>
              <c:idx val="12"/>
              <c:layout>
                <c:manualLayout>
                  <c:x val="4.0828959989834643E-2"/>
                  <c:y val="0.10862280479550426"/>
                </c:manualLayout>
              </c:layout>
              <c:tx>
                <c:rich>
                  <a:bodyPr/>
                  <a:lstStyle/>
                  <a:p>
                    <a:r>
                      <a:rPr lang="en-US">
                        <a:latin typeface="Times New Roman" panose="02020603050405020304" pitchFamily="18" charset="0"/>
                        <a:cs typeface="Times New Roman" panose="02020603050405020304" pitchFamily="18" charset="0"/>
                      </a:rPr>
                      <a:t>The Netherlands 0.3 %</a:t>
                    </a:r>
                    <a:endParaRPr lang="en-US"/>
                  </a:p>
                </c:rich>
              </c:tx>
              <c:dLblPos val="bestFit"/>
              <c:showLegendKey val="0"/>
              <c:showVal val="0"/>
              <c:showCatName val="1"/>
              <c:showSerName val="0"/>
              <c:showPercent val="1"/>
              <c:showBubbleSize val="0"/>
              <c:separator> </c:separator>
            </c:dLbl>
            <c:dLbl>
              <c:idx val="13"/>
              <c:layout>
                <c:manualLayout>
                  <c:x val="4.9441134213659622E-2"/>
                  <c:y val="0.15930198069325727"/>
                </c:manualLayout>
              </c:layout>
              <c:tx>
                <c:rich>
                  <a:bodyPr/>
                  <a:lstStyle/>
                  <a:p>
                    <a:r>
                      <a:rPr lang="en-US">
                        <a:latin typeface="Times New Roman" panose="02020603050405020304" pitchFamily="18" charset="0"/>
                        <a:cs typeface="Times New Roman" panose="02020603050405020304" pitchFamily="18" charset="0"/>
                      </a:rPr>
                      <a:t>Finland 0.3 %</a:t>
                    </a:r>
                    <a:endParaRPr lang="en-US"/>
                  </a:p>
                </c:rich>
              </c:tx>
              <c:dLblPos val="bestFit"/>
              <c:showLegendKey val="0"/>
              <c:showVal val="0"/>
              <c:showCatName val="1"/>
              <c:showSerName val="0"/>
              <c:showPercent val="1"/>
              <c:showBubbleSize val="0"/>
              <c:separator> </c:separator>
            </c:dLbl>
            <c:dLbl>
              <c:idx val="14"/>
              <c:layout>
                <c:manualLayout>
                  <c:x val="5.1730353643480484E-2"/>
                  <c:y val="0.20598665809421238"/>
                </c:manualLayout>
              </c:layout>
              <c:tx>
                <c:rich>
                  <a:bodyPr/>
                  <a:lstStyle/>
                  <a:p>
                    <a:r>
                      <a:rPr lang="en-US">
                        <a:latin typeface="Times New Roman" panose="02020603050405020304" pitchFamily="18" charset="0"/>
                        <a:cs typeface="Times New Roman" panose="02020603050405020304" pitchFamily="18" charset="0"/>
                      </a:rPr>
                      <a:t>Romania 0.1 %</a:t>
                    </a:r>
                    <a:endParaRPr lang="en-US"/>
                  </a:p>
                </c:rich>
              </c:tx>
              <c:dLblPos val="bestFit"/>
              <c:showLegendKey val="0"/>
              <c:showVal val="0"/>
              <c:showCatName val="1"/>
              <c:showSerName val="0"/>
              <c:showPercent val="1"/>
              <c:showBubbleSize val="0"/>
              <c:separator> </c:separator>
            </c:dLbl>
            <c:dLbl>
              <c:idx val="15"/>
              <c:layout>
                <c:manualLayout>
                  <c:x val="4.5519635233582594E-2"/>
                  <c:y val="0.26955990899470034"/>
                </c:manualLayout>
              </c:layout>
              <c:tx>
                <c:rich>
                  <a:bodyPr/>
                  <a:lstStyle/>
                  <a:p>
                    <a:r>
                      <a:rPr lang="en-US">
                        <a:latin typeface="Times New Roman" panose="02020603050405020304" pitchFamily="18" charset="0"/>
                        <a:cs typeface="Times New Roman" panose="02020603050405020304" pitchFamily="18" charset="0"/>
                      </a:rPr>
                      <a:t>Slovenia 0.1 %</a:t>
                    </a:r>
                    <a:endParaRPr lang="en-US"/>
                  </a:p>
                </c:rich>
              </c:tx>
              <c:dLblPos val="bestFit"/>
              <c:showLegendKey val="0"/>
              <c:showVal val="0"/>
              <c:showCatName val="1"/>
              <c:showSerName val="0"/>
              <c:showPercent val="1"/>
              <c:showBubbleSize val="0"/>
              <c:separator> </c:separator>
            </c:dLbl>
            <c:txPr>
              <a:bodyPr/>
              <a:lstStyle/>
              <a:p>
                <a:pPr>
                  <a:defRPr>
                    <a:latin typeface="Times New Roman" panose="02020603050405020304" pitchFamily="18" charset="0"/>
                    <a:cs typeface="Times New Roman" panose="02020603050405020304" pitchFamily="18" charset="0"/>
                  </a:defRPr>
                </a:pPr>
                <a:endParaRPr lang="en-US"/>
              </a:p>
            </c:txPr>
            <c:dLblPos val="bestFit"/>
            <c:showLegendKey val="0"/>
            <c:showVal val="0"/>
            <c:showCatName val="1"/>
            <c:showSerName val="0"/>
            <c:showPercent val="1"/>
            <c:showBubbleSize val="0"/>
            <c:separator> </c:separator>
            <c:showLeaderLines val="1"/>
          </c:dLbls>
          <c:cat>
            <c:strRef>
              <c:f>Plots!$B$87:$B$102</c:f>
              <c:strCache>
                <c:ptCount val="16"/>
                <c:pt idx="0">
                  <c:v>France</c:v>
                </c:pt>
                <c:pt idx="1">
                  <c:v>UK</c:v>
                </c:pt>
                <c:pt idx="2">
                  <c:v>Germany</c:v>
                </c:pt>
                <c:pt idx="3">
                  <c:v>Sweden</c:v>
                </c:pt>
                <c:pt idx="4">
                  <c:v>Spain</c:v>
                </c:pt>
                <c:pt idx="5">
                  <c:v>Lithuania</c:v>
                </c:pt>
                <c:pt idx="6">
                  <c:v>Italy</c:v>
                </c:pt>
                <c:pt idx="7">
                  <c:v>Bulgaria</c:v>
                </c:pt>
                <c:pt idx="8">
                  <c:v>Belgium</c:v>
                </c:pt>
                <c:pt idx="9">
                  <c:v>Slovakia</c:v>
                </c:pt>
                <c:pt idx="10">
                  <c:v>Hungary</c:v>
                </c:pt>
                <c:pt idx="11">
                  <c:v>Czech Republic</c:v>
                </c:pt>
                <c:pt idx="12">
                  <c:v>The Netherlands</c:v>
                </c:pt>
                <c:pt idx="13">
                  <c:v>Finland</c:v>
                </c:pt>
                <c:pt idx="14">
                  <c:v>Romania</c:v>
                </c:pt>
                <c:pt idx="15">
                  <c:v>Slovenia</c:v>
                </c:pt>
              </c:strCache>
            </c:strRef>
          </c:cat>
          <c:val>
            <c:numRef>
              <c:f>Plots!$G$87:$G$102</c:f>
              <c:numCache>
                <c:formatCode>0.0%</c:formatCode>
                <c:ptCount val="16"/>
                <c:pt idx="0">
                  <c:v>0.44165290075533853</c:v>
                </c:pt>
                <c:pt idx="1">
                  <c:v>0.38259825626948207</c:v>
                </c:pt>
                <c:pt idx="2">
                  <c:v>7.272583405813357E-2</c:v>
                </c:pt>
                <c:pt idx="3">
                  <c:v>2.0482857202223315E-2</c:v>
                </c:pt>
                <c:pt idx="4">
                  <c:v>1.6749312210033587E-2</c:v>
                </c:pt>
                <c:pt idx="5">
                  <c:v>1.5409391463262487E-2</c:v>
                </c:pt>
                <c:pt idx="6">
                  <c:v>1.253782984478672E-2</c:v>
                </c:pt>
                <c:pt idx="7">
                  <c:v>8.3926771910097595E-3</c:v>
                </c:pt>
                <c:pt idx="8">
                  <c:v>6.5793622021041139E-3</c:v>
                </c:pt>
                <c:pt idx="9">
                  <c:v>5.735010113749963E-3</c:v>
                </c:pt>
                <c:pt idx="10">
                  <c:v>5.0259143019709832E-3</c:v>
                </c:pt>
                <c:pt idx="11">
                  <c:v>4.1176515679255104E-3</c:v>
                </c:pt>
                <c:pt idx="12">
                  <c:v>3.3575554770356474E-3</c:v>
                </c:pt>
                <c:pt idx="13">
                  <c:v>2.9756598916821937E-3</c:v>
                </c:pt>
                <c:pt idx="14">
                  <c:v>9.4996867591490839E-4</c:v>
                </c:pt>
                <c:pt idx="15">
                  <c:v>7.0981877534646235E-4</c:v>
                </c:pt>
              </c:numCache>
            </c:numRef>
          </c:val>
        </c:ser>
        <c:dLbls>
          <c:showLegendKey val="0"/>
          <c:showVal val="0"/>
          <c:showCatName val="1"/>
          <c:showSerName val="0"/>
          <c:showPercent val="1"/>
          <c:showBubbleSize val="0"/>
          <c:showLeaderLines val="1"/>
        </c:dLbls>
        <c:firstSliceAng val="9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48716339763443"/>
          <c:y val="2.6856970402527238E-2"/>
          <c:w val="0.82966905488185883"/>
          <c:h val="0.8652779343475272"/>
        </c:manualLayout>
      </c:layout>
      <c:barChart>
        <c:barDir val="bar"/>
        <c:grouping val="stacked"/>
        <c:varyColors val="0"/>
        <c:ser>
          <c:idx val="0"/>
          <c:order val="0"/>
          <c:tx>
            <c:strRef>
              <c:f>Plots!$C$143</c:f>
              <c:strCache>
                <c:ptCount val="1"/>
                <c:pt idx="0">
                  <c:v>Stored</c:v>
                </c:pt>
              </c:strCache>
            </c:strRef>
          </c:tx>
          <c:invertIfNegative val="0"/>
          <c:cat>
            <c:strRef>
              <c:f>Plots!$B$144:$B$155</c:f>
              <c:strCache>
                <c:ptCount val="12"/>
                <c:pt idx="0">
                  <c:v>Poland</c:v>
                </c:pt>
                <c:pt idx="1">
                  <c:v>Austria</c:v>
                </c:pt>
                <c:pt idx="2">
                  <c:v>Denmark</c:v>
                </c:pt>
                <c:pt idx="3">
                  <c:v>Estonia</c:v>
                </c:pt>
                <c:pt idx="4">
                  <c:v>Latvia</c:v>
                </c:pt>
                <c:pt idx="5">
                  <c:v>Portugal</c:v>
                </c:pt>
                <c:pt idx="6">
                  <c:v>Greece</c:v>
                </c:pt>
                <c:pt idx="7">
                  <c:v>Ireland</c:v>
                </c:pt>
                <c:pt idx="8">
                  <c:v>Croatia</c:v>
                </c:pt>
                <c:pt idx="9">
                  <c:v>Cyprus</c:v>
                </c:pt>
                <c:pt idx="10">
                  <c:v>Luxembourg</c:v>
                </c:pt>
                <c:pt idx="11">
                  <c:v>Malta</c:v>
                </c:pt>
              </c:strCache>
            </c:strRef>
          </c:cat>
          <c:val>
            <c:numRef>
              <c:f>Plots!$C$144:$C$155</c:f>
              <c:numCache>
                <c:formatCode>General</c:formatCode>
                <c:ptCount val="12"/>
                <c:pt idx="0">
                  <c:v>1385</c:v>
                </c:pt>
                <c:pt idx="1">
                  <c:v>2300</c:v>
                </c:pt>
                <c:pt idx="2">
                  <c:v>2046</c:v>
                </c:pt>
                <c:pt idx="3">
                  <c:v>1925.5</c:v>
                </c:pt>
                <c:pt idx="4">
                  <c:v>72.5</c:v>
                </c:pt>
                <c:pt idx="5">
                  <c:v>0</c:v>
                </c:pt>
                <c:pt idx="6">
                  <c:v>50.546000000000006</c:v>
                </c:pt>
                <c:pt idx="7">
                  <c:v>30</c:v>
                </c:pt>
                <c:pt idx="8">
                  <c:v>12.5</c:v>
                </c:pt>
                <c:pt idx="9">
                  <c:v>0</c:v>
                </c:pt>
                <c:pt idx="10">
                  <c:v>0</c:v>
                </c:pt>
                <c:pt idx="11">
                  <c:v>0</c:v>
                </c:pt>
              </c:numCache>
            </c:numRef>
          </c:val>
          <c:extLst xmlns:c16r2="http://schemas.microsoft.com/office/drawing/2015/06/chart">
            <c:ext xmlns:c16="http://schemas.microsoft.com/office/drawing/2014/chart" uri="{C3380CC4-5D6E-409C-BE32-E72D297353CC}">
              <c16:uniqueId val="{00000000-A0B2-4152-A1C3-818D4CB2EBF8}"/>
            </c:ext>
          </c:extLst>
        </c:ser>
        <c:ser>
          <c:idx val="1"/>
          <c:order val="1"/>
          <c:tx>
            <c:strRef>
              <c:f>Plots!$D$143</c:f>
              <c:strCache>
                <c:ptCount val="1"/>
                <c:pt idx="0">
                  <c:v>Disposed</c:v>
                </c:pt>
              </c:strCache>
            </c:strRef>
          </c:tx>
          <c:invertIfNegative val="0"/>
          <c:cat>
            <c:strRef>
              <c:f>Plots!$B$144:$B$155</c:f>
              <c:strCache>
                <c:ptCount val="12"/>
                <c:pt idx="0">
                  <c:v>Poland</c:v>
                </c:pt>
                <c:pt idx="1">
                  <c:v>Austria</c:v>
                </c:pt>
                <c:pt idx="2">
                  <c:v>Denmark</c:v>
                </c:pt>
                <c:pt idx="3">
                  <c:v>Estonia</c:v>
                </c:pt>
                <c:pt idx="4">
                  <c:v>Latvia</c:v>
                </c:pt>
                <c:pt idx="5">
                  <c:v>Portugal</c:v>
                </c:pt>
                <c:pt idx="6">
                  <c:v>Greece</c:v>
                </c:pt>
                <c:pt idx="7">
                  <c:v>Ireland</c:v>
                </c:pt>
                <c:pt idx="8">
                  <c:v>Croatia</c:v>
                </c:pt>
                <c:pt idx="9">
                  <c:v>Cyprus</c:v>
                </c:pt>
                <c:pt idx="10">
                  <c:v>Luxembourg</c:v>
                </c:pt>
                <c:pt idx="11">
                  <c:v>Malta</c:v>
                </c:pt>
              </c:strCache>
            </c:strRef>
          </c:cat>
          <c:val>
            <c:numRef>
              <c:f>Plots!$D$144:$D$155</c:f>
              <c:numCache>
                <c:formatCode>General</c:formatCode>
                <c:ptCount val="12"/>
                <c:pt idx="0">
                  <c:v>2402</c:v>
                </c:pt>
                <c:pt idx="1">
                  <c:v>0</c:v>
                </c:pt>
                <c:pt idx="2">
                  <c:v>0</c:v>
                </c:pt>
                <c:pt idx="3">
                  <c:v>0</c:v>
                </c:pt>
                <c:pt idx="4">
                  <c:v>818</c:v>
                </c:pt>
                <c:pt idx="5">
                  <c:v>265</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A0B2-4152-A1C3-818D4CB2EBF8}"/>
            </c:ext>
          </c:extLst>
        </c:ser>
        <c:dLbls>
          <c:showLegendKey val="0"/>
          <c:showVal val="0"/>
          <c:showCatName val="0"/>
          <c:showSerName val="0"/>
          <c:showPercent val="0"/>
          <c:showBubbleSize val="0"/>
        </c:dLbls>
        <c:gapWidth val="150"/>
        <c:overlap val="100"/>
        <c:axId val="147890944"/>
        <c:axId val="147892480"/>
      </c:barChart>
      <c:catAx>
        <c:axId val="147890944"/>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47892480"/>
        <c:crosses val="autoZero"/>
        <c:auto val="1"/>
        <c:lblAlgn val="ctr"/>
        <c:lblOffset val="100"/>
        <c:noMultiLvlLbl val="0"/>
      </c:catAx>
      <c:valAx>
        <c:axId val="147892480"/>
        <c:scaling>
          <c:orientation val="minMax"/>
          <c:min val="0"/>
        </c:scaling>
        <c:delete val="0"/>
        <c:axPos val="b"/>
        <c:majorGridlines/>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m</a:t>
                </a:r>
                <a:r>
                  <a:rPr lang="en-GB" baseline="30000">
                    <a:latin typeface="Times New Roman" panose="02020603050405020304" pitchFamily="18" charset="0"/>
                    <a:cs typeface="Times New Roman" panose="02020603050405020304" pitchFamily="18" charset="0"/>
                  </a:rPr>
                  <a:t>3</a:t>
                </a:r>
              </a:p>
            </c:rich>
          </c:tx>
          <c:layout>
            <c:manualLayout>
              <c:xMode val="edge"/>
              <c:yMode val="edge"/>
              <c:x val="0.46294880877679501"/>
              <c:y val="0.95050946142649195"/>
            </c:manualLayout>
          </c:layout>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47890944"/>
        <c:crosses val="autoZero"/>
        <c:crossBetween val="between"/>
      </c:valAx>
    </c:plotArea>
    <c:legend>
      <c:legendPos val="r"/>
      <c:layout>
        <c:manualLayout>
          <c:xMode val="edge"/>
          <c:yMode val="edge"/>
          <c:x val="0.8464713305067636"/>
          <c:y val="0.29942805226269792"/>
          <c:w val="0.12247610875563632"/>
          <c:h val="0.16504297162043235"/>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138917521159776E-2"/>
          <c:y val="3.7206335404999083E-2"/>
          <c:w val="0.62875139454522888"/>
          <c:h val="0.88945362423905827"/>
        </c:manualLayout>
      </c:layout>
      <c:pieChart>
        <c:varyColors val="1"/>
        <c:ser>
          <c:idx val="0"/>
          <c:order val="0"/>
          <c:tx>
            <c:strRef>
              <c:f>Plots!$E$437</c:f>
              <c:strCache>
                <c:ptCount val="1"/>
                <c:pt idx="0">
                  <c:v>Total</c:v>
                </c:pt>
              </c:strCache>
            </c:strRef>
          </c:tx>
          <c:dLbls>
            <c:dLbl>
              <c:idx val="0"/>
              <c:layout>
                <c:manualLayout>
                  <c:x val="-0.10851588207763758"/>
                  <c:y val="-0.22525723214682006"/>
                </c:manualLayout>
              </c:layout>
              <c:tx>
                <c:rich>
                  <a:bodyPr/>
                  <a:lstStyle/>
                  <a:p>
                    <a:r>
                      <a:rPr lang="en-US" sz="1200">
                        <a:latin typeface="Times New Roman" panose="02020603050405020304" pitchFamily="18" charset="0"/>
                        <a:cs typeface="Times New Roman" panose="02020603050405020304" pitchFamily="18" charset="0"/>
                      </a:rPr>
                      <a:t>Poland
33.5 %</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C0-4C4F-83CE-24F51BE31807}"/>
                </c:ext>
              </c:extLst>
            </c:dLbl>
            <c:dLbl>
              <c:idx val="1"/>
              <c:layout>
                <c:manualLayout>
                  <c:x val="0.1170242421085383"/>
                  <c:y val="-5.1214832231492431E-2"/>
                </c:manualLayout>
              </c:layout>
              <c:tx>
                <c:rich>
                  <a:bodyPr/>
                  <a:lstStyle/>
                  <a:p>
                    <a:r>
                      <a:rPr lang="en-US" sz="1200">
                        <a:latin typeface="Times New Roman" panose="02020603050405020304" pitchFamily="18" charset="0"/>
                        <a:cs typeface="Times New Roman" panose="02020603050405020304" pitchFamily="18" charset="0"/>
                      </a:rPr>
                      <a:t>Austria
20.3 %</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C0-4C4F-83CE-24F51BE31807}"/>
                </c:ext>
              </c:extLst>
            </c:dLbl>
            <c:dLbl>
              <c:idx val="2"/>
              <c:layout>
                <c:manualLayout>
                  <c:x val="0.14118600151124758"/>
                  <c:y val="0.195122006735095"/>
                </c:manualLayout>
              </c:layout>
              <c:tx>
                <c:rich>
                  <a:bodyPr/>
                  <a:lstStyle/>
                  <a:p>
                    <a:r>
                      <a:rPr lang="en-US" sz="1200">
                        <a:latin typeface="Times New Roman" panose="02020603050405020304" pitchFamily="18" charset="0"/>
                        <a:cs typeface="Times New Roman" panose="02020603050405020304" pitchFamily="18" charset="0"/>
                      </a:rPr>
                      <a:t>Denmark
18.1 %</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C0-4C4F-83CE-24F51BE31807}"/>
                </c:ext>
              </c:extLst>
            </c:dLbl>
            <c:dLbl>
              <c:idx val="3"/>
              <c:layout>
                <c:manualLayout>
                  <c:x val="-0.10915927853515581"/>
                  <c:y val="0.17886183950717041"/>
                </c:manualLayout>
              </c:layout>
              <c:tx>
                <c:rich>
                  <a:bodyPr/>
                  <a:lstStyle/>
                  <a:p>
                    <a:r>
                      <a:rPr lang="en-US" sz="1200">
                        <a:latin typeface="Times New Roman" panose="02020603050405020304" pitchFamily="18" charset="0"/>
                        <a:cs typeface="Times New Roman" panose="02020603050405020304" pitchFamily="18" charset="0"/>
                      </a:rPr>
                      <a:t>Estonia
17 %</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C0-4C4F-83CE-24F51BE31807}"/>
                </c:ext>
              </c:extLst>
            </c:dLbl>
            <c:dLbl>
              <c:idx val="4"/>
              <c:layout>
                <c:manualLayout>
                  <c:x val="-0.13819458006363974"/>
                  <c:y val="5.5177021012176204E-2"/>
                </c:manualLayout>
              </c:layout>
              <c:tx>
                <c:rich>
                  <a:bodyPr/>
                  <a:lstStyle/>
                  <a:p>
                    <a:r>
                      <a:rPr lang="en-US" sz="1200">
                        <a:latin typeface="Times New Roman" panose="02020603050405020304" pitchFamily="18" charset="0"/>
                        <a:cs typeface="Times New Roman" panose="02020603050405020304" pitchFamily="18" charset="0"/>
                      </a:rPr>
                      <a:t>Latvia
7.9</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C0-4C4F-83CE-24F51BE31807}"/>
                </c:ext>
              </c:extLst>
            </c:dLbl>
            <c:dLbl>
              <c:idx val="5"/>
              <c:layout>
                <c:manualLayout>
                  <c:x val="6.6442815337737951E-2"/>
                  <c:y val="-0.31486816180497762"/>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Portugal
2.3 %</a:t>
                    </a:r>
                    <a:endParaRPr lang="en-US" sz="1100"/>
                  </a:p>
                </c:rich>
              </c:tx>
              <c:spPr>
                <a:noFill/>
                <a:ln>
                  <a:noFill/>
                </a:ln>
                <a:effectLst/>
              </c:spPr>
              <c:showLegendKey val="0"/>
              <c:showVal val="0"/>
              <c:showCatName val="1"/>
              <c:showSerName val="0"/>
              <c:showPercent val="1"/>
              <c:showBubbleSize val="0"/>
            </c:dLbl>
            <c:dLbl>
              <c:idx val="6"/>
              <c:layout>
                <c:manualLayout>
                  <c:x val="7.4851404380204462E-2"/>
                  <c:y val="-0.22862762481492147"/>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Greece
0.4 %</a:t>
                    </a:r>
                    <a:endParaRPr lang="en-US" sz="110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4C0-4C4F-83CE-24F51BE31807}"/>
                </c:ext>
              </c:extLst>
            </c:dLbl>
            <c:dLbl>
              <c:idx val="7"/>
              <c:layout>
                <c:manualLayout>
                  <c:x val="7.6111045522260418E-2"/>
                  <c:y val="-0.10540002572036951"/>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Ireland
0.3 %</a:t>
                    </a:r>
                    <a:endParaRPr lang="en-US" sz="110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4C0-4C4F-83CE-24F51BE31807}"/>
                </c:ext>
              </c:extLst>
            </c:dLbl>
            <c:dLbl>
              <c:idx val="8"/>
              <c:layout>
                <c:manualLayout>
                  <c:x val="7.5149887873211252E-2"/>
                  <c:y val="1.417664255382718E-2"/>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Croatia
0.1 %</a:t>
                    </a:r>
                    <a:endParaRPr lang="en-US" sz="110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4C0-4C4F-83CE-24F51BE31807}"/>
                </c:ext>
              </c:extLst>
            </c:dLbl>
            <c:dLbl>
              <c:idx val="9"/>
              <c:layout>
                <c:manualLayout>
                  <c:x val="7.290232399111031E-2"/>
                  <c:y val="0.11810796008222549"/>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Cyprus
0 %</a:t>
                    </a:r>
                    <a:endParaRPr lang="en-US" sz="110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4C0-4C4F-83CE-24F51BE31807}"/>
                </c:ext>
              </c:extLst>
            </c:dLbl>
            <c:dLbl>
              <c:idx val="10"/>
              <c:layout>
                <c:manualLayout>
                  <c:x val="6.5968564274293387E-2"/>
                  <c:y val="0.2165722780587386"/>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Luxembourg
0 %</a:t>
                    </a:r>
                    <a:endParaRPr lang="en-US" sz="110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4C0-4C4F-83CE-24F51BE31807}"/>
                </c:ext>
              </c:extLst>
            </c:dLbl>
            <c:dLbl>
              <c:idx val="11"/>
              <c:layout>
                <c:manualLayout>
                  <c:x val="8.3521887350288107E-2"/>
                  <c:y val="0.3421368670379617"/>
                </c:manualLayout>
              </c:layout>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Malta
0 %</a:t>
                    </a:r>
                    <a:endParaRPr lang="en-US" sz="1100"/>
                  </a:p>
                </c:rich>
              </c:tx>
              <c:spPr>
                <a:noFill/>
                <a:ln>
                  <a:noFill/>
                </a:ln>
                <a:effectLst/>
              </c:spPr>
              <c:showLegendKey val="0"/>
              <c:showVal val="0"/>
              <c:showCatName val="1"/>
              <c:showSerName val="0"/>
              <c:showPercent val="1"/>
              <c:showBubbleSize val="0"/>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Plots!$B$438:$B$449</c:f>
              <c:strCache>
                <c:ptCount val="12"/>
                <c:pt idx="0">
                  <c:v>Poland</c:v>
                </c:pt>
                <c:pt idx="1">
                  <c:v>Austria</c:v>
                </c:pt>
                <c:pt idx="2">
                  <c:v>Denmark</c:v>
                </c:pt>
                <c:pt idx="3">
                  <c:v>Estonia</c:v>
                </c:pt>
                <c:pt idx="4">
                  <c:v>Latvia</c:v>
                </c:pt>
                <c:pt idx="5">
                  <c:v>Portugal</c:v>
                </c:pt>
                <c:pt idx="6">
                  <c:v>Greece</c:v>
                </c:pt>
                <c:pt idx="7">
                  <c:v>Ireland</c:v>
                </c:pt>
                <c:pt idx="8">
                  <c:v>Croatia</c:v>
                </c:pt>
                <c:pt idx="9">
                  <c:v>Cyprus</c:v>
                </c:pt>
                <c:pt idx="10">
                  <c:v>Luxembourg</c:v>
                </c:pt>
                <c:pt idx="11">
                  <c:v>Malta</c:v>
                </c:pt>
              </c:strCache>
            </c:strRef>
          </c:cat>
          <c:val>
            <c:numRef>
              <c:f>Plots!$E$438:$E$449</c:f>
              <c:numCache>
                <c:formatCode>General</c:formatCode>
                <c:ptCount val="12"/>
                <c:pt idx="0">
                  <c:v>3787</c:v>
                </c:pt>
                <c:pt idx="1">
                  <c:v>2300</c:v>
                </c:pt>
                <c:pt idx="2">
                  <c:v>2046</c:v>
                </c:pt>
                <c:pt idx="3">
                  <c:v>1925.5</c:v>
                </c:pt>
                <c:pt idx="4">
                  <c:v>890.5</c:v>
                </c:pt>
                <c:pt idx="5">
                  <c:v>265</c:v>
                </c:pt>
                <c:pt idx="6">
                  <c:v>50.546000000000006</c:v>
                </c:pt>
                <c:pt idx="7">
                  <c:v>30</c:v>
                </c:pt>
                <c:pt idx="8">
                  <c:v>12.5</c:v>
                </c:pt>
                <c:pt idx="9">
                  <c:v>0</c:v>
                </c:pt>
                <c:pt idx="10">
                  <c:v>0</c:v>
                </c:pt>
                <c:pt idx="11">
                  <c:v>0</c:v>
                </c:pt>
              </c:numCache>
            </c:numRef>
          </c:val>
          <c:extLst xmlns:c16r2="http://schemas.microsoft.com/office/drawing/2015/06/chart">
            <c:ext xmlns:c16="http://schemas.microsoft.com/office/drawing/2014/chart" uri="{C3380CC4-5D6E-409C-BE32-E72D297353CC}">
              <c16:uniqueId val="{0000000C-14C0-4C4F-83CE-24F51BE31807}"/>
            </c:ext>
          </c:extLst>
        </c:ser>
        <c:dLbls>
          <c:showLegendKey val="0"/>
          <c:showVal val="0"/>
          <c:showCatName val="1"/>
          <c:showSerName val="0"/>
          <c:showPercent val="1"/>
          <c:showBubbleSize val="0"/>
          <c:showLeaderLines val="1"/>
        </c:dLbls>
        <c:firstSliceAng val="10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704288407662"/>
          <c:y val="0.107360197038324"/>
          <c:w val="0.52649980411687303"/>
          <c:h val="0.87907832562381305"/>
        </c:manualLayout>
      </c:layout>
      <c:pieChart>
        <c:varyColors val="1"/>
        <c:ser>
          <c:idx val="0"/>
          <c:order val="0"/>
          <c:tx>
            <c:strRef>
              <c:f>Plots!$F$587</c:f>
              <c:strCache>
                <c:ptCount val="1"/>
                <c:pt idx="0">
                  <c:v>WD</c:v>
                </c:pt>
              </c:strCache>
            </c:strRef>
          </c:tx>
          <c:explosion val="26"/>
          <c:dLbls>
            <c:dLbl>
              <c:idx val="0"/>
              <c:layout>
                <c:manualLayout>
                  <c:x val="-9.2723975575479997E-2"/>
                  <c:y val="0.14819587587484701"/>
                </c:manualLayout>
              </c:layout>
              <c:tx>
                <c:rich>
                  <a:bodyPr/>
                  <a:lstStyle/>
                  <a:p>
                    <a:r>
                      <a:rPr lang="en-US">
                        <a:latin typeface="Times New Roman" panose="02020603050405020304" pitchFamily="18" charset="0"/>
                        <a:cs typeface="Times New Roman" panose="02020603050405020304" pitchFamily="18" charset="0"/>
                      </a:rPr>
                      <a:t>24 %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05-4334-B48C-AD2373E975CE}"/>
                </c:ext>
              </c:extLst>
            </c:dLbl>
            <c:dLbl>
              <c:idx val="1"/>
              <c:layout>
                <c:manualLayout>
                  <c:x val="-8.0377664976962304E-2"/>
                  <c:y val="-0.15844790574529199"/>
                </c:manualLayout>
              </c:layout>
              <c:tx>
                <c:rich>
                  <a:bodyPr/>
                  <a:lstStyle/>
                  <a:p>
                    <a:r>
                      <a:rPr lang="en-US">
                        <a:latin typeface="Times New Roman" panose="02020603050405020304" pitchFamily="18" charset="0"/>
                        <a:cs typeface="Times New Roman" panose="02020603050405020304" pitchFamily="18" charset="0"/>
                      </a:rPr>
                      <a:t>43 %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05-4334-B48C-AD2373E975CE}"/>
                </c:ext>
              </c:extLst>
            </c:dLbl>
            <c:dLbl>
              <c:idx val="2"/>
              <c:layout>
                <c:manualLayout>
                  <c:x val="0.10190384552139201"/>
                  <c:y val="8.2906700619598095E-2"/>
                </c:manualLayout>
              </c:layout>
              <c:tx>
                <c:rich>
                  <a:bodyPr/>
                  <a:lstStyle/>
                  <a:p>
                    <a:r>
                      <a:rPr lang="en-US">
                        <a:latin typeface="Times New Roman" panose="02020603050405020304" pitchFamily="18" charset="0"/>
                        <a:cs typeface="Times New Roman" panose="02020603050405020304" pitchFamily="18" charset="0"/>
                      </a:rPr>
                      <a:t>33 %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05-4334-B48C-AD2373E975CE}"/>
                </c:ext>
              </c:extLst>
            </c:dLbl>
            <c:dLbl>
              <c:idx val="3"/>
              <c:layout>
                <c:manualLayout>
                  <c:x val="1.11114872135534E-2"/>
                  <c:y val="4.2037625456991801E-3"/>
                </c:manualLayout>
              </c:layout>
              <c:tx>
                <c:rich>
                  <a:bodyPr/>
                  <a:lstStyle/>
                  <a:p>
                    <a:r>
                      <a:rPr lang="en-US">
                        <a:latin typeface="Times New Roman" panose="02020603050405020304" pitchFamily="18" charset="0"/>
                        <a:cs typeface="Times New Roman" panose="02020603050405020304" pitchFamily="18" charset="0"/>
                      </a:rPr>
                      <a:t>0.6 %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05-4334-B48C-AD2373E975CE}"/>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Plots!$B$588:$B$591</c:f>
              <c:strCache>
                <c:ptCount val="4"/>
                <c:pt idx="0">
                  <c:v>VLLW</c:v>
                </c:pt>
                <c:pt idx="1">
                  <c:v>LLW</c:v>
                </c:pt>
                <c:pt idx="2">
                  <c:v>ILW</c:v>
                </c:pt>
                <c:pt idx="3">
                  <c:v>HLW</c:v>
                </c:pt>
              </c:strCache>
            </c:strRef>
          </c:cat>
          <c:val>
            <c:numRef>
              <c:f>Plots!$F$588:$F$591</c:f>
              <c:numCache>
                <c:formatCode>General</c:formatCode>
                <c:ptCount val="4"/>
                <c:pt idx="0">
                  <c:v>220809.34400000001</c:v>
                </c:pt>
                <c:pt idx="1">
                  <c:v>418747.70199999999</c:v>
                </c:pt>
                <c:pt idx="2">
                  <c:v>325124.11300000001</c:v>
                </c:pt>
                <c:pt idx="3">
                  <c:v>5905.4</c:v>
                </c:pt>
              </c:numCache>
            </c:numRef>
          </c:val>
          <c:extLst xmlns:c16r2="http://schemas.microsoft.com/office/drawing/2015/06/chart">
            <c:ext xmlns:c16="http://schemas.microsoft.com/office/drawing/2014/chart" uri="{C3380CC4-5D6E-409C-BE32-E72D297353CC}">
              <c16:uniqueId val="{00000004-3A05-4334-B48C-AD2373E975C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5178464047669125"/>
          <c:y val="0.356203792282974"/>
          <c:w val="0.20901839824766433"/>
          <c:h val="0.46785292025412711"/>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78265768695741"/>
          <c:y val="2.8378449501681936E-2"/>
          <c:w val="0.77166213314244814"/>
          <c:h val="0.86810995755925324"/>
        </c:manualLayout>
      </c:layout>
      <c:barChart>
        <c:barDir val="bar"/>
        <c:grouping val="stacked"/>
        <c:varyColors val="0"/>
        <c:ser>
          <c:idx val="0"/>
          <c:order val="0"/>
          <c:tx>
            <c:strRef>
              <c:f>Plots!$C$217</c:f>
              <c:strCache>
                <c:ptCount val="1"/>
                <c:pt idx="0">
                  <c:v>VLLW</c:v>
                </c:pt>
              </c:strCache>
            </c:strRef>
          </c:tx>
          <c:invertIfNegative val="0"/>
          <c:cat>
            <c:strRef>
              <c:f>Plots!$B$218:$B$233</c:f>
              <c:strCache>
                <c:ptCount val="16"/>
                <c:pt idx="0">
                  <c:v>France</c:v>
                </c:pt>
                <c:pt idx="1">
                  <c:v>UK</c:v>
                </c:pt>
                <c:pt idx="2">
                  <c:v>Germany</c:v>
                </c:pt>
                <c:pt idx="3">
                  <c:v>Lithuania</c:v>
                </c:pt>
                <c:pt idx="4">
                  <c:v>Italy</c:v>
                </c:pt>
                <c:pt idx="5">
                  <c:v>Bulgaria</c:v>
                </c:pt>
                <c:pt idx="6">
                  <c:v>Belgium</c:v>
                </c:pt>
                <c:pt idx="7">
                  <c:v>Spain</c:v>
                </c:pt>
                <c:pt idx="8">
                  <c:v>Sweden</c:v>
                </c:pt>
                <c:pt idx="9">
                  <c:v>The Netherlands</c:v>
                </c:pt>
                <c:pt idx="10">
                  <c:v>Hungary</c:v>
                </c:pt>
                <c:pt idx="11">
                  <c:v>Slovakia</c:v>
                </c:pt>
                <c:pt idx="12">
                  <c:v>Czech Republic</c:v>
                </c:pt>
                <c:pt idx="13">
                  <c:v>Slovenia</c:v>
                </c:pt>
                <c:pt idx="14">
                  <c:v>Finland</c:v>
                </c:pt>
                <c:pt idx="15">
                  <c:v>Romania</c:v>
                </c:pt>
              </c:strCache>
            </c:strRef>
          </c:cat>
          <c:val>
            <c:numRef>
              <c:f>Plots!$C$218:$C$233</c:f>
              <c:numCache>
                <c:formatCode>General</c:formatCode>
                <c:ptCount val="16"/>
                <c:pt idx="0">
                  <c:v>190000</c:v>
                </c:pt>
                <c:pt idx="1">
                  <c:v>1170</c:v>
                </c:pt>
                <c:pt idx="2">
                  <c:v>0</c:v>
                </c:pt>
                <c:pt idx="3">
                  <c:v>20000</c:v>
                </c:pt>
                <c:pt idx="4">
                  <c:v>5311</c:v>
                </c:pt>
                <c:pt idx="5">
                  <c:v>4700</c:v>
                </c:pt>
                <c:pt idx="6">
                  <c:v>0</c:v>
                </c:pt>
                <c:pt idx="7">
                  <c:v>8412</c:v>
                </c:pt>
                <c:pt idx="8">
                  <c:v>2058</c:v>
                </c:pt>
                <c:pt idx="9">
                  <c:v>0</c:v>
                </c:pt>
                <c:pt idx="10">
                  <c:v>0</c:v>
                </c:pt>
                <c:pt idx="11">
                  <c:v>5246</c:v>
                </c:pt>
                <c:pt idx="12">
                  <c:v>0</c:v>
                </c:pt>
                <c:pt idx="13">
                  <c:v>0</c:v>
                </c:pt>
                <c:pt idx="14">
                  <c:v>0</c:v>
                </c:pt>
                <c:pt idx="15">
                  <c:v>330</c:v>
                </c:pt>
              </c:numCache>
            </c:numRef>
          </c:val>
          <c:extLst xmlns:c16r2="http://schemas.microsoft.com/office/drawing/2015/06/chart">
            <c:ext xmlns:c16="http://schemas.microsoft.com/office/drawing/2014/chart" uri="{C3380CC4-5D6E-409C-BE32-E72D297353CC}">
              <c16:uniqueId val="{00000000-AA34-4E3D-903D-6C65F57AEE60}"/>
            </c:ext>
          </c:extLst>
        </c:ser>
        <c:ser>
          <c:idx val="1"/>
          <c:order val="1"/>
          <c:tx>
            <c:strRef>
              <c:f>Plots!$D$217</c:f>
              <c:strCache>
                <c:ptCount val="1"/>
                <c:pt idx="0">
                  <c:v>LLW</c:v>
                </c:pt>
              </c:strCache>
            </c:strRef>
          </c:tx>
          <c:invertIfNegative val="0"/>
          <c:cat>
            <c:strRef>
              <c:f>Plots!$B$218:$B$233</c:f>
              <c:strCache>
                <c:ptCount val="16"/>
                <c:pt idx="0">
                  <c:v>France</c:v>
                </c:pt>
                <c:pt idx="1">
                  <c:v>UK</c:v>
                </c:pt>
                <c:pt idx="2">
                  <c:v>Germany</c:v>
                </c:pt>
                <c:pt idx="3">
                  <c:v>Lithuania</c:v>
                </c:pt>
                <c:pt idx="4">
                  <c:v>Italy</c:v>
                </c:pt>
                <c:pt idx="5">
                  <c:v>Bulgaria</c:v>
                </c:pt>
                <c:pt idx="6">
                  <c:v>Belgium</c:v>
                </c:pt>
                <c:pt idx="7">
                  <c:v>Spain</c:v>
                </c:pt>
                <c:pt idx="8">
                  <c:v>Sweden</c:v>
                </c:pt>
                <c:pt idx="9">
                  <c:v>The Netherlands</c:v>
                </c:pt>
                <c:pt idx="10">
                  <c:v>Hungary</c:v>
                </c:pt>
                <c:pt idx="11">
                  <c:v>Slovakia</c:v>
                </c:pt>
                <c:pt idx="12">
                  <c:v>Czech Republic</c:v>
                </c:pt>
                <c:pt idx="13">
                  <c:v>Slovenia</c:v>
                </c:pt>
                <c:pt idx="14">
                  <c:v>Finland</c:v>
                </c:pt>
                <c:pt idx="15">
                  <c:v>Romania</c:v>
                </c:pt>
              </c:strCache>
            </c:strRef>
          </c:cat>
          <c:val>
            <c:numRef>
              <c:f>Plots!$D$218:$D$233</c:f>
              <c:numCache>
                <c:formatCode>General</c:formatCode>
                <c:ptCount val="16"/>
                <c:pt idx="0">
                  <c:v>70000</c:v>
                </c:pt>
                <c:pt idx="1">
                  <c:v>69900</c:v>
                </c:pt>
                <c:pt idx="2">
                  <c:v>140207</c:v>
                </c:pt>
                <c:pt idx="3">
                  <c:v>30377</c:v>
                </c:pt>
                <c:pt idx="4">
                  <c:v>30545</c:v>
                </c:pt>
                <c:pt idx="5">
                  <c:v>23000</c:v>
                </c:pt>
                <c:pt idx="6">
                  <c:v>16067</c:v>
                </c:pt>
                <c:pt idx="7">
                  <c:v>8221</c:v>
                </c:pt>
                <c:pt idx="8">
                  <c:v>6958</c:v>
                </c:pt>
                <c:pt idx="9">
                  <c:v>11000</c:v>
                </c:pt>
                <c:pt idx="10">
                  <c:v>7560</c:v>
                </c:pt>
                <c:pt idx="11">
                  <c:v>1804.4</c:v>
                </c:pt>
                <c:pt idx="12">
                  <c:v>2746.2</c:v>
                </c:pt>
                <c:pt idx="13">
                  <c:v>2306</c:v>
                </c:pt>
                <c:pt idx="14">
                  <c:v>403.7</c:v>
                </c:pt>
                <c:pt idx="15">
                  <c:v>672</c:v>
                </c:pt>
              </c:numCache>
            </c:numRef>
          </c:val>
          <c:extLst xmlns:c16r2="http://schemas.microsoft.com/office/drawing/2015/06/chart">
            <c:ext xmlns:c16="http://schemas.microsoft.com/office/drawing/2014/chart" uri="{C3380CC4-5D6E-409C-BE32-E72D297353CC}">
              <c16:uniqueId val="{00000001-AA34-4E3D-903D-6C65F57AEE60}"/>
            </c:ext>
          </c:extLst>
        </c:ser>
        <c:ser>
          <c:idx val="2"/>
          <c:order val="2"/>
          <c:tx>
            <c:strRef>
              <c:f>Plots!$E$217</c:f>
              <c:strCache>
                <c:ptCount val="1"/>
                <c:pt idx="0">
                  <c:v>ILW</c:v>
                </c:pt>
              </c:strCache>
            </c:strRef>
          </c:tx>
          <c:invertIfNegative val="0"/>
          <c:cat>
            <c:strRef>
              <c:f>Plots!$B$218:$B$233</c:f>
              <c:strCache>
                <c:ptCount val="16"/>
                <c:pt idx="0">
                  <c:v>France</c:v>
                </c:pt>
                <c:pt idx="1">
                  <c:v>UK</c:v>
                </c:pt>
                <c:pt idx="2">
                  <c:v>Germany</c:v>
                </c:pt>
                <c:pt idx="3">
                  <c:v>Lithuania</c:v>
                </c:pt>
                <c:pt idx="4">
                  <c:v>Italy</c:v>
                </c:pt>
                <c:pt idx="5">
                  <c:v>Bulgaria</c:v>
                </c:pt>
                <c:pt idx="6">
                  <c:v>Belgium</c:v>
                </c:pt>
                <c:pt idx="7">
                  <c:v>Spain</c:v>
                </c:pt>
                <c:pt idx="8">
                  <c:v>Sweden</c:v>
                </c:pt>
                <c:pt idx="9">
                  <c:v>The Netherlands</c:v>
                </c:pt>
                <c:pt idx="10">
                  <c:v>Hungary</c:v>
                </c:pt>
                <c:pt idx="11">
                  <c:v>Slovakia</c:v>
                </c:pt>
                <c:pt idx="12">
                  <c:v>Czech Republic</c:v>
                </c:pt>
                <c:pt idx="13">
                  <c:v>Slovenia</c:v>
                </c:pt>
                <c:pt idx="14">
                  <c:v>Finland</c:v>
                </c:pt>
                <c:pt idx="15">
                  <c:v>Romania</c:v>
                </c:pt>
              </c:strCache>
            </c:strRef>
          </c:cat>
          <c:val>
            <c:numRef>
              <c:f>Plots!$E$218:$E$233</c:f>
              <c:numCache>
                <c:formatCode>General</c:formatCode>
                <c:ptCount val="16"/>
                <c:pt idx="0">
                  <c:v>135000</c:v>
                </c:pt>
                <c:pt idx="1">
                  <c:v>153000</c:v>
                </c:pt>
                <c:pt idx="2">
                  <c:v>15590</c:v>
                </c:pt>
                <c:pt idx="3">
                  <c:v>500</c:v>
                </c:pt>
                <c:pt idx="4">
                  <c:v>5540</c:v>
                </c:pt>
                <c:pt idx="5">
                  <c:v>10</c:v>
                </c:pt>
                <c:pt idx="6">
                  <c:v>5371</c:v>
                </c:pt>
                <c:pt idx="7">
                  <c:v>31</c:v>
                </c:pt>
                <c:pt idx="8">
                  <c:v>4000</c:v>
                </c:pt>
                <c:pt idx="9">
                  <c:v>43.9</c:v>
                </c:pt>
                <c:pt idx="10">
                  <c:v>3240</c:v>
                </c:pt>
                <c:pt idx="11">
                  <c:v>24.812999999999999</c:v>
                </c:pt>
                <c:pt idx="12">
                  <c:v>15</c:v>
                </c:pt>
                <c:pt idx="13">
                  <c:v>37.6</c:v>
                </c:pt>
                <c:pt idx="14">
                  <c:v>1473.2</c:v>
                </c:pt>
                <c:pt idx="15">
                  <c:v>4.5</c:v>
                </c:pt>
              </c:numCache>
            </c:numRef>
          </c:val>
          <c:extLst xmlns:c16r2="http://schemas.microsoft.com/office/drawing/2015/06/chart">
            <c:ext xmlns:c16="http://schemas.microsoft.com/office/drawing/2014/chart" uri="{C3380CC4-5D6E-409C-BE32-E72D297353CC}">
              <c16:uniqueId val="{00000002-AA34-4E3D-903D-6C65F57AEE60}"/>
            </c:ext>
          </c:extLst>
        </c:ser>
        <c:ser>
          <c:idx val="3"/>
          <c:order val="3"/>
          <c:tx>
            <c:strRef>
              <c:f>Plots!$G$217</c:f>
              <c:strCache>
                <c:ptCount val="1"/>
                <c:pt idx="0">
                  <c:v>HLW</c:v>
                </c:pt>
              </c:strCache>
            </c:strRef>
          </c:tx>
          <c:invertIfNegative val="0"/>
          <c:cat>
            <c:strRef>
              <c:f>Plots!$B$218:$B$233</c:f>
              <c:strCache>
                <c:ptCount val="16"/>
                <c:pt idx="0">
                  <c:v>France</c:v>
                </c:pt>
                <c:pt idx="1">
                  <c:v>UK</c:v>
                </c:pt>
                <c:pt idx="2">
                  <c:v>Germany</c:v>
                </c:pt>
                <c:pt idx="3">
                  <c:v>Lithuania</c:v>
                </c:pt>
                <c:pt idx="4">
                  <c:v>Italy</c:v>
                </c:pt>
                <c:pt idx="5">
                  <c:v>Bulgaria</c:v>
                </c:pt>
                <c:pt idx="6">
                  <c:v>Belgium</c:v>
                </c:pt>
                <c:pt idx="7">
                  <c:v>Spain</c:v>
                </c:pt>
                <c:pt idx="8">
                  <c:v>Sweden</c:v>
                </c:pt>
                <c:pt idx="9">
                  <c:v>The Netherlands</c:v>
                </c:pt>
                <c:pt idx="10">
                  <c:v>Hungary</c:v>
                </c:pt>
                <c:pt idx="11">
                  <c:v>Slovakia</c:v>
                </c:pt>
                <c:pt idx="12">
                  <c:v>Czech Republic</c:v>
                </c:pt>
                <c:pt idx="13">
                  <c:v>Slovenia</c:v>
                </c:pt>
                <c:pt idx="14">
                  <c:v>Finland</c:v>
                </c:pt>
                <c:pt idx="15">
                  <c:v>Romania</c:v>
                </c:pt>
              </c:strCache>
            </c:strRef>
          </c:cat>
          <c:val>
            <c:numRef>
              <c:f>Plots!$G$218:$G$233</c:f>
              <c:numCache>
                <c:formatCode>General</c:formatCode>
                <c:ptCount val="16"/>
                <c:pt idx="0">
                  <c:v>3200</c:v>
                </c:pt>
                <c:pt idx="1">
                  <c:v>1550</c:v>
                </c:pt>
                <c:pt idx="2">
                  <c:v>568</c:v>
                </c:pt>
                <c:pt idx="3">
                  <c:v>0</c:v>
                </c:pt>
                <c:pt idx="4">
                  <c:v>0</c:v>
                </c:pt>
                <c:pt idx="5">
                  <c:v>0</c:v>
                </c:pt>
                <c:pt idx="6">
                  <c:v>285</c:v>
                </c:pt>
                <c:pt idx="7">
                  <c:v>12</c:v>
                </c:pt>
                <c:pt idx="8">
                  <c:v>0</c:v>
                </c:pt>
                <c:pt idx="9">
                  <c:v>41.7</c:v>
                </c:pt>
                <c:pt idx="10">
                  <c:v>201</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3-AA34-4E3D-903D-6C65F57AEE60}"/>
            </c:ext>
          </c:extLst>
        </c:ser>
        <c:dLbls>
          <c:showLegendKey val="0"/>
          <c:showVal val="0"/>
          <c:showCatName val="0"/>
          <c:showSerName val="0"/>
          <c:showPercent val="0"/>
          <c:showBubbleSize val="0"/>
        </c:dLbls>
        <c:gapWidth val="150"/>
        <c:overlap val="100"/>
        <c:axId val="209071488"/>
        <c:axId val="209081472"/>
      </c:barChart>
      <c:catAx>
        <c:axId val="209071488"/>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081472"/>
        <c:crosses val="autoZero"/>
        <c:auto val="1"/>
        <c:lblAlgn val="ctr"/>
        <c:lblOffset val="100"/>
        <c:tickLblSkip val="1"/>
        <c:noMultiLvlLbl val="0"/>
      </c:catAx>
      <c:valAx>
        <c:axId val="209081472"/>
        <c:scaling>
          <c:orientation val="minMax"/>
          <c:max val="400000"/>
        </c:scaling>
        <c:delete val="0"/>
        <c:axPos val="b"/>
        <c:majorGridlines/>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m</a:t>
                </a:r>
                <a:r>
                  <a:rPr lang="en-GB" baseline="30000">
                    <a:latin typeface="Times New Roman" panose="02020603050405020304" pitchFamily="18" charset="0"/>
                    <a:cs typeface="Times New Roman" panose="02020603050405020304" pitchFamily="18" charset="0"/>
                  </a:rPr>
                  <a:t>3</a:t>
                </a:r>
              </a:p>
            </c:rich>
          </c:tx>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071488"/>
        <c:crosses val="autoZero"/>
        <c:crossBetween val="between"/>
      </c:valAx>
    </c:plotArea>
    <c:legend>
      <c:legendPos val="r"/>
      <c:layout>
        <c:manualLayout>
          <c:xMode val="edge"/>
          <c:yMode val="edge"/>
          <c:x val="0.85259667541557305"/>
          <c:y val="0.40265725158883858"/>
          <c:w val="7.9489756796748426E-2"/>
          <c:h val="0.20839522797949558"/>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D9FB-A27E-4CF2-B71A-9521AFAC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7985</Words>
  <Characters>45520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18</cp:revision>
  <cp:lastPrinted>2017-05-05T14:29:00Z</cp:lastPrinted>
  <dcterms:created xsi:type="dcterms:W3CDTF">2017-05-04T15:05:00Z</dcterms:created>
  <dcterms:modified xsi:type="dcterms:W3CDTF">2017-05-05T14:33:00Z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