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E87" w:rsidRDefault="006F790E" w:rsidP="006F790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5316DE7FA554E77B25CDEE497A9CA74" style="width:450.6pt;height:307.2pt">
            <v:imagedata r:id="rId9" o:title=""/>
          </v:shape>
        </w:pict>
      </w:r>
    </w:p>
    <w:bookmarkEnd w:id="0"/>
    <w:p w:rsidR="00532E87" w:rsidRDefault="00532E87">
      <w:pPr>
        <w:rPr>
          <w:noProof/>
        </w:rPr>
        <w:sectPr w:rsidR="00532E87" w:rsidSect="006F790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32E87" w:rsidRDefault="006F790E">
      <w:pPr>
        <w:pStyle w:val="Heading1"/>
        <w:rPr>
          <w:rFonts w:ascii="Times New Roman" w:hAnsi="Times New Roman" w:cs="Times New Roman"/>
          <w:noProof/>
          <w:color w:val="auto"/>
          <w:sz w:val="24"/>
          <w:szCs w:val="24"/>
        </w:rPr>
      </w:pPr>
      <w:bookmarkStart w:id="1" w:name="_GoBack"/>
      <w:bookmarkEnd w:id="1"/>
      <w:r>
        <w:rPr>
          <w:rFonts w:ascii="Times New Roman" w:hAnsi="Times New Roman"/>
          <w:noProof/>
          <w:color w:val="auto"/>
          <w:sz w:val="24"/>
        </w:rPr>
        <w:lastRenderedPageBreak/>
        <w:t>1.</w:t>
      </w:r>
      <w:r>
        <w:rPr>
          <w:noProof/>
        </w:rPr>
        <w:tab/>
      </w:r>
      <w:r>
        <w:rPr>
          <w:rFonts w:ascii="Times New Roman" w:hAnsi="Times New Roman"/>
          <w:noProof/>
          <w:color w:val="auto"/>
          <w:sz w:val="24"/>
        </w:rPr>
        <w:t>Introduction</w:t>
      </w:r>
    </w:p>
    <w:p w:rsidR="00532E87" w:rsidRDefault="006F790E">
      <w:pPr>
        <w:spacing w:line="240" w:lineRule="auto"/>
        <w:jc w:val="both"/>
        <w:rPr>
          <w:rFonts w:ascii="Times New Roman" w:hAnsi="Times New Roman" w:cs="Times New Roman"/>
          <w:noProof/>
          <w:sz w:val="24"/>
          <w:szCs w:val="24"/>
        </w:rPr>
      </w:pPr>
      <w:r>
        <w:rPr>
          <w:rFonts w:ascii="Times New Roman" w:hAnsi="Times New Roman"/>
          <w:noProof/>
          <w:sz w:val="24"/>
        </w:rPr>
        <w:t>Ce deuxième rapport</w:t>
      </w:r>
      <w:r>
        <w:rPr>
          <w:rStyle w:val="FootnoteReference"/>
          <w:rFonts w:ascii="Times New Roman" w:hAnsi="Times New Roman"/>
          <w:noProof/>
          <w:sz w:val="24"/>
        </w:rPr>
        <w:footnoteReference w:id="2"/>
      </w:r>
      <w:r>
        <w:rPr>
          <w:rFonts w:ascii="Times New Roman" w:hAnsi="Times New Roman"/>
          <w:noProof/>
          <w:sz w:val="24"/>
        </w:rPr>
        <w:t xml:space="preserve"> sur la mise en œuvre de la directive 2001/42/CE relative à l'évaluation des incidences de certains plans et programmes sur l'environnement (directive relative à l'évaluation stratégique environnementale, ci-après «directive ESE»)</w:t>
      </w:r>
      <w:r>
        <w:rPr>
          <w:rStyle w:val="FootnoteReference"/>
          <w:rFonts w:ascii="Times New Roman" w:hAnsi="Times New Roman"/>
          <w:noProof/>
          <w:sz w:val="24"/>
        </w:rPr>
        <w:footnoteReference w:id="3"/>
      </w:r>
      <w:r>
        <w:rPr>
          <w:rFonts w:ascii="Times New Roman" w:hAnsi="Times New Roman"/>
          <w:noProof/>
          <w:sz w:val="24"/>
        </w:rPr>
        <w:t xml:space="preserve"> présente l'expérience ac</w:t>
      </w:r>
      <w:r>
        <w:rPr>
          <w:rFonts w:ascii="Times New Roman" w:hAnsi="Times New Roman"/>
          <w:noProof/>
          <w:sz w:val="24"/>
        </w:rPr>
        <w:t>quise dans le cadre de l'application de l'ESE entre 2007 et 2014. Le rapport est basé sur l'article 12, paragraphe 3, de la directive ESE et évalue la mise en œuvre de la directive au cours de cette période</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Les conclusions du présent rapport alimenteront</w:t>
      </w:r>
      <w:r>
        <w:rPr>
          <w:rFonts w:ascii="Times New Roman" w:hAnsi="Times New Roman"/>
          <w:noProof/>
          <w:sz w:val="24"/>
        </w:rPr>
        <w:t xml:space="preserve"> une évaluation de la directive ESE qui sera menée dans le cadre du programme pour une réglementation affûtée et performante (REFIT)</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w:t>
      </w:r>
    </w:p>
    <w:p w:rsidR="00532E87" w:rsidRDefault="006F790E">
      <w:pPr>
        <w:spacing w:line="240" w:lineRule="auto"/>
        <w:jc w:val="both"/>
        <w:rPr>
          <w:rFonts w:ascii="Times New Roman" w:hAnsi="Times New Roman"/>
          <w:noProof/>
          <w:sz w:val="24"/>
        </w:rPr>
      </w:pPr>
      <w:r>
        <w:rPr>
          <w:rFonts w:ascii="Times New Roman" w:hAnsi="Times New Roman"/>
          <w:noProof/>
          <w:sz w:val="24"/>
        </w:rPr>
        <w:t>La directive ESE met en œuvre le principe de l'intégration de la protection de l'environnement énoncé dans les articles </w:t>
      </w:r>
      <w:r>
        <w:rPr>
          <w:rFonts w:ascii="Times New Roman" w:hAnsi="Times New Roman"/>
          <w:noProof/>
          <w:sz w:val="24"/>
        </w:rPr>
        <w:t>11 et 191 du traité sur le fonctionnement de l'Union européenne.</w:t>
      </w:r>
    </w:p>
    <w:p w:rsidR="00532E87" w:rsidRDefault="006F790E">
      <w:pPr>
        <w:spacing w:line="240" w:lineRule="auto"/>
        <w:jc w:val="both"/>
        <w:rPr>
          <w:rFonts w:ascii="Times New Roman" w:hAnsi="Times New Roman" w:cs="Times New Roman"/>
          <w:noProof/>
          <w:sz w:val="24"/>
          <w:szCs w:val="24"/>
        </w:rPr>
      </w:pPr>
      <w:r>
        <w:rPr>
          <w:rFonts w:ascii="Times New Roman" w:hAnsi="Times New Roman"/>
          <w:noProof/>
          <w:sz w:val="24"/>
        </w:rPr>
        <w:t>Elle prévoit un niveau élevé de protection de l'environnement et aide à intégrer les considérations environnementales dans la préparation et l'adoption de certains plans et programmes. À cett</w:t>
      </w:r>
      <w:r>
        <w:rPr>
          <w:rFonts w:ascii="Times New Roman" w:hAnsi="Times New Roman"/>
          <w:noProof/>
          <w:sz w:val="24"/>
        </w:rPr>
        <w:t>e fin, la directive requiert une évaluation environnementale des plans et programmes qui sont susceptibles d'avoir des incidences notables sur l'environnement.</w:t>
      </w:r>
    </w:p>
    <w:p w:rsidR="00532E87" w:rsidRDefault="006F790E">
      <w:pPr>
        <w:spacing w:line="240" w:lineRule="auto"/>
        <w:jc w:val="both"/>
        <w:rPr>
          <w:rFonts w:ascii="Times New Roman" w:hAnsi="Times New Roman" w:cs="Times New Roman"/>
          <w:noProof/>
          <w:sz w:val="24"/>
          <w:szCs w:val="24"/>
        </w:rPr>
      </w:pPr>
      <w:r>
        <w:rPr>
          <w:rFonts w:ascii="Times New Roman" w:hAnsi="Times New Roman"/>
          <w:noProof/>
          <w:sz w:val="24"/>
        </w:rPr>
        <w:t>La directive ESE n'énonce aucune norme environnementale mesurable. Il s'agit essentiellement d'u</w:t>
      </w:r>
      <w:r>
        <w:rPr>
          <w:rFonts w:ascii="Times New Roman" w:hAnsi="Times New Roman"/>
          <w:noProof/>
          <w:sz w:val="24"/>
        </w:rPr>
        <w:t>ne directive procédurale, qui établit certaines étapes que les États membres doivent suivre lorsqu'ils identifient et évaluent les effets environnementaux. Le processus d'évaluation stratégique environnementale (ESE) consiste à aider les décideurs politiqu</w:t>
      </w:r>
      <w:r>
        <w:rPr>
          <w:rFonts w:ascii="Times New Roman" w:hAnsi="Times New Roman"/>
          <w:noProof/>
          <w:sz w:val="24"/>
        </w:rPr>
        <w:t>es à prendre des décisions éclairées, basées sur des informations objectives et les résultats de la consultation avec le public/les parties prenantes et les autorités compétentes. L'application des exigences clés de la directive ESE et son lien avec d'autr</w:t>
      </w:r>
      <w:r>
        <w:rPr>
          <w:rFonts w:ascii="Times New Roman" w:hAnsi="Times New Roman"/>
          <w:noProof/>
          <w:sz w:val="24"/>
        </w:rPr>
        <w:t>es directives sont décrits aux Sections 2 et 3, respectivement.</w:t>
      </w:r>
    </w:p>
    <w:p w:rsidR="00532E87" w:rsidRDefault="006F790E">
      <w:pPr>
        <w:pStyle w:val="Heading1"/>
        <w:rPr>
          <w:rFonts w:ascii="Times New Roman" w:hAnsi="Times New Roman" w:cs="Times New Roman"/>
          <w:noProof/>
          <w:color w:val="auto"/>
          <w:sz w:val="24"/>
        </w:rPr>
      </w:pPr>
      <w:r>
        <w:rPr>
          <w:rFonts w:ascii="Times New Roman" w:hAnsi="Times New Roman"/>
          <w:noProof/>
          <w:color w:val="auto"/>
          <w:sz w:val="24"/>
        </w:rPr>
        <w:t>2.</w:t>
      </w:r>
      <w:r>
        <w:rPr>
          <w:noProof/>
        </w:rPr>
        <w:tab/>
      </w:r>
      <w:r>
        <w:rPr>
          <w:rFonts w:ascii="Times New Roman" w:hAnsi="Times New Roman"/>
          <w:noProof/>
          <w:color w:val="auto"/>
          <w:sz w:val="24"/>
        </w:rPr>
        <w:t>État actuel de la transposition</w:t>
      </w:r>
    </w:p>
    <w:p w:rsidR="00532E87" w:rsidRDefault="006F790E">
      <w:pPr>
        <w:pStyle w:val="Heading2"/>
        <w:rPr>
          <w:rFonts w:ascii="Times New Roman" w:hAnsi="Times New Roman" w:cs="Times New Roman"/>
          <w:noProof/>
          <w:color w:val="auto"/>
          <w:sz w:val="24"/>
        </w:rPr>
      </w:pPr>
      <w:r>
        <w:rPr>
          <w:rFonts w:ascii="Times New Roman" w:hAnsi="Times New Roman"/>
          <w:noProof/>
          <w:color w:val="auto"/>
          <w:sz w:val="24"/>
        </w:rPr>
        <w:t>2.1.</w:t>
      </w:r>
      <w:r>
        <w:rPr>
          <w:noProof/>
        </w:rPr>
        <w:tab/>
      </w:r>
      <w:r>
        <w:rPr>
          <w:rFonts w:ascii="Times New Roman" w:hAnsi="Times New Roman"/>
          <w:noProof/>
          <w:color w:val="auto"/>
          <w:sz w:val="24"/>
        </w:rPr>
        <w:t>Dispositions juridiques et administratives dans les États membres</w:t>
      </w:r>
    </w:p>
    <w:p w:rsidR="00532E87" w:rsidRDefault="006F790E">
      <w:pPr>
        <w:spacing w:line="240" w:lineRule="auto"/>
        <w:jc w:val="both"/>
        <w:rPr>
          <w:rFonts w:ascii="Times New Roman" w:hAnsi="Times New Roman" w:cs="Times New Roman"/>
          <w:noProof/>
          <w:sz w:val="24"/>
          <w:szCs w:val="24"/>
        </w:rPr>
      </w:pPr>
      <w:r>
        <w:rPr>
          <w:rFonts w:ascii="Times New Roman" w:hAnsi="Times New Roman"/>
          <w:noProof/>
          <w:sz w:val="24"/>
        </w:rPr>
        <w:t>Tous les États membres ont transposé la directive ESE. Le cadre législatif transposant la directive ESE varie d'un État membre à l'autre et dépend de leurs structures et dispositions administratives. Certains États membres ont transposé la directive ESE au</w:t>
      </w:r>
      <w:r>
        <w:rPr>
          <w:rFonts w:ascii="Times New Roman" w:hAnsi="Times New Roman"/>
          <w:noProof/>
          <w:sz w:val="24"/>
        </w:rPr>
        <w:t xml:space="preserve"> moyen d'une législation nationale spécifique, tandis que d'autres ont intégré ses exigences dans les dispositions existantes, notamment celles transposant la directive relative à l'évaluation des </w:t>
      </w:r>
      <w:r>
        <w:rPr>
          <w:rFonts w:ascii="Times New Roman" w:hAnsi="Times New Roman"/>
          <w:noProof/>
          <w:sz w:val="24"/>
        </w:rPr>
        <w:lastRenderedPageBreak/>
        <w:t>incidences sur l'environnement («directive EIE»)</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Depuis 2</w:t>
      </w:r>
      <w:r>
        <w:rPr>
          <w:rFonts w:ascii="Times New Roman" w:hAnsi="Times New Roman"/>
          <w:noProof/>
          <w:sz w:val="24"/>
        </w:rPr>
        <w:t>007, plus de la moitié des États membres ont modifié leur législation nationale pour transposer la directive ESE afin d'assurer la conformité de leurs dispositions nationales à la directive et de résoudre les cas d'application incorrecte.</w:t>
      </w:r>
    </w:p>
    <w:p w:rsidR="00532E87" w:rsidRDefault="006F790E">
      <w:pPr>
        <w:spacing w:line="240" w:lineRule="auto"/>
        <w:jc w:val="both"/>
        <w:rPr>
          <w:rFonts w:ascii="Times New Roman" w:hAnsi="Times New Roman" w:cs="Times New Roman"/>
          <w:noProof/>
          <w:sz w:val="24"/>
          <w:szCs w:val="24"/>
        </w:rPr>
      </w:pPr>
      <w:r>
        <w:rPr>
          <w:rFonts w:ascii="Times New Roman" w:hAnsi="Times New Roman"/>
          <w:noProof/>
          <w:sz w:val="24"/>
        </w:rPr>
        <w:t>Les caractéristiq</w:t>
      </w:r>
      <w:r>
        <w:rPr>
          <w:rFonts w:ascii="Times New Roman" w:hAnsi="Times New Roman"/>
          <w:noProof/>
          <w:sz w:val="24"/>
        </w:rPr>
        <w:t>ues administratives spécifiques de chaque État membre ont influencé les dispositions administratives établies pour transposer et mettre en œuvre la directive. Généralement, l'autorité responsable de l'élaboration et de l'adoption des plans et programmes es</w:t>
      </w:r>
      <w:r>
        <w:rPr>
          <w:rFonts w:ascii="Times New Roman" w:hAnsi="Times New Roman"/>
          <w:noProof/>
          <w:sz w:val="24"/>
        </w:rPr>
        <w:t xml:space="preserve">t également chargée de mener à bien la procédure ESE. Dans la plupart des États membres, le ministère de l'environnement ou une agence environnementale est considérée comme étant une des </w:t>
      </w:r>
      <w:r>
        <w:rPr>
          <w:rFonts w:ascii="Times New Roman" w:hAnsi="Times New Roman"/>
          <w:i/>
          <w:noProof/>
          <w:sz w:val="24"/>
        </w:rPr>
        <w:t>«autorités qu'il faut consulter et qui, étant donné leur responsabili</w:t>
      </w:r>
      <w:r>
        <w:rPr>
          <w:rFonts w:ascii="Times New Roman" w:hAnsi="Times New Roman"/>
          <w:i/>
          <w:noProof/>
          <w:sz w:val="24"/>
        </w:rPr>
        <w:t>té spécifique en matière d'environnement, sont susceptibles d'être concernées...»</w:t>
      </w:r>
      <w:r>
        <w:rPr>
          <w:rFonts w:ascii="Times New Roman" w:hAnsi="Times New Roman"/>
          <w:noProof/>
          <w:sz w:val="24"/>
        </w:rPr>
        <w:t xml:space="preserve"> (article 6, paragraphe 3, de la directive ESE). Dans certains États membres, les autorités environnementales ont davantage de responsabilités et sont chargées de diriger la p</w:t>
      </w:r>
      <w:r>
        <w:rPr>
          <w:rFonts w:ascii="Times New Roman" w:hAnsi="Times New Roman"/>
          <w:noProof/>
          <w:sz w:val="24"/>
        </w:rPr>
        <w:t xml:space="preserve">rocédure ESE. Certains États membres ont désigné un organisme pour superviser et contrôler la qualité de la documentation et des résultats de la procédure ESE. </w:t>
      </w:r>
    </w:p>
    <w:p w:rsidR="00532E87" w:rsidRDefault="006F790E">
      <w:pPr>
        <w:spacing w:line="240" w:lineRule="auto"/>
        <w:jc w:val="both"/>
        <w:rPr>
          <w:rFonts w:ascii="Times New Roman" w:hAnsi="Times New Roman" w:cs="Times New Roman"/>
          <w:noProof/>
          <w:sz w:val="24"/>
          <w:szCs w:val="24"/>
        </w:rPr>
      </w:pPr>
      <w:r>
        <w:rPr>
          <w:rFonts w:ascii="Times New Roman" w:hAnsi="Times New Roman"/>
          <w:noProof/>
          <w:sz w:val="24"/>
        </w:rPr>
        <w:t>Les États membres jouissent d'une grande latitude en termes de prise de décision (article 8) et</w:t>
      </w:r>
      <w:r>
        <w:rPr>
          <w:rFonts w:ascii="Times New Roman" w:hAnsi="Times New Roman"/>
          <w:noProof/>
          <w:sz w:val="24"/>
        </w:rPr>
        <w:t xml:space="preserve"> de modalités relatives à l'information sur la décision une fois la procédure ESE terminée (article 9). Dans certains États membres, les autorités environnementales sont habilitées à édicter un acte administratif (tel qu'une décision). La décision peut êtr</w:t>
      </w:r>
      <w:r>
        <w:rPr>
          <w:rFonts w:ascii="Times New Roman" w:hAnsi="Times New Roman"/>
          <w:noProof/>
          <w:sz w:val="24"/>
        </w:rPr>
        <w:t>e contraignante en ce qui concerne le contenu des plans et programmes ou simplement émise comme un acte non contraignant.</w:t>
      </w:r>
    </w:p>
    <w:p w:rsidR="00532E87" w:rsidRDefault="006F790E">
      <w:pPr>
        <w:pStyle w:val="Heading2"/>
        <w:rPr>
          <w:rFonts w:ascii="Times New Roman" w:hAnsi="Times New Roman" w:cs="Times New Roman"/>
          <w:noProof/>
          <w:color w:val="000000"/>
          <w:sz w:val="24"/>
        </w:rPr>
      </w:pPr>
      <w:r>
        <w:rPr>
          <w:rFonts w:ascii="Times New Roman" w:hAnsi="Times New Roman"/>
          <w:noProof/>
          <w:color w:val="000000"/>
          <w:sz w:val="24"/>
        </w:rPr>
        <w:t>2.2.</w:t>
      </w:r>
      <w:r>
        <w:rPr>
          <w:noProof/>
        </w:rPr>
        <w:tab/>
      </w:r>
      <w:r>
        <w:rPr>
          <w:rFonts w:ascii="Times New Roman" w:hAnsi="Times New Roman"/>
          <w:noProof/>
          <w:color w:val="000000"/>
          <w:sz w:val="24"/>
        </w:rPr>
        <w:t>Champ d'application de la directive ESE</w:t>
      </w:r>
    </w:p>
    <w:p w:rsidR="00532E87" w:rsidRDefault="006F790E">
      <w:pPr>
        <w:spacing w:line="240" w:lineRule="auto"/>
        <w:jc w:val="both"/>
        <w:rPr>
          <w:rFonts w:ascii="Times New Roman" w:hAnsi="Times New Roman" w:cs="Times New Roman"/>
          <w:noProof/>
          <w:sz w:val="24"/>
          <w:szCs w:val="24"/>
        </w:rPr>
      </w:pPr>
      <w:r>
        <w:rPr>
          <w:rFonts w:ascii="Times New Roman" w:hAnsi="Times New Roman"/>
          <w:noProof/>
          <w:sz w:val="24"/>
        </w:rPr>
        <w:t>En général, les États membres ont transposé et mis en œuvre la directive ESE conformément</w:t>
      </w:r>
      <w:r>
        <w:rPr>
          <w:rFonts w:ascii="Times New Roman" w:hAnsi="Times New Roman"/>
          <w:noProof/>
          <w:sz w:val="24"/>
        </w:rPr>
        <w:t xml:space="preserve"> à ses objectifs et exigences et n'ont pas rencontré de problèmes pour déterminer le champ d'application de la directive. La Cour de justice de l'Union européenne (CJUE) a rendu un arrêt complet sur la directive ESE et ainsi facilité son application. La CJ</w:t>
      </w:r>
      <w:r>
        <w:rPr>
          <w:rFonts w:ascii="Times New Roman" w:hAnsi="Times New Roman"/>
          <w:noProof/>
          <w:sz w:val="24"/>
        </w:rPr>
        <w:t>UE a confirmé l'interprétation au sens large des termes et des dispositions de la directive</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Par exemple :</w:t>
      </w:r>
    </w:p>
    <w:p w:rsidR="00532E87" w:rsidRDefault="006F790E">
      <w:pPr>
        <w:pStyle w:val="Heading3"/>
        <w:rPr>
          <w:i/>
          <w:szCs w:val="24"/>
        </w:rPr>
      </w:pPr>
      <w:r>
        <w:rPr>
          <w:i/>
        </w:rPr>
        <w:t>-</w:t>
      </w:r>
      <w:r>
        <w:tab/>
      </w:r>
      <w:r>
        <w:rPr>
          <w:b/>
          <w:i/>
        </w:rPr>
        <w:t>«Plan et programme» soumis à une ESE (article 2)</w:t>
      </w:r>
    </w:p>
    <w:p w:rsidR="00532E87" w:rsidRDefault="006F790E">
      <w:pPr>
        <w:spacing w:line="240" w:lineRule="auto"/>
        <w:jc w:val="both"/>
        <w:rPr>
          <w:rFonts w:ascii="Times New Roman" w:hAnsi="Times New Roman" w:cs="Times New Roman"/>
          <w:noProof/>
          <w:sz w:val="24"/>
          <w:szCs w:val="24"/>
        </w:rPr>
      </w:pPr>
      <w:r>
        <w:rPr>
          <w:rFonts w:ascii="Times New Roman" w:hAnsi="Times New Roman"/>
          <w:noProof/>
          <w:sz w:val="24"/>
        </w:rPr>
        <w:t>La directive ESE ne définit pas les termes «plans et programmes» mais se contente plutôt de les q</w:t>
      </w:r>
      <w:r>
        <w:rPr>
          <w:rFonts w:ascii="Times New Roman" w:hAnsi="Times New Roman"/>
          <w:noProof/>
          <w:sz w:val="24"/>
        </w:rPr>
        <w:t>ualifier. Dans la première affaire</w:t>
      </w:r>
      <w:r>
        <w:rPr>
          <w:rStyle w:val="FootnoteReference"/>
          <w:rFonts w:ascii="Times New Roman" w:hAnsi="Times New Roman"/>
          <w:noProof/>
          <w:sz w:val="24"/>
        </w:rPr>
        <w:footnoteReference w:id="8"/>
      </w:r>
      <w:r>
        <w:rPr>
          <w:rFonts w:ascii="Times New Roman" w:hAnsi="Times New Roman"/>
          <w:noProof/>
          <w:sz w:val="24"/>
        </w:rPr>
        <w:t xml:space="preserve"> examinant la portée de la directive ESE, la CJUE a précisé que la seule circonstance que les plans et programmes soient adoptés par voie législative ne les font pas sortir du champ d’application de cette directive</w:t>
      </w:r>
      <w:r>
        <w:rPr>
          <w:rStyle w:val="FootnoteReference"/>
          <w:rFonts w:ascii="Times New Roman" w:hAnsi="Times New Roman"/>
          <w:noProof/>
          <w:sz w:val="24"/>
        </w:rPr>
        <w:footnoteReference w:id="9"/>
      </w:r>
      <w:r>
        <w:rPr>
          <w:rFonts w:ascii="Times New Roman" w:hAnsi="Times New Roman"/>
          <w:noProof/>
          <w:sz w:val="24"/>
        </w:rPr>
        <w:t xml:space="preserve">. Par </w:t>
      </w:r>
      <w:r>
        <w:rPr>
          <w:rFonts w:ascii="Times New Roman" w:hAnsi="Times New Roman"/>
          <w:noProof/>
          <w:sz w:val="24"/>
        </w:rPr>
        <w:t>ailleurs, les plans et programmes exigés par des dispositions nationales ou réglementaires déterminant les autorités compétentes et la procédure, mais dont l'adoption n'est pas obligatoire, relèvent toujours de la directive ESE s'ils remplissent les critèr</w:t>
      </w:r>
      <w:r>
        <w:rPr>
          <w:rFonts w:ascii="Times New Roman" w:hAnsi="Times New Roman"/>
          <w:noProof/>
          <w:sz w:val="24"/>
        </w:rPr>
        <w:t>es pertinents définis dans la directive</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En cas de doute, la distinction entre les plans et programmes et les autres mesures doit être établie sur la base de l'objectif spécifique énoncé à l'article 1</w:t>
      </w:r>
      <w:r>
        <w:rPr>
          <w:rFonts w:ascii="Times New Roman" w:hAnsi="Times New Roman"/>
          <w:noProof/>
          <w:sz w:val="24"/>
          <w:vertAlign w:val="superscript"/>
        </w:rPr>
        <w:t>er</w:t>
      </w:r>
      <w:r>
        <w:rPr>
          <w:rFonts w:ascii="Times New Roman" w:hAnsi="Times New Roman"/>
          <w:noProof/>
          <w:sz w:val="24"/>
        </w:rPr>
        <w:t xml:space="preserve"> de la directive ESE, à savoir que les plans et progr</w:t>
      </w:r>
      <w:r>
        <w:rPr>
          <w:rFonts w:ascii="Times New Roman" w:hAnsi="Times New Roman"/>
          <w:noProof/>
          <w:sz w:val="24"/>
        </w:rPr>
        <w:t>ammes qui sont susceptibles d'avoir des incidences notables sur l'environnement soient soumis à une évaluation environnementale</w:t>
      </w:r>
      <w:r>
        <w:rPr>
          <w:rStyle w:val="FootnoteReference"/>
          <w:rFonts w:ascii="Times New Roman" w:hAnsi="Times New Roman"/>
          <w:noProof/>
          <w:sz w:val="24"/>
        </w:rPr>
        <w:footnoteReference w:id="11"/>
      </w:r>
      <w:r>
        <w:rPr>
          <w:noProof/>
        </w:rPr>
        <w:t>.</w:t>
      </w:r>
    </w:p>
    <w:p w:rsidR="00532E87" w:rsidRDefault="006F790E">
      <w:pPr>
        <w:spacing w:line="240" w:lineRule="auto"/>
        <w:jc w:val="both"/>
        <w:rPr>
          <w:rFonts w:ascii="Times New Roman" w:hAnsi="Times New Roman" w:cs="Times New Roman"/>
          <w:noProof/>
          <w:sz w:val="24"/>
          <w:szCs w:val="24"/>
        </w:rPr>
      </w:pPr>
      <w:r>
        <w:rPr>
          <w:rFonts w:ascii="Times New Roman" w:hAnsi="Times New Roman"/>
          <w:noProof/>
          <w:sz w:val="24"/>
        </w:rPr>
        <w:t xml:space="preserve">En ce qui concerne la définition des plans et programmes, près de la moitié des États membres ont transposé, mot pour mot, </w:t>
      </w:r>
      <w:r>
        <w:rPr>
          <w:rFonts w:ascii="Times New Roman" w:hAnsi="Times New Roman"/>
          <w:noProof/>
          <w:sz w:val="24"/>
        </w:rPr>
        <w:t>l'article 3, paragraphe 2, de la directive ESE. La plupart d'entre eux ont ajusté le type ou le nom de la planification sectorielle pour tenir compte des dispositions nationales spécifiques.</w:t>
      </w:r>
    </w:p>
    <w:p w:rsidR="00532E87" w:rsidRDefault="006F790E">
      <w:pPr>
        <w:pStyle w:val="Heading3"/>
      </w:pPr>
      <w:r>
        <w:rPr>
          <w:i/>
        </w:rPr>
        <w:t>-</w:t>
      </w:r>
      <w:r>
        <w:tab/>
      </w:r>
      <w:r>
        <w:rPr>
          <w:b/>
          <w:i/>
        </w:rPr>
        <w:t>«Définition du cadre» (article 3, paragraphe 2)</w:t>
      </w:r>
    </w:p>
    <w:p w:rsidR="00532E87" w:rsidRDefault="006F790E">
      <w:pPr>
        <w:spacing w:line="240" w:lineRule="auto"/>
        <w:jc w:val="both"/>
        <w:rPr>
          <w:rFonts w:ascii="Times New Roman" w:hAnsi="Times New Roman" w:cs="Times New Roman"/>
          <w:noProof/>
          <w:sz w:val="24"/>
          <w:szCs w:val="24"/>
        </w:rPr>
      </w:pPr>
      <w:r>
        <w:rPr>
          <w:rFonts w:ascii="Times New Roman" w:hAnsi="Times New Roman"/>
          <w:noProof/>
          <w:sz w:val="24"/>
        </w:rPr>
        <w:t>Les plans et pr</w:t>
      </w:r>
      <w:r>
        <w:rPr>
          <w:rFonts w:ascii="Times New Roman" w:hAnsi="Times New Roman"/>
          <w:noProof/>
          <w:sz w:val="24"/>
        </w:rPr>
        <w:t>ogrammes pour lesquels une ESE est requise devraient définir le cadre dans lequel la mise en œuvre des projets énumérés aux annexes I et II de la directive EIE pourra être autorisée à l'avenir. Pratiquement tous les États membres ont transposé l'expression</w:t>
      </w:r>
      <w:r>
        <w:rPr>
          <w:rFonts w:ascii="Times New Roman" w:hAnsi="Times New Roman"/>
          <w:noProof/>
          <w:sz w:val="24"/>
        </w:rPr>
        <w:t xml:space="preserve"> «définir le cadre» mot pour mot, en développant bien souvent l'expression dans un acte législatif ou dans des documents d'orientation. La jurisprudence de la CJUE a confirmé que cette expression doit refléter l'objectif de la directive ESE, à savoir de te</w:t>
      </w:r>
      <w:r>
        <w:rPr>
          <w:rFonts w:ascii="Times New Roman" w:hAnsi="Times New Roman"/>
          <w:noProof/>
          <w:sz w:val="24"/>
        </w:rPr>
        <w:t>nir compte des incidences environnementales d'une décision qui établit des critères pour l'autorisation ultérieure des projets</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On peut donc dire que les plans et programmes définissent un cadre pour les décisions qui influencent l'autorisation ultérieure</w:t>
      </w:r>
      <w:r>
        <w:rPr>
          <w:rFonts w:ascii="Times New Roman" w:hAnsi="Times New Roman"/>
          <w:noProof/>
          <w:sz w:val="24"/>
        </w:rPr>
        <w:t xml:space="preserve"> des projets, en particulier en ce qui concerne le lieu, la nature, la taille et les conditions d'exploitation ou l'affectation des ressources.</w:t>
      </w:r>
    </w:p>
    <w:p w:rsidR="00532E87" w:rsidRDefault="006F790E">
      <w:pPr>
        <w:pStyle w:val="Heading3"/>
      </w:pPr>
      <w:r>
        <w:rPr>
          <w:i/>
        </w:rPr>
        <w:t>-</w:t>
      </w:r>
      <w:r>
        <w:tab/>
      </w:r>
      <w:r>
        <w:rPr>
          <w:b/>
          <w:i/>
        </w:rPr>
        <w:t>Sélection</w:t>
      </w:r>
    </w:p>
    <w:p w:rsidR="00532E87" w:rsidRDefault="006F790E">
      <w:pPr>
        <w:spacing w:line="240" w:lineRule="auto"/>
        <w:jc w:val="both"/>
        <w:rPr>
          <w:rFonts w:ascii="Times New Roman" w:hAnsi="Times New Roman" w:cs="Times New Roman"/>
          <w:noProof/>
          <w:sz w:val="24"/>
          <w:szCs w:val="24"/>
        </w:rPr>
      </w:pPr>
      <w:r>
        <w:rPr>
          <w:rFonts w:ascii="Times New Roman" w:hAnsi="Times New Roman"/>
          <w:noProof/>
          <w:sz w:val="24"/>
        </w:rPr>
        <w:t>L'article 3, paragraphes 4 et 5, de la directive ESE établit le processus permettant de déterminer s</w:t>
      </w:r>
      <w:r>
        <w:rPr>
          <w:rFonts w:ascii="Times New Roman" w:hAnsi="Times New Roman"/>
          <w:noProof/>
          <w:sz w:val="24"/>
        </w:rPr>
        <w:t>i les plans et programmes sont susceptibles d'avoir des incidences notables sur l'environnement et s'ils requièrent dès lors une ESE. Les États membres doivent tenir compte des critères définis à l'annexe II de la directive ESE. La plupart des États membre</w:t>
      </w:r>
      <w:r>
        <w:rPr>
          <w:rFonts w:ascii="Times New Roman" w:hAnsi="Times New Roman"/>
          <w:noProof/>
          <w:sz w:val="24"/>
        </w:rPr>
        <w:t>s ont transposé l'annexe II mot pour mot et appliquent une approche de sélection au cas par cas. Toutefois, la marge de manœuvre pour la sélection de certains plans et programmes est limitée par l'objectif global de la directive</w:t>
      </w:r>
      <w:r>
        <w:rPr>
          <w:rStyle w:val="FootnoteReference"/>
          <w:rFonts w:ascii="Times New Roman" w:hAnsi="Times New Roman"/>
          <w:noProof/>
          <w:sz w:val="24"/>
        </w:rPr>
        <w:footnoteReference w:id="13"/>
      </w:r>
      <w:r>
        <w:rPr>
          <w:rFonts w:ascii="Times New Roman" w:hAnsi="Times New Roman"/>
          <w:noProof/>
          <w:sz w:val="24"/>
        </w:rPr>
        <w:t xml:space="preserve">, à savoir celui d'assurer </w:t>
      </w:r>
      <w:r>
        <w:rPr>
          <w:rFonts w:ascii="Times New Roman" w:hAnsi="Times New Roman"/>
          <w:noProof/>
          <w:sz w:val="24"/>
        </w:rPr>
        <w:t>un niveau élevé de protection de l'environnement.</w:t>
      </w:r>
    </w:p>
    <w:p w:rsidR="00532E87" w:rsidRDefault="006F790E">
      <w:pPr>
        <w:pStyle w:val="Heading1"/>
        <w:rPr>
          <w:rFonts w:ascii="Times New Roman" w:hAnsi="Times New Roman" w:cs="Times New Roman"/>
          <w:noProof/>
          <w:color w:val="auto"/>
          <w:sz w:val="24"/>
          <w:szCs w:val="26"/>
        </w:rPr>
      </w:pPr>
      <w:r>
        <w:rPr>
          <w:rFonts w:ascii="Times New Roman" w:hAnsi="Times New Roman"/>
          <w:noProof/>
          <w:color w:val="auto"/>
          <w:sz w:val="24"/>
        </w:rPr>
        <w:t>2.3.</w:t>
      </w:r>
      <w:r>
        <w:rPr>
          <w:noProof/>
        </w:rPr>
        <w:tab/>
      </w:r>
      <w:r>
        <w:rPr>
          <w:rFonts w:ascii="Times New Roman" w:hAnsi="Times New Roman"/>
          <w:noProof/>
          <w:color w:val="auto"/>
          <w:sz w:val="24"/>
        </w:rPr>
        <w:t>«Scoping» (article 5, paragraphe 4)</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L'ampleur et le degré de précision des informations que le rapport sur les incidences environnementales doit contenir sont appelés «scoping» (ou détermination du cha</w:t>
      </w:r>
      <w:r>
        <w:rPr>
          <w:rFonts w:ascii="Times New Roman" w:hAnsi="Times New Roman"/>
          <w:noProof/>
          <w:sz w:val="24"/>
        </w:rPr>
        <w:t>mp du rapport d’évaluation). Les États membres jouissent d'une large marge de manœuvre pour organiser la phase de détermination du champ du rapport d'une ESE, la seule limite étant l'obligation de consulter les autorités ayant des responsabilités environne</w:t>
      </w:r>
      <w:r>
        <w:rPr>
          <w:rFonts w:ascii="Times New Roman" w:hAnsi="Times New Roman"/>
          <w:noProof/>
          <w:sz w:val="24"/>
        </w:rPr>
        <w:t>mentales spécifiques.</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Dans certains États membres, la préparation du rapport de scoping est obligatoire. Le contenu et le degré de précision des informations présentées dans le rapport de scoping peuvent varier entre les États membres, et certains précisen</w:t>
      </w:r>
      <w:r>
        <w:rPr>
          <w:rFonts w:ascii="Times New Roman" w:hAnsi="Times New Roman"/>
          <w:noProof/>
          <w:sz w:val="24"/>
        </w:rPr>
        <w:t>t son contenu dans la législation nationale.</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 xml:space="preserve">Les autorités publiques dans les différents États membres ont un rôle différent dans la détermination du champ du rapport. Les autorités environnementales doivent, au minimum, être consultées lors de l'étape de </w:t>
      </w:r>
      <w:r>
        <w:rPr>
          <w:rFonts w:ascii="Times New Roman" w:hAnsi="Times New Roman"/>
          <w:noProof/>
          <w:sz w:val="24"/>
        </w:rPr>
        <w:t>détermination du champ du rapport. Cependant, dans certains États membres, elles approuvent également le document de détermination du champ du rapport d’évaluation.</w:t>
      </w:r>
    </w:p>
    <w:p w:rsidR="00532E87" w:rsidRDefault="006F790E">
      <w:pPr>
        <w:pStyle w:val="Heading2"/>
        <w:rPr>
          <w:rFonts w:ascii="Times New Roman" w:hAnsi="Times New Roman" w:cs="Times New Roman"/>
          <w:noProof/>
          <w:color w:val="auto"/>
          <w:sz w:val="24"/>
        </w:rPr>
      </w:pPr>
      <w:r>
        <w:rPr>
          <w:rFonts w:ascii="Times New Roman" w:hAnsi="Times New Roman"/>
          <w:noProof/>
          <w:color w:val="auto"/>
          <w:sz w:val="24"/>
        </w:rPr>
        <w:t>2.4.</w:t>
      </w:r>
      <w:r>
        <w:rPr>
          <w:noProof/>
        </w:rPr>
        <w:tab/>
      </w:r>
      <w:r>
        <w:rPr>
          <w:rFonts w:ascii="Times New Roman" w:hAnsi="Times New Roman"/>
          <w:noProof/>
          <w:color w:val="auto"/>
          <w:sz w:val="24"/>
        </w:rPr>
        <w:t>Rapport sur les incidences environnementales (article 5 et annexe I)</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 xml:space="preserve">L'annexe I de la </w:t>
      </w:r>
      <w:r>
        <w:rPr>
          <w:rFonts w:ascii="Times New Roman" w:hAnsi="Times New Roman"/>
          <w:noProof/>
          <w:sz w:val="24"/>
        </w:rPr>
        <w:t xml:space="preserve">directive ESE précise le contenu minimal du rapport sur les incidences environnementales. Les États membres doivent veiller à ce que ce rapport soit d'une qualité suffisante. Près de la moitié des États membres ont élargi la portée de l'annexe I dans leur </w:t>
      </w:r>
      <w:r>
        <w:rPr>
          <w:rFonts w:ascii="Times New Roman" w:hAnsi="Times New Roman"/>
          <w:noProof/>
          <w:sz w:val="24"/>
        </w:rPr>
        <w:t xml:space="preserve">législation nationale. Par exemple, certains États membres exigent que le rapport sur les incidences environnementales inclue une évaluation de certains facteurs économiques et sociaux qui pourraient être pertinents pour la mise en œuvre du plan. D'autres </w:t>
      </w:r>
      <w:r>
        <w:rPr>
          <w:rFonts w:ascii="Times New Roman" w:hAnsi="Times New Roman"/>
          <w:noProof/>
          <w:sz w:val="24"/>
        </w:rPr>
        <w:t xml:space="preserve">États membres exigent explicitement que les résultats des consultations du public soient inclus dans le rapport sur les incidences environnementales. En ce qui concerne le contenu du résumé non technique du rapport, pratiquement tous les États membres ont </w:t>
      </w:r>
      <w:r>
        <w:rPr>
          <w:rFonts w:ascii="Times New Roman" w:hAnsi="Times New Roman"/>
          <w:noProof/>
          <w:sz w:val="24"/>
        </w:rPr>
        <w:t>transposé, mot pour mot, la disposition pertinente de la directive.</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Les États membres ont rencontré deux types de défis dans la préparation du rapport sur les incidences environnementales:</w:t>
      </w:r>
    </w:p>
    <w:p w:rsidR="00532E87" w:rsidRDefault="006F790E">
      <w:pPr>
        <w:spacing w:line="240" w:lineRule="auto"/>
        <w:jc w:val="both"/>
        <w:rPr>
          <w:rFonts w:ascii="Times New Roman" w:hAnsi="Times New Roman" w:cs="Times New Roman"/>
          <w:noProof/>
          <w:sz w:val="24"/>
        </w:rPr>
      </w:pPr>
      <w:r>
        <w:rPr>
          <w:noProof/>
        </w:rPr>
        <w:tab/>
      </w:r>
      <w:r>
        <w:rPr>
          <w:rFonts w:ascii="Times New Roman" w:hAnsi="Times New Roman"/>
          <w:i/>
          <w:noProof/>
          <w:sz w:val="24"/>
        </w:rPr>
        <w:t>i.</w:t>
      </w:r>
      <w:r>
        <w:rPr>
          <w:noProof/>
        </w:rPr>
        <w:tab/>
      </w:r>
      <w:r>
        <w:rPr>
          <w:rFonts w:ascii="Times New Roman" w:hAnsi="Times New Roman"/>
          <w:noProof/>
          <w:sz w:val="24"/>
        </w:rPr>
        <w:t>la disponibilité et la qualité des données;</w:t>
      </w:r>
    </w:p>
    <w:p w:rsidR="00532E87" w:rsidRDefault="006F790E">
      <w:pPr>
        <w:spacing w:line="240" w:lineRule="auto"/>
        <w:jc w:val="both"/>
        <w:rPr>
          <w:rFonts w:ascii="Times New Roman" w:hAnsi="Times New Roman" w:cs="Times New Roman"/>
          <w:noProof/>
          <w:sz w:val="24"/>
        </w:rPr>
      </w:pPr>
      <w:r>
        <w:rPr>
          <w:noProof/>
        </w:rPr>
        <w:tab/>
      </w:r>
      <w:r>
        <w:rPr>
          <w:rFonts w:ascii="Times New Roman" w:hAnsi="Times New Roman"/>
          <w:i/>
          <w:noProof/>
          <w:sz w:val="24"/>
        </w:rPr>
        <w:t>ii.</w:t>
      </w:r>
      <w:r>
        <w:rPr>
          <w:noProof/>
        </w:rPr>
        <w:tab/>
      </w:r>
      <w:r>
        <w:rPr>
          <w:rFonts w:ascii="Times New Roman" w:hAnsi="Times New Roman"/>
          <w:noProof/>
          <w:sz w:val="24"/>
        </w:rPr>
        <w:t xml:space="preserve">la </w:t>
      </w:r>
      <w:r>
        <w:rPr>
          <w:rFonts w:ascii="Times New Roman" w:hAnsi="Times New Roman"/>
          <w:noProof/>
          <w:sz w:val="24"/>
        </w:rPr>
        <w:t>connaissance technique et l'expérience des experts préparant le rapport et les autorités en charge de l'examen de qualité.</w:t>
      </w:r>
    </w:p>
    <w:p w:rsidR="00532E87" w:rsidRDefault="006F790E">
      <w:pPr>
        <w:pStyle w:val="Heading3"/>
        <w:rPr>
          <w:i/>
        </w:rPr>
      </w:pPr>
      <w:r>
        <w:rPr>
          <w:b/>
          <w:i/>
        </w:rPr>
        <w:t>-</w:t>
      </w:r>
      <w:r>
        <w:tab/>
      </w:r>
      <w:r>
        <w:rPr>
          <w:b/>
          <w:i/>
        </w:rPr>
        <w:t>Informations de base</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Certains États membres ont transposé les exigences de l'annexe I b mot pour mot; d'autres ont élaboré des docu</w:t>
      </w:r>
      <w:r>
        <w:rPr>
          <w:rFonts w:ascii="Times New Roman" w:hAnsi="Times New Roman"/>
          <w:noProof/>
          <w:sz w:val="24"/>
        </w:rPr>
        <w:t>ments d'orientation pour faciliter la collecte d'informations de base. Près de deux tiers des États membres ont déclaré que la pertinence, la disponibilité et le degré de précision des données à collecter posent un problème au moment de collecter des infor</w:t>
      </w:r>
      <w:r>
        <w:rPr>
          <w:rFonts w:ascii="Times New Roman" w:hAnsi="Times New Roman"/>
          <w:noProof/>
          <w:sz w:val="24"/>
        </w:rPr>
        <w:t>mations de base, notamment les données liées aux évaluations de la vulnérabilité au changement climatique</w:t>
      </w:r>
      <w:r>
        <w:rPr>
          <w:rStyle w:val="FootnoteReference"/>
          <w:rFonts w:ascii="Times New Roman" w:hAnsi="Times New Roman"/>
          <w:noProof/>
          <w:sz w:val="24"/>
        </w:rPr>
        <w:footnoteReference w:id="14"/>
      </w:r>
      <w:r>
        <w:rPr>
          <w:noProof/>
        </w:rPr>
        <w:t>.</w:t>
      </w:r>
      <w:r>
        <w:rPr>
          <w:rFonts w:ascii="Times New Roman" w:hAnsi="Times New Roman"/>
          <w:noProof/>
          <w:sz w:val="24"/>
        </w:rPr>
        <w:t xml:space="preserve"> L'expérience montre que la qualité des informations de base est meilleure pour les plans et programmes à petite échelle du fait de leur nature spéci</w:t>
      </w:r>
      <w:r>
        <w:rPr>
          <w:rFonts w:ascii="Times New Roman" w:hAnsi="Times New Roman"/>
          <w:noProof/>
          <w:sz w:val="24"/>
        </w:rPr>
        <w:t>fique à un lieu.</w:t>
      </w:r>
    </w:p>
    <w:p w:rsidR="00532E87" w:rsidRDefault="006F790E">
      <w:pPr>
        <w:pStyle w:val="Heading3"/>
        <w:rPr>
          <w:i/>
        </w:rPr>
      </w:pPr>
      <w:r>
        <w:t>-</w:t>
      </w:r>
      <w:r>
        <w:tab/>
      </w:r>
      <w:r>
        <w:rPr>
          <w:b/>
          <w:i/>
        </w:rPr>
        <w:t>Solutions de substitution raisonnables (article 5, paragraphe 1)</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Ni la directive ESE, ni les États membres ayant transposé la directive dans leur législation nationale, ne définissent le terme «solutions de substitution raisonnables». Pl</w:t>
      </w:r>
      <w:r>
        <w:rPr>
          <w:rFonts w:ascii="Times New Roman" w:hAnsi="Times New Roman"/>
          <w:noProof/>
          <w:sz w:val="24"/>
        </w:rPr>
        <w:t>usieurs États membres ont préparé des documents d'orientation nationaux pour faciliter l'identification et la sélection de solutions de substitution raisonnables dans la procédure ESE. Il n'existe pas d'approche commune à la définition des types et du nomb</w:t>
      </w:r>
      <w:r>
        <w:rPr>
          <w:rFonts w:ascii="Times New Roman" w:hAnsi="Times New Roman"/>
          <w:noProof/>
          <w:sz w:val="24"/>
        </w:rPr>
        <w:t>re de solutions de substitution à évaluer. Cela dépend des objectifs, du champ d'application géographique et du contenu de chaque série de plans et programmes. Toutefois, les trois catégories de solutions de substitution les plus courantes pour les États m</w:t>
      </w:r>
      <w:r>
        <w:rPr>
          <w:rFonts w:ascii="Times New Roman" w:hAnsi="Times New Roman"/>
          <w:noProof/>
          <w:sz w:val="24"/>
        </w:rPr>
        <w:t>embres sont:</w:t>
      </w:r>
    </w:p>
    <w:p w:rsidR="00532E87" w:rsidRDefault="006F790E">
      <w:pPr>
        <w:pStyle w:val="Heading4"/>
        <w:jc w:val="both"/>
        <w:rPr>
          <w:rFonts w:ascii="Times New Roman" w:hAnsi="Times New Roman" w:cs="Times New Roman"/>
          <w:b w:val="0"/>
          <w:i w:val="0"/>
          <w:noProof/>
          <w:color w:val="auto"/>
          <w:sz w:val="24"/>
          <w:szCs w:val="24"/>
        </w:rPr>
      </w:pPr>
      <w:r>
        <w:rPr>
          <w:noProof/>
        </w:rPr>
        <w:tab/>
      </w:r>
      <w:r>
        <w:rPr>
          <w:rFonts w:ascii="Times New Roman" w:hAnsi="Times New Roman"/>
          <w:b w:val="0"/>
          <w:noProof/>
          <w:color w:val="auto"/>
          <w:sz w:val="24"/>
        </w:rPr>
        <w:t>i.</w:t>
      </w:r>
      <w:r>
        <w:rPr>
          <w:noProof/>
        </w:rPr>
        <w:tab/>
      </w:r>
      <w:r>
        <w:rPr>
          <w:rFonts w:ascii="Times New Roman" w:hAnsi="Times New Roman"/>
          <w:b w:val="0"/>
          <w:noProof/>
          <w:color w:val="auto"/>
          <w:sz w:val="24"/>
        </w:rPr>
        <w:t>solutions de substitution de localisation;</w:t>
      </w:r>
    </w:p>
    <w:p w:rsidR="00532E87" w:rsidRDefault="006F790E">
      <w:pPr>
        <w:pStyle w:val="Heading4"/>
        <w:jc w:val="both"/>
        <w:rPr>
          <w:rFonts w:ascii="Times New Roman" w:hAnsi="Times New Roman" w:cs="Times New Roman"/>
          <w:b w:val="0"/>
          <w:i w:val="0"/>
          <w:noProof/>
          <w:color w:val="auto"/>
          <w:sz w:val="24"/>
          <w:szCs w:val="24"/>
        </w:rPr>
      </w:pPr>
      <w:r>
        <w:rPr>
          <w:noProof/>
        </w:rPr>
        <w:tab/>
      </w:r>
      <w:r>
        <w:rPr>
          <w:rFonts w:ascii="Times New Roman" w:hAnsi="Times New Roman"/>
          <w:b w:val="0"/>
          <w:noProof/>
          <w:color w:val="auto"/>
          <w:sz w:val="24"/>
        </w:rPr>
        <w:t>ii.</w:t>
      </w:r>
      <w:r>
        <w:rPr>
          <w:noProof/>
        </w:rPr>
        <w:tab/>
      </w:r>
      <w:r>
        <w:rPr>
          <w:rFonts w:ascii="Times New Roman" w:hAnsi="Times New Roman"/>
          <w:b w:val="0"/>
          <w:noProof/>
          <w:color w:val="auto"/>
          <w:sz w:val="24"/>
        </w:rPr>
        <w:t xml:space="preserve">solutions de substitution qualitatives et quantitatives </w:t>
      </w:r>
      <w:r>
        <w:rPr>
          <w:rFonts w:ascii="Times New Roman" w:hAnsi="Times New Roman"/>
          <w:b w:val="0"/>
          <w:i w:val="0"/>
          <w:noProof/>
          <w:color w:val="auto"/>
          <w:sz w:val="24"/>
        </w:rPr>
        <w:t>(changeant l'échelle ou la taille de l'intervention dans l'environnement)</w:t>
      </w:r>
    </w:p>
    <w:p w:rsidR="00532E87" w:rsidRDefault="006F790E">
      <w:pPr>
        <w:pStyle w:val="Heading4"/>
        <w:jc w:val="both"/>
        <w:rPr>
          <w:rFonts w:ascii="Times New Roman" w:hAnsi="Times New Roman" w:cs="Times New Roman"/>
          <w:b w:val="0"/>
          <w:i w:val="0"/>
          <w:noProof/>
          <w:color w:val="auto"/>
          <w:sz w:val="24"/>
          <w:szCs w:val="24"/>
        </w:rPr>
      </w:pPr>
      <w:r>
        <w:rPr>
          <w:noProof/>
        </w:rPr>
        <w:tab/>
      </w:r>
      <w:r>
        <w:rPr>
          <w:rFonts w:ascii="Times New Roman" w:hAnsi="Times New Roman"/>
          <w:b w:val="0"/>
          <w:noProof/>
          <w:color w:val="auto"/>
          <w:sz w:val="24"/>
        </w:rPr>
        <w:t>iii.</w:t>
      </w:r>
      <w:r>
        <w:rPr>
          <w:noProof/>
        </w:rPr>
        <w:tab/>
      </w:r>
      <w:r>
        <w:rPr>
          <w:rFonts w:ascii="Times New Roman" w:hAnsi="Times New Roman"/>
          <w:b w:val="0"/>
          <w:noProof/>
          <w:color w:val="auto"/>
          <w:sz w:val="24"/>
        </w:rPr>
        <w:t>solutions de substitution techniques</w:t>
      </w:r>
      <w:r>
        <w:rPr>
          <w:rFonts w:ascii="Times New Roman" w:hAnsi="Times New Roman"/>
          <w:b w:val="0"/>
          <w:i w:val="0"/>
          <w:noProof/>
          <w:color w:val="auto"/>
          <w:sz w:val="24"/>
        </w:rPr>
        <w:t xml:space="preserve"> (liées à la concep</w:t>
      </w:r>
      <w:r>
        <w:rPr>
          <w:rFonts w:ascii="Times New Roman" w:hAnsi="Times New Roman"/>
          <w:b w:val="0"/>
          <w:i w:val="0"/>
          <w:noProof/>
          <w:color w:val="auto"/>
          <w:sz w:val="24"/>
        </w:rPr>
        <w:t>tion de projets futurs à développer sur un site spécifique).</w:t>
      </w:r>
    </w:p>
    <w:p w:rsidR="00532E87" w:rsidRDefault="00532E87">
      <w:pPr>
        <w:rPr>
          <w:noProof/>
        </w:rPr>
      </w:pP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 xml:space="preserve">Les États membres tiennent toujours compte de la </w:t>
      </w:r>
      <w:r>
        <w:rPr>
          <w:rFonts w:ascii="Times New Roman" w:hAnsi="Times New Roman"/>
          <w:i/>
          <w:noProof/>
          <w:sz w:val="24"/>
        </w:rPr>
        <w:t>«solution d'inaction»</w:t>
      </w:r>
      <w:r>
        <w:rPr>
          <w:rStyle w:val="FootnoteReference"/>
          <w:rFonts w:ascii="Times New Roman" w:hAnsi="Times New Roman"/>
          <w:noProof/>
          <w:sz w:val="24"/>
        </w:rPr>
        <w:footnoteReference w:id="15"/>
      </w:r>
      <w:r>
        <w:rPr>
          <w:rFonts w:ascii="Times New Roman" w:hAnsi="Times New Roman"/>
          <w:noProof/>
          <w:sz w:val="24"/>
        </w:rPr>
        <w:t xml:space="preserve"> dans le rapport sur les incidences environnementales mais l'approche de mise en œuvre varie. Certains États membres la con</w:t>
      </w:r>
      <w:r>
        <w:rPr>
          <w:rFonts w:ascii="Times New Roman" w:hAnsi="Times New Roman"/>
          <w:noProof/>
          <w:sz w:val="24"/>
        </w:rPr>
        <w:t>sidèrent comme une «solution de substitution raisonnable» tandis que d'autres la considèrent comme une partie indépendante du rapport sur les incidences environnementales, et pas nécessairement liée aux solutions de substitution raisonnables mais plutôt au</w:t>
      </w:r>
      <w:r>
        <w:rPr>
          <w:rFonts w:ascii="Times New Roman" w:hAnsi="Times New Roman"/>
          <w:noProof/>
          <w:sz w:val="24"/>
        </w:rPr>
        <w:t>x informations de base.</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Pour garantir la conformité lors de la mise en œuvre et de l'application de la directive ESE, les solutions de substitution évaluées doivent être raisonnables en tenant compte des objectifs et du champ d'application géographique des</w:t>
      </w:r>
      <w:r>
        <w:rPr>
          <w:rFonts w:ascii="Times New Roman" w:hAnsi="Times New Roman"/>
          <w:noProof/>
          <w:sz w:val="24"/>
        </w:rPr>
        <w:t xml:space="preserve"> plans et programmes avant d'établir leur contenu final. Comme les États membres l'ont également fait observer, en raison des spécificités lors de la préparation des plans et programmes, l'identification de solutions de substitution raisonnables pourrait ê</w:t>
      </w:r>
      <w:r>
        <w:rPr>
          <w:rFonts w:ascii="Times New Roman" w:hAnsi="Times New Roman"/>
          <w:noProof/>
          <w:sz w:val="24"/>
        </w:rPr>
        <w:t>tre compliquée. Par exemple, il est difficile d'identifier et d'évaluer des solutions de substitution raisonnables lors du stade de planification, car les plans et programmes abordent un sujet particulier de manière stratégique, ou encore en raison du cont</w:t>
      </w:r>
      <w:r>
        <w:rPr>
          <w:rFonts w:ascii="Times New Roman" w:hAnsi="Times New Roman"/>
          <w:noProof/>
          <w:sz w:val="24"/>
        </w:rPr>
        <w:t>enu général des plans et programmes.</w:t>
      </w:r>
    </w:p>
    <w:p w:rsidR="00532E87" w:rsidRDefault="006F790E">
      <w:pPr>
        <w:pStyle w:val="Heading2"/>
        <w:rPr>
          <w:rFonts w:ascii="Times New Roman" w:hAnsi="Times New Roman" w:cs="Times New Roman"/>
          <w:noProof/>
          <w:color w:val="auto"/>
          <w:sz w:val="24"/>
        </w:rPr>
      </w:pPr>
      <w:r>
        <w:rPr>
          <w:rFonts w:ascii="Times New Roman" w:hAnsi="Times New Roman"/>
          <w:noProof/>
          <w:color w:val="auto"/>
          <w:sz w:val="24"/>
        </w:rPr>
        <w:t>2.5.</w:t>
      </w:r>
      <w:r>
        <w:rPr>
          <w:noProof/>
        </w:rPr>
        <w:tab/>
      </w:r>
      <w:r>
        <w:rPr>
          <w:rFonts w:ascii="Times New Roman" w:hAnsi="Times New Roman"/>
          <w:noProof/>
          <w:color w:val="auto"/>
          <w:sz w:val="24"/>
        </w:rPr>
        <w:t>Consultations (article 6)</w:t>
      </w:r>
    </w:p>
    <w:p w:rsidR="00532E87" w:rsidRDefault="006F790E">
      <w:pPr>
        <w:pStyle w:val="Standa2"/>
        <w:spacing w:after="0" w:line="240" w:lineRule="auto"/>
        <w:ind w:right="-46"/>
        <w:jc w:val="both"/>
        <w:rPr>
          <w:rFonts w:ascii="Times New Roman" w:eastAsiaTheme="minorHAnsi" w:hAnsi="Times New Roman"/>
          <w:noProof/>
          <w:sz w:val="24"/>
        </w:rPr>
      </w:pPr>
      <w:r>
        <w:rPr>
          <w:rFonts w:ascii="Times New Roman" w:eastAsiaTheme="minorHAnsi" w:hAnsi="Times New Roman"/>
          <w:noProof/>
          <w:sz w:val="24"/>
        </w:rPr>
        <w:t xml:space="preserve">Les États membres jouissent d'une marge de manœuvre considérable pour organiser le processus d'information et de consultation du public et des autorités concernées aux différentes étapes </w:t>
      </w:r>
      <w:r>
        <w:rPr>
          <w:rFonts w:ascii="Times New Roman" w:eastAsiaTheme="minorHAnsi" w:hAnsi="Times New Roman"/>
          <w:noProof/>
          <w:sz w:val="24"/>
        </w:rPr>
        <w:t>de la procédure ESE. Ils doivent s'assurer qu'une procédure de consultation précoce et effective est organisée, conformément aux exigences de la convention Aarhus</w:t>
      </w:r>
      <w:r>
        <w:rPr>
          <w:rStyle w:val="FootnoteReference"/>
          <w:rFonts w:ascii="Times New Roman" w:eastAsiaTheme="minorHAnsi" w:hAnsi="Times New Roman"/>
          <w:noProof/>
          <w:sz w:val="24"/>
        </w:rPr>
        <w:footnoteReference w:id="16"/>
      </w:r>
      <w:r>
        <w:rPr>
          <w:noProof/>
        </w:rPr>
        <w:t>.</w:t>
      </w:r>
    </w:p>
    <w:p w:rsidR="00532E87" w:rsidRDefault="006F790E">
      <w:pPr>
        <w:pStyle w:val="Heading3"/>
        <w:rPr>
          <w:rFonts w:eastAsiaTheme="minorHAnsi"/>
        </w:rPr>
      </w:pPr>
      <w:r>
        <w:t>-</w:t>
      </w:r>
      <w:r>
        <w:tab/>
      </w:r>
      <w:r>
        <w:rPr>
          <w:rFonts w:eastAsiaTheme="minorHAnsi"/>
          <w:b/>
          <w:i/>
        </w:rPr>
        <w:t>Délais</w:t>
      </w:r>
    </w:p>
    <w:p w:rsidR="00532E87" w:rsidRDefault="006F790E">
      <w:pPr>
        <w:pStyle w:val="Standa2"/>
        <w:spacing w:after="0" w:line="240" w:lineRule="auto"/>
        <w:ind w:right="-46"/>
        <w:jc w:val="both"/>
        <w:rPr>
          <w:rFonts w:ascii="Times New Roman" w:hAnsi="Times New Roman"/>
          <w:noProof/>
          <w:sz w:val="24"/>
          <w:szCs w:val="24"/>
        </w:rPr>
      </w:pPr>
      <w:r>
        <w:rPr>
          <w:rFonts w:ascii="Times New Roman" w:eastAsiaTheme="minorHAnsi" w:hAnsi="Times New Roman"/>
          <w:noProof/>
          <w:sz w:val="24"/>
        </w:rPr>
        <w:t>La directive ESE ne précise pas de délai pour la procédure de consultation, mais r</w:t>
      </w:r>
      <w:r>
        <w:rPr>
          <w:rFonts w:ascii="Times New Roman" w:eastAsiaTheme="minorHAnsi" w:hAnsi="Times New Roman"/>
          <w:noProof/>
          <w:sz w:val="24"/>
        </w:rPr>
        <w:t>equiert qu'elle se fasse dans des «délais suffisants» (article 6, paragraphe 2). Généralement, les délais pour la consultation des autorités environnementales sont les mêmes que pour la consultation du public. La CJUE</w:t>
      </w:r>
      <w:r>
        <w:rPr>
          <w:rStyle w:val="FootnoteReference"/>
          <w:rFonts w:ascii="Times New Roman" w:eastAsiaTheme="minorHAnsi" w:hAnsi="Times New Roman"/>
          <w:noProof/>
          <w:sz w:val="24"/>
        </w:rPr>
        <w:footnoteReference w:id="17"/>
      </w:r>
      <w:r>
        <w:rPr>
          <w:rFonts w:ascii="Times New Roman" w:eastAsiaTheme="minorHAnsi" w:hAnsi="Times New Roman"/>
          <w:noProof/>
          <w:sz w:val="24"/>
        </w:rPr>
        <w:t xml:space="preserve"> a confirmé que la réglementation nati</w:t>
      </w:r>
      <w:r>
        <w:rPr>
          <w:rFonts w:ascii="Times New Roman" w:eastAsiaTheme="minorHAnsi" w:hAnsi="Times New Roman"/>
          <w:noProof/>
          <w:sz w:val="24"/>
        </w:rPr>
        <w:t>onale peut fixer les délais, à condition qu'elle donne une possibilité réelle au public et aux autorités d'exprimer leur avis.</w:t>
      </w:r>
    </w:p>
    <w:p w:rsidR="00532E87" w:rsidRDefault="006F790E">
      <w:pPr>
        <w:pStyle w:val="Heading3"/>
        <w:rPr>
          <w:b/>
          <w:i/>
        </w:rPr>
      </w:pPr>
      <w:r>
        <w:rPr>
          <w:b/>
          <w:i/>
        </w:rPr>
        <w:t>-</w:t>
      </w:r>
      <w:r>
        <w:tab/>
      </w:r>
      <w:r>
        <w:rPr>
          <w:b/>
          <w:i/>
        </w:rPr>
        <w:t>Rendre les informations de sélection/de détermination du champ du rapport d’évaluation disponibles au public</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Tous les États mem</w:t>
      </w:r>
      <w:r>
        <w:rPr>
          <w:rFonts w:ascii="Times New Roman" w:hAnsi="Times New Roman"/>
          <w:noProof/>
          <w:sz w:val="24"/>
        </w:rPr>
        <w:t>bres informent le public des résultats de la procédure de sélection. Ces informations sont généralement communiquées via le site web consacré aux plans et programmes spécifiques, ou le site web des autorités environnementales, en particulier si elles prenn</w:t>
      </w:r>
      <w:r>
        <w:rPr>
          <w:rFonts w:ascii="Times New Roman" w:hAnsi="Times New Roman"/>
          <w:noProof/>
          <w:sz w:val="24"/>
        </w:rPr>
        <w:t>ent la décision finale. La décision de sélection est également publiée dans les périodiques et journaux quotidiens, etc.</w:t>
      </w:r>
    </w:p>
    <w:p w:rsidR="00532E87" w:rsidRDefault="006F790E">
      <w:pPr>
        <w:spacing w:line="240" w:lineRule="auto"/>
        <w:jc w:val="both"/>
        <w:rPr>
          <w:rFonts w:ascii="Times New Roman" w:hAnsi="Times New Roman" w:cs="Times New Roman"/>
          <w:b/>
          <w:noProof/>
          <w:sz w:val="24"/>
        </w:rPr>
      </w:pPr>
      <w:r>
        <w:rPr>
          <w:rFonts w:ascii="Times New Roman" w:hAnsi="Times New Roman"/>
          <w:noProof/>
          <w:sz w:val="24"/>
        </w:rPr>
        <w:t>Dans certains États membres, le public est impliqué dans la détermination du champ du rapport d’évaluation, celui-ci recevant des infor</w:t>
      </w:r>
      <w:r>
        <w:rPr>
          <w:rFonts w:ascii="Times New Roman" w:hAnsi="Times New Roman"/>
          <w:noProof/>
          <w:sz w:val="24"/>
        </w:rPr>
        <w:t>mations et ayant la possibilité de fournir des commentaires écrits ou de participer aux consultations sur la détermination du champ du rapport d’évaluation.</w:t>
      </w:r>
    </w:p>
    <w:p w:rsidR="00532E87" w:rsidRDefault="006F790E">
      <w:pPr>
        <w:pStyle w:val="Heading3"/>
        <w:jc w:val="both"/>
        <w:rPr>
          <w:b/>
          <w:i/>
        </w:rPr>
      </w:pPr>
      <w:r>
        <w:rPr>
          <w:b/>
        </w:rPr>
        <w:t>-</w:t>
      </w:r>
      <w:r>
        <w:tab/>
      </w:r>
      <w:r>
        <w:rPr>
          <w:b/>
          <w:i/>
        </w:rPr>
        <w:t>Consultation des autorités concernées (article 6, paragraphe 3)</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Tous les États membres consultent</w:t>
      </w:r>
      <w:r>
        <w:rPr>
          <w:rFonts w:ascii="Times New Roman" w:hAnsi="Times New Roman"/>
          <w:noProof/>
          <w:sz w:val="24"/>
        </w:rPr>
        <w:t xml:space="preserve"> les autorités concernant le rapport sur les incidences environnementales et les projets de plans et programmes. Dans certains États membres, l'autorité environnementale joue le rôle d'intermédiaire entre l'autorité élaborant les plans et programmes et tou</w:t>
      </w:r>
      <w:r>
        <w:rPr>
          <w:rFonts w:ascii="Times New Roman" w:hAnsi="Times New Roman"/>
          <w:noProof/>
          <w:sz w:val="24"/>
        </w:rPr>
        <w:t>tes les autres autorités devant être consultées dans le cadre de la procédure ESE. L'autorité environnementale garantit également la qualité du rapport sur les incidences environnementales.</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La CJUE</w:t>
      </w:r>
      <w:r>
        <w:rPr>
          <w:rStyle w:val="FootnoteReference"/>
          <w:rFonts w:ascii="Times New Roman" w:hAnsi="Times New Roman"/>
          <w:noProof/>
          <w:sz w:val="24"/>
        </w:rPr>
        <w:footnoteReference w:id="18"/>
      </w:r>
      <w:r>
        <w:rPr>
          <w:rFonts w:ascii="Times New Roman" w:hAnsi="Times New Roman"/>
          <w:noProof/>
          <w:sz w:val="24"/>
        </w:rPr>
        <w:t xml:space="preserve"> a précisé qu'il est nécessaire d'organiser une séparation</w:t>
      </w:r>
      <w:r>
        <w:rPr>
          <w:rFonts w:ascii="Times New Roman" w:hAnsi="Times New Roman"/>
          <w:noProof/>
          <w:sz w:val="24"/>
        </w:rPr>
        <w:t xml:space="preserve"> fonctionnelle au sein de l'entité responsable de la consultation sur les questions environnementales, de manière à ce qu’une entité administrative, interne à celle-ci, dispose d’une autonomie réelle de donner de manière objective son avis sur le plan ou p</w:t>
      </w:r>
      <w:r>
        <w:rPr>
          <w:rFonts w:ascii="Times New Roman" w:hAnsi="Times New Roman"/>
          <w:noProof/>
          <w:sz w:val="24"/>
        </w:rPr>
        <w:t>rogramme soumis à la procédure ESE.</w:t>
      </w:r>
    </w:p>
    <w:p w:rsidR="00532E87" w:rsidRDefault="006F790E">
      <w:pPr>
        <w:pStyle w:val="Heading3"/>
        <w:jc w:val="both"/>
        <w:rPr>
          <w:b/>
          <w:i/>
        </w:rPr>
      </w:pPr>
      <w:r>
        <w:t>-</w:t>
      </w:r>
      <w:r>
        <w:tab/>
      </w:r>
      <w:r>
        <w:rPr>
          <w:b/>
          <w:i/>
        </w:rPr>
        <w:t>Consultation du public sur le rapport sur les incidences environnementales</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 xml:space="preserve">Dans la plupart des États membres, le rapport sur les incidences environnementales est rendu public au même moment que les projets de plans et </w:t>
      </w:r>
      <w:r>
        <w:rPr>
          <w:rFonts w:ascii="Times New Roman" w:hAnsi="Times New Roman"/>
          <w:noProof/>
          <w:sz w:val="24"/>
        </w:rPr>
        <w:t>programmes. Cela laisse un délai suffisant au public pour exprimer son avis et contribuer à l'élaboration du rapport sur les incidences environnementales avant que les plans et programmes soient formellement adoptés. Les États membres publient généralement</w:t>
      </w:r>
      <w:r>
        <w:rPr>
          <w:rFonts w:ascii="Times New Roman" w:hAnsi="Times New Roman"/>
          <w:noProof/>
          <w:sz w:val="24"/>
        </w:rPr>
        <w:t xml:space="preserve"> une annonce concernant la consultation du public sur internet. L'annonce mentionne le titre du plan et du programme, les autorités responsables et le lieu où tous les documents afférents aux projets de plan et de programme, ainsi que le rapport sur les in</w:t>
      </w:r>
      <w:r>
        <w:rPr>
          <w:rFonts w:ascii="Times New Roman" w:hAnsi="Times New Roman"/>
          <w:noProof/>
          <w:sz w:val="24"/>
        </w:rPr>
        <w:t xml:space="preserve">cidences environnementales et son résumé non technique, sont mis à la disposition du public pour consultation. Dans certains États membres, les exigences de consultation sont plus strictes que la directive et imposent l'organisation d'une réunion ou d'une </w:t>
      </w:r>
      <w:r>
        <w:rPr>
          <w:rFonts w:ascii="Times New Roman" w:hAnsi="Times New Roman"/>
          <w:noProof/>
          <w:sz w:val="24"/>
        </w:rPr>
        <w:t>audience publique pour consulter le public.</w:t>
      </w:r>
    </w:p>
    <w:p w:rsidR="00532E87" w:rsidRDefault="006F790E">
      <w:pPr>
        <w:spacing w:line="240" w:lineRule="auto"/>
        <w:jc w:val="both"/>
        <w:rPr>
          <w:b/>
          <w:noProof/>
        </w:rPr>
      </w:pPr>
      <w:r>
        <w:rPr>
          <w:rFonts w:ascii="Times New Roman" w:hAnsi="Times New Roman"/>
          <w:noProof/>
          <w:sz w:val="24"/>
        </w:rPr>
        <w:t xml:space="preserve">La consultation du public est une étape clé dans la procédure et vise à améliorer la transparence, l'efficience et l'efficacité du processus de planification. Elle facilite et améliore la perception globale et </w:t>
      </w:r>
      <w:r>
        <w:rPr>
          <w:rFonts w:ascii="Times New Roman" w:hAnsi="Times New Roman"/>
          <w:noProof/>
          <w:sz w:val="24"/>
        </w:rPr>
        <w:t>l'acceptation sociale du plan et du programme avant qu'il ne soit adopté et mis en œuvre.</w:t>
      </w:r>
    </w:p>
    <w:p w:rsidR="00532E87" w:rsidRDefault="006F790E">
      <w:pPr>
        <w:spacing w:line="240" w:lineRule="auto"/>
        <w:jc w:val="both"/>
        <w:rPr>
          <w:rFonts w:ascii="Times New Roman" w:hAnsi="Times New Roman" w:cs="Times New Roman"/>
          <w:b/>
          <w:i/>
          <w:noProof/>
          <w:sz w:val="24"/>
        </w:rPr>
      </w:pPr>
      <w:r>
        <w:rPr>
          <w:b/>
          <w:noProof/>
        </w:rPr>
        <w:t>-</w:t>
      </w:r>
      <w:r>
        <w:rPr>
          <w:noProof/>
        </w:rPr>
        <w:tab/>
      </w:r>
      <w:r>
        <w:rPr>
          <w:rFonts w:ascii="Times New Roman" w:hAnsi="Times New Roman"/>
          <w:b/>
          <w:i/>
          <w:noProof/>
          <w:sz w:val="24"/>
        </w:rPr>
        <w:t>Consultations transfrontières (article 7)</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 xml:space="preserve">Tous les États membres, à l'exception de deux, ont signalé avoir mené des consultations transfrontières ESE, soit en tant </w:t>
      </w:r>
      <w:r>
        <w:rPr>
          <w:rFonts w:ascii="Times New Roman" w:hAnsi="Times New Roman"/>
          <w:noProof/>
          <w:sz w:val="24"/>
        </w:rPr>
        <w:t>que partie affectée, soit en tant que partie à l'origine de la consultation, ou les deux. Dans la plupart des États membres, les autorités environnementales sont chargées d'organiser ces consultations.</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Les États membres ont signalé que les principaux obsta</w:t>
      </w:r>
      <w:r>
        <w:rPr>
          <w:rFonts w:ascii="Times New Roman" w:hAnsi="Times New Roman"/>
          <w:noProof/>
          <w:sz w:val="24"/>
        </w:rPr>
        <w:t>cles aux consultations transfrontières sont les coûts de traduction des documents, la qualité de la documentation traduite et les délais souvent serrés.</w:t>
      </w:r>
    </w:p>
    <w:p w:rsidR="00532E87" w:rsidRDefault="006F790E">
      <w:pPr>
        <w:pStyle w:val="Heading2"/>
        <w:rPr>
          <w:rFonts w:ascii="Times New Roman" w:hAnsi="Times New Roman"/>
          <w:noProof/>
          <w:color w:val="auto"/>
          <w:sz w:val="24"/>
        </w:rPr>
      </w:pPr>
      <w:r>
        <w:rPr>
          <w:rFonts w:ascii="Times New Roman" w:hAnsi="Times New Roman"/>
          <w:noProof/>
          <w:color w:val="auto"/>
          <w:sz w:val="24"/>
        </w:rPr>
        <w:t>2.6.</w:t>
      </w:r>
      <w:r>
        <w:rPr>
          <w:rFonts w:ascii="Times New Roman" w:hAnsi="Times New Roman"/>
          <w:noProof/>
          <w:color w:val="auto"/>
          <w:sz w:val="24"/>
        </w:rPr>
        <w:tab/>
        <w:t>Suivi des incidences notables sur l'environnement (article 10)</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Le suivi permet de comparer les rés</w:t>
      </w:r>
      <w:r>
        <w:rPr>
          <w:rFonts w:ascii="Times New Roman" w:hAnsi="Times New Roman"/>
          <w:noProof/>
          <w:sz w:val="24"/>
        </w:rPr>
        <w:t>ultats de l'évaluation environnementale avec les résultats de la mise en œuvre des plans et des programmes, en particulier les incidences notables sur l'environnement. L'ESE ne fixe pas les modalités exactes de suivi des incidences notables sur l'environne</w:t>
      </w:r>
      <w:r>
        <w:rPr>
          <w:rFonts w:ascii="Times New Roman" w:hAnsi="Times New Roman"/>
          <w:noProof/>
          <w:sz w:val="24"/>
        </w:rPr>
        <w:t>ment, ni la fréquence du suivi, sa méthodologie ou les organes chargés du suivi.</w:t>
      </w:r>
    </w:p>
    <w:p w:rsidR="00532E87" w:rsidRDefault="006F790E">
      <w:pPr>
        <w:tabs>
          <w:tab w:val="left" w:pos="7371"/>
        </w:tabs>
        <w:spacing w:line="240" w:lineRule="auto"/>
        <w:jc w:val="both"/>
        <w:rPr>
          <w:rFonts w:ascii="Times New Roman" w:hAnsi="Times New Roman" w:cs="Times New Roman"/>
          <w:noProof/>
          <w:sz w:val="24"/>
        </w:rPr>
      </w:pPr>
      <w:r>
        <w:rPr>
          <w:rFonts w:ascii="Times New Roman" w:hAnsi="Times New Roman"/>
          <w:noProof/>
          <w:sz w:val="24"/>
        </w:rPr>
        <w:t>Les États membres ont fait observer que le suivi dépend des plans et programmes, et qu'il existe certains types de plans et programmes pour lesquels des rapports de suivi sont</w:t>
      </w:r>
      <w:r>
        <w:rPr>
          <w:rFonts w:ascii="Times New Roman" w:hAnsi="Times New Roman"/>
          <w:noProof/>
          <w:sz w:val="24"/>
        </w:rPr>
        <w:t xml:space="preserve"> régulièrement préparés. Toutefois, la plupart des États membres n'étaient pas en mesure de fournir des informations sur la fréquence du suivi. Le suivi peut être basé sur des indicateurs de suivi normalisés, parfois établis dans la législation nationale o</w:t>
      </w:r>
      <w:r>
        <w:rPr>
          <w:rFonts w:ascii="Times New Roman" w:hAnsi="Times New Roman"/>
          <w:noProof/>
          <w:sz w:val="24"/>
        </w:rPr>
        <w:t>u au cas par cas. Pour la directive ESE, et le cas échéant, les États membres ont tendance à utiliser les dispositions de suivi environnemental établies dans d'autres directives, telles que la directive-cadre sur l'eau,</w:t>
      </w:r>
      <w:r>
        <w:rPr>
          <w:rStyle w:val="FootnoteReference"/>
          <w:rFonts w:ascii="Times New Roman" w:hAnsi="Times New Roman"/>
          <w:noProof/>
          <w:sz w:val="24"/>
        </w:rPr>
        <w:footnoteReference w:id="19"/>
      </w:r>
      <w:r>
        <w:rPr>
          <w:rFonts w:ascii="Times New Roman" w:hAnsi="Times New Roman"/>
          <w:noProof/>
          <w:sz w:val="24"/>
        </w:rPr>
        <w:t xml:space="preserve"> la directive Habitats</w:t>
      </w:r>
      <w:r>
        <w:rPr>
          <w:rStyle w:val="FootnoteReference"/>
          <w:rFonts w:ascii="Times New Roman" w:hAnsi="Times New Roman"/>
          <w:noProof/>
          <w:sz w:val="24"/>
        </w:rPr>
        <w:footnoteReference w:id="20"/>
      </w:r>
      <w:r>
        <w:rPr>
          <w:rFonts w:ascii="Times New Roman" w:hAnsi="Times New Roman"/>
          <w:noProof/>
          <w:sz w:val="24"/>
        </w:rPr>
        <w:t xml:space="preserve"> et la direct</w:t>
      </w:r>
      <w:r>
        <w:rPr>
          <w:rFonts w:ascii="Times New Roman" w:hAnsi="Times New Roman"/>
          <w:noProof/>
          <w:sz w:val="24"/>
        </w:rPr>
        <w:t>ive relative aux émissions industrielles</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w:t>
      </w:r>
    </w:p>
    <w:p w:rsidR="00532E87" w:rsidRDefault="006F790E">
      <w:pPr>
        <w:pStyle w:val="Heading1"/>
        <w:rPr>
          <w:rFonts w:ascii="Times New Roman" w:hAnsi="Times New Roman" w:cs="Times New Roman"/>
          <w:noProof/>
          <w:color w:val="auto"/>
          <w:sz w:val="24"/>
        </w:rPr>
      </w:pPr>
      <w:r>
        <w:rPr>
          <w:rFonts w:ascii="Times New Roman" w:hAnsi="Times New Roman"/>
          <w:noProof/>
          <w:color w:val="auto"/>
          <w:sz w:val="24"/>
        </w:rPr>
        <w:t>3.</w:t>
      </w:r>
      <w:r>
        <w:rPr>
          <w:noProof/>
        </w:rPr>
        <w:tab/>
      </w:r>
      <w:r>
        <w:rPr>
          <w:rFonts w:ascii="Times New Roman" w:hAnsi="Times New Roman"/>
          <w:noProof/>
          <w:color w:val="auto"/>
          <w:sz w:val="24"/>
        </w:rPr>
        <w:t>Lien avec d'autres textes législatifs et domaines d'intervention de l'UE</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La directive ESE est liée de façon formelle et explicite à la directive «Habitats» et à la directive EIE. Mais elle a aussi des liens ét</w:t>
      </w:r>
      <w:r>
        <w:rPr>
          <w:rFonts w:ascii="Times New Roman" w:hAnsi="Times New Roman"/>
          <w:noProof/>
          <w:sz w:val="24"/>
        </w:rPr>
        <w:t>roits avec d'autres directives (directives relatives aux nitrates, aux déchets, au bruit et Inondation)</w:t>
      </w:r>
      <w:r>
        <w:rPr>
          <w:rStyle w:val="FootnoteReference"/>
          <w:rFonts w:ascii="Times New Roman" w:hAnsi="Times New Roman"/>
          <w:noProof/>
          <w:sz w:val="24"/>
        </w:rPr>
        <w:footnoteReference w:id="22"/>
      </w:r>
      <w:r>
        <w:rPr>
          <w:rFonts w:ascii="Times New Roman" w:hAnsi="Times New Roman"/>
          <w:noProof/>
          <w:sz w:val="24"/>
        </w:rPr>
        <w:t xml:space="preserve"> qui contiennent des dispositions relatives à l'adoption de certains plans et programmes dans des secteurs couverts par l'ESE</w:t>
      </w:r>
      <w:r>
        <w:rPr>
          <w:noProof/>
        </w:rPr>
        <w:t>.</w:t>
      </w:r>
      <w:r>
        <w:rPr>
          <w:rFonts w:ascii="Times New Roman" w:hAnsi="Times New Roman"/>
          <w:noProof/>
          <w:sz w:val="24"/>
        </w:rPr>
        <w:t xml:space="preserve"> Pour éviter la duplicatio</w:t>
      </w:r>
      <w:r>
        <w:rPr>
          <w:rFonts w:ascii="Times New Roman" w:hAnsi="Times New Roman"/>
          <w:noProof/>
          <w:sz w:val="24"/>
        </w:rPr>
        <w:t>n, l'article 11 de la directive ESE établit que, dans les situations pour lesquelles l'obligation d'effectuer une évaluation des incidences sur l'environnement découle à la fois de la directive et d'autres dispositions communautaires, les États membres peu</w:t>
      </w:r>
      <w:r>
        <w:rPr>
          <w:rFonts w:ascii="Times New Roman" w:hAnsi="Times New Roman"/>
          <w:noProof/>
          <w:sz w:val="24"/>
        </w:rPr>
        <w:t>vent prévoir des procédures coordonnées ou communes.</w:t>
      </w:r>
    </w:p>
    <w:p w:rsidR="00532E87" w:rsidRDefault="00532E87">
      <w:pPr>
        <w:spacing w:line="240" w:lineRule="auto"/>
        <w:jc w:val="both"/>
        <w:rPr>
          <w:rFonts w:ascii="Times New Roman" w:hAnsi="Times New Roman" w:cs="Times New Roman"/>
          <w:noProof/>
          <w:sz w:val="24"/>
        </w:rPr>
      </w:pPr>
    </w:p>
    <w:p w:rsidR="00532E87" w:rsidRDefault="006F790E">
      <w:pPr>
        <w:pStyle w:val="Heading2"/>
        <w:rPr>
          <w:rFonts w:ascii="Times New Roman" w:hAnsi="Times New Roman" w:cs="Times New Roman"/>
          <w:noProof/>
          <w:color w:val="auto"/>
          <w:sz w:val="24"/>
          <w:szCs w:val="24"/>
        </w:rPr>
      </w:pPr>
      <w:r>
        <w:rPr>
          <w:rFonts w:ascii="Times New Roman" w:hAnsi="Times New Roman"/>
          <w:noProof/>
          <w:color w:val="auto"/>
          <w:sz w:val="24"/>
        </w:rPr>
        <w:t>3.1.</w:t>
      </w:r>
      <w:r>
        <w:rPr>
          <w:noProof/>
        </w:rPr>
        <w:tab/>
      </w:r>
      <w:r>
        <w:rPr>
          <w:rFonts w:ascii="Times New Roman" w:hAnsi="Times New Roman"/>
          <w:noProof/>
          <w:color w:val="auto"/>
          <w:sz w:val="24"/>
        </w:rPr>
        <w:t>Directive EIE</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 xml:space="preserve">L'article 11, paragraphe 2, établit que la procédure d'évaluation stratégique environnementale doit être réalisée sans préjudice des exigences de la directive EIE ni d'aucune autre </w:t>
      </w:r>
      <w:r>
        <w:rPr>
          <w:rFonts w:ascii="Times New Roman" w:hAnsi="Times New Roman"/>
          <w:noProof/>
          <w:sz w:val="24"/>
        </w:rPr>
        <w:t>disposition législative communautaire. La jurisprudence de la CJUE</w:t>
      </w:r>
      <w:r>
        <w:rPr>
          <w:rStyle w:val="FootnoteReference"/>
          <w:rFonts w:ascii="Times New Roman" w:hAnsi="Times New Roman"/>
          <w:noProof/>
          <w:sz w:val="24"/>
        </w:rPr>
        <w:footnoteReference w:id="23"/>
      </w:r>
      <w:r>
        <w:rPr>
          <w:rFonts w:ascii="Times New Roman" w:hAnsi="Times New Roman"/>
          <w:noProof/>
          <w:sz w:val="24"/>
        </w:rPr>
        <w:t xml:space="preserve"> a reconnu que l'évaluation des incidences sur l’environnement effectuée au titre de la directive EIE est sans préjudice des exigences propres à la directive ESE et elle ne saurait dispense</w:t>
      </w:r>
      <w:r>
        <w:rPr>
          <w:rFonts w:ascii="Times New Roman" w:hAnsi="Times New Roman"/>
          <w:noProof/>
          <w:sz w:val="24"/>
        </w:rPr>
        <w:t>r de l’obligation d’effectuer l’évaluation environnementale qu’exige cette dernière directive afin de répondre à des aspects environnementaux qui sont spécifiques à celle-ci. Par ailleurs, la CJUE a confirmé que les procédures EIE et ESE diffèrent à plusie</w:t>
      </w:r>
      <w:r>
        <w:rPr>
          <w:rFonts w:ascii="Times New Roman" w:hAnsi="Times New Roman"/>
          <w:noProof/>
          <w:sz w:val="24"/>
        </w:rPr>
        <w:t>urs égards. Par conséquent il est nécessaire d’appliquer les exigences de ces deux directives d’une manière cumulative</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La pratique montre que la frontière entre les deux procédures n'est pas toujours très claire et qu'elles ont tendance à se chevaucher,</w:t>
      </w:r>
      <w:r>
        <w:rPr>
          <w:rFonts w:ascii="Times New Roman" w:hAnsi="Times New Roman"/>
          <w:noProof/>
          <w:sz w:val="24"/>
        </w:rPr>
        <w:t xml:space="preserve"> plus particulièrement en ce qui concerne les plans, programmes ou projets liés à l'affectation des sols et/ou l'aménagement du territoire. Ceci est dû au fait que ces types de plans, programmes ou projets peuvent avoir les caractéristiques à la fois des p</w:t>
      </w:r>
      <w:r>
        <w:rPr>
          <w:rFonts w:ascii="Times New Roman" w:hAnsi="Times New Roman"/>
          <w:noProof/>
          <w:sz w:val="24"/>
        </w:rPr>
        <w:t>lans et programmes et d'un projet. Par ailleurs, l'affectation des sols et/ou l'aménagement du territoire sont les plans et programmes les plus fréquemment soumis à une procédure ESE. Dans ces procédures d'évaluation, il est important d'assurer la conformi</w:t>
      </w:r>
      <w:r>
        <w:rPr>
          <w:rFonts w:ascii="Times New Roman" w:hAnsi="Times New Roman"/>
          <w:noProof/>
          <w:sz w:val="24"/>
        </w:rPr>
        <w:t>té avec la directive ESE et EIE, en particulier lorsque les États membres ont choisi des procédures coordonnées.</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Les procédures coordonnées ou communes sont laissées à la discrétion des États membres</w:t>
      </w:r>
      <w:r>
        <w:rPr>
          <w:rStyle w:val="FootnoteReference"/>
          <w:rFonts w:ascii="Times New Roman" w:hAnsi="Times New Roman"/>
          <w:noProof/>
          <w:sz w:val="24"/>
        </w:rPr>
        <w:footnoteReference w:id="25"/>
      </w:r>
      <w:r>
        <w:rPr>
          <w:rFonts w:ascii="Times New Roman" w:hAnsi="Times New Roman"/>
          <w:noProof/>
          <w:sz w:val="24"/>
        </w:rPr>
        <w:t xml:space="preserve"> et seuls 10 États membres ont opté pour des procédures </w:t>
      </w:r>
      <w:r>
        <w:rPr>
          <w:rFonts w:ascii="Times New Roman" w:hAnsi="Times New Roman"/>
          <w:noProof/>
          <w:sz w:val="24"/>
        </w:rPr>
        <w:t>coordonnées ou communes pour les plans et les programmes dans leur législation nationale.</w:t>
      </w:r>
    </w:p>
    <w:p w:rsidR="00532E87" w:rsidRDefault="006F790E">
      <w:pPr>
        <w:pStyle w:val="Heading2"/>
        <w:rPr>
          <w:rFonts w:ascii="Times New Roman" w:hAnsi="Times New Roman" w:cs="Times New Roman"/>
          <w:noProof/>
          <w:color w:val="auto"/>
          <w:sz w:val="24"/>
          <w:szCs w:val="24"/>
        </w:rPr>
      </w:pPr>
      <w:r>
        <w:rPr>
          <w:rFonts w:ascii="Times New Roman" w:hAnsi="Times New Roman"/>
          <w:noProof/>
          <w:color w:val="auto"/>
          <w:sz w:val="24"/>
        </w:rPr>
        <w:t>3.2.</w:t>
      </w:r>
      <w:r>
        <w:rPr>
          <w:noProof/>
        </w:rPr>
        <w:tab/>
      </w:r>
      <w:r>
        <w:rPr>
          <w:rFonts w:ascii="Times New Roman" w:hAnsi="Times New Roman"/>
          <w:noProof/>
          <w:color w:val="auto"/>
          <w:sz w:val="24"/>
        </w:rPr>
        <w:t xml:space="preserve">Directive «Habitats» </w:t>
      </w:r>
    </w:p>
    <w:p w:rsidR="00532E87" w:rsidRDefault="006F790E">
      <w:pPr>
        <w:spacing w:line="240" w:lineRule="auto"/>
        <w:jc w:val="both"/>
        <w:rPr>
          <w:rFonts w:ascii="Verdana" w:hAnsi="Verdana" w:cs="Verdana"/>
          <w:noProof/>
          <w:color w:val="000000"/>
          <w:sz w:val="24"/>
          <w:szCs w:val="24"/>
        </w:rPr>
      </w:pPr>
      <w:r>
        <w:rPr>
          <w:rFonts w:ascii="Times New Roman" w:hAnsi="Times New Roman"/>
          <w:noProof/>
          <w:sz w:val="24"/>
        </w:rPr>
        <w:t>Plusieurs États membres sont d'avis qu'il n'y a pas de risque à dupliquer l'évaluation appropriée en vertu de l'article 6, paragraphe 3, de</w:t>
      </w:r>
      <w:r>
        <w:rPr>
          <w:rFonts w:ascii="Times New Roman" w:hAnsi="Times New Roman"/>
          <w:noProof/>
          <w:sz w:val="24"/>
        </w:rPr>
        <w:t xml:space="preserve"> la directive «Habitats» avec l'ESE. En effet, la portée et l'interaction des deux procédures sont différentes. La CJUE a précisé que la directive ESE s'applique au cas par cas si les conditions exigeant une évaluation au titre de la directive </w:t>
      </w:r>
      <w:r>
        <w:rPr>
          <w:rFonts w:ascii="Times New Roman" w:hAnsi="Times New Roman" w:cs="Times New Roman"/>
          <w:noProof/>
          <w:sz w:val="24"/>
        </w:rPr>
        <w:t>«</w:t>
      </w:r>
      <w:r>
        <w:rPr>
          <w:rFonts w:ascii="Times New Roman" w:hAnsi="Times New Roman"/>
          <w:noProof/>
          <w:sz w:val="24"/>
        </w:rPr>
        <w:t>Habitats</w:t>
      </w:r>
      <w:r>
        <w:rPr>
          <w:rFonts w:ascii="Times New Roman" w:hAnsi="Times New Roman" w:cs="Times New Roman"/>
          <w:noProof/>
          <w:sz w:val="24"/>
        </w:rPr>
        <w:t>»</w:t>
      </w:r>
      <w:r>
        <w:rPr>
          <w:rFonts w:ascii="Times New Roman" w:hAnsi="Times New Roman"/>
          <w:noProof/>
          <w:sz w:val="24"/>
        </w:rPr>
        <w:t xml:space="preserve"> o</w:t>
      </w:r>
      <w:r>
        <w:rPr>
          <w:rFonts w:ascii="Times New Roman" w:hAnsi="Times New Roman"/>
          <w:noProof/>
          <w:sz w:val="24"/>
        </w:rPr>
        <w:t>nt été remplies en ce qui concerne les plans et programmes</w:t>
      </w:r>
      <w:r>
        <w:rPr>
          <w:rStyle w:val="FootnoteReference"/>
          <w:rFonts w:ascii="Times New Roman" w:hAnsi="Times New Roman"/>
          <w:noProof/>
          <w:sz w:val="24"/>
        </w:rPr>
        <w:footnoteReference w:id="26"/>
      </w:r>
      <w:r>
        <w:rPr>
          <w:noProof/>
        </w:rPr>
        <w:t>.</w:t>
      </w:r>
    </w:p>
    <w:p w:rsidR="00532E87" w:rsidRDefault="006F790E">
      <w:pPr>
        <w:pStyle w:val="Heading1"/>
        <w:rPr>
          <w:rFonts w:ascii="Times New Roman" w:hAnsi="Times New Roman"/>
          <w:noProof/>
          <w:color w:val="auto"/>
          <w:sz w:val="24"/>
        </w:rPr>
      </w:pPr>
      <w:r>
        <w:rPr>
          <w:rFonts w:ascii="Times New Roman" w:hAnsi="Times New Roman"/>
          <w:noProof/>
          <w:color w:val="auto"/>
          <w:sz w:val="24"/>
        </w:rPr>
        <w:t>4.</w:t>
      </w:r>
      <w:r>
        <w:rPr>
          <w:noProof/>
        </w:rPr>
        <w:tab/>
      </w:r>
      <w:r>
        <w:rPr>
          <w:rFonts w:ascii="Times New Roman" w:hAnsi="Times New Roman"/>
          <w:noProof/>
          <w:color w:val="auto"/>
          <w:sz w:val="24"/>
        </w:rPr>
        <w:t>Plans et programmes co-financés par les Fonds structurels et d'investissement européens (2014-2020)</w:t>
      </w:r>
    </w:p>
    <w:p w:rsidR="00532E87" w:rsidRDefault="00532E87">
      <w:pPr>
        <w:rPr>
          <w:noProof/>
        </w:rPr>
      </w:pPr>
    </w:p>
    <w:p w:rsidR="00532E87" w:rsidRDefault="006F790E">
      <w:pPr>
        <w:spacing w:line="240" w:lineRule="auto"/>
        <w:jc w:val="both"/>
        <w:rPr>
          <w:rFonts w:ascii="Times New Roman" w:hAnsi="Times New Roman" w:cs="Times New Roman"/>
          <w:noProof/>
          <w:color w:val="000000"/>
          <w:sz w:val="24"/>
          <w:szCs w:val="24"/>
        </w:rPr>
      </w:pPr>
      <w:r>
        <w:rPr>
          <w:rFonts w:ascii="Times New Roman" w:hAnsi="Times New Roman"/>
          <w:noProof/>
          <w:sz w:val="24"/>
        </w:rPr>
        <w:t>L'article 3, paragraphe 9, de la directive ESE dispose que les plans et programmes co-finan</w:t>
      </w:r>
      <w:r>
        <w:rPr>
          <w:rFonts w:ascii="Times New Roman" w:hAnsi="Times New Roman"/>
          <w:noProof/>
          <w:sz w:val="24"/>
        </w:rPr>
        <w:t>cés par l'UE relèvent du champ d'application de la directive. Le règlement portant dispositions communes</w:t>
      </w:r>
      <w:r>
        <w:rPr>
          <w:rStyle w:val="FootnoteReference"/>
          <w:rFonts w:ascii="Times New Roman" w:hAnsi="Times New Roman"/>
          <w:noProof/>
          <w:sz w:val="24"/>
        </w:rPr>
        <w:footnoteReference w:id="27"/>
      </w:r>
      <w:r>
        <w:rPr>
          <w:rFonts w:ascii="Times New Roman" w:hAnsi="Times New Roman"/>
          <w:noProof/>
          <w:sz w:val="24"/>
        </w:rPr>
        <w:t xml:space="preserve"> et les règlements spécifiques aux fonds régissent les cinq Fonds structurels et d'investissements européens</w:t>
      </w:r>
      <w:r>
        <w:rPr>
          <w:rStyle w:val="FootnoteReference"/>
          <w:rFonts w:ascii="Times New Roman" w:hAnsi="Times New Roman"/>
          <w:noProof/>
          <w:sz w:val="24"/>
        </w:rPr>
        <w:footnoteReference w:id="28"/>
      </w:r>
      <w:r>
        <w:rPr>
          <w:rFonts w:ascii="Times New Roman" w:hAnsi="Times New Roman"/>
          <w:noProof/>
          <w:sz w:val="24"/>
        </w:rPr>
        <w:t xml:space="preserve"> (Fonds ESI) pendant la période de programmation 2014-2020.</w:t>
      </w:r>
      <w:r>
        <w:rPr>
          <w:rFonts w:ascii="Times New Roman" w:hAnsi="Times New Roman"/>
          <w:noProof/>
          <w:color w:val="000000"/>
          <w:sz w:val="24"/>
        </w:rPr>
        <w:t xml:space="preserve"> La directive ESE a été appliquée à la plupart des programmes co-financés par les Fonds ESI pendant la période 2014-2020, puisqu'ils établissent un cadre de décisions ultérieures d'autorisation de </w:t>
      </w:r>
      <w:r>
        <w:rPr>
          <w:rFonts w:ascii="Times New Roman" w:hAnsi="Times New Roman"/>
          <w:noProof/>
          <w:color w:val="000000"/>
          <w:sz w:val="24"/>
        </w:rPr>
        <w:t>projets.</w:t>
      </w:r>
    </w:p>
    <w:p w:rsidR="00532E87" w:rsidRDefault="006F790E">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Le règlement portant dispositions communes a amélioré l'application de la directive ESE de deux manières. Tout d'abord, en vertu de l'article 55, paragraphe 4, du règlement, </w:t>
      </w:r>
      <w:r>
        <w:rPr>
          <w:rFonts w:ascii="Times New Roman" w:hAnsi="Times New Roman"/>
          <w:i/>
          <w:noProof/>
          <w:color w:val="000000"/>
          <w:sz w:val="24"/>
        </w:rPr>
        <w:t>«les évaluations ex-ante intègrent, s'il y a lieu, les exigences en matiè</w:t>
      </w:r>
      <w:r>
        <w:rPr>
          <w:rFonts w:ascii="Times New Roman" w:hAnsi="Times New Roman"/>
          <w:i/>
          <w:noProof/>
          <w:color w:val="000000"/>
          <w:sz w:val="24"/>
        </w:rPr>
        <w:t>re d'évaluation environnementale stratégique»</w:t>
      </w:r>
      <w:r>
        <w:rPr>
          <w:rFonts w:ascii="Times New Roman" w:hAnsi="Times New Roman"/>
          <w:noProof/>
          <w:color w:val="000000"/>
          <w:sz w:val="24"/>
        </w:rPr>
        <w:t>. La Commission a préparé des documents d'orientation</w:t>
      </w:r>
      <w:r>
        <w:rPr>
          <w:rStyle w:val="FootnoteReference"/>
          <w:rFonts w:ascii="Times New Roman" w:hAnsi="Times New Roman"/>
          <w:noProof/>
          <w:color w:val="000000"/>
          <w:sz w:val="24"/>
        </w:rPr>
        <w:footnoteReference w:id="29"/>
      </w:r>
      <w:r>
        <w:rPr>
          <w:rFonts w:ascii="Times New Roman" w:hAnsi="Times New Roman"/>
          <w:noProof/>
          <w:color w:val="000000"/>
          <w:sz w:val="24"/>
        </w:rPr>
        <w:t xml:space="preserve"> pour faciliter l'évaluation ex-ante. Le document d'orientation dispose que l'ESE doit être menée assez tôt dans la préparation des plans et programmes et do</w:t>
      </w:r>
      <w:r>
        <w:rPr>
          <w:rFonts w:ascii="Times New Roman" w:hAnsi="Times New Roman"/>
          <w:noProof/>
          <w:color w:val="000000"/>
          <w:sz w:val="24"/>
        </w:rPr>
        <w:t>it être achevée avant qu'ils soient adoptés.</w:t>
      </w:r>
    </w:p>
    <w:p w:rsidR="00532E87" w:rsidRDefault="006F790E">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Ensuite, le règlement portant dispositions communes a introduit les conditions ex ante en tant que nouvelle caractéristique de la période de programmation 2014-2020. L'objectif des conditions ex ante est de gara</w:t>
      </w:r>
      <w:r>
        <w:rPr>
          <w:rFonts w:ascii="Times New Roman" w:hAnsi="Times New Roman"/>
          <w:noProof/>
          <w:color w:val="000000"/>
          <w:sz w:val="24"/>
        </w:rPr>
        <w:t>ntir la mise en place des prérequis nécessaires à l'utilisation efficace et performante du soutien accordé par l'Union et d'assurer l'application efficace des directives EIE et ESE. Les conditions ex ante générales incluent des dispositions visant à assure</w:t>
      </w:r>
      <w:r>
        <w:rPr>
          <w:rFonts w:ascii="Times New Roman" w:hAnsi="Times New Roman"/>
          <w:noProof/>
          <w:color w:val="000000"/>
          <w:sz w:val="24"/>
        </w:rPr>
        <w:t>r l'application efficace de la directive ESE. Rares sont les États membres qui ont dû modifier leur législation nationale. En conséquence, le cadre réglementaire lié au processus de décision environnemental a été clarifié et la connaissance et les compéten</w:t>
      </w:r>
      <w:r>
        <w:rPr>
          <w:rFonts w:ascii="Times New Roman" w:hAnsi="Times New Roman"/>
          <w:noProof/>
          <w:color w:val="000000"/>
          <w:sz w:val="24"/>
        </w:rPr>
        <w:t>ces des autorités appliquant la directive ESE ont été renforcées. Le règlement a introduit une condition ex ante thématique pour le secteur du transport, exigeant des plans et programmes complets pour l'investissement dans les transports, qui doivent se co</w:t>
      </w:r>
      <w:r>
        <w:rPr>
          <w:rFonts w:ascii="Times New Roman" w:hAnsi="Times New Roman"/>
          <w:noProof/>
          <w:color w:val="000000"/>
          <w:sz w:val="24"/>
        </w:rPr>
        <w:t>nformer à l'exigence juridique de la directive ESE.</w:t>
      </w:r>
    </w:p>
    <w:p w:rsidR="00532E87" w:rsidRDefault="006F790E">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Pratiquement tous les États membres ont satisfait aux conditions ex ante générales en ce qui concerne la directive ESE</w:t>
      </w:r>
      <w:r>
        <w:rPr>
          <w:rFonts w:ascii="Times New Roman" w:hAnsi="Times New Roman"/>
          <w:noProof/>
          <w:sz w:val="24"/>
        </w:rPr>
        <w:t>.</w:t>
      </w:r>
      <w:r>
        <w:rPr>
          <w:rFonts w:ascii="Times New Roman" w:hAnsi="Times New Roman"/>
          <w:noProof/>
          <w:color w:val="000000"/>
          <w:sz w:val="24"/>
        </w:rPr>
        <w:t xml:space="preserve"> La plupart des États membres ont noté que la nature générale et multi-sectorielle de</w:t>
      </w:r>
      <w:r>
        <w:rPr>
          <w:rFonts w:ascii="Times New Roman" w:hAnsi="Times New Roman"/>
          <w:noProof/>
          <w:color w:val="000000"/>
          <w:sz w:val="24"/>
        </w:rPr>
        <w:t>s programmes des Fonds ESI a compliqué la procédure ESE, qui a souvent dû être accélérée. Les États membres ont souligné que les informations disponibles sur les incidences notables probables des plans et programmes sont plutôt générales lors de la prépara</w:t>
      </w:r>
      <w:r>
        <w:rPr>
          <w:rFonts w:ascii="Times New Roman" w:hAnsi="Times New Roman"/>
          <w:noProof/>
          <w:color w:val="000000"/>
          <w:sz w:val="24"/>
        </w:rPr>
        <w:t>tion et l'adoption de leurs plans et programmes. Cela a été un obstacle particulier lors de l'évaluation des incidences des programmes transfrontières Quelques États membres ont élaboré des documents d'orientation spécifiques pour mener des ESE pour les pl</w:t>
      </w:r>
      <w:r>
        <w:rPr>
          <w:rFonts w:ascii="Times New Roman" w:hAnsi="Times New Roman"/>
          <w:noProof/>
          <w:color w:val="000000"/>
          <w:sz w:val="24"/>
        </w:rPr>
        <w:t>ans et programmes des Fonds ESI. La plupart des États membres se sont basés sur les orientations fournies par la Commission.</w:t>
      </w:r>
    </w:p>
    <w:p w:rsidR="00532E87" w:rsidRDefault="006F790E">
      <w:pPr>
        <w:pStyle w:val="Heading1"/>
        <w:rPr>
          <w:rFonts w:ascii="Times New Roman" w:hAnsi="Times New Roman" w:cs="Times New Roman"/>
          <w:noProof/>
          <w:color w:val="auto"/>
          <w:sz w:val="24"/>
          <w:szCs w:val="24"/>
        </w:rPr>
      </w:pPr>
      <w:r>
        <w:rPr>
          <w:rFonts w:ascii="Times New Roman" w:hAnsi="Times New Roman"/>
          <w:noProof/>
          <w:color w:val="auto"/>
          <w:sz w:val="24"/>
        </w:rPr>
        <w:t>5.</w:t>
      </w:r>
      <w:r>
        <w:rPr>
          <w:noProof/>
        </w:rPr>
        <w:tab/>
      </w:r>
      <w:r>
        <w:rPr>
          <w:rFonts w:ascii="Times New Roman" w:hAnsi="Times New Roman"/>
          <w:noProof/>
          <w:color w:val="auto"/>
          <w:sz w:val="24"/>
        </w:rPr>
        <w:t>Efficacité de la directive ESE</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L'efficacité de la mise en œuvre de la directive ESE peut être évaluée en fonction de sa capacité</w:t>
      </w:r>
      <w:r>
        <w:rPr>
          <w:rFonts w:ascii="Times New Roman" w:hAnsi="Times New Roman"/>
          <w:noProof/>
          <w:sz w:val="24"/>
        </w:rPr>
        <w:t xml:space="preserve"> à influencer aussi bien le processus de planification que le contenu final des plans et programmes. Tous les États membres ont reconnu que la procédure ESE a influencé le processus de planification, du moins dans une certaine mesure, et qu'elle a amélioré</w:t>
      </w:r>
      <w:r>
        <w:rPr>
          <w:rFonts w:ascii="Times New Roman" w:hAnsi="Times New Roman"/>
          <w:noProof/>
          <w:sz w:val="24"/>
        </w:rPr>
        <w:t xml:space="preserve"> la qualité des plans et des programmes. Les États membres et les praticiens conviennent généralement que la procédure est plus efficace lorsqu'il y a une volonté politique d'influencer efficacement le processus de planification. Ceci garantit la totale in</w:t>
      </w:r>
      <w:r>
        <w:rPr>
          <w:rFonts w:ascii="Times New Roman" w:hAnsi="Times New Roman"/>
          <w:noProof/>
          <w:sz w:val="24"/>
        </w:rPr>
        <w:t>tégration des considérations environnementales au sein de la planification et de la prise de décision.</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Plusieurs États membres ont fait observer que la procédure ESE est davantage susceptible d'influencer les plans et programmes régionaux et à petite échel</w:t>
      </w:r>
      <w:r>
        <w:rPr>
          <w:rFonts w:ascii="Times New Roman" w:hAnsi="Times New Roman"/>
          <w:noProof/>
          <w:sz w:val="24"/>
        </w:rPr>
        <w:t>le (par ex. sur l'affectation des sols) plutôt que les plans et programmes nationaux pour lesquels les décisions stratégiques sont souvent prises au niveau politique et pour lesquels les possibilités de révision après la procédure ESE sont maigres. Par exe</w:t>
      </w:r>
      <w:r>
        <w:rPr>
          <w:rFonts w:ascii="Times New Roman" w:hAnsi="Times New Roman"/>
          <w:noProof/>
          <w:sz w:val="24"/>
        </w:rPr>
        <w:t>mple, la plupart des États membres ont reconnu que la considération appropriée de solutions de substitution peut influencer le contenu des plans et programmes, mais en pratique, les solutions de substitution visent essentiellement la réduction ou l'atténua</w:t>
      </w:r>
      <w:r>
        <w:rPr>
          <w:rFonts w:ascii="Times New Roman" w:hAnsi="Times New Roman"/>
          <w:noProof/>
          <w:sz w:val="24"/>
        </w:rPr>
        <w:t xml:space="preserve">tion des incidences négatives. Toutefois, ces mesures peuvent également assurer une protection environnementale efficace.  </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Plusieurs États membres ont reconnu la contribution de la consultation du public à l'amélioration de la transparence et de la crédib</w:t>
      </w:r>
      <w:r>
        <w:rPr>
          <w:rFonts w:ascii="Times New Roman" w:hAnsi="Times New Roman"/>
          <w:noProof/>
          <w:sz w:val="24"/>
        </w:rPr>
        <w:t>ilité de l'évaluation. C'est là un point important car les résultats de l'évaluation doivent être pris en compte dans la décision finale concernant l'adoption des plans et programmes. Toutefois, après 10 années de mise en œuvre de la directive ESE, les Éta</w:t>
      </w:r>
      <w:r>
        <w:rPr>
          <w:rFonts w:ascii="Times New Roman" w:hAnsi="Times New Roman"/>
          <w:noProof/>
          <w:sz w:val="24"/>
        </w:rPr>
        <w:t>ts membres ont fait observer que la mesure dans laquelle les résultats de la procédure ESE sont pris en compte dans la décision finale des plans et programmes dépend souvent des spécificités de la prise de décision, et peut varier d'un fidèle reflet de l'é</w:t>
      </w:r>
      <w:r>
        <w:rPr>
          <w:rFonts w:ascii="Times New Roman" w:hAnsi="Times New Roman"/>
          <w:noProof/>
          <w:sz w:val="24"/>
        </w:rPr>
        <w:t>valuation à une exigence procédurale symbolique.</w:t>
      </w:r>
    </w:p>
    <w:p w:rsidR="00532E87" w:rsidRDefault="006F790E">
      <w:pPr>
        <w:pStyle w:val="Heading1"/>
        <w:tabs>
          <w:tab w:val="left" w:pos="720"/>
          <w:tab w:val="left" w:pos="1440"/>
          <w:tab w:val="left" w:pos="2160"/>
          <w:tab w:val="center" w:pos="4513"/>
        </w:tabs>
        <w:rPr>
          <w:noProof/>
        </w:rPr>
      </w:pPr>
      <w:r>
        <w:rPr>
          <w:rFonts w:ascii="Times New Roman" w:hAnsi="Times New Roman"/>
          <w:noProof/>
          <w:color w:val="auto"/>
          <w:sz w:val="24"/>
        </w:rPr>
        <w:t>6.</w:t>
      </w:r>
      <w:r>
        <w:rPr>
          <w:noProof/>
        </w:rPr>
        <w:tab/>
      </w:r>
      <w:r>
        <w:rPr>
          <w:rFonts w:ascii="Times New Roman" w:hAnsi="Times New Roman"/>
          <w:noProof/>
          <w:color w:val="auto"/>
          <w:sz w:val="24"/>
        </w:rPr>
        <w:t xml:space="preserve">Conclusions </w:t>
      </w:r>
      <w:r>
        <w:rPr>
          <w:rFonts w:ascii="Times New Roman" w:hAnsi="Times New Roman"/>
          <w:noProof/>
          <w:color w:val="auto"/>
          <w:sz w:val="24"/>
        </w:rPr>
        <w:tab/>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En 2007-2014, les États membres n'ont pas soulevé de problèmes majeurs de mise en œuvre. La CJUE a prononcé un arrêt clarifiant les exigences de la directive ESE. Les États membres ont renfo</w:t>
      </w:r>
      <w:r>
        <w:rPr>
          <w:rFonts w:ascii="Times New Roman" w:hAnsi="Times New Roman"/>
          <w:noProof/>
          <w:sz w:val="24"/>
        </w:rPr>
        <w:t>rcé la mise en œuvre de la directive et acquis davantage d'expérience dans son application. Lorsque cela était nécessaire, les États membres ont modifié leur législation nationale pour assurer la conformité avec la directive.</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La mesure dans laquelle la dir</w:t>
      </w:r>
      <w:r>
        <w:rPr>
          <w:rFonts w:ascii="Times New Roman" w:hAnsi="Times New Roman"/>
          <w:noProof/>
          <w:sz w:val="24"/>
        </w:rPr>
        <w:t xml:space="preserve">ective ESE est mise en œuvre dans les États membres dépend des diverses dispositions administratives et juridiques soutenant son application. Certains des défis de l'application ont trait aux différents éléments de la procédure ESE (tels que la qualité et </w:t>
      </w:r>
      <w:r>
        <w:rPr>
          <w:rFonts w:ascii="Times New Roman" w:hAnsi="Times New Roman"/>
          <w:noProof/>
          <w:sz w:val="24"/>
        </w:rPr>
        <w:t>la disponibilité des informations utilisées dans le rapport sur les incidences environnementales). Cela est particulièrement vrai pour les plans et programmes qui abordent les questions ayant une portée plus large (par ex. nationale ou sectorielle). Il sub</w:t>
      </w:r>
      <w:r>
        <w:rPr>
          <w:rFonts w:ascii="Times New Roman" w:hAnsi="Times New Roman"/>
          <w:noProof/>
          <w:sz w:val="24"/>
        </w:rPr>
        <w:t>siste encore des incertitudes quant à certains concepts clés tels que les «solutions de substitution raisonnables». Bien que certaines de ces questions puissent être résolues par des documents d'orientation, l'interaction entre les procédures EIE et ESE se</w:t>
      </w:r>
      <w:r>
        <w:rPr>
          <w:rFonts w:ascii="Times New Roman" w:hAnsi="Times New Roman"/>
          <w:noProof/>
          <w:sz w:val="24"/>
        </w:rPr>
        <w:t xml:space="preserve">mble être un véritable défi, en particulier pour les plans et programmes qui ont les caractéristiques d'un projet. </w:t>
      </w:r>
    </w:p>
    <w:p w:rsidR="00532E87" w:rsidRDefault="006F790E">
      <w:pPr>
        <w:spacing w:line="240" w:lineRule="auto"/>
        <w:jc w:val="both"/>
        <w:rPr>
          <w:rFonts w:ascii="Times New Roman" w:hAnsi="Times New Roman" w:cs="Times New Roman"/>
          <w:noProof/>
          <w:sz w:val="24"/>
        </w:rPr>
      </w:pPr>
      <w:r>
        <w:rPr>
          <w:rFonts w:ascii="Times New Roman" w:hAnsi="Times New Roman"/>
          <w:noProof/>
          <w:sz w:val="24"/>
        </w:rPr>
        <w:t>Tous les États membres devraient poursuivre leurs efforts de mise en œuvre pour assurer la conformité avec la directive ESE. Le cas échéant,</w:t>
      </w:r>
      <w:r>
        <w:rPr>
          <w:rFonts w:ascii="Times New Roman" w:hAnsi="Times New Roman"/>
          <w:noProof/>
          <w:sz w:val="24"/>
        </w:rPr>
        <w:t xml:space="preserve"> ils devraient également prendre des initiatives proactives, tels que des documents d'orientation, des formations, le partage d'informations et la création de bases de données d'informations environnementales. Sur la base de ce rapport, la Commission consi</w:t>
      </w:r>
      <w:r>
        <w:rPr>
          <w:rFonts w:ascii="Times New Roman" w:hAnsi="Times New Roman"/>
          <w:noProof/>
          <w:sz w:val="24"/>
        </w:rPr>
        <w:t>dèrera dans sa prochaine évaluation comment augmenter les incidences positives de la directive ESE et prouver sa valeur ajoutée, son efficacité et sa performance.</w:t>
      </w:r>
    </w:p>
    <w:p w:rsidR="00532E87" w:rsidRDefault="00532E87">
      <w:pPr>
        <w:spacing w:line="240" w:lineRule="auto"/>
        <w:jc w:val="both"/>
        <w:rPr>
          <w:b/>
          <w:noProof/>
        </w:rPr>
      </w:pPr>
    </w:p>
    <w:sectPr w:rsidR="00532E8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994729" w15:done="0"/>
  <w15:commentEx w15:paraId="5361BEE3" w15:done="0"/>
  <w15:commentEx w15:paraId="016571CF" w15:done="0"/>
  <w15:commentEx w15:paraId="416E58F7" w15:done="0"/>
  <w15:commentEx w15:paraId="50E87E19" w15:done="0"/>
  <w15:commentEx w15:paraId="525B84A5" w15:done="0"/>
  <w15:commentEx w15:paraId="179C178F" w15:done="0"/>
  <w15:commentEx w15:paraId="445EFE9C" w15:done="0"/>
  <w15:commentEx w15:paraId="0E19173C" w15:done="0"/>
  <w15:commentEx w15:paraId="54607296" w15:done="0"/>
  <w15:commentEx w15:paraId="210355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E87" w:rsidRDefault="006F790E">
      <w:pPr>
        <w:spacing w:after="0" w:line="240" w:lineRule="auto"/>
      </w:pPr>
      <w:r>
        <w:separator/>
      </w:r>
    </w:p>
  </w:endnote>
  <w:endnote w:type="continuationSeparator" w:id="0">
    <w:p w:rsidR="00532E87" w:rsidRDefault="006F790E">
      <w:pPr>
        <w:spacing w:after="0" w:line="240" w:lineRule="auto"/>
      </w:pPr>
      <w:r>
        <w:continuationSeparator/>
      </w:r>
    </w:p>
  </w:endnote>
  <w:endnote w:type="continuationNotice" w:id="1">
    <w:p w:rsidR="00532E87" w:rsidRDefault="00532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E" w:rsidRPr="006F790E" w:rsidRDefault="006F790E" w:rsidP="006F7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E" w:rsidRPr="006F790E" w:rsidRDefault="006F790E" w:rsidP="006F790E">
    <w:pPr>
      <w:pStyle w:val="FooterCoverPage"/>
      <w:rPr>
        <w:rFonts w:ascii="Arial" w:hAnsi="Arial" w:cs="Arial"/>
        <w:b/>
        <w:sz w:val="48"/>
      </w:rPr>
    </w:pPr>
    <w:r w:rsidRPr="006F790E">
      <w:rPr>
        <w:rFonts w:ascii="Arial" w:hAnsi="Arial" w:cs="Arial"/>
        <w:b/>
        <w:sz w:val="48"/>
      </w:rPr>
      <w:t>FR</w:t>
    </w:r>
    <w:r w:rsidRPr="006F790E">
      <w:rPr>
        <w:rFonts w:ascii="Arial" w:hAnsi="Arial" w:cs="Arial"/>
        <w:b/>
        <w:sz w:val="48"/>
      </w:rPr>
      <w:tab/>
    </w:r>
    <w:r w:rsidRPr="006F790E">
      <w:rPr>
        <w:rFonts w:ascii="Arial" w:hAnsi="Arial" w:cs="Arial"/>
        <w:b/>
        <w:sz w:val="48"/>
      </w:rPr>
      <w:tab/>
    </w:r>
    <w:fldSimple w:instr=" DOCVARIABLE &quot;LW_Confidence&quot; \* MERGEFORMAT ">
      <w:r>
        <w:t xml:space="preserve"> </w:t>
      </w:r>
    </w:fldSimple>
    <w:r w:rsidRPr="006F790E">
      <w:tab/>
    </w:r>
    <w:r w:rsidRPr="006F790E">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E" w:rsidRPr="006F790E" w:rsidRDefault="006F790E" w:rsidP="006F790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87" w:rsidRDefault="00532E87">
    <w:pPr>
      <w:pStyle w:val="Footer"/>
    </w:pPr>
  </w:p>
  <w:p w:rsidR="00532E87" w:rsidRDefault="00532E8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2124615646"/>
      <w:docPartObj>
        <w:docPartGallery w:val="Page Numbers (Bottom of Page)"/>
        <w:docPartUnique/>
      </w:docPartObj>
    </w:sdtPr>
    <w:sdtEndPr>
      <w:rPr>
        <w:rFonts w:ascii="Times New Roman" w:hAnsi="Times New Roman" w:cs="Times New Roman"/>
      </w:rPr>
    </w:sdtEndPr>
    <w:sdtContent>
      <w:p w:rsidR="00532E87" w:rsidRDefault="006F790E">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12</w:t>
        </w:r>
        <w:r>
          <w:rPr>
            <w:rFonts w:ascii="Times New Roman" w:hAnsi="Times New Roman" w:cs="Times New Roman"/>
          </w:rPr>
          <w:fldChar w:fldCharType="end"/>
        </w:r>
      </w:p>
    </w:sdtContent>
  </w:sdt>
  <w:p w:rsidR="00532E87" w:rsidRDefault="00532E87">
    <w:pPr>
      <w:pStyle w:val="Footer"/>
    </w:pPr>
  </w:p>
  <w:p w:rsidR="00532E87" w:rsidRDefault="00532E8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87" w:rsidRDefault="00532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E87" w:rsidRDefault="006F790E">
      <w:pPr>
        <w:spacing w:after="0" w:line="240" w:lineRule="auto"/>
      </w:pPr>
      <w:r>
        <w:separator/>
      </w:r>
    </w:p>
  </w:footnote>
  <w:footnote w:type="continuationSeparator" w:id="0">
    <w:p w:rsidR="00532E87" w:rsidRDefault="006F790E">
      <w:pPr>
        <w:spacing w:after="0" w:line="240" w:lineRule="auto"/>
      </w:pPr>
      <w:r>
        <w:continuationSeparator/>
      </w:r>
    </w:p>
  </w:footnote>
  <w:footnote w:type="continuationNotice" w:id="1">
    <w:p w:rsidR="00532E87" w:rsidRDefault="00532E87">
      <w:pPr>
        <w:spacing w:after="0" w:line="240" w:lineRule="auto"/>
      </w:pPr>
    </w:p>
  </w:footnote>
  <w:footnote w:id="2">
    <w:p w:rsidR="00532E87" w:rsidRDefault="006F790E">
      <w:pPr>
        <w:pStyle w:val="FootnoteText"/>
        <w:spacing w:line="240" w:lineRule="auto"/>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Le premier rapport a été présenté le 14.9.2009 (COM(2009) 469).</w:t>
      </w:r>
    </w:p>
  </w:footnote>
  <w:footnote w:id="3">
    <w:p w:rsidR="00532E87" w:rsidRDefault="006F790E">
      <w:pPr>
        <w:pStyle w:val="FootnoteText"/>
        <w:spacing w:line="240" w:lineRule="auto"/>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JO L 197/30 du 21.7.2001, p. 30. Le terme «stratégique» n'apparaît pas dans la directive ESE mais il s'agit de la référence établie la plus courante à cette directive.</w:t>
      </w:r>
    </w:p>
  </w:footnote>
  <w:footnote w:id="4">
    <w:p w:rsidR="00532E87" w:rsidRDefault="006F790E">
      <w:pPr>
        <w:pStyle w:val="FootnoteText"/>
        <w:rPr>
          <w:rFonts w:ascii="Times New Roman" w:hAnsi="Times New Roman"/>
          <w:sz w:val="18"/>
          <w:szCs w:val="18"/>
        </w:rPr>
      </w:pPr>
      <w:r>
        <w:rPr>
          <w:rStyle w:val="FootnoteReference"/>
          <w:rFonts w:ascii="Times New Roman" w:hAnsi="Times New Roman"/>
        </w:rPr>
        <w:footnoteRef/>
      </w:r>
      <w:r>
        <w:t xml:space="preserve"> </w:t>
      </w:r>
      <w:r>
        <w:rPr>
          <w:rFonts w:ascii="Times New Roman" w:hAnsi="Times New Roman"/>
          <w:sz w:val="18"/>
        </w:rPr>
        <w:t>Vous trouverez dava</w:t>
      </w:r>
      <w:r>
        <w:rPr>
          <w:rFonts w:ascii="Times New Roman" w:hAnsi="Times New Roman"/>
          <w:sz w:val="18"/>
        </w:rPr>
        <w:t xml:space="preserve">ntage d'informations dans l'étude </w:t>
      </w:r>
      <w:r>
        <w:rPr>
          <w:sz w:val="18"/>
        </w:rPr>
        <w:t>[</w:t>
      </w:r>
      <w:hyperlink r:id="rId1">
        <w:r>
          <w:rPr>
            <w:rStyle w:val="Hyperlink"/>
            <w:rFonts w:ascii="Times New Roman" w:hAnsi="Times New Roman"/>
            <w:sz w:val="18"/>
          </w:rPr>
          <w:t>http://ec.europa.eu/environment/eia/pdf/study_SEA_directive.pdf</w:t>
        </w:r>
      </w:hyperlink>
      <w:r>
        <w:rPr>
          <w:rFonts w:ascii="Times New Roman" w:hAnsi="Times New Roman"/>
          <w:sz w:val="18"/>
        </w:rPr>
        <w:t>] (en anglais uniquement)</w:t>
      </w:r>
    </w:p>
  </w:footnote>
  <w:footnote w:id="5">
    <w:p w:rsidR="00532E87" w:rsidRDefault="006F790E">
      <w:pPr>
        <w:pStyle w:val="FootnoteText"/>
        <w:rPr>
          <w:rFonts w:ascii="Times New Roman" w:hAnsi="Times New Roman"/>
          <w:sz w:val="18"/>
        </w:rPr>
      </w:pPr>
      <w:r>
        <w:rPr>
          <w:rStyle w:val="FootnoteReference"/>
          <w:rFonts w:ascii="Times New Roman" w:hAnsi="Times New Roman"/>
        </w:rPr>
        <w:footnoteRef/>
      </w:r>
      <w:r>
        <w:t xml:space="preserve"> </w:t>
      </w:r>
      <w:hyperlink r:id="rId2">
        <w:r>
          <w:rPr>
            <w:rStyle w:val="Hyperlink"/>
            <w:rFonts w:ascii="Times New Roman" w:hAnsi="Times New Roman"/>
            <w:sz w:val="18"/>
          </w:rPr>
          <w:t>http://ec.europa.eu/info/law/law-making-process/overview-law-making-process/evaluatin</w:t>
        </w:r>
        <w:r>
          <w:rPr>
            <w:rStyle w:val="Hyperlink"/>
            <w:rFonts w:ascii="Times New Roman" w:hAnsi="Times New Roman"/>
            <w:sz w:val="18"/>
          </w:rPr>
          <w:t>g-and-improving-existing-laws/reducing-burdens-and-simplifying-law/refit-making-eu-law-simpler-and-less-costly_fr</w:t>
        </w:r>
      </w:hyperlink>
      <w:r>
        <w:rPr>
          <w:rFonts w:ascii="Times New Roman" w:hAnsi="Times New Roman"/>
          <w:sz w:val="18"/>
        </w:rPr>
        <w:t>.</w:t>
      </w:r>
    </w:p>
  </w:footnote>
  <w:footnote w:id="6">
    <w:p w:rsidR="00532E87" w:rsidRDefault="006F790E">
      <w:pPr>
        <w:spacing w:line="240" w:lineRule="auto"/>
        <w:jc w:val="both"/>
      </w:pPr>
      <w:r>
        <w:rPr>
          <w:rStyle w:val="FootnoteReference"/>
          <w:rFonts w:ascii="Times New Roman" w:hAnsi="Times New Roman"/>
          <w:sz w:val="18"/>
        </w:rPr>
        <w:footnoteRef/>
      </w:r>
      <w:r>
        <w:rPr>
          <w:rFonts w:ascii="Times New Roman" w:hAnsi="Times New Roman"/>
          <w:sz w:val="20"/>
        </w:rPr>
        <w:t xml:space="preserve"> </w:t>
      </w:r>
      <w:r>
        <w:rPr>
          <w:rFonts w:ascii="Times New Roman" w:hAnsi="Times New Roman"/>
          <w:sz w:val="18"/>
        </w:rPr>
        <w:t>JO L 26 du 28.1.2012, p. 1.</w:t>
      </w:r>
    </w:p>
  </w:footnote>
  <w:footnote w:id="7">
    <w:p w:rsidR="00532E87" w:rsidRDefault="006F790E">
      <w:pPr>
        <w:pStyle w:val="FootnoteText"/>
        <w:spacing w:line="240" w:lineRule="auto"/>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C-567/10, </w:t>
      </w:r>
      <w:r>
        <w:rPr>
          <w:rStyle w:val="outputecliaff"/>
          <w:rFonts w:ascii="Times New Roman" w:hAnsi="Times New Roman"/>
          <w:sz w:val="18"/>
        </w:rPr>
        <w:t>ECLI:</w:t>
      </w:r>
      <w:r>
        <w:rPr>
          <w:rFonts w:ascii="Times New Roman" w:hAnsi="Times New Roman"/>
          <w:sz w:val="18"/>
        </w:rPr>
        <w:t xml:space="preserve">EU:C:2012:159, p. 37, et C-473/14, </w:t>
      </w:r>
      <w:r>
        <w:rPr>
          <w:rStyle w:val="outputecliaff"/>
          <w:rFonts w:ascii="Times New Roman" w:hAnsi="Times New Roman"/>
          <w:sz w:val="18"/>
        </w:rPr>
        <w:t>ECLI:</w:t>
      </w:r>
      <w:r>
        <w:rPr>
          <w:rFonts w:ascii="Times New Roman" w:hAnsi="Times New Roman"/>
          <w:sz w:val="18"/>
        </w:rPr>
        <w:t>EU:C:2015:582, p. 50.</w:t>
      </w:r>
    </w:p>
  </w:footnote>
  <w:footnote w:id="8">
    <w:p w:rsidR="00532E87" w:rsidRDefault="006F790E">
      <w:pPr>
        <w:spacing w:line="240" w:lineRule="auto"/>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C-105/09 et C-110/09,</w:t>
      </w:r>
      <w:r>
        <w:rPr>
          <w:rStyle w:val="outputecliaff"/>
          <w:rFonts w:ascii="Times New Roman" w:hAnsi="Times New Roman"/>
          <w:sz w:val="18"/>
        </w:rPr>
        <w:t xml:space="preserve"> ECLI:</w:t>
      </w:r>
      <w:r>
        <w:rPr>
          <w:rFonts w:ascii="Times New Roman" w:hAnsi="Times New Roman"/>
          <w:sz w:val="18"/>
        </w:rPr>
        <w:t>EU:C:2010:355.</w:t>
      </w:r>
    </w:p>
  </w:footnote>
  <w:footnote w:id="9">
    <w:p w:rsidR="00532E87" w:rsidRDefault="006F790E">
      <w:pPr>
        <w:pStyle w:val="FootnoteText"/>
        <w:tabs>
          <w:tab w:val="left" w:pos="1440"/>
        </w:tabs>
        <w:spacing w:line="240" w:lineRule="auto"/>
        <w:jc w:val="both"/>
        <w:rPr>
          <w:sz w:val="18"/>
          <w:szCs w:val="18"/>
        </w:rPr>
      </w:pPr>
      <w:r>
        <w:rPr>
          <w:rStyle w:val="FootnoteReference"/>
          <w:rFonts w:ascii="Times New Roman" w:hAnsi="Times New Roman"/>
          <w:sz w:val="18"/>
        </w:rPr>
        <w:footnoteRef/>
      </w:r>
      <w:r>
        <w:rPr>
          <w:rFonts w:ascii="Times New Roman" w:hAnsi="Times New Roman"/>
          <w:sz w:val="18"/>
        </w:rPr>
        <w:t xml:space="preserve"> Idem, paragraphe 41.</w:t>
      </w:r>
    </w:p>
  </w:footnote>
  <w:footnote w:id="10">
    <w:p w:rsidR="00532E87" w:rsidRDefault="006F790E">
      <w:pPr>
        <w:shd w:val="clear" w:color="auto" w:fill="FFFFFF" w:themeFill="background1"/>
        <w:spacing w:line="240" w:lineRule="auto"/>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C-567/10, p. 31.</w:t>
      </w:r>
    </w:p>
  </w:footnote>
  <w:footnote w:id="11">
    <w:p w:rsidR="00532E87" w:rsidRDefault="006F790E">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C-41/11, </w:t>
      </w:r>
      <w:r>
        <w:rPr>
          <w:rStyle w:val="outputecliaff"/>
          <w:rFonts w:ascii="Times New Roman" w:hAnsi="Times New Roman"/>
          <w:sz w:val="18"/>
        </w:rPr>
        <w:t>ECLI:</w:t>
      </w:r>
      <w:r>
        <w:rPr>
          <w:rFonts w:ascii="Times New Roman" w:hAnsi="Times New Roman"/>
          <w:sz w:val="18"/>
        </w:rPr>
        <w:t>EU:C:2012:103, p. 40 et C-567/10, p. 30.</w:t>
      </w:r>
    </w:p>
  </w:footnote>
  <w:footnote w:id="12">
    <w:p w:rsidR="00532E87" w:rsidRDefault="006F790E">
      <w:pPr>
        <w:pStyle w:val="FootnoteText"/>
        <w:rPr>
          <w:rFonts w:ascii="Times New Roman" w:hAnsi="Times New Roman"/>
        </w:rPr>
      </w:pPr>
      <w:r>
        <w:rPr>
          <w:rStyle w:val="FootnoteReference"/>
          <w:rFonts w:ascii="Times New Roman" w:hAnsi="Times New Roman"/>
          <w:sz w:val="18"/>
        </w:rPr>
        <w:footnoteRef/>
      </w:r>
      <w:r>
        <w:rPr>
          <w:rFonts w:ascii="Times New Roman" w:hAnsi="Times New Roman"/>
          <w:sz w:val="16"/>
        </w:rPr>
        <w:t xml:space="preserve"> </w:t>
      </w:r>
      <w:r>
        <w:rPr>
          <w:rFonts w:ascii="Times New Roman" w:hAnsi="Times New Roman"/>
          <w:sz w:val="18"/>
        </w:rPr>
        <w:t xml:space="preserve">C-105/09 et C-110/09, </w:t>
      </w:r>
      <w:r>
        <w:rPr>
          <w:rStyle w:val="outputecliaff"/>
          <w:rFonts w:ascii="Times New Roman" w:hAnsi="Times New Roman"/>
          <w:sz w:val="18"/>
        </w:rPr>
        <w:t>ECLI:</w:t>
      </w:r>
      <w:r>
        <w:rPr>
          <w:rStyle w:val="outputecli"/>
          <w:rFonts w:ascii="Times New Roman" w:hAnsi="Times New Roman"/>
          <w:sz w:val="18"/>
        </w:rPr>
        <w:t>EU:C:2010:120, p. 60</w:t>
      </w:r>
    </w:p>
  </w:footnote>
  <w:footnote w:id="13">
    <w:p w:rsidR="00532E87" w:rsidRDefault="006F790E">
      <w:pPr>
        <w:pStyle w:val="FootnoteText"/>
        <w:jc w:val="both"/>
        <w:rPr>
          <w:rFonts w:ascii="Times New Roman" w:hAnsi="Times New Roman"/>
          <w:sz w:val="12"/>
          <w:szCs w:val="12"/>
        </w:rPr>
      </w:pPr>
      <w:r>
        <w:rPr>
          <w:rStyle w:val="FootnoteReference"/>
          <w:rFonts w:ascii="Times New Roman" w:hAnsi="Times New Roman"/>
          <w:sz w:val="18"/>
        </w:rPr>
        <w:footnoteRef/>
      </w:r>
      <w:r>
        <w:rPr>
          <w:rFonts w:ascii="Times New Roman" w:hAnsi="Times New Roman"/>
          <w:sz w:val="18"/>
        </w:rPr>
        <w:t xml:space="preserve"> C-295/10, </w:t>
      </w:r>
      <w:r>
        <w:rPr>
          <w:rStyle w:val="outputecliaff"/>
          <w:rFonts w:ascii="Times New Roman" w:hAnsi="Times New Roman"/>
          <w:sz w:val="18"/>
        </w:rPr>
        <w:t>ECLI:</w:t>
      </w:r>
      <w:r>
        <w:rPr>
          <w:rFonts w:ascii="Times New Roman" w:hAnsi="Times New Roman"/>
          <w:sz w:val="18"/>
        </w:rPr>
        <w:t>EU:C:2011:608, p. 47.</w:t>
      </w:r>
    </w:p>
  </w:footnote>
  <w:footnote w:id="14">
    <w:p w:rsidR="00532E87" w:rsidRDefault="006F790E">
      <w:pPr>
        <w:pStyle w:val="FootnoteText"/>
        <w:jc w:val="both"/>
      </w:pPr>
      <w:r>
        <w:rPr>
          <w:rStyle w:val="FootnoteReference"/>
          <w:rFonts w:ascii="Times New Roman" w:hAnsi="Times New Roman"/>
          <w:sz w:val="18"/>
        </w:rPr>
        <w:footnoteRef/>
      </w:r>
      <w:r>
        <w:rPr>
          <w:rFonts w:ascii="Times New Roman" w:hAnsi="Times New Roman"/>
          <w:sz w:val="16"/>
        </w:rPr>
        <w:t xml:space="preserve"> </w:t>
      </w:r>
      <w:r>
        <w:rPr>
          <w:rFonts w:ascii="Times New Roman" w:hAnsi="Times New Roman"/>
          <w:sz w:val="18"/>
        </w:rPr>
        <w:t xml:space="preserve">Les services de la Commission ont élaboré un </w:t>
      </w:r>
      <w:r>
        <w:rPr>
          <w:rFonts w:ascii="Times New Roman" w:hAnsi="Times New Roman"/>
          <w:sz w:val="18"/>
        </w:rPr>
        <w:t>document d'orientation sur l'intégration du changement climatique et de la biodiversité dans l'évaluation stratégique environnementale [</w:t>
      </w:r>
      <w:hyperlink r:id="rId3">
        <w:r>
          <w:rPr>
            <w:rStyle w:val="Hyperlink"/>
            <w:rFonts w:ascii="Times New Roman" w:hAnsi="Times New Roman"/>
            <w:sz w:val="18"/>
          </w:rPr>
          <w:t>http://ec.europa.eu/environment/eia/pdf/SE</w:t>
        </w:r>
        <w:r>
          <w:rPr>
            <w:rStyle w:val="Hyperlink"/>
            <w:rFonts w:ascii="Times New Roman" w:hAnsi="Times New Roman"/>
            <w:sz w:val="18"/>
          </w:rPr>
          <w:t>A%20Guidance.pdf</w:t>
        </w:r>
      </w:hyperlink>
      <w:r>
        <w:rPr>
          <w:rFonts w:ascii="Times New Roman" w:hAnsi="Times New Roman"/>
          <w:sz w:val="18"/>
        </w:rPr>
        <w:t>] (en anglais).</w:t>
      </w:r>
    </w:p>
  </w:footnote>
  <w:footnote w:id="15">
    <w:p w:rsidR="00532E87" w:rsidRDefault="006F790E">
      <w:pPr>
        <w:spacing w:line="240" w:lineRule="auto"/>
        <w:jc w:val="both"/>
        <w:rPr>
          <w:rFonts w:cs="Times New Roman"/>
        </w:rPr>
      </w:pPr>
      <w:r>
        <w:rPr>
          <w:rStyle w:val="FootnoteReference"/>
          <w:rFonts w:ascii="Times New Roman" w:hAnsi="Times New Roman"/>
          <w:sz w:val="18"/>
        </w:rPr>
        <w:footnoteRef/>
      </w:r>
      <w:r>
        <w:rPr>
          <w:rFonts w:ascii="Times New Roman" w:hAnsi="Times New Roman"/>
        </w:rPr>
        <w:t xml:space="preserve"> </w:t>
      </w:r>
      <w:r>
        <w:rPr>
          <w:rFonts w:ascii="Times New Roman" w:hAnsi="Times New Roman"/>
          <w:sz w:val="18"/>
        </w:rPr>
        <w:t>L'annexe I b) de la directive ESE dispose que le rapport sur les incidences environnementales doit inclure les aspects pertinents de la situation environnementale ainsi que son évolution probable si le plan ou programme n'</w:t>
      </w:r>
      <w:r>
        <w:rPr>
          <w:rFonts w:ascii="Times New Roman" w:hAnsi="Times New Roman"/>
          <w:sz w:val="18"/>
        </w:rPr>
        <w:t xml:space="preserve">est pas mis en œuvre. On l'appelle souvent la </w:t>
      </w:r>
      <w:r>
        <w:rPr>
          <w:rFonts w:ascii="Times New Roman" w:hAnsi="Times New Roman"/>
          <w:i/>
          <w:sz w:val="18"/>
        </w:rPr>
        <w:t>«solution d'inaction».</w:t>
      </w:r>
    </w:p>
  </w:footnote>
  <w:footnote w:id="16">
    <w:p w:rsidR="00532E87" w:rsidRDefault="006F790E">
      <w:pPr>
        <w:pStyle w:val="FootnoteText"/>
        <w:jc w:val="both"/>
      </w:pPr>
      <w:r>
        <w:rPr>
          <w:rStyle w:val="FootnoteReference"/>
          <w:rFonts w:ascii="Times New Roman" w:hAnsi="Times New Roman"/>
          <w:sz w:val="18"/>
        </w:rPr>
        <w:footnoteRef/>
      </w:r>
      <w:r>
        <w:rPr>
          <w:rFonts w:ascii="Times New Roman" w:hAnsi="Times New Roman"/>
          <w:sz w:val="16"/>
        </w:rPr>
        <w:t xml:space="preserve"> </w:t>
      </w:r>
      <w:r>
        <w:rPr>
          <w:rFonts w:ascii="Times New Roman" w:hAnsi="Times New Roman"/>
          <w:sz w:val="18"/>
        </w:rPr>
        <w:t>Convention UNECE sur l'accès à l'information, la participation du public au processus décisionnel et l'accès à la justice en matière d'environnement.</w:t>
      </w:r>
    </w:p>
  </w:footnote>
  <w:footnote w:id="17">
    <w:p w:rsidR="00532E87" w:rsidRDefault="006F790E">
      <w:pPr>
        <w:pStyle w:val="FootnoteText"/>
        <w:rPr>
          <w:rFonts w:ascii="Times New Roman" w:hAnsi="Times New Roman"/>
          <w:lang w:val="pt-PT"/>
        </w:rPr>
      </w:pPr>
      <w:r>
        <w:rPr>
          <w:rStyle w:val="FootnoteReference"/>
          <w:rFonts w:ascii="Times New Roman" w:hAnsi="Times New Roman"/>
          <w:sz w:val="18"/>
        </w:rPr>
        <w:footnoteRef/>
      </w:r>
      <w:r>
        <w:rPr>
          <w:rFonts w:ascii="Times New Roman" w:hAnsi="Times New Roman"/>
          <w:sz w:val="18"/>
          <w:lang w:val="pt-PT"/>
        </w:rPr>
        <w:t xml:space="preserve"> C-474/10, </w:t>
      </w:r>
      <w:r>
        <w:rPr>
          <w:rStyle w:val="outputecliaff"/>
          <w:rFonts w:ascii="Times New Roman" w:hAnsi="Times New Roman"/>
          <w:sz w:val="18"/>
          <w:lang w:val="pt-PT"/>
        </w:rPr>
        <w:t xml:space="preserve">ECLI:EU:C:2011:681, </w:t>
      </w:r>
      <w:r>
        <w:rPr>
          <w:rStyle w:val="outputecliaff"/>
          <w:rFonts w:ascii="Times New Roman" w:hAnsi="Times New Roman"/>
          <w:sz w:val="18"/>
          <w:lang w:val="pt-PT"/>
        </w:rPr>
        <w:t>p. 50.</w:t>
      </w:r>
    </w:p>
  </w:footnote>
  <w:footnote w:id="18">
    <w:p w:rsidR="00532E87" w:rsidRDefault="006F790E">
      <w:pPr>
        <w:pStyle w:val="FootnoteText"/>
        <w:rPr>
          <w:rFonts w:ascii="Times New Roman" w:hAnsi="Times New Roman"/>
          <w:lang w:val="pt-PT"/>
        </w:rPr>
      </w:pPr>
      <w:r>
        <w:rPr>
          <w:rStyle w:val="FootnoteReference"/>
          <w:rFonts w:ascii="Times New Roman" w:hAnsi="Times New Roman"/>
          <w:sz w:val="18"/>
        </w:rPr>
        <w:footnoteRef/>
      </w:r>
      <w:r>
        <w:rPr>
          <w:rFonts w:ascii="Times New Roman" w:hAnsi="Times New Roman"/>
          <w:sz w:val="18"/>
          <w:lang w:val="pt-PT"/>
        </w:rPr>
        <w:t xml:space="preserve"> C-474/10, </w:t>
      </w:r>
      <w:r>
        <w:rPr>
          <w:rStyle w:val="outputecliaff"/>
          <w:rFonts w:ascii="Times New Roman" w:hAnsi="Times New Roman"/>
          <w:sz w:val="18"/>
          <w:lang w:val="pt-PT"/>
        </w:rPr>
        <w:t>ECLI:EU:C:2011:681, p. 42.</w:t>
      </w:r>
    </w:p>
  </w:footnote>
  <w:footnote w:id="19">
    <w:p w:rsidR="00532E87" w:rsidRDefault="006F790E">
      <w:pPr>
        <w:pStyle w:val="FootnoteText"/>
        <w:rPr>
          <w:rFonts w:ascii="Times New Roman" w:hAnsi="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JO L 327 du 22.12.2000, p. 1.</w:t>
      </w:r>
    </w:p>
  </w:footnote>
  <w:footnote w:id="20">
    <w:p w:rsidR="00532E87" w:rsidRDefault="006F790E">
      <w:pPr>
        <w:pStyle w:val="FootnoteText"/>
        <w:rPr>
          <w:rFonts w:ascii="Times New Roman" w:hAnsi="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JO L 206 du 22.7.1992, p. 7.</w:t>
      </w:r>
    </w:p>
  </w:footnote>
  <w:footnote w:id="21">
    <w:p w:rsidR="00532E87" w:rsidRDefault="006F790E">
      <w:pPr>
        <w:pStyle w:val="FootnoteText"/>
        <w:jc w:val="both"/>
        <w:rPr>
          <w:rFonts w:ascii="Times New Roman" w:hAnsi="Times New Roman"/>
          <w:sz w:val="18"/>
          <w:szCs w:val="18"/>
          <w:lang w:val="pt-PT"/>
        </w:rPr>
      </w:pPr>
      <w:r>
        <w:rPr>
          <w:rStyle w:val="FootnoteReference"/>
          <w:rFonts w:ascii="Times New Roman" w:hAnsi="Times New Roman"/>
          <w:sz w:val="18"/>
        </w:rPr>
        <w:footnoteRef/>
      </w:r>
      <w:r>
        <w:rPr>
          <w:rStyle w:val="Strong"/>
          <w:rFonts w:ascii="Times New Roman" w:hAnsi="Times New Roman"/>
          <w:b w:val="0"/>
          <w:sz w:val="18"/>
          <w:lang w:val="pt-PT"/>
        </w:rPr>
        <w:t xml:space="preserve"> JO L 334 du 17.12.2010, p. 17.</w:t>
      </w:r>
    </w:p>
  </w:footnote>
  <w:footnote w:id="22">
    <w:p w:rsidR="00532E87" w:rsidRDefault="006F790E">
      <w:pPr>
        <w:pStyle w:val="FootnoteText"/>
        <w:jc w:val="both"/>
        <w:rPr>
          <w:rFonts w:ascii="Times New Roman" w:hAnsi="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JO L 375 du 31.12.1991, p. 1; JO L 312 du 22.11.2008; JO L 189 du 18.7.2002, p. 12; JO L 288 du 6.11.2007, p. 27</w:t>
      </w:r>
      <w:r>
        <w:rPr>
          <w:rFonts w:ascii="Times New Roman" w:hAnsi="Times New Roman"/>
          <w:sz w:val="18"/>
          <w:lang w:val="pt-PT"/>
        </w:rPr>
        <w:t>.</w:t>
      </w:r>
    </w:p>
  </w:footnote>
  <w:footnote w:id="23">
    <w:p w:rsidR="00532E87" w:rsidRDefault="006F790E">
      <w:pPr>
        <w:pStyle w:val="FootnoteText"/>
        <w:rPr>
          <w:rFonts w:ascii="Times New Roman" w:eastAsia="Times New Roman" w:hAnsi="Times New Roman"/>
          <w:sz w:val="18"/>
          <w:szCs w:val="18"/>
          <w:lang w:eastAsia="en-GB"/>
        </w:rPr>
      </w:pPr>
      <w:r>
        <w:rPr>
          <w:rStyle w:val="FootnoteReference"/>
          <w:rFonts w:ascii="Times New Roman" w:hAnsi="Times New Roman"/>
          <w:sz w:val="18"/>
        </w:rPr>
        <w:footnoteRef/>
      </w:r>
      <w:r>
        <w:rPr>
          <w:rFonts w:ascii="Times New Roman" w:hAnsi="Times New Roman"/>
          <w:sz w:val="18"/>
        </w:rPr>
        <w:t xml:space="preserve"> C-295/10, p. 58-63.</w:t>
      </w:r>
    </w:p>
  </w:footnote>
  <w:footnote w:id="24">
    <w:p w:rsidR="00532E87" w:rsidRDefault="006F790E">
      <w:pPr>
        <w:pStyle w:val="FootnoteText"/>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Idem, paragraphes 61-63.</w:t>
      </w:r>
    </w:p>
  </w:footnote>
  <w:footnote w:id="25">
    <w:p w:rsidR="00532E87" w:rsidRDefault="006F790E">
      <w:pPr>
        <w:pStyle w:val="FootnoteText"/>
      </w:pPr>
      <w:r>
        <w:rPr>
          <w:rStyle w:val="FootnoteReference"/>
          <w:rFonts w:ascii="Times New Roman" w:hAnsi="Times New Roman"/>
          <w:sz w:val="18"/>
        </w:rPr>
        <w:footnoteRef/>
      </w:r>
      <w:r>
        <w:rPr>
          <w:rFonts w:ascii="Times New Roman" w:hAnsi="Times New Roman"/>
          <w:sz w:val="18"/>
        </w:rPr>
        <w:t xml:space="preserve"> Idem, paragraphe 65.</w:t>
      </w:r>
    </w:p>
  </w:footnote>
  <w:footnote w:id="26">
    <w:p w:rsidR="00532E87" w:rsidRDefault="006F790E">
      <w:pPr>
        <w:pStyle w:val="FootnoteText"/>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C-177/11, EU:C:2012:378, p. 19-24.</w:t>
      </w:r>
    </w:p>
  </w:footnote>
  <w:footnote w:id="27">
    <w:p w:rsidR="00532E87" w:rsidRDefault="006F790E">
      <w:pPr>
        <w:pStyle w:val="FootnoteText"/>
        <w:spacing w:line="240" w:lineRule="auto"/>
        <w:jc w:val="both"/>
        <w:rPr>
          <w:rFonts w:ascii="Times New Roman" w:hAnsi="Times New Roman"/>
          <w:b/>
          <w:sz w:val="18"/>
          <w:szCs w:val="18"/>
        </w:rPr>
      </w:pPr>
      <w:r>
        <w:rPr>
          <w:rStyle w:val="FootnoteReference"/>
          <w:rFonts w:ascii="Times New Roman" w:hAnsi="Times New Roman"/>
          <w:sz w:val="18"/>
        </w:rPr>
        <w:footnoteRef/>
      </w:r>
      <w:r>
        <w:rPr>
          <w:rFonts w:ascii="Times New Roman" w:hAnsi="Times New Roman"/>
          <w:sz w:val="18"/>
        </w:rPr>
        <w:t xml:space="preserve"> JO L 347 du 20.12.2013, p. 320.</w:t>
      </w:r>
    </w:p>
  </w:footnote>
  <w:footnote w:id="28">
    <w:p w:rsidR="00532E87" w:rsidRDefault="006F790E">
      <w:pPr>
        <w:autoSpaceDE w:val="0"/>
        <w:autoSpaceDN w:val="0"/>
        <w:adjustRightInd w:val="0"/>
        <w:spacing w:after="0" w:line="240" w:lineRule="auto"/>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Les fonds ESI incluent le FEDER, le Fonds de cohésion, le FSE, le Feader et le FEAMP.</w:t>
      </w:r>
    </w:p>
  </w:footnote>
  <w:footnote w:id="29">
    <w:p w:rsidR="00532E87" w:rsidRDefault="006F790E">
      <w:pPr>
        <w:pStyle w:val="Default"/>
        <w:rPr>
          <w:rFonts w:ascii="Times New Roman" w:eastAsiaTheme="minorHAnsi" w:hAnsi="Times New Roman" w:cs="Times New Roman"/>
          <w:sz w:val="18"/>
          <w:szCs w:val="18"/>
          <w:lang w:eastAsia="en-US"/>
        </w:rPr>
      </w:pPr>
      <w:r>
        <w:rPr>
          <w:rStyle w:val="FootnoteReference"/>
          <w:rFonts w:ascii="Times New Roman" w:hAnsi="Times New Roman"/>
          <w:sz w:val="18"/>
        </w:rPr>
        <w:footnoteRef/>
      </w:r>
      <w:r>
        <w:rPr>
          <w:rFonts w:ascii="Times New Roman" w:eastAsiaTheme="minorHAnsi" w:hAnsi="Times New Roman"/>
          <w:sz w:val="18"/>
        </w:rPr>
        <w:t xml:space="preserve"> Document d'orientation sur l'évaluation ex ante (FEDER, Fonds de cohésion, FSE)[ </w:t>
      </w:r>
      <w:hyperlink r:id="rId4">
        <w:r>
          <w:rPr>
            <w:rStyle w:val="Hyperlink"/>
            <w:rFonts w:ascii="Times New Roman" w:eastAsiaTheme="minorHAnsi" w:hAnsi="Times New Roman"/>
            <w:sz w:val="18"/>
          </w:rPr>
          <w:t>http://ec.europa.eu/regional_policy/sources/docoffic/2014/working/ex_ante_</w:t>
        </w:r>
        <w:r>
          <w:rPr>
            <w:rStyle w:val="Hyperlink"/>
            <w:rFonts w:ascii="Times New Roman" w:eastAsiaTheme="minorHAnsi" w:hAnsi="Times New Roman"/>
            <w:sz w:val="18"/>
          </w:rPr>
          <w:t>fr.pdf</w:t>
        </w:r>
      </w:hyperlink>
      <w:r>
        <w:rPr>
          <w:rFonts w:ascii="Times New Roman" w:eastAsiaTheme="minorHAnsi" w:hAnsi="Times New Roman"/>
          <w:sz w:val="18"/>
        </w:rPr>
        <w:t xml:space="preserve"> ]; orientations sur les évaluations ex ante 2014-2020 des programmes opérationnels de la FEAMP [ </w:t>
      </w:r>
      <w:hyperlink r:id="rId5">
        <w:r>
          <w:rPr>
            <w:rStyle w:val="Hyperlink"/>
            <w:rFonts w:ascii="Times New Roman" w:eastAsiaTheme="minorHAnsi" w:hAnsi="Times New Roman"/>
            <w:sz w:val="18"/>
          </w:rPr>
          <w:t>http://ec.europa.eu/fishe</w:t>
        </w:r>
        <w:r>
          <w:rPr>
            <w:rStyle w:val="Hyperlink"/>
            <w:rFonts w:ascii="Times New Roman" w:eastAsiaTheme="minorHAnsi" w:hAnsi="Times New Roman"/>
            <w:sz w:val="18"/>
          </w:rPr>
          <w:t>ries/sites/fisheries/files/guidelines-ex-ante-evaluation-2014-2020-emff-ops_en.pdf</w:t>
        </w:r>
      </w:hyperlink>
      <w:r>
        <w:rPr>
          <w:rFonts w:ascii="Times New Roman" w:eastAsiaTheme="minorHAnsi" w:hAnsi="Times New Roman"/>
          <w:sz w:val="18"/>
        </w:rPr>
        <w:t xml:space="preserve"> ] (en anglais); Synthèse des évaluations ex-ante des PDR 2014-2020 [</w:t>
      </w:r>
      <w:hyperlink r:id="rId6">
        <w:r>
          <w:rPr>
            <w:rStyle w:val="Hyperlink"/>
            <w:rFonts w:ascii="Times New Roman" w:eastAsiaTheme="minorHAnsi" w:hAnsi="Times New Roman"/>
            <w:sz w:val="18"/>
          </w:rPr>
          <w:t>http://ec.europa.eu/agriculture/sites/agriculture/files/evaluation/rural-development-reports/2015/ex_ante_rdp_synthesis_2014_2020/fulltext_en.pdf</w:t>
        </w:r>
      </w:hyperlink>
      <w:r>
        <w:rPr>
          <w:rFonts w:ascii="Times New Roman" w:eastAsiaTheme="minorHAnsi" w:hAnsi="Times New Roman"/>
          <w:sz w:val="18"/>
        </w:rPr>
        <w:t>] (en anglais).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E" w:rsidRPr="006F790E" w:rsidRDefault="006F790E" w:rsidP="006F7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E" w:rsidRPr="006F790E" w:rsidRDefault="006F790E" w:rsidP="006F790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E" w:rsidRPr="006F790E" w:rsidRDefault="006F790E" w:rsidP="006F790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87" w:rsidRDefault="00532E87">
    <w:pPr>
      <w:pStyle w:val="Header"/>
    </w:pPr>
  </w:p>
  <w:p w:rsidR="00532E87" w:rsidRDefault="00532E8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87" w:rsidRDefault="00532E87">
    <w:pPr>
      <w:pStyle w:val="Header"/>
    </w:pPr>
  </w:p>
  <w:p w:rsidR="00532E87" w:rsidRDefault="00532E8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87" w:rsidRDefault="00532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C1A"/>
    <w:multiLevelType w:val="hybridMultilevel"/>
    <w:tmpl w:val="7730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573EC6"/>
    <w:multiLevelType w:val="hybridMultilevel"/>
    <w:tmpl w:val="6AE08528"/>
    <w:lvl w:ilvl="0" w:tplc="D5B053BE">
      <w:start w:val="1"/>
      <w:numFmt w:val="bullet"/>
      <w:pStyle w:val="Bulletpoint1"/>
      <w:lvlText w:val=""/>
      <w:lvlJc w:val="left"/>
      <w:pPr>
        <w:ind w:left="360" w:hanging="360"/>
      </w:pPr>
      <w:rPr>
        <w:rFonts w:ascii="Symbol" w:hAnsi="Symbol" w:hint="default"/>
        <w:color w:val="002395"/>
      </w:rPr>
    </w:lvl>
    <w:lvl w:ilvl="1" w:tplc="04090003">
      <w:start w:val="1"/>
      <w:numFmt w:val="bullet"/>
      <w:lvlText w:val="o"/>
      <w:lvlJc w:val="left"/>
      <w:pPr>
        <w:ind w:left="1080" w:hanging="360"/>
      </w:pPr>
      <w:rPr>
        <w:rFonts w:ascii="Courier New" w:hAnsi="Courier New" w:cs="Courier New" w:hint="default"/>
      </w:rPr>
    </w:lvl>
    <w:lvl w:ilvl="2" w:tplc="EF147A26">
      <w:numFmt w:val="bullet"/>
      <w:lvlText w:val="-"/>
      <w:lvlJc w:val="left"/>
      <w:pPr>
        <w:ind w:left="2235" w:hanging="795"/>
      </w:pPr>
      <w:rPr>
        <w:rFonts w:ascii="Verdana" w:eastAsia="Times New Roman" w:hAnsi="Verdana"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40D2653"/>
    <w:multiLevelType w:val="hybridMultilevel"/>
    <w:tmpl w:val="108C21F4"/>
    <w:lvl w:ilvl="0" w:tplc="109EDA42">
      <w:start w:val="1"/>
      <w:numFmt w:val="bullet"/>
      <w:lvlText w:val="•"/>
      <w:lvlJc w:val="left"/>
      <w:pPr>
        <w:tabs>
          <w:tab w:val="num" w:pos="720"/>
        </w:tabs>
        <w:ind w:left="720" w:hanging="360"/>
      </w:pPr>
      <w:rPr>
        <w:rFonts w:ascii="Times New Roman" w:hAnsi="Times New Roman" w:hint="default"/>
      </w:rPr>
    </w:lvl>
    <w:lvl w:ilvl="1" w:tplc="9E5000BE" w:tentative="1">
      <w:start w:val="1"/>
      <w:numFmt w:val="bullet"/>
      <w:lvlText w:val="•"/>
      <w:lvlJc w:val="left"/>
      <w:pPr>
        <w:tabs>
          <w:tab w:val="num" w:pos="1440"/>
        </w:tabs>
        <w:ind w:left="1440" w:hanging="360"/>
      </w:pPr>
      <w:rPr>
        <w:rFonts w:ascii="Times New Roman" w:hAnsi="Times New Roman" w:hint="default"/>
      </w:rPr>
    </w:lvl>
    <w:lvl w:ilvl="2" w:tplc="C8862FD0" w:tentative="1">
      <w:start w:val="1"/>
      <w:numFmt w:val="bullet"/>
      <w:lvlText w:val="•"/>
      <w:lvlJc w:val="left"/>
      <w:pPr>
        <w:tabs>
          <w:tab w:val="num" w:pos="2160"/>
        </w:tabs>
        <w:ind w:left="2160" w:hanging="360"/>
      </w:pPr>
      <w:rPr>
        <w:rFonts w:ascii="Times New Roman" w:hAnsi="Times New Roman" w:hint="default"/>
      </w:rPr>
    </w:lvl>
    <w:lvl w:ilvl="3" w:tplc="A6D82114" w:tentative="1">
      <w:start w:val="1"/>
      <w:numFmt w:val="bullet"/>
      <w:lvlText w:val="•"/>
      <w:lvlJc w:val="left"/>
      <w:pPr>
        <w:tabs>
          <w:tab w:val="num" w:pos="2880"/>
        </w:tabs>
        <w:ind w:left="2880" w:hanging="360"/>
      </w:pPr>
      <w:rPr>
        <w:rFonts w:ascii="Times New Roman" w:hAnsi="Times New Roman" w:hint="default"/>
      </w:rPr>
    </w:lvl>
    <w:lvl w:ilvl="4" w:tplc="59C8AD00" w:tentative="1">
      <w:start w:val="1"/>
      <w:numFmt w:val="bullet"/>
      <w:lvlText w:val="•"/>
      <w:lvlJc w:val="left"/>
      <w:pPr>
        <w:tabs>
          <w:tab w:val="num" w:pos="3600"/>
        </w:tabs>
        <w:ind w:left="3600" w:hanging="360"/>
      </w:pPr>
      <w:rPr>
        <w:rFonts w:ascii="Times New Roman" w:hAnsi="Times New Roman" w:hint="default"/>
      </w:rPr>
    </w:lvl>
    <w:lvl w:ilvl="5" w:tplc="685E79EE" w:tentative="1">
      <w:start w:val="1"/>
      <w:numFmt w:val="bullet"/>
      <w:lvlText w:val="•"/>
      <w:lvlJc w:val="left"/>
      <w:pPr>
        <w:tabs>
          <w:tab w:val="num" w:pos="4320"/>
        </w:tabs>
        <w:ind w:left="4320" w:hanging="360"/>
      </w:pPr>
      <w:rPr>
        <w:rFonts w:ascii="Times New Roman" w:hAnsi="Times New Roman" w:hint="default"/>
      </w:rPr>
    </w:lvl>
    <w:lvl w:ilvl="6" w:tplc="2096A4AC" w:tentative="1">
      <w:start w:val="1"/>
      <w:numFmt w:val="bullet"/>
      <w:lvlText w:val="•"/>
      <w:lvlJc w:val="left"/>
      <w:pPr>
        <w:tabs>
          <w:tab w:val="num" w:pos="5040"/>
        </w:tabs>
        <w:ind w:left="5040" w:hanging="360"/>
      </w:pPr>
      <w:rPr>
        <w:rFonts w:ascii="Times New Roman" w:hAnsi="Times New Roman" w:hint="default"/>
      </w:rPr>
    </w:lvl>
    <w:lvl w:ilvl="7" w:tplc="0C5C7B80" w:tentative="1">
      <w:start w:val="1"/>
      <w:numFmt w:val="bullet"/>
      <w:lvlText w:val="•"/>
      <w:lvlJc w:val="left"/>
      <w:pPr>
        <w:tabs>
          <w:tab w:val="num" w:pos="5760"/>
        </w:tabs>
        <w:ind w:left="5760" w:hanging="360"/>
      </w:pPr>
      <w:rPr>
        <w:rFonts w:ascii="Times New Roman" w:hAnsi="Times New Roman" w:hint="default"/>
      </w:rPr>
    </w:lvl>
    <w:lvl w:ilvl="8" w:tplc="7938F55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7200D8F"/>
    <w:multiLevelType w:val="hybridMultilevel"/>
    <w:tmpl w:val="0532D274"/>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nsid w:val="3F3E6FF1"/>
    <w:multiLevelType w:val="hybridMultilevel"/>
    <w:tmpl w:val="8C18E67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5">
    <w:nsid w:val="434C70E8"/>
    <w:multiLevelType w:val="hybridMultilevel"/>
    <w:tmpl w:val="A162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A52D0D"/>
    <w:multiLevelType w:val="hybridMultilevel"/>
    <w:tmpl w:val="F9BC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760DEC"/>
    <w:multiLevelType w:val="hybridMultilevel"/>
    <w:tmpl w:val="80E8E816"/>
    <w:lvl w:ilvl="0" w:tplc="0FB86B88">
      <w:start w:val="1"/>
      <w:numFmt w:val="bullet"/>
      <w:lvlText w:val="•"/>
      <w:lvlJc w:val="left"/>
      <w:pPr>
        <w:tabs>
          <w:tab w:val="num" w:pos="720"/>
        </w:tabs>
        <w:ind w:left="720" w:hanging="360"/>
      </w:pPr>
      <w:rPr>
        <w:rFonts w:ascii="Arial" w:hAnsi="Arial" w:hint="default"/>
      </w:rPr>
    </w:lvl>
    <w:lvl w:ilvl="1" w:tplc="CAAA7FBA" w:tentative="1">
      <w:start w:val="1"/>
      <w:numFmt w:val="bullet"/>
      <w:lvlText w:val="•"/>
      <w:lvlJc w:val="left"/>
      <w:pPr>
        <w:tabs>
          <w:tab w:val="num" w:pos="1440"/>
        </w:tabs>
        <w:ind w:left="1440" w:hanging="360"/>
      </w:pPr>
      <w:rPr>
        <w:rFonts w:ascii="Arial" w:hAnsi="Arial" w:hint="default"/>
      </w:rPr>
    </w:lvl>
    <w:lvl w:ilvl="2" w:tplc="8CA8696E" w:tentative="1">
      <w:start w:val="1"/>
      <w:numFmt w:val="bullet"/>
      <w:lvlText w:val="•"/>
      <w:lvlJc w:val="left"/>
      <w:pPr>
        <w:tabs>
          <w:tab w:val="num" w:pos="2160"/>
        </w:tabs>
        <w:ind w:left="2160" w:hanging="360"/>
      </w:pPr>
      <w:rPr>
        <w:rFonts w:ascii="Arial" w:hAnsi="Arial" w:hint="default"/>
      </w:rPr>
    </w:lvl>
    <w:lvl w:ilvl="3" w:tplc="3D9AC11A" w:tentative="1">
      <w:start w:val="1"/>
      <w:numFmt w:val="bullet"/>
      <w:lvlText w:val="•"/>
      <w:lvlJc w:val="left"/>
      <w:pPr>
        <w:tabs>
          <w:tab w:val="num" w:pos="2880"/>
        </w:tabs>
        <w:ind w:left="2880" w:hanging="360"/>
      </w:pPr>
      <w:rPr>
        <w:rFonts w:ascii="Arial" w:hAnsi="Arial" w:hint="default"/>
      </w:rPr>
    </w:lvl>
    <w:lvl w:ilvl="4" w:tplc="88968376" w:tentative="1">
      <w:start w:val="1"/>
      <w:numFmt w:val="bullet"/>
      <w:lvlText w:val="•"/>
      <w:lvlJc w:val="left"/>
      <w:pPr>
        <w:tabs>
          <w:tab w:val="num" w:pos="3600"/>
        </w:tabs>
        <w:ind w:left="3600" w:hanging="360"/>
      </w:pPr>
      <w:rPr>
        <w:rFonts w:ascii="Arial" w:hAnsi="Arial" w:hint="default"/>
      </w:rPr>
    </w:lvl>
    <w:lvl w:ilvl="5" w:tplc="C994ED5A" w:tentative="1">
      <w:start w:val="1"/>
      <w:numFmt w:val="bullet"/>
      <w:lvlText w:val="•"/>
      <w:lvlJc w:val="left"/>
      <w:pPr>
        <w:tabs>
          <w:tab w:val="num" w:pos="4320"/>
        </w:tabs>
        <w:ind w:left="4320" w:hanging="360"/>
      </w:pPr>
      <w:rPr>
        <w:rFonts w:ascii="Arial" w:hAnsi="Arial" w:hint="default"/>
      </w:rPr>
    </w:lvl>
    <w:lvl w:ilvl="6" w:tplc="16369938" w:tentative="1">
      <w:start w:val="1"/>
      <w:numFmt w:val="bullet"/>
      <w:lvlText w:val="•"/>
      <w:lvlJc w:val="left"/>
      <w:pPr>
        <w:tabs>
          <w:tab w:val="num" w:pos="5040"/>
        </w:tabs>
        <w:ind w:left="5040" w:hanging="360"/>
      </w:pPr>
      <w:rPr>
        <w:rFonts w:ascii="Arial" w:hAnsi="Arial" w:hint="default"/>
      </w:rPr>
    </w:lvl>
    <w:lvl w:ilvl="7" w:tplc="73A60050" w:tentative="1">
      <w:start w:val="1"/>
      <w:numFmt w:val="bullet"/>
      <w:lvlText w:val="•"/>
      <w:lvlJc w:val="left"/>
      <w:pPr>
        <w:tabs>
          <w:tab w:val="num" w:pos="5760"/>
        </w:tabs>
        <w:ind w:left="5760" w:hanging="360"/>
      </w:pPr>
      <w:rPr>
        <w:rFonts w:ascii="Arial" w:hAnsi="Arial" w:hint="default"/>
      </w:rPr>
    </w:lvl>
    <w:lvl w:ilvl="8" w:tplc="6DBC2574" w:tentative="1">
      <w:start w:val="1"/>
      <w:numFmt w:val="bullet"/>
      <w:lvlText w:val="•"/>
      <w:lvlJc w:val="left"/>
      <w:pPr>
        <w:tabs>
          <w:tab w:val="num" w:pos="6480"/>
        </w:tabs>
        <w:ind w:left="6480" w:hanging="360"/>
      </w:pPr>
      <w:rPr>
        <w:rFonts w:ascii="Arial" w:hAnsi="Arial" w:hint="default"/>
      </w:rPr>
    </w:lvl>
  </w:abstractNum>
  <w:abstractNum w:abstractNumId="8">
    <w:nsid w:val="620657B1"/>
    <w:multiLevelType w:val="hybridMultilevel"/>
    <w:tmpl w:val="BD4A4B7A"/>
    <w:lvl w:ilvl="0" w:tplc="FAECD232">
      <w:start w:val="1"/>
      <w:numFmt w:val="bullet"/>
      <w:lvlText w:val="l"/>
      <w:lvlJc w:val="left"/>
      <w:pPr>
        <w:tabs>
          <w:tab w:val="num" w:pos="720"/>
        </w:tabs>
        <w:ind w:left="720" w:hanging="360"/>
      </w:pPr>
      <w:rPr>
        <w:rFonts w:ascii="Monotype Sorts" w:hAnsi="Monotype Sorts" w:hint="default"/>
      </w:rPr>
    </w:lvl>
    <w:lvl w:ilvl="1" w:tplc="727ECA40" w:tentative="1">
      <w:start w:val="1"/>
      <w:numFmt w:val="bullet"/>
      <w:lvlText w:val="l"/>
      <w:lvlJc w:val="left"/>
      <w:pPr>
        <w:tabs>
          <w:tab w:val="num" w:pos="1440"/>
        </w:tabs>
        <w:ind w:left="1440" w:hanging="360"/>
      </w:pPr>
      <w:rPr>
        <w:rFonts w:ascii="Monotype Sorts" w:hAnsi="Monotype Sorts" w:hint="default"/>
      </w:rPr>
    </w:lvl>
    <w:lvl w:ilvl="2" w:tplc="97180C48" w:tentative="1">
      <w:start w:val="1"/>
      <w:numFmt w:val="bullet"/>
      <w:lvlText w:val="l"/>
      <w:lvlJc w:val="left"/>
      <w:pPr>
        <w:tabs>
          <w:tab w:val="num" w:pos="2160"/>
        </w:tabs>
        <w:ind w:left="2160" w:hanging="360"/>
      </w:pPr>
      <w:rPr>
        <w:rFonts w:ascii="Monotype Sorts" w:hAnsi="Monotype Sorts" w:hint="default"/>
      </w:rPr>
    </w:lvl>
    <w:lvl w:ilvl="3" w:tplc="8E969DCA" w:tentative="1">
      <w:start w:val="1"/>
      <w:numFmt w:val="bullet"/>
      <w:lvlText w:val="l"/>
      <w:lvlJc w:val="left"/>
      <w:pPr>
        <w:tabs>
          <w:tab w:val="num" w:pos="2880"/>
        </w:tabs>
        <w:ind w:left="2880" w:hanging="360"/>
      </w:pPr>
      <w:rPr>
        <w:rFonts w:ascii="Monotype Sorts" w:hAnsi="Monotype Sorts" w:hint="default"/>
      </w:rPr>
    </w:lvl>
    <w:lvl w:ilvl="4" w:tplc="E766EAF4" w:tentative="1">
      <w:start w:val="1"/>
      <w:numFmt w:val="bullet"/>
      <w:lvlText w:val="l"/>
      <w:lvlJc w:val="left"/>
      <w:pPr>
        <w:tabs>
          <w:tab w:val="num" w:pos="3600"/>
        </w:tabs>
        <w:ind w:left="3600" w:hanging="360"/>
      </w:pPr>
      <w:rPr>
        <w:rFonts w:ascii="Monotype Sorts" w:hAnsi="Monotype Sorts" w:hint="default"/>
      </w:rPr>
    </w:lvl>
    <w:lvl w:ilvl="5" w:tplc="201AF624" w:tentative="1">
      <w:start w:val="1"/>
      <w:numFmt w:val="bullet"/>
      <w:lvlText w:val="l"/>
      <w:lvlJc w:val="left"/>
      <w:pPr>
        <w:tabs>
          <w:tab w:val="num" w:pos="4320"/>
        </w:tabs>
        <w:ind w:left="4320" w:hanging="360"/>
      </w:pPr>
      <w:rPr>
        <w:rFonts w:ascii="Monotype Sorts" w:hAnsi="Monotype Sorts" w:hint="default"/>
      </w:rPr>
    </w:lvl>
    <w:lvl w:ilvl="6" w:tplc="566AA734" w:tentative="1">
      <w:start w:val="1"/>
      <w:numFmt w:val="bullet"/>
      <w:lvlText w:val="l"/>
      <w:lvlJc w:val="left"/>
      <w:pPr>
        <w:tabs>
          <w:tab w:val="num" w:pos="5040"/>
        </w:tabs>
        <w:ind w:left="5040" w:hanging="360"/>
      </w:pPr>
      <w:rPr>
        <w:rFonts w:ascii="Monotype Sorts" w:hAnsi="Monotype Sorts" w:hint="default"/>
      </w:rPr>
    </w:lvl>
    <w:lvl w:ilvl="7" w:tplc="F0C8A774" w:tentative="1">
      <w:start w:val="1"/>
      <w:numFmt w:val="bullet"/>
      <w:lvlText w:val="l"/>
      <w:lvlJc w:val="left"/>
      <w:pPr>
        <w:tabs>
          <w:tab w:val="num" w:pos="5760"/>
        </w:tabs>
        <w:ind w:left="5760" w:hanging="360"/>
      </w:pPr>
      <w:rPr>
        <w:rFonts w:ascii="Monotype Sorts" w:hAnsi="Monotype Sorts" w:hint="default"/>
      </w:rPr>
    </w:lvl>
    <w:lvl w:ilvl="8" w:tplc="B386D442" w:tentative="1">
      <w:start w:val="1"/>
      <w:numFmt w:val="bullet"/>
      <w:lvlText w:val="l"/>
      <w:lvlJc w:val="left"/>
      <w:pPr>
        <w:tabs>
          <w:tab w:val="num" w:pos="6480"/>
        </w:tabs>
        <w:ind w:left="6480" w:hanging="360"/>
      </w:pPr>
      <w:rPr>
        <w:rFonts w:ascii="Monotype Sorts" w:hAnsi="Monotype Sorts" w:hint="default"/>
      </w:rPr>
    </w:lvl>
  </w:abstractNum>
  <w:abstractNum w:abstractNumId="9">
    <w:nsid w:val="79C432C7"/>
    <w:multiLevelType w:val="hybridMultilevel"/>
    <w:tmpl w:val="8FF2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73103E"/>
    <w:multiLevelType w:val="hybridMultilevel"/>
    <w:tmpl w:val="8E04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0"/>
  </w:num>
  <w:num w:numId="6">
    <w:abstractNumId w:val="2"/>
  </w:num>
  <w:num w:numId="7">
    <w:abstractNumId w:val="8"/>
  </w:num>
  <w:num w:numId="8">
    <w:abstractNumId w:val="7"/>
  </w:num>
  <w:num w:numId="9">
    <w:abstractNumId w:val="1"/>
  </w:num>
  <w:num w:numId="10">
    <w:abstractNumId w:val="3"/>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 Ramstein">
    <w15:presenceInfo w15:providerId="Windows Live" w15:userId="247095221c590a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25316DE7FA554E77B25CDEE497A9CA74"/>
    <w:docVar w:name="LW_CROSSREFERENCE" w:val="&lt;UNUSED&gt;"/>
    <w:docVar w:name="LW_DocType" w:val="NORMAL"/>
    <w:docVar w:name="LW_EMISSION" w:val="15.5.2017"/>
    <w:docVar w:name="LW_EMISSION_ISODATE" w:val="2017-05-15"/>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34"/>
    <w:docVar w:name="LW_REF.INTERNE" w:val="&lt;UNUSED&gt;"/>
    <w:docVar w:name="LW_SOUS.TITRE.OBJ.CP" w:val="&lt;UNUSED&gt;"/>
    <w:docVar w:name="LW_SUPERTITRE" w:val="&lt;UNUSED&gt;"/>
    <w:docVar w:name="LW_TITRE.OBJ.CP" w:val="en vertu de l\u8217?article 12, paragraphe 3, de la directive 2001/42/CE relative à l\u8217?évaluation des incidences de certains plans et programmes sur l\u8217?environnement"/>
    <w:docVar w:name="LW_TYPE.DOC.CP" w:val="RAPPORT DE LA COMMISSION AU CONSEIL ET AU PARLEMENT EUROPÉEN"/>
    <w:docVar w:name="Stamp" w:val="\\dossiers.dgt.cec.eu.int\dossiers\ENV\ENV-2017-00294\ENV-2017-00294-00-00-EN-REV-00.201703271539157288484.DOCX"/>
  </w:docVars>
  <w:rsids>
    <w:rsidRoot w:val="00532E87"/>
    <w:rsid w:val="00532E87"/>
    <w:rsid w:val="006F7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noProof/>
      <w:sz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
    <w:basedOn w:val="Normal"/>
    <w:unhideWhenUsed/>
    <w:rPr>
      <w:rFonts w:ascii="Calibri" w:eastAsia="Calibri" w:hAnsi="Calibri" w:cs="Times New Roman"/>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uiPriority w:val="99"/>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uiPriority w:val="99"/>
    <w:unhideWhenUsed/>
    <w:rPr>
      <w:vertAlign w:val="superscript"/>
    </w:rPr>
  </w:style>
  <w:style w:type="paragraph" w:customStyle="1" w:styleId="Standa2">
    <w:name w:val="Standa2"/>
    <w:link w:val="Standa2Char"/>
    <w:uiPriority w:val="99"/>
    <w:rPr>
      <w:rFonts w:ascii="Calibri" w:eastAsia="Times New Roman" w:hAnsi="Calibri" w:cs="Times New Roman"/>
    </w:rPr>
  </w:style>
  <w:style w:type="character" w:customStyle="1" w:styleId="Standa2Char">
    <w:name w:val="Standa2 Char"/>
    <w:link w:val="Standa2"/>
    <w:uiPriority w:val="99"/>
    <w:rPr>
      <w:rFonts w:ascii="Calibri" w:eastAsia="Times New Roman" w:hAnsi="Calibri" w:cs="Times New Roman"/>
      <w:lang w:val="fr-FR" w:bidi="fr-FR"/>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qFormat/>
    <w:pPr>
      <w:spacing w:after="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lang w:val="fr-FR"/>
    </w:rPr>
  </w:style>
  <w:style w:type="character" w:customStyle="1" w:styleId="Bodytext9">
    <w:name w:val="Body text (9)_"/>
    <w:basedOn w:val="DefaultParagraphFont"/>
    <w:link w:val="Bodytext90"/>
    <w:rPr>
      <w:rFonts w:ascii="Arial" w:eastAsia="Arial" w:hAnsi="Arial" w:cs="Arial"/>
      <w:sz w:val="18"/>
      <w:szCs w:val="18"/>
      <w:shd w:val="clear" w:color="auto" w:fill="FFFFFF"/>
    </w:rPr>
  </w:style>
  <w:style w:type="paragraph" w:customStyle="1" w:styleId="Bodytext90">
    <w:name w:val="Body text (9)"/>
    <w:basedOn w:val="Normal"/>
    <w:link w:val="Bodytext9"/>
    <w:pPr>
      <w:widowControl w:val="0"/>
      <w:shd w:val="clear" w:color="auto" w:fill="FFFFFF"/>
      <w:spacing w:before="220" w:after="220" w:line="233" w:lineRule="exact"/>
      <w:ind w:hanging="360"/>
      <w:jc w:val="both"/>
    </w:pPr>
    <w:rPr>
      <w:rFonts w:ascii="Arial" w:eastAsia="Arial" w:hAnsi="Arial" w:cs="Arial"/>
      <w:sz w:val="18"/>
      <w:szCs w:val="18"/>
    </w:rPr>
  </w:style>
  <w:style w:type="character" w:customStyle="1" w:styleId="Heading3Char">
    <w:name w:val="Heading 3 Char"/>
    <w:basedOn w:val="DefaultParagraphFont"/>
    <w:link w:val="Heading3"/>
    <w:uiPriority w:val="9"/>
    <w:rPr>
      <w:rFonts w:ascii="Times New Roman" w:eastAsiaTheme="majorEastAsia" w:hAnsi="Times New Roman" w:cs="Times New Roman"/>
      <w:bCs/>
      <w:noProof/>
      <w:sz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ulletpoint1">
    <w:name w:val="Bullet point1"/>
    <w:basedOn w:val="NormalIndent"/>
    <w:qFormat/>
    <w:pPr>
      <w:numPr>
        <w:numId w:val="9"/>
      </w:numPr>
      <w:tabs>
        <w:tab w:val="num" w:pos="360"/>
      </w:tabs>
      <w:spacing w:after="0" w:line="240" w:lineRule="auto"/>
      <w:ind w:left="720" w:firstLine="0"/>
      <w:jc w:val="both"/>
    </w:pPr>
    <w:rPr>
      <w:rFonts w:ascii="Verdana" w:eastAsia="Times New Roman" w:hAnsi="Verdana" w:cs="Times New Roman"/>
      <w:sz w:val="20"/>
      <w:szCs w:val="20"/>
    </w:rPr>
  </w:style>
  <w:style w:type="paragraph" w:styleId="Caption">
    <w:name w:val="caption"/>
    <w:basedOn w:val="Normal"/>
    <w:next w:val="Normal"/>
    <w:unhideWhenUsed/>
    <w:qFormat/>
    <w:pPr>
      <w:keepNext/>
      <w:spacing w:line="240" w:lineRule="auto"/>
      <w:jc w:val="both"/>
    </w:pPr>
    <w:rPr>
      <w:rFonts w:ascii="Verdana" w:eastAsia="Times New Roman" w:hAnsi="Verdana" w:cs="Times New Roman"/>
      <w:b/>
      <w:bCs/>
      <w:color w:val="4F81BD"/>
      <w:sz w:val="18"/>
      <w:szCs w:val="18"/>
    </w:rPr>
  </w:style>
  <w:style w:type="paragraph" w:styleId="NormalIndent">
    <w:name w:val="Normal Indent"/>
    <w:basedOn w:val="Normal"/>
    <w:uiPriority w:val="99"/>
    <w:semiHidden/>
    <w:unhideWhenUsed/>
    <w:pPr>
      <w:ind w:left="720"/>
    </w:pPr>
  </w:style>
  <w:style w:type="character" w:customStyle="1" w:styleId="outputecliaff">
    <w:name w:val="outputecliaff"/>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eastAsiaTheme="minorHAnsi" w:cstheme="minorBidi"/>
      <w:color w:val="auto"/>
    </w:rPr>
  </w:style>
  <w:style w:type="paragraph" w:customStyle="1" w:styleId="CM3">
    <w:name w:val="CM3"/>
    <w:basedOn w:val="Default"/>
    <w:next w:val="Default"/>
    <w:uiPriority w:val="99"/>
    <w:rPr>
      <w:rFonts w:eastAsiaTheme="minorHAnsi"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rFonts w:eastAsiaTheme="minorHAnsi" w:cstheme="minorBidi"/>
      <w:color w:val="auto"/>
    </w:rPr>
  </w:style>
  <w:style w:type="character" w:customStyle="1" w:styleId="outputecli">
    <w:name w:val="outputecli"/>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noProof/>
      <w:sz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
    <w:basedOn w:val="Normal"/>
    <w:unhideWhenUsed/>
    <w:rPr>
      <w:rFonts w:ascii="Calibri" w:eastAsia="Calibri" w:hAnsi="Calibri" w:cs="Times New Roman"/>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uiPriority w:val="99"/>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uiPriority w:val="99"/>
    <w:unhideWhenUsed/>
    <w:rPr>
      <w:vertAlign w:val="superscript"/>
    </w:rPr>
  </w:style>
  <w:style w:type="paragraph" w:customStyle="1" w:styleId="Standa2">
    <w:name w:val="Standa2"/>
    <w:link w:val="Standa2Char"/>
    <w:uiPriority w:val="99"/>
    <w:rPr>
      <w:rFonts w:ascii="Calibri" w:eastAsia="Times New Roman" w:hAnsi="Calibri" w:cs="Times New Roman"/>
    </w:rPr>
  </w:style>
  <w:style w:type="character" w:customStyle="1" w:styleId="Standa2Char">
    <w:name w:val="Standa2 Char"/>
    <w:link w:val="Standa2"/>
    <w:uiPriority w:val="99"/>
    <w:rPr>
      <w:rFonts w:ascii="Calibri" w:eastAsia="Times New Roman" w:hAnsi="Calibri" w:cs="Times New Roman"/>
      <w:lang w:val="fr-FR" w:bidi="fr-FR"/>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qFormat/>
    <w:pPr>
      <w:spacing w:after="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lang w:val="fr-FR"/>
    </w:rPr>
  </w:style>
  <w:style w:type="character" w:customStyle="1" w:styleId="Bodytext9">
    <w:name w:val="Body text (9)_"/>
    <w:basedOn w:val="DefaultParagraphFont"/>
    <w:link w:val="Bodytext90"/>
    <w:rPr>
      <w:rFonts w:ascii="Arial" w:eastAsia="Arial" w:hAnsi="Arial" w:cs="Arial"/>
      <w:sz w:val="18"/>
      <w:szCs w:val="18"/>
      <w:shd w:val="clear" w:color="auto" w:fill="FFFFFF"/>
    </w:rPr>
  </w:style>
  <w:style w:type="paragraph" w:customStyle="1" w:styleId="Bodytext90">
    <w:name w:val="Body text (9)"/>
    <w:basedOn w:val="Normal"/>
    <w:link w:val="Bodytext9"/>
    <w:pPr>
      <w:widowControl w:val="0"/>
      <w:shd w:val="clear" w:color="auto" w:fill="FFFFFF"/>
      <w:spacing w:before="220" w:after="220" w:line="233" w:lineRule="exact"/>
      <w:ind w:hanging="360"/>
      <w:jc w:val="both"/>
    </w:pPr>
    <w:rPr>
      <w:rFonts w:ascii="Arial" w:eastAsia="Arial" w:hAnsi="Arial" w:cs="Arial"/>
      <w:sz w:val="18"/>
      <w:szCs w:val="18"/>
    </w:rPr>
  </w:style>
  <w:style w:type="character" w:customStyle="1" w:styleId="Heading3Char">
    <w:name w:val="Heading 3 Char"/>
    <w:basedOn w:val="DefaultParagraphFont"/>
    <w:link w:val="Heading3"/>
    <w:uiPriority w:val="9"/>
    <w:rPr>
      <w:rFonts w:ascii="Times New Roman" w:eastAsiaTheme="majorEastAsia" w:hAnsi="Times New Roman" w:cs="Times New Roman"/>
      <w:bCs/>
      <w:noProof/>
      <w:sz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ulletpoint1">
    <w:name w:val="Bullet point1"/>
    <w:basedOn w:val="NormalIndent"/>
    <w:qFormat/>
    <w:pPr>
      <w:numPr>
        <w:numId w:val="9"/>
      </w:numPr>
      <w:tabs>
        <w:tab w:val="num" w:pos="360"/>
      </w:tabs>
      <w:spacing w:after="0" w:line="240" w:lineRule="auto"/>
      <w:ind w:left="720" w:firstLine="0"/>
      <w:jc w:val="both"/>
    </w:pPr>
    <w:rPr>
      <w:rFonts w:ascii="Verdana" w:eastAsia="Times New Roman" w:hAnsi="Verdana" w:cs="Times New Roman"/>
      <w:sz w:val="20"/>
      <w:szCs w:val="20"/>
    </w:rPr>
  </w:style>
  <w:style w:type="paragraph" w:styleId="Caption">
    <w:name w:val="caption"/>
    <w:basedOn w:val="Normal"/>
    <w:next w:val="Normal"/>
    <w:unhideWhenUsed/>
    <w:qFormat/>
    <w:pPr>
      <w:keepNext/>
      <w:spacing w:line="240" w:lineRule="auto"/>
      <w:jc w:val="both"/>
    </w:pPr>
    <w:rPr>
      <w:rFonts w:ascii="Verdana" w:eastAsia="Times New Roman" w:hAnsi="Verdana" w:cs="Times New Roman"/>
      <w:b/>
      <w:bCs/>
      <w:color w:val="4F81BD"/>
      <w:sz w:val="18"/>
      <w:szCs w:val="18"/>
    </w:rPr>
  </w:style>
  <w:style w:type="paragraph" w:styleId="NormalIndent">
    <w:name w:val="Normal Indent"/>
    <w:basedOn w:val="Normal"/>
    <w:uiPriority w:val="99"/>
    <w:semiHidden/>
    <w:unhideWhenUsed/>
    <w:pPr>
      <w:ind w:left="720"/>
    </w:pPr>
  </w:style>
  <w:style w:type="character" w:customStyle="1" w:styleId="outputecliaff">
    <w:name w:val="outputecliaff"/>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eastAsiaTheme="minorHAnsi" w:cstheme="minorBidi"/>
      <w:color w:val="auto"/>
    </w:rPr>
  </w:style>
  <w:style w:type="paragraph" w:customStyle="1" w:styleId="CM3">
    <w:name w:val="CM3"/>
    <w:basedOn w:val="Default"/>
    <w:next w:val="Default"/>
    <w:uiPriority w:val="99"/>
    <w:rPr>
      <w:rFonts w:eastAsiaTheme="minorHAnsi"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rFonts w:eastAsiaTheme="minorHAnsi" w:cstheme="minorBidi"/>
      <w:color w:val="auto"/>
    </w:rPr>
  </w:style>
  <w:style w:type="character" w:customStyle="1" w:styleId="outputecli">
    <w:name w:val="outputecli"/>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5114">
      <w:bodyDiv w:val="1"/>
      <w:marLeft w:val="0"/>
      <w:marRight w:val="0"/>
      <w:marTop w:val="0"/>
      <w:marBottom w:val="0"/>
      <w:divBdr>
        <w:top w:val="none" w:sz="0" w:space="0" w:color="auto"/>
        <w:left w:val="none" w:sz="0" w:space="0" w:color="auto"/>
        <w:bottom w:val="none" w:sz="0" w:space="0" w:color="auto"/>
        <w:right w:val="none" w:sz="0" w:space="0" w:color="auto"/>
      </w:divBdr>
      <w:divsChild>
        <w:div w:id="1093166564">
          <w:marLeft w:val="547"/>
          <w:marRight w:val="0"/>
          <w:marTop w:val="120"/>
          <w:marBottom w:val="0"/>
          <w:divBdr>
            <w:top w:val="none" w:sz="0" w:space="0" w:color="auto"/>
            <w:left w:val="none" w:sz="0" w:space="0" w:color="auto"/>
            <w:bottom w:val="none" w:sz="0" w:space="0" w:color="auto"/>
            <w:right w:val="none" w:sz="0" w:space="0" w:color="auto"/>
          </w:divBdr>
        </w:div>
      </w:divsChild>
    </w:div>
    <w:div w:id="460657208">
      <w:bodyDiv w:val="1"/>
      <w:marLeft w:val="0"/>
      <w:marRight w:val="0"/>
      <w:marTop w:val="0"/>
      <w:marBottom w:val="0"/>
      <w:divBdr>
        <w:top w:val="none" w:sz="0" w:space="0" w:color="auto"/>
        <w:left w:val="none" w:sz="0" w:space="0" w:color="auto"/>
        <w:bottom w:val="none" w:sz="0" w:space="0" w:color="auto"/>
        <w:right w:val="none" w:sz="0" w:space="0" w:color="auto"/>
      </w:divBdr>
      <w:divsChild>
        <w:div w:id="723724098">
          <w:marLeft w:val="547"/>
          <w:marRight w:val="0"/>
          <w:marTop w:val="115"/>
          <w:marBottom w:val="0"/>
          <w:divBdr>
            <w:top w:val="none" w:sz="0" w:space="0" w:color="auto"/>
            <w:left w:val="none" w:sz="0" w:space="0" w:color="auto"/>
            <w:bottom w:val="none" w:sz="0" w:space="0" w:color="auto"/>
            <w:right w:val="none" w:sz="0" w:space="0" w:color="auto"/>
          </w:divBdr>
        </w:div>
        <w:div w:id="974528661">
          <w:marLeft w:val="547"/>
          <w:marRight w:val="0"/>
          <w:marTop w:val="115"/>
          <w:marBottom w:val="0"/>
          <w:divBdr>
            <w:top w:val="none" w:sz="0" w:space="0" w:color="auto"/>
            <w:left w:val="none" w:sz="0" w:space="0" w:color="auto"/>
            <w:bottom w:val="none" w:sz="0" w:space="0" w:color="auto"/>
            <w:right w:val="none" w:sz="0" w:space="0" w:color="auto"/>
          </w:divBdr>
        </w:div>
        <w:div w:id="1940478663">
          <w:marLeft w:val="547"/>
          <w:marRight w:val="0"/>
          <w:marTop w:val="115"/>
          <w:marBottom w:val="0"/>
          <w:divBdr>
            <w:top w:val="none" w:sz="0" w:space="0" w:color="auto"/>
            <w:left w:val="none" w:sz="0" w:space="0" w:color="auto"/>
            <w:bottom w:val="none" w:sz="0" w:space="0" w:color="auto"/>
            <w:right w:val="none" w:sz="0" w:space="0" w:color="auto"/>
          </w:divBdr>
        </w:div>
      </w:divsChild>
    </w:div>
    <w:div w:id="834108452">
      <w:bodyDiv w:val="1"/>
      <w:marLeft w:val="0"/>
      <w:marRight w:val="0"/>
      <w:marTop w:val="0"/>
      <w:marBottom w:val="0"/>
      <w:divBdr>
        <w:top w:val="none" w:sz="0" w:space="0" w:color="auto"/>
        <w:left w:val="none" w:sz="0" w:space="0" w:color="auto"/>
        <w:bottom w:val="none" w:sz="0" w:space="0" w:color="auto"/>
        <w:right w:val="none" w:sz="0" w:space="0" w:color="auto"/>
      </w:divBdr>
    </w:div>
    <w:div w:id="1228960275">
      <w:bodyDiv w:val="1"/>
      <w:marLeft w:val="0"/>
      <w:marRight w:val="0"/>
      <w:marTop w:val="0"/>
      <w:marBottom w:val="0"/>
      <w:divBdr>
        <w:top w:val="none" w:sz="0" w:space="0" w:color="auto"/>
        <w:left w:val="none" w:sz="0" w:space="0" w:color="auto"/>
        <w:bottom w:val="none" w:sz="0" w:space="0" w:color="auto"/>
        <w:right w:val="none" w:sz="0" w:space="0" w:color="auto"/>
      </w:divBdr>
      <w:divsChild>
        <w:div w:id="1624385384">
          <w:marLeft w:val="547"/>
          <w:marRight w:val="0"/>
          <w:marTop w:val="115"/>
          <w:marBottom w:val="0"/>
          <w:divBdr>
            <w:top w:val="none" w:sz="0" w:space="0" w:color="auto"/>
            <w:left w:val="none" w:sz="0" w:space="0" w:color="auto"/>
            <w:bottom w:val="none" w:sz="0" w:space="0" w:color="auto"/>
            <w:right w:val="none" w:sz="0" w:space="0" w:color="auto"/>
          </w:divBdr>
        </w:div>
      </w:divsChild>
    </w:div>
    <w:div w:id="140590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pdf/SEA%20Guidance.pdf" TargetMode="External"/><Relationship Id="rId2" Type="http://schemas.openxmlformats.org/officeDocument/2006/relationships/hyperlink" Target="http://ec.europa.eu/info/law/law-making-process/overview-law-making-process/evaluating-and-improving-existing-laws/reducing-burdens-and-simplifying-law/refit-making-eu-law-simpler-and-less-costly_fr" TargetMode="External"/><Relationship Id="rId1" Type="http://schemas.openxmlformats.org/officeDocument/2006/relationships/hyperlink" Target="http://ec.europa.eu/environment/eia/pdf/study_SEA_directive.pdf" TargetMode="External"/><Relationship Id="rId6" Type="http://schemas.openxmlformats.org/officeDocument/2006/relationships/hyperlink" Target="http://ec.europa.eu/agriculture/sites/agriculture/files/evaluation/rural-development-reports/2015/ex_ante_rdp_synthesis_2014_2020/fulltext_en.pdf" TargetMode="External"/><Relationship Id="rId5" Type="http://schemas.openxmlformats.org/officeDocument/2006/relationships/hyperlink" Target="http://ec.europa.eu/fisheries/sites/fisheries/files/guidelines-ex-ante-evaluation-2014-2020-emff-ops_en.pdf" TargetMode="External"/><Relationship Id="rId4" Type="http://schemas.openxmlformats.org/officeDocument/2006/relationships/hyperlink" Target="http://ec.europa.eu/regional_policy/sources/docoffic/2014/working/ex_ante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0DBC4-57D7-4FB9-B653-5E04A2D0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12</Pages>
  <Words>4325</Words>
  <Characters>24651</Characters>
  <Application>Microsoft Office Word</Application>
  <DocSecurity>0</DocSecurity>
  <Lines>363</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MAVROPOULOU Erifili (SG)</cp:lastModifiedBy>
  <cp:revision>24</cp:revision>
  <cp:lastPrinted>2017-05-15T08:36:00Z</cp:lastPrinted>
  <dcterms:created xsi:type="dcterms:W3CDTF">2017-04-04T11:02:00Z</dcterms:created>
  <dcterms:modified xsi:type="dcterms:W3CDTF">2017-05-15T08:40:00Z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