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F57C3A870BB472883B6BEE9E6DE2639" style="width:451.25pt;height:293.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w:t>
      </w:r>
      <w:r>
        <w:rPr>
          <w:noProof/>
        </w:rPr>
        <w:tab/>
      </w:r>
      <w:r>
        <w:rPr>
          <w:rFonts w:ascii="Times New Roman" w:hAnsi="Times New Roman"/>
          <w:b/>
          <w:noProof/>
          <w:sz w:val="24"/>
        </w:rPr>
        <w:t>ВЪВЕДЕНИЕ</w:t>
      </w:r>
    </w:p>
    <w:p>
      <w:pPr>
        <w:jc w:val="both"/>
        <w:rPr>
          <w:rFonts w:ascii="Times New Roman" w:hAnsi="Times New Roman" w:cs="Times New Roman"/>
          <w:noProof/>
          <w:sz w:val="24"/>
          <w:szCs w:val="24"/>
        </w:rPr>
      </w:pPr>
      <w:r>
        <w:rPr>
          <w:rFonts w:ascii="Times New Roman" w:hAnsi="Times New Roman"/>
          <w:noProof/>
          <w:sz w:val="24"/>
        </w:rPr>
        <w:t>Нарушенията на правата върху интелектуалната собственост (ПИС) са широкоразпространено и все по-засилващо се явление в целия свят. Международната търговия с фалшифицирани продукти съставлява до 2,5 % от световната търговия, което се равнява на 338 милиарда евро според най-актуалните налични данни от 2013 г</w:t>
      </w:r>
      <w:r>
        <w:rPr>
          <w:rStyle w:val="FootnoteReference"/>
          <w:noProof/>
        </w:rPr>
        <w:footnoteReference w:id="1"/>
      </w:r>
      <w:r>
        <w:rPr>
          <w:rFonts w:ascii="Times New Roman" w:hAnsi="Times New Roman"/>
          <w:noProof/>
          <w:sz w:val="24"/>
        </w:rPr>
        <w:t>. Въздействието на фалшифицирането в Европейския съюз е изключително силно, като фалшифицираните и пиратските продукти съставляват до 5 % от вноса, което се равнява на 85 милиарда евро.</w:t>
      </w:r>
    </w:p>
    <w:p>
      <w:pPr>
        <w:jc w:val="both"/>
        <w:rPr>
          <w:rFonts w:ascii="Times New Roman" w:hAnsi="Times New Roman" w:cs="Times New Roman"/>
          <w:noProof/>
          <w:sz w:val="24"/>
          <w:szCs w:val="24"/>
        </w:rPr>
      </w:pPr>
      <w:r>
        <w:rPr>
          <w:rFonts w:ascii="Times New Roman" w:hAnsi="Times New Roman"/>
          <w:noProof/>
          <w:sz w:val="24"/>
        </w:rPr>
        <w:t>Основен елемент на системата на ЕС за защита на ПИС на границите е Регламент (ЕС) № 608/2013 на Европейския парламент и на Съвета от 12 юни 2013 г. относно защитата на правата върху интелектуалната собственост</w:t>
      </w:r>
      <w:r>
        <w:rPr>
          <w:rStyle w:val="FootnoteReference"/>
          <w:noProof/>
        </w:rPr>
        <w:footnoteReference w:id="2"/>
      </w:r>
      <w:r>
        <w:rPr>
          <w:rFonts w:ascii="Times New Roman" w:hAnsi="Times New Roman"/>
          <w:noProof/>
          <w:sz w:val="24"/>
        </w:rPr>
        <w:t>, наричан по-нататък Регламент (ЕС) № 608/2013. Той се прилага от 1 януари 2014 г.</w:t>
      </w:r>
    </w:p>
    <w:p>
      <w:pPr>
        <w:jc w:val="both"/>
        <w:rPr>
          <w:rFonts w:ascii="Times New Roman" w:hAnsi="Times New Roman" w:cs="Times New Roman"/>
          <w:noProof/>
          <w:sz w:val="24"/>
          <w:szCs w:val="24"/>
        </w:rPr>
      </w:pPr>
      <w:r>
        <w:rPr>
          <w:rFonts w:ascii="Times New Roman" w:hAnsi="Times New Roman"/>
          <w:noProof/>
          <w:sz w:val="24"/>
        </w:rPr>
        <w:t>Член 37 от Регламент (ЕС) № 608/2013 гласи: „…</w:t>
      </w:r>
      <w:r>
        <w:rPr>
          <w:rFonts w:ascii="Times New Roman" w:hAnsi="Times New Roman"/>
          <w:i/>
          <w:noProof/>
          <w:sz w:val="24"/>
        </w:rPr>
        <w:t>Комисията представя на Европейския парламент и на Съвета доклад за прилагането на настоящия регламент. При необходимост докладът се придружава от подходящи препоръки.</w:t>
      </w:r>
    </w:p>
    <w:p>
      <w:pPr>
        <w:jc w:val="both"/>
        <w:rPr>
          <w:rFonts w:ascii="Times New Roman" w:hAnsi="Times New Roman" w:cs="Times New Roman"/>
          <w:noProof/>
          <w:sz w:val="24"/>
          <w:szCs w:val="24"/>
        </w:rPr>
      </w:pPr>
      <w:r>
        <w:rPr>
          <w:rFonts w:ascii="Times New Roman" w:hAnsi="Times New Roman"/>
          <w:i/>
          <w:noProof/>
          <w:sz w:val="24"/>
        </w:rPr>
        <w:t>Докладът разглежда всякакви значими инциденти, свързани с преминаване на лекарствени продукти под режим транзит през митническата територия на Съюза, които могат да възникнат по настоящия регламент, и включва оценка на потенциалното му отражение върху поетите от Съюза ангажименти относно достъпа до лекарствени продукти съгласно декларацията относно ТРИПС и общественото здраве, приета на министерската конференция на СТО в Доха на 14 ноември 2001 г., както и мерките, предприети срещу всякакви случаи, пораждащи неблагоприятни последици в този смисъл.</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Регламент (ЕС) № 608/2013 е придружен от Плана за действие на ЕС в областта на митниците за борба с нарушенията на правата върху интелектуалната собственост за периода 2013—2017 г.</w:t>
      </w:r>
      <w:r>
        <w:rPr>
          <w:rStyle w:val="FootnoteReference"/>
          <w:rFonts w:ascii="Times New Roman" w:hAnsi="Times New Roman"/>
          <w:noProof/>
          <w:sz w:val="24"/>
        </w:rPr>
        <w:footnoteReference w:id="3"/>
      </w:r>
      <w:r>
        <w:rPr>
          <w:rFonts w:ascii="Times New Roman" w:hAnsi="Times New Roman"/>
          <w:noProof/>
          <w:sz w:val="24"/>
        </w:rPr>
        <w:t>, във връзка с който Комисията представя на Съвета годишен обобщаващ доклад и ще представи и окончателен доклад до края на 2017 г.</w:t>
      </w:r>
    </w:p>
    <w:p>
      <w:pPr>
        <w:jc w:val="both"/>
        <w:rPr>
          <w:rFonts w:ascii="Times New Roman" w:hAnsi="Times New Roman" w:cs="Times New Roman"/>
          <w:noProof/>
          <w:sz w:val="24"/>
          <w:szCs w:val="24"/>
        </w:rPr>
      </w:pPr>
      <w:r>
        <w:rPr>
          <w:rFonts w:ascii="Times New Roman" w:hAnsi="Times New Roman"/>
          <w:noProof/>
          <w:sz w:val="24"/>
        </w:rPr>
        <w:t>Целта на настоящия документ е да се представи доклад за събраните от Комисията отзиви  относно прилагането на Регламент (ЕС) № 608/2013 от 1</w:t>
      </w:r>
      <w:r>
        <w:rPr>
          <w:rFonts w:ascii="Times New Roman" w:hAnsi="Times New Roman"/>
          <w:noProof/>
          <w:sz w:val="24"/>
          <w:vertAlign w:val="superscript"/>
        </w:rPr>
        <w:t xml:space="preserve"> </w:t>
      </w:r>
      <w:r>
        <w:rPr>
          <w:rFonts w:ascii="Times New Roman" w:hAnsi="Times New Roman"/>
          <w:noProof/>
          <w:sz w:val="24"/>
        </w:rPr>
        <w:t xml:space="preserve">януари 2014 г. насам. По отношение на прилагането от страна на държавите членки докладът обхваща тригодишен период от 1 януари 2014 г. до декември 2016 г., а подробните данни за </w:t>
      </w:r>
      <w:r>
        <w:rPr>
          <w:rFonts w:ascii="Times New Roman" w:hAnsi="Times New Roman"/>
          <w:noProof/>
          <w:sz w:val="24"/>
        </w:rPr>
        <w:lastRenderedPageBreak/>
        <w:t>действията, предприети на границите на ЕС, обхващат 2014 г. и 2015 г., тъй като по време на изготвянето на настоящия доклад статистическите данни за 2016 г. все още не са били налични.</w:t>
      </w:r>
    </w:p>
    <w:p>
      <w:pPr>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noProof/>
          <w:sz w:val="24"/>
          <w:u w:val="single"/>
        </w:rPr>
        <w:t>раздел 2</w:t>
      </w:r>
      <w:r>
        <w:rPr>
          <w:rFonts w:ascii="Times New Roman" w:hAnsi="Times New Roman"/>
          <w:noProof/>
          <w:sz w:val="24"/>
        </w:rPr>
        <w:t xml:space="preserve"> се обяснява методологията, използвана за изготвянето на доклада.</w:t>
      </w:r>
    </w:p>
    <w:p>
      <w:pPr>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noProof/>
          <w:sz w:val="24"/>
          <w:u w:val="single"/>
        </w:rPr>
        <w:t>раздел 3</w:t>
      </w:r>
      <w:r>
        <w:rPr>
          <w:rFonts w:ascii="Times New Roman" w:hAnsi="Times New Roman"/>
          <w:noProof/>
          <w:sz w:val="24"/>
        </w:rPr>
        <w:t xml:space="preserve"> се описва законодателната уредба на ЕС и се акцентира върху главните новости, въведени с Регламент (ЕС) № 608/2013.</w:t>
      </w:r>
    </w:p>
    <w:p>
      <w:pPr>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noProof/>
          <w:sz w:val="24"/>
          <w:u w:val="single"/>
        </w:rPr>
        <w:t>раздел 4</w:t>
      </w:r>
      <w:r>
        <w:rPr>
          <w:rFonts w:ascii="Times New Roman" w:hAnsi="Times New Roman"/>
          <w:noProof/>
          <w:sz w:val="24"/>
        </w:rPr>
        <w:t xml:space="preserve"> се прави преглед на коментарите, представени от частния сектор.</w:t>
      </w:r>
    </w:p>
    <w:p>
      <w:pPr>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noProof/>
          <w:sz w:val="24"/>
          <w:u w:val="single"/>
        </w:rPr>
        <w:t>раздел 5</w:t>
      </w:r>
      <w:r>
        <w:rPr>
          <w:rFonts w:ascii="Times New Roman" w:hAnsi="Times New Roman"/>
          <w:noProof/>
          <w:sz w:val="24"/>
        </w:rPr>
        <w:t xml:space="preserve"> се анализира как държавите членки са приложили Регламент (ЕС) № 608/2013, като се акцентира върху новостите и незадължителните елементи, въведени с посочения регламент. Той съдържа и данни за конкретното прилагане на Регламент (ЕС) № 608/2013. </w:t>
      </w:r>
    </w:p>
    <w:p>
      <w:pPr>
        <w:spacing w:after="0"/>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noProof/>
          <w:sz w:val="24"/>
          <w:u w:val="single"/>
        </w:rPr>
        <w:t>раздел 6</w:t>
      </w:r>
      <w:r>
        <w:rPr>
          <w:rFonts w:ascii="Times New Roman" w:hAnsi="Times New Roman"/>
          <w:noProof/>
          <w:sz w:val="24"/>
        </w:rPr>
        <w:t xml:space="preserve"> са представени заключенията.</w:t>
      </w:r>
    </w:p>
    <w:p>
      <w:pPr>
        <w:rPr>
          <w:noProof/>
        </w:rPr>
      </w:pPr>
      <w:r>
        <w:rPr>
          <w:noProof/>
        </w:rPr>
        <w:t xml:space="preserve"> </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МЕТОДОЛОГИЯ</w:t>
      </w:r>
    </w:p>
    <w:p>
      <w:pPr>
        <w:spacing w:after="120"/>
        <w:jc w:val="both"/>
        <w:rPr>
          <w:rFonts w:ascii="Times New Roman" w:hAnsi="Times New Roman" w:cs="Times New Roman"/>
          <w:noProof/>
          <w:sz w:val="24"/>
          <w:szCs w:val="24"/>
        </w:rPr>
      </w:pPr>
      <w:r>
        <w:rPr>
          <w:rFonts w:ascii="Times New Roman" w:hAnsi="Times New Roman"/>
          <w:noProof/>
          <w:sz w:val="24"/>
        </w:rPr>
        <w:t>За изготвянето на доклада са използвани следните средства:</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посещения с цел подкрепа в държавите членки и консултации с държавите членки по въпроса за лекарствените продукти;</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консултации със заинтересованите страни;</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 xml:space="preserve">изтегляне на информация от централната база данни на Комисията, т.нар. база данни COPIS (информационна система за борба с фалшифицирането и пиратството). </w:t>
      </w:r>
    </w:p>
    <w:p>
      <w:pPr>
        <w:tabs>
          <w:tab w:val="left" w:pos="426"/>
        </w:tabs>
        <w:ind w:left="426" w:hanging="426"/>
        <w:jc w:val="both"/>
        <w:rPr>
          <w:rFonts w:ascii="Times New Roman" w:hAnsi="Times New Roman" w:cs="Times New Roman"/>
          <w:b/>
          <w:noProof/>
          <w:sz w:val="24"/>
          <w:szCs w:val="24"/>
        </w:rPr>
      </w:pPr>
      <w:r>
        <w:rPr>
          <w:rFonts w:ascii="Times New Roman" w:hAnsi="Times New Roman"/>
          <w:b/>
          <w:noProof/>
          <w:sz w:val="24"/>
        </w:rPr>
        <w:t xml:space="preserve">2.1 </w:t>
      </w:r>
      <w:r>
        <w:rPr>
          <w:noProof/>
        </w:rPr>
        <w:tab/>
      </w:r>
      <w:r>
        <w:rPr>
          <w:rFonts w:ascii="Times New Roman" w:hAnsi="Times New Roman"/>
          <w:b/>
          <w:noProof/>
          <w:sz w:val="24"/>
        </w:rPr>
        <w:t>Посещения с цел подкрепа в държавите членки и консултации с държавите членки по въпроса за лекарствените продукти</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Плана за действие на ЕС в областта на митниците за борба с нарушенията на правата върху интелектуалната собственост за периода 2013—2017 г. се предвиждат редица действия, които да бъдат изпълнени от Комисията и митническите администрации на държавите членки с цел гарантиране на ефективно прилагане на Регламент (ЕС) № 608/2013.</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Едно от действията е свързано с извършване на посещения с цел подкрепа през периода 2015—2017 г. от страна на Комисията и национални експерти по ПИС в 28-те държави членки, за да се установи диалог с органите, които отговарят за прилагането на Регламент (ЕС) № 608/2013, с цел:</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да се събере информация относно прилагането на Регламент (ЕС) № 608/2013.</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да се улесни обменът на получени от опита знания и най-добри практики.</w:t>
      </w:r>
    </w:p>
    <w:p>
      <w:pPr>
        <w:jc w:val="both"/>
        <w:rPr>
          <w:rFonts w:ascii="Times New Roman" w:hAnsi="Times New Roman" w:cs="Times New Roman"/>
          <w:noProof/>
          <w:sz w:val="24"/>
          <w:szCs w:val="24"/>
        </w:rPr>
      </w:pPr>
      <w:r>
        <w:rPr>
          <w:rFonts w:ascii="Times New Roman" w:hAnsi="Times New Roman"/>
          <w:noProof/>
          <w:sz w:val="24"/>
        </w:rPr>
        <w:t>През 2015 г. и 2016 г. Комисията, заедно с експерти по ПИС от митническите органи на държавите членки, извърши 24 посещения с цел подкрепа в следните държави: BE, NL, FI, EE, SI, HR, LV, LT, MT, IT, EL, CY, SE, DK, DE, AT, SK, CZ, HU, PL, ES, PT, FR и LU. Тези посещения бяха използвани за изготвянето на настоящия документ. По отношение на държавите членки, които предстои да бъдат посетени през 2017 г., а именно BG, IE, RO и UK, Комисията прикани митническите органи да попълнят въпросника, използван при посещенията с цел подкрепа, за да могат митническите органи на всички държави членки да изразят становищата си относно прилагането на Регламент (ЕС) № 608/2013. Въпросниците, попълнени от митническите органи на тези държави членки, бяха получени в течение на 2016 г.</w:t>
      </w:r>
    </w:p>
    <w:p>
      <w:pPr>
        <w:jc w:val="both"/>
        <w:rPr>
          <w:rFonts w:ascii="Times New Roman" w:hAnsi="Times New Roman" w:cs="Times New Roman"/>
          <w:noProof/>
          <w:sz w:val="24"/>
          <w:szCs w:val="24"/>
        </w:rPr>
      </w:pPr>
      <w:r>
        <w:rPr>
          <w:rFonts w:ascii="Times New Roman" w:hAnsi="Times New Roman"/>
          <w:noProof/>
          <w:sz w:val="24"/>
        </w:rPr>
        <w:t xml:space="preserve">Във връзка с първото заседание на експертната група в областта на митниците (направление по защитата на ПИС), което се състоя на 11 юли 2016 г., Комисията изиска от митническите органи на държавите членки да докладват пред Комисията и за всякакви значими инциденти, свързани с преминаването на лекарствени продукти под режим транзит през митническата територия на Съюза, които могат да възникнат във връзка с Регламент (ЕС) № 608/2013. </w:t>
      </w: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 xml:space="preserve">Консултации със заинтересованите страни  </w:t>
      </w:r>
    </w:p>
    <w:p>
      <w:pPr>
        <w:jc w:val="both"/>
        <w:rPr>
          <w:rFonts w:ascii="Times New Roman" w:hAnsi="Times New Roman" w:cs="Times New Roman"/>
          <w:noProof/>
          <w:sz w:val="24"/>
          <w:szCs w:val="24"/>
        </w:rPr>
      </w:pPr>
      <w:r>
        <w:rPr>
          <w:rFonts w:ascii="Times New Roman" w:hAnsi="Times New Roman"/>
          <w:noProof/>
          <w:sz w:val="24"/>
        </w:rPr>
        <w:t>Съгласно Плана за действие на ЕС в областта на митниците за борба с нарушенията на правата върху интелектуалната собственост за периода 2013—2017 г. беше създадена група с участието на Комисията, митническите органи в ЕС, носителите на права и други заинтересовани страни в контекста на действие 1.3.2 от Плана</w:t>
      </w:r>
      <w:r>
        <w:rPr>
          <w:rStyle w:val="FootnoteReference"/>
          <w:rFonts w:ascii="Times New Roman" w:hAnsi="Times New Roman"/>
          <w:noProof/>
          <w:sz w:val="24"/>
        </w:rPr>
        <w:footnoteReference w:id="4"/>
      </w:r>
      <w:r>
        <w:rPr>
          <w:rFonts w:ascii="Times New Roman" w:hAnsi="Times New Roman"/>
          <w:noProof/>
          <w:sz w:val="24"/>
        </w:rPr>
        <w:t xml:space="preserve">. Групата заседава веднъж годишно.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На четвъртото заседание на групата, проведено в Брюксел на 12 юли 2016 г., Комисията прикани носителите на права и другите заинтересовани страни да представят сведения относно прилагането на Регламент (ЕС) № 608/2013, като вниманието бъде насочено специално към следните разпоредби, които представляват пряк интерес за тях:</w:t>
      </w:r>
    </w:p>
    <w:p>
      <w:pPr>
        <w:spacing w:after="0" w:line="240" w:lineRule="auto"/>
        <w:jc w:val="both"/>
        <w:rPr>
          <w:rFonts w:ascii="Times New Roman" w:eastAsia="Times New Roman" w:hAnsi="Times New Roman" w:cs="Times New Roman"/>
          <w:noProof/>
          <w:sz w:val="24"/>
          <w:szCs w:val="24"/>
        </w:rPr>
      </w:pP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 xml:space="preserve">глава II относно заявленията за намеса (във връзка със съдържанието на заявленията за намеса, определено в Регламент за изпълнение (ЕС) № 1352/2013 на Комисията); </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член 19 относно инспекцията и вземането на проби от стоки, чието вдигане е отложено или които са задържани;</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член 21 относно разрешената употреба на определена информация от притежателя на решението;</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член 23 (стандартна процедура за унищожаване на стоките и започване на производство) и член 26 (процедура за унищожаване на стоки в малки пратки);</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член 28 относно отговорността на притежателя на решението;</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член 29 относно разходите.</w:t>
      </w:r>
    </w:p>
    <w:p>
      <w:pPr>
        <w:spacing w:after="0" w:line="240" w:lineRule="auto"/>
        <w:ind w:left="709" w:hanging="425"/>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hAnsi="Times New Roman"/>
          <w:noProof/>
          <w:sz w:val="24"/>
        </w:rPr>
        <w:t xml:space="preserve">До края на септември 2016 г. бяха получени осем отговора от следните асоциации: Европейската асоциация на фирмите за експресни куриерски услуги (EEA), Съюза на фабрикантите (UNIFAB), Асоциацията на Европейските общности за търговските марки (ECTA), Европейската федерация на фармацевтичните индустрии и асоциации (EFPIA), Европейското сдружение в сектора на полупроводниците (ESIA), Международната асоциация за търговските марки (INTA), Бизнесът в действие за прекратяване на фалшифицирането и пиратството (BASCAP), Европейската асоциация на притежателите на търговски марки (MARQUES). </w:t>
      </w:r>
    </w:p>
    <w:p>
      <w:pPr>
        <w:spacing w:after="0"/>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благодари на посочените асоциации за изпратените коментари.</w:t>
      </w:r>
    </w:p>
    <w:p>
      <w:pPr>
        <w:spacing w:after="0" w:line="240" w:lineRule="auto"/>
        <w:jc w:val="both"/>
        <w:rPr>
          <w:rFonts w:ascii="Times New Roman" w:eastAsia="Times New Roman" w:hAnsi="Times New Roman" w:cs="Times New Roman"/>
          <w:noProof/>
          <w:sz w:val="24"/>
          <w:szCs w:val="24"/>
        </w:rPr>
      </w:pP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2.3 </w:t>
      </w:r>
      <w:r>
        <w:rPr>
          <w:noProof/>
        </w:rPr>
        <w:tab/>
      </w:r>
      <w:r>
        <w:rPr>
          <w:rFonts w:ascii="Times New Roman" w:hAnsi="Times New Roman"/>
          <w:b/>
          <w:noProof/>
          <w:sz w:val="24"/>
        </w:rPr>
        <w:t>Използване на COPIS (изтегляне на информация от COPIS)</w:t>
      </w:r>
    </w:p>
    <w:p>
      <w:pPr>
        <w:jc w:val="both"/>
        <w:rPr>
          <w:rFonts w:ascii="Times New Roman" w:hAnsi="Times New Roman" w:cs="Times New Roman"/>
          <w:noProof/>
          <w:sz w:val="24"/>
          <w:szCs w:val="24"/>
        </w:rPr>
      </w:pPr>
      <w:r>
        <w:rPr>
          <w:rFonts w:ascii="Times New Roman" w:hAnsi="Times New Roman"/>
          <w:noProof/>
          <w:sz w:val="24"/>
        </w:rPr>
        <w:t>В Регламент (ЕС) № 608/2013 се предвижда Комисията да създаде централна база данни с цел осигуряване на обработката на информацията, предавана от държавите членки на Комисията и свързана с решенията, с които се удовлетворяват заявления, както и с отлагането на вдигането на стоките или тяхното задържане. Централната база данни COPIS започна да функционира на 1 януари 2014 г. Тя подлежи на постоянно доразработване.</w:t>
      </w:r>
    </w:p>
    <w:p>
      <w:pPr>
        <w:jc w:val="both"/>
        <w:rPr>
          <w:rFonts w:ascii="Times New Roman" w:hAnsi="Times New Roman" w:cs="Times New Roman"/>
          <w:noProof/>
          <w:sz w:val="24"/>
          <w:szCs w:val="24"/>
        </w:rPr>
      </w:pPr>
      <w:r>
        <w:rPr>
          <w:rFonts w:ascii="Times New Roman" w:hAnsi="Times New Roman"/>
          <w:noProof/>
          <w:sz w:val="24"/>
        </w:rPr>
        <w:t>Комисията има достъп до съдържащата се в COPIS информация за целите на изпълнението на правните ѝ задължения по прилагането на Регламент (ЕС) № 608/2013.</w:t>
      </w:r>
    </w:p>
    <w:p>
      <w:pPr>
        <w:jc w:val="both"/>
        <w:rPr>
          <w:rFonts w:ascii="Times New Roman" w:hAnsi="Times New Roman" w:cs="Times New Roman"/>
          <w:noProof/>
          <w:sz w:val="24"/>
          <w:szCs w:val="24"/>
        </w:rPr>
      </w:pPr>
      <w:r>
        <w:rPr>
          <w:rFonts w:ascii="Times New Roman" w:hAnsi="Times New Roman"/>
          <w:noProof/>
          <w:sz w:val="24"/>
        </w:rPr>
        <w:t>За изготвянето на настоящия доклад Комисията извлече необходимата информация от COPIS, засягаща по-специално:</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броя на заявленията за намеса (ЗН) по вид на правата върху интелектуалната собственост, обхванати от Регламент (ЕС) № 608/2013 (</w:t>
      </w:r>
      <w:r>
        <w:rPr>
          <w:rFonts w:ascii="Times New Roman" w:hAnsi="Times New Roman"/>
          <w:i/>
          <w:noProof/>
          <w:sz w:val="24"/>
        </w:rPr>
        <w:t>вж. приложение 1</w:t>
      </w:r>
      <w:r>
        <w:rPr>
          <w:rFonts w:ascii="Times New Roman" w:hAnsi="Times New Roman"/>
          <w:noProof/>
          <w:sz w:val="24"/>
        </w:rPr>
        <w:t>);</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резултатите от използването на „стандартната процедура“;</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използването на „процедурата за малки пратки“ (</w:t>
      </w:r>
      <w:r>
        <w:rPr>
          <w:rFonts w:ascii="Times New Roman" w:hAnsi="Times New Roman"/>
          <w:i/>
          <w:noProof/>
          <w:sz w:val="24"/>
        </w:rPr>
        <w:t>вж. приложение 2</w:t>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b/>
          <w:noProof/>
          <w:sz w:val="24"/>
        </w:rPr>
        <w:t>3.</w:t>
      </w:r>
      <w:r>
        <w:rPr>
          <w:noProof/>
        </w:rPr>
        <w:tab/>
      </w:r>
      <w:r>
        <w:rPr>
          <w:rFonts w:ascii="Times New Roman" w:hAnsi="Times New Roman"/>
          <w:b/>
          <w:noProof/>
          <w:sz w:val="24"/>
        </w:rPr>
        <w:t>ЗАКОНОДАТЕЛНА УРЕДБА НА ЕС</w:t>
      </w:r>
    </w:p>
    <w:p>
      <w:pPr>
        <w:tabs>
          <w:tab w:val="left" w:pos="426"/>
        </w:tabs>
        <w:spacing w:before="120"/>
        <w:jc w:val="both"/>
        <w:rPr>
          <w:rFonts w:ascii="Times New Roman" w:hAnsi="Times New Roman" w:cs="Times New Roman"/>
          <w:b/>
          <w:noProof/>
          <w:sz w:val="24"/>
        </w:rPr>
      </w:pPr>
      <w:r>
        <w:rPr>
          <w:rFonts w:ascii="Times New Roman" w:hAnsi="Times New Roman"/>
          <w:b/>
          <w:noProof/>
          <w:sz w:val="24"/>
        </w:rPr>
        <w:t xml:space="preserve">3.1 </w:t>
      </w:r>
      <w:r>
        <w:rPr>
          <w:noProof/>
        </w:rPr>
        <w:tab/>
      </w:r>
      <w:r>
        <w:rPr>
          <w:rFonts w:ascii="Times New Roman" w:hAnsi="Times New Roman"/>
          <w:b/>
          <w:noProof/>
          <w:sz w:val="24"/>
        </w:rPr>
        <w:t>Контекст</w:t>
      </w:r>
    </w:p>
    <w:p>
      <w:pPr>
        <w:jc w:val="both"/>
        <w:rPr>
          <w:rFonts w:ascii="Times New Roman" w:hAnsi="Times New Roman" w:cs="Times New Roman"/>
          <w:noProof/>
          <w:sz w:val="24"/>
        </w:rPr>
      </w:pPr>
      <w:r>
        <w:rPr>
          <w:rFonts w:ascii="Times New Roman" w:hAnsi="Times New Roman"/>
          <w:noProof/>
          <w:sz w:val="24"/>
        </w:rPr>
        <w:t>ЕС започна законодателното уреждане на защитата на ПИС на границите на равнището на ЕС още през 1987 г. с Регламент (ЕИО) № 3842/86 на Съвета</w:t>
      </w:r>
      <w:r>
        <w:rPr>
          <w:rStyle w:val="FootnoteReference"/>
          <w:noProof/>
          <w:sz w:val="24"/>
        </w:rPr>
        <w:footnoteReference w:id="5"/>
      </w:r>
      <w:r>
        <w:rPr>
          <w:rFonts w:ascii="Times New Roman" w:hAnsi="Times New Roman"/>
          <w:noProof/>
          <w:sz w:val="24"/>
        </w:rPr>
        <w:t xml:space="preserve"> за установяване на мерки за забрана на допускането до свободно обращение на фалшифицирани стоки. Оттогава насам бяха приети три регламента</w:t>
      </w:r>
      <w:r>
        <w:rPr>
          <w:rStyle w:val="FootnoteReference"/>
          <w:noProof/>
          <w:sz w:val="24"/>
        </w:rPr>
        <w:footnoteReference w:id="6"/>
      </w:r>
      <w:r>
        <w:rPr>
          <w:rFonts w:ascii="Times New Roman" w:hAnsi="Times New Roman"/>
          <w:noProof/>
          <w:sz w:val="24"/>
        </w:rPr>
        <w:t xml:space="preserve"> с цел приспособяване на обхвата и процедурите спрямо развитието на тенденциите при измамите. При последното преразглеждане, което доведе до приемането на Регламент (ЕС) № 608/2013, беше обърнато специално внимание на увеличаващата се търговия с фалшифицирани стоки в резултат на разрастващата се електронна търговия.</w:t>
      </w:r>
      <w:r>
        <w:rPr>
          <w:noProof/>
          <w:sz w:val="24"/>
        </w:rPr>
        <w:t xml:space="preserve"> </w:t>
      </w:r>
    </w:p>
    <w:p>
      <w:pPr>
        <w:jc w:val="both"/>
        <w:rPr>
          <w:rFonts w:ascii="Times New Roman" w:hAnsi="Times New Roman"/>
          <w:noProof/>
          <w:sz w:val="24"/>
        </w:rPr>
      </w:pPr>
      <w:r>
        <w:rPr>
          <w:rFonts w:ascii="Times New Roman" w:hAnsi="Times New Roman"/>
          <w:noProof/>
          <w:sz w:val="24"/>
        </w:rPr>
        <w:t>Както и с предишните регламенти на ЕС в областта, с Регламент (ЕС) № 608/2013 се установяват мерките за защита на ПИС на границите, съдържащи се в Споразумението за свързаните с търговията аспекти на правата върху интелектуалната собственост (ТРИПС), което беше одобрено от Съвета на ЕС през 1994 г. като част от Уругвайския кръг на многостранните търговски преговори и сключено в рамките на Световната търговска организация (СТО). С Регламента се установяват дори незадължителните изисквания на ТРИПС по отношение на защитата на ПИС на границите, като например контрола над фалшифицираните стоки под режим износ и транзит, като така се отразява ангажираността на ЕС за висока степен на закрила на ПИС.</w:t>
      </w:r>
    </w:p>
    <w:p>
      <w:pPr>
        <w:jc w:val="both"/>
        <w:rPr>
          <w:rFonts w:ascii="Times New Roman" w:hAnsi="Times New Roman" w:cs="Times New Roman"/>
          <w:noProof/>
          <w:sz w:val="24"/>
        </w:rPr>
      </w:pPr>
      <w:r>
        <w:rPr>
          <w:rFonts w:ascii="Times New Roman" w:hAnsi="Times New Roman"/>
          <w:noProof/>
          <w:sz w:val="24"/>
        </w:rPr>
        <w:t>Целта е да се предотврати „пускането на вътрешния пазар“ на стоките, нарушаващи ПИС, и да се приемат мерки в това отношение, „без при това да се създават спънки пред свободата на законната търговия“.</w:t>
      </w:r>
    </w:p>
    <w:p>
      <w:pPr>
        <w:jc w:val="both"/>
        <w:rPr>
          <w:rFonts w:ascii="Times New Roman" w:hAnsi="Times New Roman" w:cs="Times New Roman"/>
          <w:noProof/>
          <w:sz w:val="24"/>
        </w:rPr>
      </w:pPr>
      <w:r>
        <w:rPr>
          <w:rFonts w:ascii="Times New Roman" w:hAnsi="Times New Roman"/>
          <w:noProof/>
          <w:sz w:val="24"/>
        </w:rPr>
        <w:t>Регламент (ЕС) № 608/2013 съдържа единствено процедурни правила за митническите органи. В този смисъл с него не се въвеждат критерии за установяване на наличие на нарушение на ПИС, които са определени в съответното материално право.</w:t>
      </w:r>
    </w:p>
    <w:p>
      <w:pPr>
        <w:jc w:val="both"/>
        <w:rPr>
          <w:rFonts w:ascii="Times New Roman" w:hAnsi="Times New Roman" w:cs="Times New Roman"/>
          <w:noProof/>
          <w:sz w:val="24"/>
        </w:rPr>
      </w:pPr>
      <w:r>
        <w:rPr>
          <w:rFonts w:ascii="Times New Roman" w:hAnsi="Times New Roman"/>
          <w:noProof/>
          <w:sz w:val="24"/>
        </w:rPr>
        <w:t>С Регламент (ЕС) № 608/2013 на митническите органи в ЕС се предоставят правомощия да задържат стоките, за които се предполага, че нарушават ПИС, предоставени със законодателни разпоредби на ЕС или национални законодателни разпоредби в областта на интелектуалната собственост, и които са под митнически контрол или митнически надзор.</w:t>
      </w:r>
    </w:p>
    <w:p>
      <w:pPr>
        <w:jc w:val="both"/>
        <w:rPr>
          <w:rFonts w:ascii="Times New Roman" w:hAnsi="Times New Roman" w:cs="Times New Roman"/>
          <w:noProof/>
          <w:sz w:val="24"/>
        </w:rPr>
      </w:pPr>
      <w:r>
        <w:rPr>
          <w:rFonts w:ascii="Times New Roman" w:hAnsi="Times New Roman"/>
          <w:noProof/>
          <w:sz w:val="24"/>
        </w:rPr>
        <w:t>Контролът от страна на митническите органи трябва да се извършва въз основа на анализ на риска и следва да бъде пропорционален на риска. Поради това е изключително важно митническите органи да разполагат с достатъчна и адекватна информация от носителите на права, за да организират правилно своя анализ на риска.</w:t>
      </w:r>
    </w:p>
    <w:p>
      <w:pPr>
        <w:jc w:val="both"/>
        <w:rPr>
          <w:rFonts w:ascii="Times New Roman" w:hAnsi="Times New Roman" w:cs="Times New Roman"/>
          <w:noProof/>
          <w:sz w:val="24"/>
          <w:szCs w:val="24"/>
        </w:rPr>
      </w:pPr>
      <w:r>
        <w:rPr>
          <w:rFonts w:ascii="Times New Roman" w:hAnsi="Times New Roman"/>
          <w:noProof/>
          <w:sz w:val="24"/>
        </w:rPr>
        <w:t>Митническите органи могат да действат при наличие на „заявление за намеса“ (ЗН) от носителите на права или по собствена инициатива, наречена „ex officio“.</w:t>
      </w:r>
    </w:p>
    <w:p>
      <w:pPr>
        <w:jc w:val="both"/>
        <w:rPr>
          <w:rFonts w:ascii="Times New Roman" w:hAnsi="Times New Roman" w:cs="Times New Roman"/>
          <w:noProof/>
          <w:sz w:val="24"/>
          <w:szCs w:val="24"/>
        </w:rPr>
      </w:pPr>
      <w:r>
        <w:rPr>
          <w:rFonts w:ascii="Times New Roman" w:hAnsi="Times New Roman"/>
          <w:noProof/>
          <w:sz w:val="24"/>
        </w:rPr>
        <w:t>ЗН се подава до митническите органи от лица, които имат право да поискат откриването на съдебно производство за установяване на нарушение на право върху интелектуалната собственост. Националните ЗН се подават в държавата членка и с тях се иска намеса на митническите органи на държава членка в рамките на тази държава членка. Въз основа на правото на Съюза, пораждащо действие в целия Съюз, носителите на ПИС могат да подадат съюзно ЗН, което ще породи действие в повече от една държава членка.</w:t>
      </w:r>
    </w:p>
    <w:p>
      <w:pPr>
        <w:jc w:val="both"/>
        <w:rPr>
          <w:rFonts w:ascii="Times New Roman" w:hAnsi="Times New Roman" w:cs="Times New Roman"/>
          <w:noProof/>
          <w:sz w:val="24"/>
          <w:szCs w:val="24"/>
        </w:rPr>
      </w:pPr>
      <w:r>
        <w:rPr>
          <w:rFonts w:ascii="Times New Roman" w:hAnsi="Times New Roman"/>
          <w:noProof/>
          <w:sz w:val="24"/>
        </w:rPr>
        <w:t>Формулярите на заявлението за намеса и на искането за удължаване са установени в Регламент за изпълнение (ЕС) № 1352/2013 на Комисията от 4 декември 2013 г</w:t>
      </w:r>
      <w:r>
        <w:rPr>
          <w:rStyle w:val="FootnoteReference"/>
          <w:noProof/>
          <w:sz w:val="24"/>
        </w:rPr>
        <w:footnoteReference w:id="7"/>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Митническите органи вземат решение дали ЗН да бъде удовлетворено или отхвърлено.</w:t>
      </w:r>
    </w:p>
    <w:p>
      <w:pPr>
        <w:jc w:val="both"/>
        <w:rPr>
          <w:rFonts w:ascii="Times New Roman" w:hAnsi="Times New Roman" w:cs="Times New Roman"/>
          <w:noProof/>
          <w:sz w:val="24"/>
          <w:szCs w:val="24"/>
        </w:rPr>
      </w:pPr>
      <w:r>
        <w:rPr>
          <w:rFonts w:ascii="Times New Roman" w:hAnsi="Times New Roman"/>
          <w:noProof/>
          <w:sz w:val="24"/>
        </w:rPr>
        <w:t>Когато митническите органи отложат вдигането на стоките или задържат стоките, за които се предполага, че нарушават права върху интелектуалната собственост, те уведомяват за това притежателя на решението, с което се удовлетворява заявлението, и декларатора или държателя на стоките. При „стандартната процедура“ стоките, за които се предполага, че нарушават права върху интелектуалната собственост, могат да бъдат унищожени с писмено потвърждение от притежателя на решението, че според него е нарушено право върху интелектуалната собственост, и с изричното или мълчаливото съгласие на двете страни. В противен случай стоките се вдигат, освен ако притежателят на решението уведоми митническите органи, че е започнал производство, за да се установи дали е било нарушено ПИС. Крайният срок за предоставяне на съгласие за унищожаване на стоките или за уведомяване на митническите органи за започване на производство е 10 работни дни (3 дни при бързоразвалящи се стоки), като в случай на започване на производство той може да бъде удължен с още максимум 10 работни дни, когато това бъде счетено за целесъобразно.</w:t>
      </w:r>
    </w:p>
    <w:p>
      <w:pPr>
        <w:jc w:val="both"/>
        <w:rPr>
          <w:rFonts w:ascii="Times New Roman" w:hAnsi="Times New Roman" w:cs="Times New Roman"/>
          <w:noProof/>
          <w:sz w:val="24"/>
          <w:szCs w:val="24"/>
        </w:rPr>
      </w:pPr>
      <w:r>
        <w:rPr>
          <w:rFonts w:ascii="Times New Roman" w:hAnsi="Times New Roman"/>
          <w:noProof/>
          <w:sz w:val="24"/>
        </w:rPr>
        <w:t>Когато задържаните стоки, за които се предполага, че нарушават ПИС, не са включени в ЗН (намеса ex officio), митническите органи трябва да уведомят съответните лица за задържането, като им предоставят възможност да подадат ЗН.</w:t>
      </w:r>
    </w:p>
    <w:p>
      <w:pPr>
        <w:jc w:val="both"/>
        <w:rPr>
          <w:rFonts w:ascii="Times New Roman" w:hAnsi="Times New Roman" w:cs="Times New Roman"/>
          <w:noProof/>
          <w:sz w:val="24"/>
          <w:szCs w:val="24"/>
        </w:rPr>
      </w:pPr>
      <w:r>
        <w:rPr>
          <w:rFonts w:ascii="Times New Roman" w:hAnsi="Times New Roman"/>
          <w:noProof/>
          <w:sz w:val="24"/>
        </w:rPr>
        <w:t xml:space="preserve">В Регламент (ЕС) № 608/2013 се предвижда и опростена процедура за малки пратки, доставяни чрез пощенска или куриерска услуга („процедура за малки пратки“), приложима по искане на притежателя на решението за удовлетворяване на заявлението, при която стоките могат да бъдат унищожени с изричното или мълчаливото съгласие на единствения декларатор или държател на стоките. </w:t>
      </w:r>
    </w:p>
    <w:p>
      <w:pPr>
        <w:jc w:val="both"/>
        <w:rPr>
          <w:rFonts w:ascii="Times New Roman" w:hAnsi="Times New Roman" w:cs="Times New Roman"/>
          <w:noProof/>
          <w:sz w:val="24"/>
          <w:szCs w:val="24"/>
        </w:rPr>
      </w:pPr>
      <w:r>
        <w:rPr>
          <w:rFonts w:ascii="Times New Roman" w:hAnsi="Times New Roman"/>
          <w:noProof/>
          <w:sz w:val="24"/>
        </w:rPr>
        <w:t>ЗН и информацията за задържането се разглеждат и обработват чрез COPIS. Въз основа на данните, предадени от митническите органи на държавите членки чрез COPIS, Комисията ежегодно публикува резултатите от намесата на митническите органи на външните граници на ЕС</w:t>
      </w:r>
      <w:r>
        <w:rPr>
          <w:rStyle w:val="FootnoteReference"/>
          <w:rFonts w:ascii="Times New Roman" w:hAnsi="Times New Roman"/>
          <w:noProof/>
          <w:sz w:val="24"/>
        </w:rPr>
        <w:footnoteReference w:id="8"/>
      </w:r>
      <w:r>
        <w:rPr>
          <w:rFonts w:ascii="Times New Roman" w:hAnsi="Times New Roman"/>
          <w:noProof/>
          <w:sz w:val="24"/>
        </w:rPr>
        <w:t>.</w:t>
      </w:r>
    </w:p>
    <w:p>
      <w:pPr>
        <w:jc w:val="both"/>
        <w:rPr>
          <w:rFonts w:ascii="Times New Roman" w:hAnsi="Times New Roman" w:cs="Times New Roman"/>
          <w:b/>
          <w:noProof/>
          <w:sz w:val="24"/>
          <w:szCs w:val="24"/>
        </w:rPr>
      </w:pPr>
      <w:r>
        <w:rPr>
          <w:rFonts w:ascii="Times New Roman" w:hAnsi="Times New Roman"/>
          <w:b/>
          <w:noProof/>
          <w:sz w:val="24"/>
        </w:rPr>
        <w:t xml:space="preserve">3.2 Нови елементи, въведени с Регламент (ЕС) № 608/2013 </w:t>
      </w:r>
    </w:p>
    <w:p>
      <w:pPr>
        <w:jc w:val="both"/>
        <w:rPr>
          <w:rFonts w:ascii="Times New Roman" w:hAnsi="Times New Roman" w:cs="Times New Roman"/>
          <w:noProof/>
          <w:sz w:val="24"/>
          <w:szCs w:val="24"/>
        </w:rPr>
      </w:pPr>
      <w:r>
        <w:rPr>
          <w:rFonts w:ascii="Times New Roman" w:hAnsi="Times New Roman"/>
          <w:b/>
          <w:noProof/>
          <w:sz w:val="24"/>
        </w:rPr>
        <w:t>Основните нови елементи</w:t>
      </w:r>
      <w:r>
        <w:rPr>
          <w:rFonts w:ascii="Times New Roman" w:hAnsi="Times New Roman"/>
          <w:noProof/>
          <w:sz w:val="24"/>
        </w:rPr>
        <w:t>, въведени с Регламент (ЕС) № 608/2013, които допълват схемата, съдържаща се още в предходните регламенти, са следните:</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Разширяване на кръга на правата и нарушенията, които са предмет на намесата на митническите органи</w:t>
      </w:r>
      <w:r>
        <w:rPr>
          <w:rFonts w:ascii="Times New Roman" w:hAnsi="Times New Roman"/>
          <w:noProof/>
          <w:sz w:val="24"/>
        </w:rPr>
        <w:t>: с цел да се засили осигуряването на защитата на ПИС, обхватът на намесата на митническите органи беше разширен, така че да се включат и други видове права и нарушения, освен попадащите в обхвата на Регламент (ЕО) № 1383/2003.  Другите видове закриляни права са търговските наименования, топологиите на полупроводникови изделия и полезните модели. Обхванатите понастоящем географски указания включват не само селскостопански, но и евентуални бъдещи неселскостопански продукти, като в Регламента изрично се посочват географските указания, предвидени в споразуменията с трети държави. Освен това обхватът на Регламента беше разширен, така че да обхваща повече случаи на нарушения, а именно всички възможни нарушения по отношение на търговски марки (като например търговски марки, пораждащи объркване поради сходство, и популярни търговски марки), и не само фалшифицирани стоки като в предходните регламенти, а също и нарушения, извършвани чрез приспособления за заобикаляне на мерки (приспособления, които първоначално са проектирани, произведени или приспособени с цел осигуряване или улесняване на заобикалянето на технологични мерки, които възпрепятстват или ограничават неразрешените действия по отношение на произведения).</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Обхватът и елементите на информацията, която следва да се предоставя в ЗН,</w:t>
      </w:r>
      <w:r>
        <w:rPr>
          <w:rFonts w:ascii="Times New Roman" w:hAnsi="Times New Roman"/>
          <w:noProof/>
          <w:sz w:val="24"/>
        </w:rPr>
        <w:t xml:space="preserve"> бяха разширени в сравнение с предходния регламент.</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Опростената процедура за унищожаване стана задължителна стандартна процедура</w:t>
      </w:r>
      <w:r>
        <w:rPr>
          <w:rFonts w:ascii="Times New Roman" w:hAnsi="Times New Roman"/>
          <w:noProof/>
          <w:sz w:val="24"/>
        </w:rPr>
        <w:t>. При тази процедура, която съществуваше като незадължителна процедура още по силата на Регламент (ЕС) № 1383/2003, стоките, за които се предполага, че нарушават ПИС, могат да бъдат унищожени, без да е необходимо да се определя дали е било нарушено ПИС, при наличие на писмено потвърждение от притежателя на решението, че според него е нарушено ПИС, и с изричното съгласие на двете страни. В процедурата се предвижда възможност за бързо и икономично унищожаване на стоките. Още в миналото това беше успешен инструмент за практическото разглеждане и справяне с „безспорните случаи“ на нарушаване на ПИС; установяването ѝ като стандартна процедура доказва, че тя е била еднакво успешна във всички държави членки.</w:t>
      </w:r>
    </w:p>
    <w:p>
      <w:pPr>
        <w:jc w:val="both"/>
        <w:rPr>
          <w:rFonts w:ascii="Times New Roman" w:eastAsia="Calibri" w:hAnsi="Times New Roman" w:cs="Times New Roman"/>
          <w:noProof/>
          <w:sz w:val="24"/>
          <w:szCs w:val="24"/>
        </w:rPr>
      </w:pPr>
      <w:r>
        <w:rPr>
          <w:rFonts w:ascii="Times New Roman" w:hAnsi="Times New Roman"/>
          <w:noProof/>
          <w:sz w:val="24"/>
        </w:rPr>
        <w:t>За разлика от опростената процедура, описана в Регламент (ЕС) № 1383/2003, при новата стандартна процедура не се изисква притежателят на решението да получи пряко писменото съгласие на държателя на стоките/декларатора да остави стоките да бъдат унищожени, а при настоящото положение митническите органи отговарят за уведомяването на държателя на стоките/декларатора, като митническите органи могат да приемат, че държателят на стоките/деклараторът е предоставил съгласието си, ако не е възразил изрично срещу унищожаването.</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Специфичната процедура за малки пратки беше въведена</w:t>
      </w:r>
      <w:r>
        <w:rPr>
          <w:rFonts w:ascii="Times New Roman" w:hAnsi="Times New Roman"/>
          <w:noProof/>
          <w:sz w:val="24"/>
        </w:rPr>
        <w:t xml:space="preserve"> с цел справяне с нарастващата тенденция за малки пратки с фалшифицирани и пиратски стоки, които обикновено влизат в Съюза чрез пощенска услуга или търговско куриерско предприятие, и с цел свеждане до минимум на разходите и административната тежест във връзка с разглеждането на такива случаи. Тя се прилага по отношение на малките пратки, определени в член 2, параграф 19 от Регламент (ЕС) № 608/2013, а именно пощенски или експресни куриерски пратки, които съдържат най-много три артикула или имат общо тегло, по-малко от два килограма. </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„Мълчаливо съгласие“</w:t>
      </w:r>
      <w:r>
        <w:rPr>
          <w:rFonts w:ascii="Times New Roman" w:hAnsi="Times New Roman"/>
          <w:noProof/>
          <w:sz w:val="24"/>
        </w:rPr>
        <w:t>: както при стандартната процедура, така и при процедурата за малки пратки се предвижда възможността за използване на мълчаливото съгласие на държателя на стоките/декларатора, вместо неговото изрично съгласие за унищожаване на стоките. С други думи, когато в определения срок деклараторът или държателят на стоките не е потвърдил съгласието си за унищожаването на стоките, нито е уведомил митническите органи, че възразява срещу унищожаването, митническите органи могат да считат, че деклараторът или държателят на стоките е потвърдил съгласието си за унищожаването на стоките.</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Разходи</w:t>
      </w:r>
      <w:r>
        <w:rPr>
          <w:rFonts w:ascii="Times New Roman" w:hAnsi="Times New Roman"/>
          <w:noProof/>
          <w:sz w:val="24"/>
        </w:rPr>
        <w:t>: ако митническите органи предприемат намеса по подадено заявление, съгласно член 29 от Регламент (ЕС) № 608/2013 те могат да решат, че притежателят на решението следва да възстанови всички разходи, направени от тях при намесата за защитата на неговите права върху интелектуалната собственост. Това решение се взема от митническите органи на държавите членки.</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С член 22 от Регламент (ЕС) № 608/2013 се въвежда разпоредба относно </w:t>
      </w:r>
      <w:r>
        <w:rPr>
          <w:rFonts w:ascii="Times New Roman" w:hAnsi="Times New Roman"/>
          <w:noProof/>
          <w:sz w:val="24"/>
          <w:u w:val="single"/>
        </w:rPr>
        <w:t>обмена на информация и данни със съответните органи на трети държави</w:t>
      </w:r>
      <w:r>
        <w:rPr>
          <w:rFonts w:ascii="Times New Roman" w:hAnsi="Times New Roman"/>
          <w:noProof/>
          <w:sz w:val="24"/>
        </w:rPr>
        <w:t xml:space="preserve"> с цел да се допринесе за борбата с международната търговия със стоки, нарушаващи ПИС. За да се активира процедурата, Комисията приема актове за изпълнение, с които се определят елементите на необходимите практически условия за обмена на данни и информация.</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Защитата на правата върху интелектуалната собственост, осъществявана от митническите органи в рамките на Европейския съюз, налага обмен на данни относно решенията, свързани със ЗН. Необходимо беше обменът на такива данни, както и на данните за намесата на митническите органи, да стане достъпен посредством централна електронна база данни. Във връзка с това Комисията създаде централната база данни COPIS, която функционира от 1 януари 2014 г. насам.</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b/>
          <w:noProof/>
          <w:sz w:val="24"/>
        </w:rPr>
        <w:t>4.</w:t>
      </w:r>
      <w:r>
        <w:rPr>
          <w:noProof/>
        </w:rPr>
        <w:tab/>
      </w:r>
      <w:r>
        <w:rPr>
          <w:rFonts w:ascii="Times New Roman" w:hAnsi="Times New Roman"/>
          <w:b/>
          <w:noProof/>
          <w:sz w:val="24"/>
        </w:rPr>
        <w:t>КОМЕНТАРИ ОТ ЧАСТНИЯ СЕКТОР</w:t>
      </w:r>
    </w:p>
    <w:p>
      <w:pPr>
        <w:jc w:val="both"/>
        <w:rPr>
          <w:rFonts w:ascii="Times New Roman" w:hAnsi="Times New Roman" w:cs="Times New Roman"/>
          <w:noProof/>
          <w:sz w:val="24"/>
          <w:szCs w:val="24"/>
        </w:rPr>
      </w:pPr>
      <w:r>
        <w:rPr>
          <w:rFonts w:ascii="Times New Roman" w:hAnsi="Times New Roman"/>
          <w:noProof/>
          <w:sz w:val="24"/>
        </w:rPr>
        <w:t xml:space="preserve">Асоциациите на носителите на права и предприятията за експресни куриерски услуги </w:t>
      </w:r>
      <w:r>
        <w:rPr>
          <w:rFonts w:ascii="Times New Roman" w:hAnsi="Times New Roman"/>
          <w:b/>
          <w:noProof/>
          <w:sz w:val="24"/>
        </w:rPr>
        <w:t>оценяват високо повечето от новостите</w:t>
      </w:r>
      <w:r>
        <w:rPr>
          <w:rFonts w:ascii="Times New Roman" w:hAnsi="Times New Roman"/>
          <w:noProof/>
          <w:sz w:val="24"/>
        </w:rPr>
        <w:t xml:space="preserve">, въведени с Регламент (ЕС) № 608/2013, и </w:t>
      </w:r>
      <w:r>
        <w:rPr>
          <w:rFonts w:ascii="Times New Roman" w:hAnsi="Times New Roman"/>
          <w:b/>
          <w:noProof/>
          <w:sz w:val="24"/>
        </w:rPr>
        <w:t>като цяло дават положителни отзиви</w:t>
      </w:r>
      <w:r>
        <w:rPr>
          <w:rFonts w:ascii="Times New Roman" w:hAnsi="Times New Roman"/>
          <w:noProof/>
          <w:sz w:val="24"/>
        </w:rPr>
        <w:t xml:space="preserve"> относно неговото действие. </w:t>
      </w:r>
    </w:p>
    <w:p>
      <w:pPr>
        <w:jc w:val="both"/>
        <w:rPr>
          <w:rFonts w:ascii="Times New Roman" w:hAnsi="Times New Roman" w:cs="Times New Roman"/>
          <w:noProof/>
          <w:sz w:val="24"/>
          <w:szCs w:val="24"/>
        </w:rPr>
      </w:pPr>
      <w:r>
        <w:rPr>
          <w:rFonts w:ascii="Times New Roman" w:hAnsi="Times New Roman"/>
          <w:noProof/>
          <w:sz w:val="24"/>
        </w:rPr>
        <w:t>Включването на допълнителни ПИС в обхвата на митническия контрол се счита за полезно с това, че позволява съгласуване между Регламент (ЕС) № 608/2013 и Директива 2004/48/ЕО относно упражняването на права върху интелектуалната собственост и свежда до минимум дискриминационното третиране на ПИС, които не са свързани с търговски марки.</w:t>
      </w:r>
    </w:p>
    <w:p>
      <w:pPr>
        <w:jc w:val="both"/>
        <w:rPr>
          <w:rFonts w:ascii="Times New Roman" w:hAnsi="Times New Roman" w:cs="Times New Roman"/>
          <w:noProof/>
          <w:sz w:val="24"/>
          <w:szCs w:val="24"/>
        </w:rPr>
      </w:pPr>
      <w:r>
        <w:rPr>
          <w:rFonts w:ascii="Times New Roman" w:hAnsi="Times New Roman"/>
          <w:noProof/>
          <w:sz w:val="24"/>
        </w:rPr>
        <w:t xml:space="preserve">Подаването на ЗН не се счита за прекалено сложно. Процедурата за съюзни ЗН (подаване в една държава членка и препращане до друга държава членка от страна на държавата членка, в която е удовлетворено заявлението) също се счита за полезна. </w:t>
      </w:r>
    </w:p>
    <w:p>
      <w:pPr>
        <w:jc w:val="both"/>
        <w:rPr>
          <w:rFonts w:ascii="Times New Roman" w:hAnsi="Times New Roman" w:cs="Times New Roman"/>
          <w:noProof/>
          <w:sz w:val="24"/>
          <w:szCs w:val="24"/>
        </w:rPr>
      </w:pPr>
      <w:r>
        <w:rPr>
          <w:rFonts w:ascii="Times New Roman" w:hAnsi="Times New Roman"/>
          <w:noProof/>
          <w:sz w:val="24"/>
        </w:rPr>
        <w:t xml:space="preserve">Новата стандартна процедура с предлаганата от нея „възможност за мълчаливо съгласие“, изглежда, се оценява особено високо и се счита за много полезен инструмент. </w:t>
      </w:r>
    </w:p>
    <w:p>
      <w:pPr>
        <w:jc w:val="both"/>
        <w:rPr>
          <w:rFonts w:ascii="Times New Roman" w:hAnsi="Times New Roman" w:cs="Times New Roman"/>
          <w:noProof/>
          <w:sz w:val="24"/>
          <w:szCs w:val="24"/>
        </w:rPr>
      </w:pPr>
      <w:r>
        <w:rPr>
          <w:rFonts w:ascii="Times New Roman" w:hAnsi="Times New Roman"/>
          <w:noProof/>
          <w:sz w:val="24"/>
        </w:rPr>
        <w:t xml:space="preserve">Като цяло получените отговори разкриват положително мнение по отношение на начина, по който митническите органи изпълняват задълженията си във връзка с Регламента. </w:t>
      </w:r>
    </w:p>
    <w:p>
      <w:pPr>
        <w:jc w:val="both"/>
        <w:rPr>
          <w:rFonts w:ascii="Times New Roman" w:hAnsi="Times New Roman" w:cs="Times New Roman"/>
          <w:noProof/>
          <w:sz w:val="24"/>
          <w:szCs w:val="24"/>
        </w:rPr>
      </w:pPr>
      <w:r>
        <w:rPr>
          <w:rFonts w:ascii="Times New Roman" w:hAnsi="Times New Roman"/>
          <w:noProof/>
          <w:sz w:val="24"/>
        </w:rPr>
        <w:t xml:space="preserve">Въпросите, които </w:t>
      </w:r>
      <w:r>
        <w:rPr>
          <w:rFonts w:ascii="Times New Roman" w:hAnsi="Times New Roman"/>
          <w:b/>
          <w:noProof/>
          <w:sz w:val="24"/>
        </w:rPr>
        <w:t>пораждат известна загриженост,</w:t>
      </w:r>
      <w:r>
        <w:rPr>
          <w:rFonts w:ascii="Times New Roman" w:hAnsi="Times New Roman"/>
          <w:noProof/>
          <w:sz w:val="24"/>
        </w:rPr>
        <w:t xml:space="preserve"> са следните:</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Информацията, която следва да се предоставя в ЗН</w:t>
      </w:r>
      <w:r>
        <w:rPr>
          <w:rFonts w:ascii="Times New Roman" w:hAnsi="Times New Roman"/>
          <w:noProof/>
          <w:sz w:val="24"/>
        </w:rPr>
        <w:t xml:space="preserve"> невинаги може да бъде ясно определена (например какво следва да се счита за „оторизиран дистрибутор“, т.е. одобрен дистрибутор?) или посочената информация може да бъде остаряла и да не е съобразена със съвременната практика на изнасяне на производството в световен мащаб (global sourcing) и веригата на доставки и дори събирането на някои данни може да бъде трудно (място на производство, участващи дружества, търговци и т.н.). Освен това разграничаването на задължителните и незадължителните полета във формулярите, приложени към Регламент за изпълнение (ЕС) № 1352/2013, не е отразено в Регламент (ЕС) № 608/2013.</w:t>
      </w:r>
    </w:p>
    <w:p>
      <w:pPr>
        <w:jc w:val="both"/>
        <w:rPr>
          <w:rFonts w:ascii="Times New Roman" w:hAnsi="Times New Roman" w:cs="Times New Roman"/>
          <w:noProof/>
          <w:sz w:val="24"/>
          <w:szCs w:val="24"/>
        </w:rPr>
      </w:pPr>
      <w:r>
        <w:rPr>
          <w:rFonts w:ascii="Times New Roman" w:hAnsi="Times New Roman"/>
          <w:noProof/>
          <w:sz w:val="24"/>
        </w:rPr>
        <w:t xml:space="preserve">Що се отнася до актуализирането на информацията, съдържаща се в ЗН, едва ли би било ефективно задължението на притежателя на решението да уведомява митническите органи за всички промени във всички видове информация, посочена в член 6 (с оглед на значителното количество на информацията, която се изисква в посочения член). </w:t>
      </w:r>
    </w:p>
    <w:p>
      <w:pPr>
        <w:jc w:val="both"/>
        <w:rPr>
          <w:rFonts w:ascii="Times New Roman" w:hAnsi="Times New Roman" w:cs="Times New Roman"/>
          <w:noProof/>
          <w:sz w:val="24"/>
          <w:szCs w:val="24"/>
        </w:rPr>
      </w:pPr>
      <w:r>
        <w:rPr>
          <w:rFonts w:ascii="Times New Roman" w:hAnsi="Times New Roman"/>
          <w:noProof/>
          <w:sz w:val="24"/>
        </w:rPr>
        <w:t xml:space="preserve">В някои отговори се предлага опростяване на </w:t>
      </w:r>
      <w:r>
        <w:rPr>
          <w:rFonts w:ascii="Times New Roman" w:hAnsi="Times New Roman"/>
          <w:noProof/>
          <w:sz w:val="24"/>
          <w:u w:val="single"/>
        </w:rPr>
        <w:t>езиковия режим</w:t>
      </w:r>
      <w:r>
        <w:rPr>
          <w:rFonts w:ascii="Times New Roman" w:hAnsi="Times New Roman"/>
          <w:noProof/>
          <w:sz w:val="24"/>
        </w:rPr>
        <w:t xml:space="preserve"> за съюзното ЗН чрез приемане на подаване на английски, френски или немски език във всички 28 държави членки.</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Връщането на пробите</w:t>
      </w:r>
      <w:r>
        <w:rPr>
          <w:rFonts w:ascii="Times New Roman" w:hAnsi="Times New Roman"/>
          <w:noProof/>
          <w:sz w:val="24"/>
        </w:rPr>
        <w:t xml:space="preserve">, предвидено в член 19, параграф 2, не би било възможно във всички случаи, тъй като при извършването на анализ пробите често биват повреждани. </w:t>
      </w:r>
    </w:p>
    <w:p>
      <w:pPr>
        <w:tabs>
          <w:tab w:val="left" w:pos="284"/>
        </w:tabs>
        <w:jc w:val="both"/>
        <w:rPr>
          <w:rFonts w:ascii="Times New Roman" w:hAnsi="Times New Roman" w:cs="Times New Roman"/>
          <w:noProof/>
          <w:sz w:val="24"/>
          <w:szCs w:val="24"/>
        </w:rPr>
      </w:pPr>
      <w:r>
        <w:rPr>
          <w:rFonts w:ascii="Times New Roman" w:hAnsi="Times New Roman"/>
          <w:noProof/>
          <w:sz w:val="24"/>
        </w:rPr>
        <w:t>Ако пробите не могат да бъдат предоставени от митническите органи в рамките на първите десет работни дни, се предлага десетдневният срок за започване на производство от страна на притежателя на решението да бъде съответно удължен.</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Десетдневният </w:t>
      </w:r>
      <w:r>
        <w:rPr>
          <w:rFonts w:ascii="Times New Roman" w:hAnsi="Times New Roman"/>
          <w:noProof/>
          <w:sz w:val="24"/>
          <w:u w:val="single"/>
        </w:rPr>
        <w:t>срок за започване на производство</w:t>
      </w:r>
      <w:r>
        <w:rPr>
          <w:rFonts w:ascii="Times New Roman" w:hAnsi="Times New Roman"/>
          <w:noProof/>
          <w:sz w:val="24"/>
        </w:rPr>
        <w:t xml:space="preserve"> е твърде кратък (стандартна процедура — член 23). В някои отговори се предлага на притежателя на решението да се предоставя възможността за започване на съдебно производство в срок, който следва да бъде изчисляван от деня на уведомяване на митническите органи за възраженията срещу унищожаването до унищожаването от страна на декларатора или държателя на стоките (а не от уведомяването за отлагане на вдигането или задържането на стоките).</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u w:val="single"/>
        </w:rPr>
        <w:t>Съхранението на стоките</w:t>
      </w:r>
      <w:r>
        <w:rPr>
          <w:rFonts w:ascii="Times New Roman" w:hAnsi="Times New Roman"/>
          <w:noProof/>
          <w:sz w:val="24"/>
        </w:rPr>
        <w:t xml:space="preserve"> (чието вдигане е било отложено или които са били задържани в обект на предприятие за експресни куриерски услуги) би довело до допълнителни косвени разходи.</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Предварителното оценяване на </w:t>
      </w:r>
      <w:r>
        <w:rPr>
          <w:rFonts w:ascii="Times New Roman" w:hAnsi="Times New Roman"/>
          <w:noProof/>
          <w:sz w:val="24"/>
          <w:u w:val="single"/>
        </w:rPr>
        <w:t>разходите за унищожаване</w:t>
      </w:r>
      <w:r>
        <w:rPr>
          <w:rFonts w:ascii="Times New Roman" w:hAnsi="Times New Roman"/>
          <w:noProof/>
          <w:sz w:val="24"/>
        </w:rPr>
        <w:t xml:space="preserve"> (член 29) би било трудно (особено при процедурата за малки пратки, тъй като притежателят на решението не е уведомяван за всяко задържане) и те ще се увеличават. В някои отговори се предлага на притежателя на решението да се предоставя възможността да определя условията за съхранение и унищожаване по икономичен начин или разходите, свързани с намесата по отношение на фалшифицирани стоки, да се заплащат от нарушителя/вносителя, или тежестта да се поема от посредниците (изпращач/товародател/превозвач).</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noProof/>
          <w:sz w:val="24"/>
          <w:u w:val="single"/>
        </w:rPr>
        <w:t>процедурата за малки пратки</w:t>
      </w:r>
      <w:r>
        <w:rPr>
          <w:rFonts w:ascii="Times New Roman" w:hAnsi="Times New Roman"/>
          <w:noProof/>
          <w:sz w:val="24"/>
        </w:rPr>
        <w:t xml:space="preserve">, въпреки че според някои отговори тя се счита за много полезна, в други се заключава, че тя не може да се използва за някои видове продукти (например лекарствените продукти, тъй като съществува задължение фармацевтичната промишленост да съобщава за задържанията на лекарствени продукти на органите, или за полупроводниковите изделия, тъй като оценката за наличие на нарушение е сложно), или че тя не може да се използва изобщо, тъй като не би гарантирала достатъчно наличие на информация за извършените задържания.  </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Списъкът на </w:t>
      </w:r>
      <w:r>
        <w:rPr>
          <w:rFonts w:ascii="Times New Roman" w:hAnsi="Times New Roman"/>
          <w:noProof/>
          <w:sz w:val="24"/>
          <w:u w:val="single"/>
        </w:rPr>
        <w:t>разрешените видове използване на информацията, предоставяна от митническите органи на притежателя на решението</w:t>
      </w:r>
      <w:r>
        <w:rPr>
          <w:rFonts w:ascii="Times New Roman" w:hAnsi="Times New Roman"/>
          <w:noProof/>
          <w:sz w:val="24"/>
        </w:rPr>
        <w:t>, не е формулиран достатъчно ясно.</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По отношение на </w:t>
      </w:r>
      <w:r>
        <w:rPr>
          <w:rFonts w:ascii="Times New Roman" w:hAnsi="Times New Roman"/>
          <w:noProof/>
          <w:sz w:val="24"/>
          <w:u w:val="single"/>
        </w:rPr>
        <w:t>„процедурата за преждевременно вдигане на стоките“</w:t>
      </w:r>
      <w:r>
        <w:rPr>
          <w:rFonts w:ascii="Times New Roman" w:hAnsi="Times New Roman"/>
          <w:noProof/>
          <w:sz w:val="24"/>
        </w:rPr>
        <w:t xml:space="preserve"> и определянето на гаранцията, цената на лиценза, получена от уебсайта на носителя на правата, не следва да се счита за разумна гаранция. </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 xml:space="preserve">По отношение на </w:t>
      </w:r>
      <w:r>
        <w:rPr>
          <w:rFonts w:ascii="Times New Roman" w:hAnsi="Times New Roman"/>
          <w:noProof/>
          <w:sz w:val="24"/>
          <w:u w:val="single"/>
        </w:rPr>
        <w:t>отговорността на притежателя на решението</w:t>
      </w:r>
      <w:r>
        <w:rPr>
          <w:rFonts w:ascii="Times New Roman" w:hAnsi="Times New Roman"/>
          <w:noProof/>
          <w:sz w:val="24"/>
        </w:rPr>
        <w:t xml:space="preserve"> не бяха направени общи коментари. Някои отговори засягат отговорността по отношение на конкретния въпрос за невъзможността за връщане на пробите, като основната идея е, че притежателят на решението не следва да се счита за отговорен за пробите, които не са върнати или са повредени, с изключение на случая, когато държателят на стоките/деклараторът е възразил срещу унищожаването и в последствие е установено, че въпросните стоки не нарушават ПИС.</w:t>
      </w:r>
    </w:p>
    <w:p>
      <w:pPr>
        <w:jc w:val="both"/>
        <w:rPr>
          <w:rFonts w:ascii="Times New Roman" w:hAnsi="Times New Roman" w:cs="Times New Roman"/>
          <w:noProof/>
          <w:sz w:val="24"/>
          <w:szCs w:val="24"/>
        </w:rPr>
      </w:pPr>
      <w:r>
        <w:rPr>
          <w:rFonts w:ascii="Times New Roman" w:hAnsi="Times New Roman"/>
          <w:noProof/>
          <w:sz w:val="24"/>
        </w:rPr>
        <w:t xml:space="preserve">Освен това в предоставените отговори </w:t>
      </w:r>
      <w:r>
        <w:rPr>
          <w:rFonts w:ascii="Times New Roman" w:hAnsi="Times New Roman"/>
          <w:b/>
          <w:noProof/>
          <w:sz w:val="24"/>
        </w:rPr>
        <w:t>се повдигат някои въпроси във връзка с тълкуването</w:t>
      </w:r>
      <w:r>
        <w:rPr>
          <w:rFonts w:ascii="Times New Roman" w:hAnsi="Times New Roman"/>
          <w:noProof/>
          <w:sz w:val="24"/>
        </w:rPr>
        <w:t xml:space="preserve"> на определени аспекти на Регламент (ЕС) № 608/2013, които бяха или ще бъдат разгледани пряко със заинтересованите страни. </w:t>
      </w:r>
    </w:p>
    <w:p>
      <w:pPr>
        <w:jc w:val="both"/>
        <w:rPr>
          <w:rFonts w:ascii="Times New Roman" w:hAnsi="Times New Roman" w:cs="Times New Roman"/>
          <w:noProof/>
          <w:sz w:val="24"/>
          <w:szCs w:val="24"/>
        </w:rPr>
      </w:pPr>
      <w:r>
        <w:rPr>
          <w:rFonts w:ascii="Times New Roman" w:hAnsi="Times New Roman"/>
          <w:noProof/>
          <w:sz w:val="24"/>
        </w:rPr>
        <w:t xml:space="preserve">И последно, в предоставените отговори се посочва, че </w:t>
      </w:r>
      <w:r>
        <w:rPr>
          <w:rFonts w:ascii="Times New Roman" w:hAnsi="Times New Roman"/>
          <w:b/>
          <w:noProof/>
          <w:sz w:val="24"/>
        </w:rPr>
        <w:t>не се наблюдава общо за целия ЕС прилагане</w:t>
      </w:r>
      <w:r>
        <w:rPr>
          <w:rFonts w:ascii="Times New Roman" w:hAnsi="Times New Roman"/>
          <w:noProof/>
          <w:sz w:val="24"/>
        </w:rPr>
        <w:t xml:space="preserve"> по някои въпроси, например информацията, която се счита за задължителна в ЗН, крайния срок за искане на подновяване на решението на митническите органи, с което се удовлетворява ЗН, начина за прилагане на стандартната процедура (включително по отношение на предаването на информация на притежателя на решението), причината, която се признава за основателна да не се започва производство, прилагането на процедурата за малки пратки (която няма да се прилага от всички държави членки), неизползването на информацията, предоставена от притежателя на решението в ЗН и съдържаща се в COPIS за целите на анализа на риска. </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b/>
          <w:noProof/>
          <w:sz w:val="24"/>
        </w:rPr>
        <w:t>5.</w:t>
      </w:r>
      <w:r>
        <w:rPr>
          <w:noProof/>
        </w:rPr>
        <w:tab/>
      </w:r>
      <w:r>
        <w:rPr>
          <w:rFonts w:ascii="Times New Roman" w:hAnsi="Times New Roman"/>
          <w:b/>
          <w:noProof/>
          <w:sz w:val="24"/>
        </w:rPr>
        <w:t>ПРИЛАГАНЕ ОТ СТРАНА НА ДЪРЖАВИТЕ ЧЛЕНКИ</w:t>
      </w:r>
    </w:p>
    <w:p>
      <w:pPr>
        <w:jc w:val="both"/>
        <w:rPr>
          <w:rFonts w:ascii="Times New Roman" w:hAnsi="Times New Roman" w:cs="Times New Roman"/>
          <w:noProof/>
          <w:sz w:val="24"/>
          <w:szCs w:val="24"/>
        </w:rPr>
      </w:pPr>
      <w:r>
        <w:rPr>
          <w:rFonts w:ascii="Times New Roman" w:hAnsi="Times New Roman"/>
          <w:noProof/>
          <w:sz w:val="24"/>
        </w:rPr>
        <w:t xml:space="preserve">Въпреки че митническото законодателство се приема на равнището на ЕС, за неговото прилагане са отговорни държавите членки чрез своите национални митнически администрации. Освен това държавите членки разполагат с правомощия за организацията на своите митнически администрации, включително за организацията на обучението на митническите служители. В съображение 7 от Регламент (ЕС) № 608/2013 обаче се посочва, че държавите членки следва в сътрудничество с Комисията да предоставят подходящо обучение за митническите служители, за да се осигури правилното прилагане на Регламента. </w:t>
      </w:r>
    </w:p>
    <w:p>
      <w:pPr>
        <w:jc w:val="both"/>
        <w:rPr>
          <w:rFonts w:ascii="Times New Roman" w:hAnsi="Times New Roman" w:cs="Times New Roman"/>
          <w:noProof/>
          <w:sz w:val="24"/>
          <w:szCs w:val="24"/>
        </w:rPr>
      </w:pPr>
      <w:r>
        <w:rPr>
          <w:rFonts w:ascii="Times New Roman" w:hAnsi="Times New Roman"/>
          <w:noProof/>
          <w:sz w:val="24"/>
        </w:rPr>
        <w:t>Анализирането на въпросниците и обменът на становища, извършени по време на посещенията с цел подкрепа, позволиха обсъждането на административната организация на митническите отдели, отговарящи за защитата на ПИС както на централно, така и на местно равнище (включително ангажираните човешки ресурси, предоставяното обучение, използването на бази данни и т.н.), на сътрудничеството с различните заинтересовани страни и на прилагането на всички процедури, предвидени в Регламента.</w:t>
      </w:r>
    </w:p>
    <w:p>
      <w:pPr>
        <w:jc w:val="both"/>
        <w:rPr>
          <w:rFonts w:ascii="Times New Roman" w:hAnsi="Times New Roman" w:cs="Times New Roman"/>
          <w:noProof/>
          <w:sz w:val="24"/>
          <w:szCs w:val="24"/>
        </w:rPr>
      </w:pPr>
      <w:r>
        <w:rPr>
          <w:rFonts w:ascii="Times New Roman" w:hAnsi="Times New Roman"/>
          <w:noProof/>
          <w:sz w:val="24"/>
        </w:rPr>
        <w:t xml:space="preserve">Регламент (ЕС) № 608/2013 съдържа както задължителни, така и незадължителни разпоредби. С незадължителните разпоредби на държавите членки се предоставя правото да вземат решения относно използването на едната или другата възможност. Такъв е случаят с решението за използване на „мълчаливото съгласие“, посочено както в стандартната процедура, така и в процедурата за малки пратки (членове 23 и 26), решението за искане от притежателя на решението да поеме разходите, направени от митническите органи при намесата (член 29), и решението дали да бъде уведомяван държателят на стоките или деклараторът както при стандартната процедура, така и при процедурата за малки пратки (членове 17 и 26). Посещенията с цел подкрепа предоставиха възможност да се придобие цялостна представа за избора, направен от държавите членки по отношение на гъвкавостта, предлагана от Регламента. </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5.1 </w:t>
      </w:r>
      <w:r>
        <w:rPr>
          <w:noProof/>
        </w:rPr>
        <w:tab/>
      </w:r>
      <w:r>
        <w:rPr>
          <w:rFonts w:ascii="Times New Roman" w:hAnsi="Times New Roman"/>
          <w:b/>
          <w:noProof/>
          <w:sz w:val="24"/>
        </w:rPr>
        <w:t>Човешки ресурси/организационни аспекти</w:t>
      </w:r>
    </w:p>
    <w:p>
      <w:pPr>
        <w:jc w:val="both"/>
        <w:rPr>
          <w:rFonts w:ascii="Times New Roman" w:hAnsi="Times New Roman" w:cs="Times New Roman"/>
          <w:noProof/>
          <w:sz w:val="24"/>
          <w:szCs w:val="24"/>
        </w:rPr>
      </w:pPr>
      <w:r>
        <w:rPr>
          <w:rFonts w:ascii="Times New Roman" w:hAnsi="Times New Roman"/>
          <w:noProof/>
          <w:sz w:val="24"/>
        </w:rPr>
        <w:t>Държавите членки са изправени пред все по-ограничени ресурси в областта на митниците.</w:t>
      </w:r>
    </w:p>
    <w:p>
      <w:pPr>
        <w:jc w:val="both"/>
        <w:rPr>
          <w:rFonts w:ascii="Times New Roman" w:hAnsi="Times New Roman" w:cs="Times New Roman"/>
          <w:noProof/>
          <w:sz w:val="24"/>
          <w:szCs w:val="24"/>
        </w:rPr>
      </w:pPr>
      <w:r>
        <w:rPr>
          <w:rFonts w:ascii="Times New Roman" w:hAnsi="Times New Roman"/>
          <w:noProof/>
          <w:sz w:val="24"/>
        </w:rPr>
        <w:t xml:space="preserve">Колко човешки ресурси се предвиждат в областта на ПИС зависи главно от степента, в която ПИС са възприети като приоритет във всяка държава членка, от броя на ЗН, получени на национално равнище, от организацията на компетентния митнически отдел в областта на ПИС (КМО ПИС — отделът, отговарящ за разглеждането на заявленията за намеса) и от неговата роля. </w:t>
      </w:r>
    </w:p>
    <w:p>
      <w:pPr>
        <w:jc w:val="both"/>
        <w:rPr>
          <w:rFonts w:ascii="Times New Roman" w:hAnsi="Times New Roman" w:cs="Times New Roman"/>
          <w:noProof/>
          <w:sz w:val="24"/>
          <w:szCs w:val="24"/>
        </w:rPr>
      </w:pPr>
      <w:r>
        <w:rPr>
          <w:rFonts w:ascii="Times New Roman" w:hAnsi="Times New Roman"/>
          <w:noProof/>
          <w:sz w:val="24"/>
        </w:rPr>
        <w:t xml:space="preserve">В повечето държави членки КМО ПИС е установен на централно равнище. </w:t>
      </w:r>
    </w:p>
    <w:p>
      <w:pPr>
        <w:jc w:val="both"/>
        <w:rPr>
          <w:rFonts w:ascii="Times New Roman" w:hAnsi="Times New Roman" w:cs="Times New Roman"/>
          <w:noProof/>
          <w:sz w:val="24"/>
          <w:szCs w:val="24"/>
        </w:rPr>
      </w:pPr>
      <w:r>
        <w:rPr>
          <w:rFonts w:ascii="Times New Roman" w:hAnsi="Times New Roman"/>
          <w:noProof/>
          <w:sz w:val="24"/>
        </w:rPr>
        <w:t xml:space="preserve">Ролята му може да бъде определена така, че да предполага силна централизация на задачите по отношение на ПИС в рамките на държавата членка (включително равнището на изпълнение на процедурите за уведомяване на носителите на права и държателя на стоките/декларатора за задържанията, предприети от местните митнически служби). </w:t>
      </w:r>
    </w:p>
    <w:p>
      <w:pPr>
        <w:jc w:val="both"/>
        <w:rPr>
          <w:rFonts w:ascii="Times New Roman" w:hAnsi="Times New Roman" w:cs="Times New Roman"/>
          <w:noProof/>
          <w:sz w:val="24"/>
          <w:szCs w:val="24"/>
        </w:rPr>
      </w:pPr>
      <w:r>
        <w:rPr>
          <w:rFonts w:ascii="Times New Roman" w:hAnsi="Times New Roman"/>
          <w:noProof/>
          <w:sz w:val="24"/>
        </w:rPr>
        <w:t>Персоналът на КМО ПИС може да варира от екип от максимум 20 души до едно лице.</w:t>
      </w:r>
    </w:p>
    <w:p>
      <w:pPr>
        <w:jc w:val="both"/>
        <w:rPr>
          <w:rFonts w:ascii="Times New Roman" w:hAnsi="Times New Roman" w:cs="Times New Roman"/>
          <w:noProof/>
          <w:sz w:val="24"/>
          <w:szCs w:val="24"/>
        </w:rPr>
      </w:pPr>
      <w:r>
        <w:rPr>
          <w:rFonts w:ascii="Times New Roman" w:hAnsi="Times New Roman"/>
          <w:noProof/>
          <w:sz w:val="24"/>
        </w:rPr>
        <w:t>Примери за ролите, възлагани на много голям КМО ПИС, изпълняващ силно централизирана функция, могат да бъдат:</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Консултации на етапа на подготовка на законодателството на ЕС в областта на ПИС или на националните законодателни актове в областта на ПИС;</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Изготвяне на вътрешни указания за осигуряване на разяснения относно Регламент (ЕС) № 608/2013 за местните митнически учреждения или относно понятията, свързани с нарушенията на ПИС;</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Разглеждане на ЗН — съдействие за носителите на права при изготвянето на ЗН, приемане на решения за удовлетворяване или отхвърляне на ЗН и регистриране на ЗН в съответната база данни;</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Надзор по отношение на базата данни.</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Предоставяне на услуги за носители на права и икономически представители (КМО ПИС изпълнява посредническа роля между носителя на права и местното митническо учреждение с цел централизиране на контактите с носителите на права);</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Подкрепа за митническите учреждения при намеси във връзка с ПИС (разясняване на съдържанието на ЗН, подкрепа при ex officio процедура, подкрепа във връзка с преждевременното вдигане на стоките чрез определяне на гаранцията, която следва да бъде предоставена от декларатора);</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Нарушения: действия ex officio, установяване на съответните носители на права;</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Участие в управлението на риска;</w:t>
      </w:r>
    </w:p>
    <w:p>
      <w:pPr>
        <w:tabs>
          <w:tab w:val="left" w:pos="284"/>
        </w:tabs>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Обучение (в националните гимназии с насоченост в областта на митниците — разработване на учебно съдържание/материали, създаване на учебно съдържание, обучение);</w:t>
      </w:r>
    </w:p>
    <w:p>
      <w:pPr>
        <w:tabs>
          <w:tab w:val="left" w:pos="284"/>
        </w:tabs>
        <w:spacing w:after="120"/>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Дейности за връзки с обществеността:</w:t>
      </w:r>
    </w:p>
    <w:p>
      <w:pPr>
        <w:tabs>
          <w:tab w:val="left" w:pos="567"/>
        </w:tabs>
        <w:spacing w:after="120"/>
        <w:ind w:firstLine="284"/>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публикуване на статистически данни (ежегодно);</w:t>
      </w:r>
    </w:p>
    <w:p>
      <w:pPr>
        <w:tabs>
          <w:tab w:val="left" w:pos="567"/>
        </w:tabs>
        <w:spacing w:after="120"/>
        <w:ind w:firstLine="284"/>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проучвания от печата, интервюта;</w:t>
      </w:r>
    </w:p>
    <w:p>
      <w:pPr>
        <w:spacing w:after="120"/>
        <w:ind w:left="488" w:hanging="204"/>
        <w:jc w:val="both"/>
        <w:rPr>
          <w:rFonts w:ascii="Times New Roman" w:hAnsi="Times New Roman" w:cs="Times New Roman"/>
          <w:i/>
          <w:noProof/>
          <w:sz w:val="24"/>
          <w:szCs w:val="24"/>
        </w:rPr>
      </w:pPr>
      <w:r>
        <w:rPr>
          <w:rFonts w:ascii="Times New Roman" w:hAnsi="Times New Roman"/>
          <w:i/>
          <w:noProof/>
          <w:sz w:val="24"/>
        </w:rPr>
        <w:t>повишаване на осведомеността сред потребителите и представители на икономиката (кръгли маси, пресконференции, лекции, брошури);</w:t>
      </w:r>
    </w:p>
    <w:p>
      <w:pPr>
        <w:tabs>
          <w:tab w:val="left" w:pos="567"/>
        </w:tabs>
        <w:spacing w:after="240"/>
        <w:ind w:firstLine="284"/>
        <w:jc w:val="both"/>
        <w:rPr>
          <w:rFonts w:ascii="Times New Roman" w:hAnsi="Times New Roman" w:cs="Times New Roman"/>
          <w:i/>
          <w:noProof/>
          <w:sz w:val="24"/>
          <w:szCs w:val="24"/>
        </w:rPr>
      </w:pPr>
      <w:r>
        <w:rPr>
          <w:rFonts w:ascii="Times New Roman" w:hAnsi="Times New Roman"/>
          <w:i/>
          <w:noProof/>
          <w:sz w:val="24"/>
        </w:rPr>
        <w:t xml:space="preserve">• </w:t>
      </w:r>
      <w:r>
        <w:rPr>
          <w:noProof/>
        </w:rPr>
        <w:tab/>
      </w:r>
      <w:r>
        <w:rPr>
          <w:rFonts w:ascii="Times New Roman" w:hAnsi="Times New Roman"/>
          <w:i/>
          <w:noProof/>
          <w:sz w:val="24"/>
        </w:rPr>
        <w:t>сътрудничество с национални и международни организации.</w:t>
      </w:r>
    </w:p>
    <w:p>
      <w:pPr>
        <w:jc w:val="both"/>
        <w:rPr>
          <w:rFonts w:ascii="Times New Roman" w:hAnsi="Times New Roman" w:cs="Times New Roman"/>
          <w:noProof/>
          <w:sz w:val="24"/>
          <w:szCs w:val="24"/>
        </w:rPr>
      </w:pPr>
      <w:r>
        <w:rPr>
          <w:rFonts w:ascii="Times New Roman" w:hAnsi="Times New Roman"/>
          <w:noProof/>
          <w:sz w:val="24"/>
        </w:rPr>
        <w:t xml:space="preserve">В повечето случаи обаче КМО ПИС изпълнява главно функцията за разглеждане на ЗН. </w:t>
      </w:r>
    </w:p>
    <w:p>
      <w:pPr>
        <w:jc w:val="both"/>
        <w:rPr>
          <w:rFonts w:ascii="Times New Roman" w:hAnsi="Times New Roman" w:cs="Times New Roman"/>
          <w:noProof/>
          <w:sz w:val="24"/>
          <w:szCs w:val="24"/>
        </w:rPr>
      </w:pPr>
      <w:r>
        <w:rPr>
          <w:rFonts w:ascii="Times New Roman" w:hAnsi="Times New Roman"/>
          <w:noProof/>
          <w:sz w:val="24"/>
        </w:rPr>
        <w:t>В някои държави членки специалисти по ПИС са командировани на местно ниво (главни учреждения, на които се налага да разглеждат случаи във връзка с ПИС).</w:t>
      </w:r>
    </w:p>
    <w:p>
      <w:pPr>
        <w:jc w:val="both"/>
        <w:rPr>
          <w:rFonts w:ascii="Times New Roman" w:hAnsi="Times New Roman" w:cs="Times New Roman"/>
          <w:noProof/>
          <w:sz w:val="24"/>
          <w:szCs w:val="24"/>
        </w:rPr>
      </w:pPr>
      <w:r>
        <w:rPr>
          <w:rFonts w:ascii="Times New Roman" w:hAnsi="Times New Roman"/>
          <w:noProof/>
          <w:sz w:val="24"/>
        </w:rPr>
        <w:t>Обучение във връзка с ПИС се предвижда във всички държави членки както на първоначалния етап на обучение (за всички митнически служители), така и на етапа на професионалното обучение (за експерти в областта на ПИС). В някои случаи се използва модулът за електронно обучение, разработен в сътрудничество между Комисията, държавите членки и Службата на Европейския съюз за интелектуална собственост (EUIPO). Много държави членки редовно отправят искане за помощ при обучението по материално право в областта на интелектуалната собственост.</w:t>
      </w:r>
    </w:p>
    <w:p>
      <w:pPr>
        <w:tabs>
          <w:tab w:val="left" w:pos="567"/>
        </w:tabs>
        <w:jc w:val="both"/>
        <w:rPr>
          <w:rFonts w:ascii="Times New Roman" w:hAnsi="Times New Roman" w:cs="Times New Roman"/>
          <w:b/>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b/>
          <w:noProof/>
          <w:sz w:val="24"/>
        </w:rPr>
        <w:t>5.2 Сътрудничество със заинтересованите страни</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5.2.1 </w:t>
      </w:r>
      <w:r>
        <w:rPr>
          <w:noProof/>
        </w:rPr>
        <w:tab/>
      </w:r>
      <w:r>
        <w:rPr>
          <w:rFonts w:ascii="Times New Roman" w:hAnsi="Times New Roman"/>
          <w:b/>
          <w:noProof/>
          <w:sz w:val="24"/>
        </w:rPr>
        <w:t>Публичен сектор</w:t>
      </w:r>
    </w:p>
    <w:p>
      <w:pPr>
        <w:tabs>
          <w:tab w:val="left" w:pos="851"/>
        </w:tabs>
        <w:jc w:val="both"/>
        <w:rPr>
          <w:rFonts w:ascii="Times New Roman" w:hAnsi="Times New Roman" w:cs="Times New Roman"/>
          <w:noProof/>
          <w:sz w:val="24"/>
          <w:szCs w:val="24"/>
        </w:rPr>
      </w:pPr>
      <w:r>
        <w:rPr>
          <w:rFonts w:ascii="Times New Roman" w:hAnsi="Times New Roman"/>
          <w:noProof/>
          <w:sz w:val="24"/>
        </w:rPr>
        <w:t xml:space="preserve">В Регламент (ЕС) № 608/2013 не се предвижда сътрудничество между митническите органи и други органи, ангажирани със защитата на ПИС, но то възникна по време на посещенията с цел подкрепа, тъй като това е елемент, който е от съществено значение за подобряване на цялостните резултати във връзка със защитата на ПИС. </w:t>
      </w:r>
    </w:p>
    <w:p>
      <w:pPr>
        <w:jc w:val="both"/>
        <w:rPr>
          <w:rFonts w:ascii="Times New Roman" w:hAnsi="Times New Roman" w:cs="Times New Roman"/>
          <w:noProof/>
          <w:sz w:val="24"/>
          <w:szCs w:val="24"/>
        </w:rPr>
      </w:pPr>
      <w:r>
        <w:rPr>
          <w:rFonts w:ascii="Times New Roman" w:hAnsi="Times New Roman"/>
          <w:noProof/>
          <w:sz w:val="24"/>
        </w:rPr>
        <w:t>Като цяло равнището на сътрудничество между митническите органи и другите органи, участващи в защитата на ПИС, беше описано като средно до ниско. Това положение може да бъде обяснено с различните правомощия и функции, възложени на отделните органи.</w:t>
      </w:r>
    </w:p>
    <w:p>
      <w:pPr>
        <w:jc w:val="both"/>
        <w:rPr>
          <w:rFonts w:ascii="Times New Roman" w:hAnsi="Times New Roman" w:cs="Times New Roman"/>
          <w:noProof/>
          <w:sz w:val="24"/>
          <w:szCs w:val="24"/>
        </w:rPr>
      </w:pPr>
      <w:r>
        <w:rPr>
          <w:rFonts w:ascii="Times New Roman" w:hAnsi="Times New Roman"/>
          <w:noProof/>
          <w:sz w:val="24"/>
        </w:rPr>
        <w:t xml:space="preserve">В държавите членки, които съобщават за добро сътрудничество, то е организирано чрез споразумения, постигнати на национално равнище (посредством сътрудничество, организирано на политическо равнище между различните министерства, в някои случаи с включване и на оперативен елемент). </w:t>
      </w:r>
    </w:p>
    <w:p>
      <w:pPr>
        <w:jc w:val="both"/>
        <w:rPr>
          <w:rFonts w:ascii="Times New Roman" w:hAnsi="Times New Roman" w:cs="Times New Roman"/>
          <w:noProof/>
          <w:sz w:val="24"/>
          <w:szCs w:val="24"/>
        </w:rPr>
      </w:pPr>
      <w:r>
        <w:rPr>
          <w:rFonts w:ascii="Times New Roman" w:hAnsi="Times New Roman"/>
          <w:noProof/>
          <w:sz w:val="24"/>
        </w:rPr>
        <w:t>На сътрудничеството между органите следва да бъде обърнато допълнително внимание чрез мероприятие за изграждане на база от знания, организирано в сътрудничество с EUIPO.</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5.2.2 </w:t>
      </w:r>
      <w:r>
        <w:rPr>
          <w:noProof/>
        </w:rPr>
        <w:tab/>
      </w:r>
      <w:r>
        <w:rPr>
          <w:rFonts w:ascii="Times New Roman" w:hAnsi="Times New Roman"/>
          <w:b/>
          <w:noProof/>
          <w:sz w:val="24"/>
        </w:rPr>
        <w:t>Частен сектор</w:t>
      </w:r>
    </w:p>
    <w:p>
      <w:pPr>
        <w:jc w:val="both"/>
        <w:rPr>
          <w:rFonts w:ascii="Times New Roman" w:hAnsi="Times New Roman" w:cs="Times New Roman"/>
          <w:noProof/>
          <w:sz w:val="24"/>
          <w:szCs w:val="24"/>
        </w:rPr>
      </w:pPr>
      <w:r>
        <w:rPr>
          <w:rFonts w:ascii="Times New Roman" w:hAnsi="Times New Roman"/>
          <w:noProof/>
          <w:sz w:val="24"/>
        </w:rPr>
        <w:t>Като цяло сътрудничеството между митническите органи и носителите на права или техните представители се описва като добро, въпреки че в някои случаи се отчитат затруднения (вж. раздела за ЗН по-долу).</w:t>
      </w:r>
    </w:p>
    <w:p>
      <w:pPr>
        <w:jc w:val="both"/>
        <w:rPr>
          <w:rFonts w:ascii="Times New Roman" w:hAnsi="Times New Roman" w:cs="Times New Roman"/>
          <w:noProof/>
          <w:sz w:val="24"/>
          <w:szCs w:val="24"/>
        </w:rPr>
      </w:pPr>
      <w:r>
        <w:rPr>
          <w:rFonts w:ascii="Times New Roman" w:hAnsi="Times New Roman"/>
          <w:noProof/>
          <w:sz w:val="24"/>
        </w:rPr>
        <w:t>В член 30 от Регламент (ЕС) № 608/2013 се предвижда, че държавите членки предприемат необходимите мерки с цел притежателите на решения да спазват задълженията, установени в Регламент (ЕС) № 608/2013, като определят разпоредби за установяване на санкции, когато е целесъобразно. Към момента малко на брой (6) държави членки са приели (или вече са имали) национални законодателни разпоредби относно санкциите, определени в член 30. В случай на инциденти с притежатели на решения повечето държави членки предпочитат първо да прибегнат до диалог за намиране приемливи решения.</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5.3 </w:t>
      </w:r>
      <w:r>
        <w:rPr>
          <w:noProof/>
        </w:rPr>
        <w:tab/>
      </w:r>
      <w:r>
        <w:rPr>
          <w:rFonts w:ascii="Times New Roman" w:hAnsi="Times New Roman"/>
          <w:b/>
          <w:noProof/>
          <w:sz w:val="24"/>
        </w:rPr>
        <w:t>Заявление за намеса (съдържание/качество на информацията)</w:t>
      </w:r>
    </w:p>
    <w:p>
      <w:pPr>
        <w:jc w:val="both"/>
        <w:rPr>
          <w:rFonts w:ascii="Times New Roman" w:hAnsi="Times New Roman" w:cs="Times New Roman"/>
          <w:noProof/>
          <w:sz w:val="24"/>
          <w:szCs w:val="24"/>
        </w:rPr>
      </w:pPr>
      <w:r>
        <w:rPr>
          <w:rFonts w:ascii="Times New Roman" w:hAnsi="Times New Roman"/>
          <w:noProof/>
          <w:sz w:val="24"/>
        </w:rPr>
        <w:t>Административната система за защита от страна на митническите органи, въведена с Регламент (ЕС) № 608/2013, функционира въз основа на искането, което носителите на права трябва да подадат до митническите органи. Намесата от страна на митническите органи произтича изцяло от тези ЗН. Поради това е изключително важно съдържащата се в тях информация да бъде достатъчно качествена, за да позволява ефективна намеса от страна на митническите органи. Това се отнася особено за съюзните ЗН, издадени от една държава членка, които ще се прилагат в други държави членки.</w:t>
      </w:r>
    </w:p>
    <w:p>
      <w:pPr>
        <w:jc w:val="both"/>
        <w:rPr>
          <w:rFonts w:ascii="Times New Roman" w:hAnsi="Times New Roman" w:cs="Times New Roman"/>
          <w:noProof/>
          <w:sz w:val="24"/>
          <w:szCs w:val="24"/>
        </w:rPr>
      </w:pPr>
      <w:r>
        <w:rPr>
          <w:rFonts w:ascii="Times New Roman" w:hAnsi="Times New Roman"/>
          <w:noProof/>
          <w:sz w:val="24"/>
        </w:rPr>
        <w:t>Повечето митнически органи на държавите членки считат, че като цяло ЗН, които получават, все още не съдържат информация с необходимото качество.</w:t>
      </w:r>
    </w:p>
    <w:p>
      <w:pPr>
        <w:jc w:val="both"/>
        <w:rPr>
          <w:rFonts w:ascii="Times New Roman" w:hAnsi="Times New Roman" w:cs="Times New Roman"/>
          <w:noProof/>
          <w:sz w:val="24"/>
          <w:szCs w:val="24"/>
        </w:rPr>
      </w:pPr>
      <w:r>
        <w:rPr>
          <w:rFonts w:ascii="Times New Roman" w:hAnsi="Times New Roman"/>
          <w:noProof/>
          <w:sz w:val="24"/>
        </w:rPr>
        <w:t>В малък брой от случаите това води до решение за отхвърляне на ЗН.</w:t>
      </w:r>
    </w:p>
    <w:p>
      <w:pPr>
        <w:jc w:val="both"/>
        <w:rPr>
          <w:rFonts w:ascii="Times New Roman" w:hAnsi="Times New Roman" w:cs="Times New Roman"/>
          <w:noProof/>
          <w:sz w:val="24"/>
          <w:szCs w:val="24"/>
        </w:rPr>
      </w:pPr>
      <w:r>
        <w:rPr>
          <w:rFonts w:ascii="Times New Roman" w:hAnsi="Times New Roman"/>
          <w:noProof/>
          <w:sz w:val="24"/>
        </w:rPr>
        <w:t>През есента на 2016 г. беше организиран семинар „Митници 2020“ с участието на митническите органи на държавите членки по въпросите на защитата на ПИС, осъществявана от митническите органи, хармонизирането на процеса на удовлетворяване и разглеждане на ЗН, отговорността на митническата администрация по отношение на ЗН.</w:t>
      </w:r>
    </w:p>
    <w:p>
      <w:pPr>
        <w:jc w:val="both"/>
        <w:rPr>
          <w:rFonts w:ascii="Times New Roman" w:hAnsi="Times New Roman" w:cs="Times New Roman"/>
          <w:noProof/>
          <w:sz w:val="24"/>
          <w:szCs w:val="24"/>
        </w:rPr>
      </w:pPr>
      <w:r>
        <w:rPr>
          <w:rFonts w:ascii="Times New Roman" w:hAnsi="Times New Roman"/>
          <w:noProof/>
          <w:sz w:val="24"/>
        </w:rPr>
        <w:t xml:space="preserve">На семинара беше препоръчано ЗН винаги да съдържа следните задължителни елементи: </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информация за идентификацията на оригиналните стоки и стоките, нарушаващи ПИС;</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hAnsi="Times New Roman"/>
          <w:noProof/>
          <w:sz w:val="24"/>
        </w:rPr>
        <w:t>елементи във връзка със сигурността;</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информация за веригата за дистрибуция/доставки.</w:t>
      </w:r>
    </w:p>
    <w:p>
      <w:pPr>
        <w:jc w:val="both"/>
        <w:rPr>
          <w:rFonts w:ascii="Times New Roman" w:hAnsi="Times New Roman" w:cs="Times New Roman"/>
          <w:noProof/>
          <w:sz w:val="24"/>
          <w:szCs w:val="24"/>
        </w:rPr>
      </w:pPr>
      <w:r>
        <w:rPr>
          <w:rFonts w:ascii="Times New Roman" w:hAnsi="Times New Roman"/>
          <w:noProof/>
          <w:sz w:val="24"/>
        </w:rPr>
        <w:t>Освен това с цел да се подобри качеството и съдържанието на ЗН беше препоръчано да се осигури по-успешно популяризиране на Ръководството за попълване на заявления за намеса и искания за удължаване на срока</w:t>
      </w:r>
      <w:r>
        <w:rPr>
          <w:rStyle w:val="FootnoteReference"/>
          <w:rFonts w:ascii="Times New Roman" w:hAnsi="Times New Roman"/>
          <w:noProof/>
          <w:sz w:val="24"/>
        </w:rPr>
        <w:footnoteReference w:id="9"/>
      </w:r>
      <w:r>
        <w:rPr>
          <w:rFonts w:ascii="Times New Roman" w:hAnsi="Times New Roman"/>
          <w:noProof/>
          <w:sz w:val="24"/>
        </w:rPr>
        <w:t>.</w:t>
      </w:r>
    </w:p>
    <w:p>
      <w:pPr>
        <w:spacing w:after="0"/>
        <w:jc w:val="both"/>
        <w:rPr>
          <w:rFonts w:ascii="Times New Roman" w:hAnsi="Times New Roman" w:cs="Times New Roman"/>
          <w:noProof/>
          <w:sz w:val="24"/>
          <w:szCs w:val="24"/>
        </w:rPr>
      </w:pPr>
      <w:r>
        <w:rPr>
          <w:rFonts w:ascii="Times New Roman" w:hAnsi="Times New Roman"/>
          <w:noProof/>
          <w:sz w:val="24"/>
        </w:rPr>
        <w:t>Държавите членки подчертаха въпроса за несъответствията между някои от клетките на формуляра и полетата на COPIS. Този проблем ще бъде решен от Комисията в следваща версия на COPIS.</w:t>
      </w:r>
    </w:p>
    <w:p>
      <w:pPr>
        <w:ind w:left="720"/>
        <w:jc w:val="both"/>
        <w:rPr>
          <w:rFonts w:ascii="Times New Roman" w:hAnsi="Times New Roman" w:cs="Times New Roman"/>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5.4 </w:t>
      </w:r>
      <w:r>
        <w:rPr>
          <w:noProof/>
        </w:rPr>
        <w:tab/>
      </w:r>
      <w:r>
        <w:rPr>
          <w:rFonts w:ascii="Times New Roman" w:hAnsi="Times New Roman"/>
          <w:b/>
          <w:noProof/>
          <w:sz w:val="24"/>
        </w:rPr>
        <w:t>Използване на процедурите</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5.4.1 </w:t>
      </w:r>
      <w:r>
        <w:rPr>
          <w:noProof/>
        </w:rPr>
        <w:tab/>
      </w:r>
      <w:r>
        <w:rPr>
          <w:rFonts w:ascii="Times New Roman" w:hAnsi="Times New Roman"/>
          <w:b/>
          <w:noProof/>
          <w:sz w:val="24"/>
        </w:rPr>
        <w:t>Стандартна процедура (член 23)</w:t>
      </w:r>
    </w:p>
    <w:p>
      <w:pPr>
        <w:jc w:val="both"/>
        <w:rPr>
          <w:rFonts w:ascii="Times New Roman" w:hAnsi="Times New Roman" w:cs="Times New Roman"/>
          <w:noProof/>
          <w:sz w:val="24"/>
          <w:szCs w:val="24"/>
        </w:rPr>
      </w:pPr>
      <w:r>
        <w:rPr>
          <w:rFonts w:ascii="Times New Roman" w:hAnsi="Times New Roman"/>
          <w:noProof/>
          <w:sz w:val="24"/>
        </w:rPr>
        <w:t>„Стандартната процедура“ се използва във всички държави членки. В повечето държави членки процедурата се използва от началото до края. В една държава членка процедурата за задържане започва съгласно Регламент (ЕС) № 608/2013, но след това винаги продължава съгласно националната процедура за наказателно преследване, за която е определено, че заменя административната процедура, предвидена в Регламент (ЕС) № 608/2013. В член 1, параграф 6 от Регламент (ЕС) № 608/2013 се посочва, че Регламентът не засяга правото на държавите членки или правото на Съюза в областта на интелектуалната собственост или законодателството на държавите членки по отношение на наказателните производства.</w:t>
      </w:r>
    </w:p>
    <w:p>
      <w:pPr>
        <w:jc w:val="both"/>
        <w:rPr>
          <w:rFonts w:ascii="Times New Roman" w:hAnsi="Times New Roman" w:cs="Times New Roman"/>
          <w:noProof/>
          <w:sz w:val="24"/>
          <w:szCs w:val="24"/>
        </w:rPr>
      </w:pPr>
      <w:r>
        <w:rPr>
          <w:rFonts w:ascii="Times New Roman" w:hAnsi="Times New Roman"/>
          <w:noProof/>
          <w:sz w:val="24"/>
        </w:rPr>
        <w:t>На някои държави членки може да се наложи да преразгледат начина, по който прилагат стандартната процедура, с цел пълно адаптиране спрямо особеностите на процедурата, установена в Регламент (ЕС) № 608/2013.</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5.4.2 </w:t>
      </w:r>
      <w:r>
        <w:rPr>
          <w:noProof/>
        </w:rPr>
        <w:tab/>
      </w:r>
      <w:r>
        <w:rPr>
          <w:rFonts w:ascii="Times New Roman" w:hAnsi="Times New Roman"/>
          <w:b/>
          <w:noProof/>
          <w:sz w:val="24"/>
        </w:rPr>
        <w:t>Процедурата за малки пратки (член 26)</w:t>
      </w:r>
    </w:p>
    <w:p>
      <w:pPr>
        <w:jc w:val="both"/>
        <w:rPr>
          <w:rFonts w:ascii="Times New Roman" w:hAnsi="Times New Roman" w:cs="Times New Roman"/>
          <w:noProof/>
          <w:sz w:val="24"/>
          <w:szCs w:val="24"/>
        </w:rPr>
      </w:pPr>
      <w:r>
        <w:rPr>
          <w:rFonts w:ascii="Times New Roman" w:hAnsi="Times New Roman"/>
          <w:noProof/>
          <w:sz w:val="24"/>
        </w:rPr>
        <w:t>Всички държави членки използват „процедурата за малки пратки“, с изключение на две държави членки, чиято намеса по отношение на малките пратки се основава на наказателни производства. Четири държави членки досега не са извършвали конфискации по „процедурата за малки пратки“, въпреки че я използват, като една от тях обяснява отсъствието на резултати с липсата на човешки ресурси, които да отговарят за изпълнението на процедурата.</w:t>
      </w:r>
    </w:p>
    <w:p>
      <w:pPr>
        <w:jc w:val="both"/>
        <w:rPr>
          <w:rFonts w:ascii="Times New Roman" w:hAnsi="Times New Roman" w:cs="Times New Roman"/>
          <w:noProof/>
          <w:sz w:val="24"/>
          <w:szCs w:val="24"/>
        </w:rPr>
      </w:pPr>
      <w:r>
        <w:rPr>
          <w:rFonts w:ascii="Times New Roman" w:hAnsi="Times New Roman"/>
          <w:noProof/>
          <w:sz w:val="24"/>
        </w:rPr>
        <w:t>Най-често отговорът на митническите органи на въпроса защо някои носители на права не заявяват „процедурата за малки пратки“ е, че в някои случаи предвид на свързаните с това разходи и липсата на информация (тъй като те няма да бъдат уведомени за задържането) те се въздържат да изберат тази процедура.</w:t>
      </w:r>
    </w:p>
    <w:p>
      <w:pPr>
        <w:jc w:val="both"/>
        <w:rPr>
          <w:rFonts w:ascii="Times New Roman" w:hAnsi="Times New Roman" w:cs="Times New Roman"/>
          <w:b/>
          <w:noProof/>
          <w:sz w:val="24"/>
          <w:szCs w:val="24"/>
        </w:rPr>
      </w:pPr>
      <w:r>
        <w:rPr>
          <w:rFonts w:ascii="Times New Roman" w:hAnsi="Times New Roman"/>
          <w:b/>
          <w:noProof/>
          <w:sz w:val="24"/>
        </w:rPr>
        <w:t xml:space="preserve">5.4.3 </w:t>
      </w:r>
      <w:r>
        <w:rPr>
          <w:noProof/>
        </w:rPr>
        <w:tab/>
      </w:r>
      <w:r>
        <w:rPr>
          <w:rFonts w:ascii="Times New Roman" w:hAnsi="Times New Roman"/>
          <w:b/>
          <w:noProof/>
          <w:sz w:val="24"/>
        </w:rPr>
        <w:t xml:space="preserve">Уведомяване на декларатора или държателя на стоките (членове 17 и 26) </w:t>
      </w:r>
    </w:p>
    <w:p>
      <w:pPr>
        <w:jc w:val="both"/>
        <w:rPr>
          <w:rFonts w:ascii="Times New Roman" w:hAnsi="Times New Roman" w:cs="Times New Roman"/>
          <w:noProof/>
          <w:sz w:val="24"/>
          <w:szCs w:val="24"/>
        </w:rPr>
      </w:pPr>
      <w:r>
        <w:rPr>
          <w:rFonts w:ascii="Times New Roman" w:hAnsi="Times New Roman"/>
          <w:noProof/>
          <w:sz w:val="24"/>
        </w:rPr>
        <w:t>Като цяло, независимо дали се използва „стандартната процедура“ или „процедурата за малки пратки“, при подадена митническа декларация митническите органи уведомяват декларатора пряко за осъществения контрол (тъй като деклараторът често присъства).</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5.4.4 </w:t>
      </w:r>
      <w:r>
        <w:rPr>
          <w:noProof/>
        </w:rPr>
        <w:tab/>
      </w:r>
      <w:r>
        <w:rPr>
          <w:rFonts w:ascii="Times New Roman" w:hAnsi="Times New Roman"/>
          <w:b/>
          <w:noProof/>
          <w:sz w:val="24"/>
        </w:rPr>
        <w:t>Използване на „мълчаливо съгласие“ (членове  23 и 26)</w:t>
      </w:r>
    </w:p>
    <w:p>
      <w:pPr>
        <w:jc w:val="both"/>
        <w:rPr>
          <w:rFonts w:ascii="Times New Roman" w:hAnsi="Times New Roman" w:cs="Times New Roman"/>
          <w:noProof/>
          <w:sz w:val="24"/>
          <w:szCs w:val="24"/>
        </w:rPr>
      </w:pPr>
      <w:r>
        <w:rPr>
          <w:rFonts w:ascii="Times New Roman" w:hAnsi="Times New Roman"/>
          <w:noProof/>
          <w:sz w:val="24"/>
        </w:rPr>
        <w:t>Мълчаливото съгласие се използва широко при стандартната процедура (от около 60 % от държавите членки във всички случаи, при които деклараторът или държателят на стоките не е потвърдил съгласието си за унищожаването на стоките, нито е уведомил митническите органи, че възразява срещу това, и от още 30 % само в някои случаи). При процедурата за малки пратки мълчаливото съгласие се използва от около 57 % от държавите членки във всички случаи, при които деклараторът или държателят на стоките не е потвърдил съгласието си за унищожаването на стоките, нито е уведомил митническите органи, че възразява срещу това. Две държави членки са решили да не го използват изобщо, в единия случай вследствие на политическо решение, а в другия случай тъй като това не е разрешено съгласно трансверсално административно правило.</w:t>
      </w:r>
    </w:p>
    <w:p>
      <w:pPr>
        <w:jc w:val="both"/>
        <w:rPr>
          <w:rFonts w:ascii="Times New Roman" w:hAnsi="Times New Roman" w:cs="Times New Roman"/>
          <w:noProof/>
          <w:sz w:val="24"/>
          <w:szCs w:val="24"/>
        </w:rPr>
      </w:pPr>
      <w:r>
        <w:rPr>
          <w:rFonts w:ascii="Times New Roman" w:hAnsi="Times New Roman"/>
          <w:noProof/>
          <w:sz w:val="24"/>
        </w:rPr>
        <w:t>Използването на мълчаливото съгласие не е породило сериозни проблеми в държавите членки, които го прилагат, и се счита за особено важно от тези, които го прилагат с цел ефективно използване на процедурата за малки пратки.</w:t>
      </w:r>
    </w:p>
    <w:p>
      <w:pPr>
        <w:tabs>
          <w:tab w:val="left" w:pos="851"/>
        </w:tabs>
        <w:jc w:val="both"/>
        <w:rPr>
          <w:rFonts w:ascii="Times New Roman" w:hAnsi="Times New Roman" w:cs="Times New Roman"/>
          <w:b/>
          <w:noProof/>
          <w:sz w:val="24"/>
          <w:szCs w:val="24"/>
        </w:rPr>
      </w:pPr>
      <w:r>
        <w:rPr>
          <w:rFonts w:ascii="Times New Roman" w:hAnsi="Times New Roman"/>
          <w:b/>
          <w:noProof/>
          <w:sz w:val="24"/>
        </w:rPr>
        <w:t>5.4.5</w:t>
      </w:r>
      <w:r>
        <w:rPr>
          <w:noProof/>
        </w:rPr>
        <w:tab/>
      </w:r>
      <w:r>
        <w:rPr>
          <w:rFonts w:ascii="Times New Roman" w:hAnsi="Times New Roman"/>
          <w:b/>
          <w:noProof/>
          <w:sz w:val="24"/>
        </w:rPr>
        <w:t>Разходи (член 29)</w:t>
      </w:r>
    </w:p>
    <w:p>
      <w:pPr>
        <w:jc w:val="both"/>
        <w:rPr>
          <w:rFonts w:ascii="Times New Roman" w:hAnsi="Times New Roman" w:cs="Times New Roman"/>
          <w:noProof/>
          <w:sz w:val="24"/>
          <w:szCs w:val="24"/>
        </w:rPr>
      </w:pPr>
      <w:r>
        <w:rPr>
          <w:rFonts w:ascii="Times New Roman" w:hAnsi="Times New Roman"/>
          <w:noProof/>
          <w:sz w:val="24"/>
        </w:rPr>
        <w:t xml:space="preserve">Около 85 % от държавите членки изискват от притежателя на решението да поеме разходите за унищожаването при стандартната процедура. </w:t>
      </w:r>
    </w:p>
    <w:p>
      <w:pPr>
        <w:jc w:val="both"/>
        <w:rPr>
          <w:rFonts w:ascii="Times New Roman" w:hAnsi="Times New Roman" w:cs="Times New Roman"/>
          <w:noProof/>
          <w:sz w:val="24"/>
          <w:szCs w:val="24"/>
        </w:rPr>
      </w:pPr>
      <w:r>
        <w:rPr>
          <w:rFonts w:ascii="Times New Roman" w:hAnsi="Times New Roman"/>
          <w:noProof/>
          <w:sz w:val="24"/>
        </w:rPr>
        <w:t>Около 46 % от държавите членки изискват от притежателя на решението да поеме разходите за унищожаването при стандартната процедура и при процедурата за малки пратки.</w:t>
      </w:r>
    </w:p>
    <w:p>
      <w:pPr>
        <w:jc w:val="both"/>
        <w:rPr>
          <w:rFonts w:ascii="Times New Roman" w:hAnsi="Times New Roman" w:cs="Times New Roman"/>
          <w:noProof/>
          <w:sz w:val="24"/>
          <w:szCs w:val="24"/>
        </w:rPr>
      </w:pPr>
      <w:r>
        <w:rPr>
          <w:rFonts w:ascii="Times New Roman" w:hAnsi="Times New Roman"/>
          <w:noProof/>
          <w:sz w:val="24"/>
        </w:rPr>
        <w:t>Две държави членки поемат разходите, направени от тях при действия за съхранение и унищожаване на стоки съгласно Регламент (ЕС) № 608/2013 при стандартната процедура.</w:t>
      </w:r>
    </w:p>
    <w:p>
      <w:pPr>
        <w:jc w:val="both"/>
        <w:rPr>
          <w:rFonts w:ascii="Times New Roman" w:hAnsi="Times New Roman" w:cs="Times New Roman"/>
          <w:noProof/>
          <w:sz w:val="24"/>
          <w:szCs w:val="24"/>
        </w:rPr>
      </w:pPr>
      <w:r>
        <w:rPr>
          <w:rFonts w:ascii="Times New Roman" w:hAnsi="Times New Roman"/>
          <w:noProof/>
          <w:sz w:val="24"/>
        </w:rPr>
        <w:t>Някои държави членки действат според конкретния случай по отношение на разходите за унищожаването на стоки при процедурата за малки пратки.</w:t>
      </w:r>
    </w:p>
    <w:p>
      <w:pPr>
        <w:tabs>
          <w:tab w:val="left" w:pos="851"/>
        </w:tabs>
        <w:jc w:val="both"/>
        <w:rPr>
          <w:rFonts w:ascii="Times New Roman" w:hAnsi="Times New Roman" w:cs="Times New Roman"/>
          <w:b/>
          <w:noProof/>
          <w:sz w:val="24"/>
          <w:szCs w:val="24"/>
        </w:rPr>
      </w:pPr>
      <w:r>
        <w:rPr>
          <w:rFonts w:ascii="Times New Roman" w:hAnsi="Times New Roman"/>
          <w:b/>
          <w:noProof/>
          <w:sz w:val="24"/>
        </w:rPr>
        <w:t xml:space="preserve">5.4.6 </w:t>
      </w:r>
      <w:r>
        <w:rPr>
          <w:noProof/>
        </w:rPr>
        <w:tab/>
      </w:r>
      <w:r>
        <w:rPr>
          <w:rFonts w:ascii="Times New Roman" w:hAnsi="Times New Roman"/>
          <w:b/>
          <w:noProof/>
          <w:sz w:val="24"/>
        </w:rPr>
        <w:t>Преждевременно вдигане на стоките (член 24)</w:t>
      </w:r>
    </w:p>
    <w:p>
      <w:pPr>
        <w:jc w:val="both"/>
        <w:rPr>
          <w:rFonts w:ascii="Times New Roman" w:hAnsi="Times New Roman" w:cs="Times New Roman"/>
          <w:noProof/>
          <w:sz w:val="24"/>
          <w:szCs w:val="24"/>
        </w:rPr>
      </w:pPr>
      <w:r>
        <w:rPr>
          <w:rFonts w:ascii="Times New Roman" w:hAnsi="Times New Roman"/>
          <w:noProof/>
          <w:sz w:val="24"/>
        </w:rPr>
        <w:t>В член 24 се предвижда, че когато митническите органи са били уведомени за започването на производство, за да се установи дали е нарушен промишлен дизайн, патент, полезен модел, топология на полупроводниково изделие или правна закрила на сортовете растения, деклараторът или държателят на стоките може да поиска от митническите органи вдигане на стоките или прекратяване на тяхното задържане преди приключването на това производство, при условие че деклараторът или държателят на стоките е предоставил гаранция, която е в достатъчно висок размер с оглед обезпечаването на интересите на притежателя на решението.</w:t>
      </w:r>
    </w:p>
    <w:p>
      <w:pPr>
        <w:jc w:val="both"/>
        <w:rPr>
          <w:rFonts w:ascii="Times New Roman" w:hAnsi="Times New Roman" w:cs="Times New Roman"/>
          <w:noProof/>
          <w:sz w:val="24"/>
          <w:szCs w:val="24"/>
        </w:rPr>
      </w:pPr>
      <w:r>
        <w:rPr>
          <w:rFonts w:ascii="Times New Roman" w:hAnsi="Times New Roman"/>
          <w:noProof/>
          <w:sz w:val="24"/>
        </w:rPr>
        <w:t>Преждевременното вдигане на стоките не се прилага по отношение на търговските марки, във връзка с които се извършва най-голяма част от конфискациите от митническите органи (през 2014 г. и 2015 г. 94 % от всички задържания на стоки са свързани с търговски марки). Вероятно поради това процедурата е използвана много рядко навсякъде в Съюза (в един случай от една държава членка и по-редовно от друга).</w:t>
      </w:r>
      <w:r>
        <w:rPr>
          <w:noProof/>
        </w:rPr>
        <w:t xml:space="preserve"> </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5.5 </w:t>
      </w:r>
      <w:r>
        <w:rPr>
          <w:noProof/>
        </w:rPr>
        <w:tab/>
      </w:r>
      <w:r>
        <w:rPr>
          <w:rFonts w:ascii="Times New Roman" w:hAnsi="Times New Roman"/>
          <w:b/>
          <w:noProof/>
          <w:sz w:val="24"/>
        </w:rPr>
        <w:t>Използване на COPIS</w:t>
      </w:r>
    </w:p>
    <w:p>
      <w:pPr>
        <w:jc w:val="both"/>
        <w:rPr>
          <w:rFonts w:ascii="Times New Roman" w:hAnsi="Times New Roman" w:cs="Times New Roman"/>
          <w:noProof/>
          <w:sz w:val="24"/>
          <w:szCs w:val="24"/>
        </w:rPr>
      </w:pPr>
      <w:r>
        <w:rPr>
          <w:rFonts w:ascii="Times New Roman" w:hAnsi="Times New Roman"/>
          <w:noProof/>
          <w:sz w:val="24"/>
        </w:rPr>
        <w:t>COPIS започна да функционира на 1 януари 2014 г. Оттогава насам митническите органи предприемат стъпки за приспособяване на системата. За улесняване на ползването бяха въведени промени в първата версия на инструмента. Въпреки че държавите членки признават подобренията, въведени в COPIS през последните две години, все още са налице някои общи проблеми във връзка с ефективността и удобството при ползване на определени функции на базата данни. В процес на разработване са допълнителни промени в COPIS с цел да се гарантира, че базата данни удовлетворява в по-голяма степен нуждите на митническите органи.</w:t>
      </w:r>
    </w:p>
    <w:p>
      <w:pPr>
        <w:jc w:val="both"/>
        <w:rPr>
          <w:rFonts w:ascii="Times New Roman" w:hAnsi="Times New Roman" w:cs="Times New Roman"/>
          <w:noProof/>
          <w:sz w:val="24"/>
          <w:szCs w:val="24"/>
        </w:rPr>
      </w:pPr>
      <w:r>
        <w:rPr>
          <w:rFonts w:ascii="Times New Roman" w:hAnsi="Times New Roman"/>
          <w:noProof/>
          <w:sz w:val="24"/>
        </w:rPr>
        <w:t xml:space="preserve">През целия период на разработване на проекта за базата данни COPIS бяха отправяни искания COPIS да позволява електронно подаване на ЗН. Тъй като базата данни за защита на ПИС (EDB — база данни, разработена от Европейската обсерватория за нарушенията на правата на интелектуална собственост) съдържа относимата информация за подаването на ЗН, се счита, че тази база данни е подходящ източник за осигуряване на необходимата за ЗН информация в електронен формат. В резултат на контактите между Комисията и Европейската обсерватория за нарушенията на ПИС беше разработено предложение за въвеждане на функция за етапа преди подаването на ЗН в COPIS с цел улесняване на работата както на заявителите, така и на митническите органи. </w:t>
      </w:r>
    </w:p>
    <w:p>
      <w:pPr>
        <w:jc w:val="both"/>
        <w:rPr>
          <w:rFonts w:ascii="Times New Roman" w:hAnsi="Times New Roman" w:cs="Times New Roman"/>
          <w:noProof/>
          <w:sz w:val="24"/>
          <w:szCs w:val="24"/>
        </w:rPr>
      </w:pPr>
      <w:r>
        <w:rPr>
          <w:rFonts w:ascii="Times New Roman" w:hAnsi="Times New Roman"/>
          <w:noProof/>
          <w:sz w:val="24"/>
        </w:rPr>
        <w:t>Работата по разработването на портал за търговци за подаване на електронни ЗН напредва и в бъдеще ще доведе до възможност за подаване на ЗН без хартиен носител.</w:t>
      </w:r>
    </w:p>
    <w:p>
      <w:pPr>
        <w:jc w:val="both"/>
        <w:rPr>
          <w:rFonts w:ascii="Times New Roman" w:hAnsi="Times New Roman" w:cs="Times New Roman"/>
          <w:noProof/>
          <w:sz w:val="24"/>
          <w:szCs w:val="24"/>
        </w:rPr>
      </w:pPr>
      <w:r>
        <w:rPr>
          <w:rFonts w:ascii="Times New Roman" w:hAnsi="Times New Roman"/>
          <w:noProof/>
          <w:sz w:val="24"/>
        </w:rPr>
        <w:t>Оперативната връзка между COPIS и EDB функционира от 1 юли 2015 г. От гледна точка на заявителите тази връзка ще намали тежестта, свързана с многократното подаване на информация.</w:t>
      </w:r>
    </w:p>
    <w:p>
      <w:pPr>
        <w:jc w:val="both"/>
        <w:rPr>
          <w:rFonts w:ascii="Times New Roman" w:hAnsi="Times New Roman" w:cs="Times New Roman"/>
          <w:noProof/>
          <w:sz w:val="24"/>
          <w:szCs w:val="24"/>
          <w:highlight w:val="yellow"/>
        </w:rPr>
      </w:pPr>
      <w:r>
        <w:rPr>
          <w:rFonts w:ascii="Times New Roman" w:hAnsi="Times New Roman"/>
          <w:noProof/>
          <w:sz w:val="24"/>
        </w:rPr>
        <w:t>21 държави членки използват COPIS за разглеждането на ЗН и нарушенията.</w:t>
      </w:r>
    </w:p>
    <w:p>
      <w:pPr>
        <w:jc w:val="both"/>
        <w:rPr>
          <w:rFonts w:ascii="Times New Roman" w:hAnsi="Times New Roman" w:cs="Times New Roman"/>
          <w:noProof/>
          <w:sz w:val="24"/>
          <w:szCs w:val="24"/>
        </w:rPr>
      </w:pPr>
      <w:r>
        <w:rPr>
          <w:rFonts w:ascii="Times New Roman" w:hAnsi="Times New Roman"/>
          <w:noProof/>
          <w:sz w:val="24"/>
        </w:rPr>
        <w:t>За разглеждането на ЗН и нарушенията 6 държави членки използват национални системи, които са свързани автоматично с COPIS.</w:t>
      </w:r>
    </w:p>
    <w:p>
      <w:pPr>
        <w:jc w:val="both"/>
        <w:rPr>
          <w:rFonts w:ascii="Times New Roman" w:hAnsi="Times New Roman" w:cs="Times New Roman"/>
          <w:noProof/>
          <w:sz w:val="24"/>
          <w:szCs w:val="24"/>
        </w:rPr>
      </w:pPr>
      <w:r>
        <w:rPr>
          <w:rFonts w:ascii="Times New Roman" w:hAnsi="Times New Roman"/>
          <w:noProof/>
          <w:sz w:val="24"/>
        </w:rPr>
        <w:t>Една държава членка използва национална система, която е свързана автоматично с COPIS, само за нарушенията, но използва COPIS за разглеждането на ЗН.</w:t>
      </w:r>
    </w:p>
    <w:p>
      <w:pPr>
        <w:jc w:val="both"/>
        <w:rPr>
          <w:rFonts w:ascii="Times New Roman" w:hAnsi="Times New Roman" w:cs="Times New Roman"/>
          <w:noProof/>
          <w:sz w:val="24"/>
          <w:szCs w:val="24"/>
        </w:rPr>
      </w:pPr>
      <w:r>
        <w:rPr>
          <w:rFonts w:ascii="Times New Roman" w:hAnsi="Times New Roman"/>
          <w:noProof/>
          <w:sz w:val="24"/>
        </w:rPr>
        <w:t>Някои държави членки предоставят на своите митнически служители пълен достъп до COPIS; други предоставят ограничен достъп до базата данни, като насърчават по-скоро използването на своята национална база данни за ПИС, ако такава база данни съществува в рамките на митническата администрация. Това може да се окаже източник на грешки при предаването на информация и със сигурност създава допълнително работно натоварване.</w:t>
      </w:r>
    </w:p>
    <w:p>
      <w:pPr>
        <w:jc w:val="both"/>
        <w:rPr>
          <w:rFonts w:ascii="Times New Roman" w:hAnsi="Times New Roman" w:cs="Times New Roman"/>
          <w:noProof/>
          <w:sz w:val="24"/>
          <w:szCs w:val="24"/>
        </w:rPr>
      </w:pPr>
      <w:r>
        <w:rPr>
          <w:rFonts w:ascii="Times New Roman" w:hAnsi="Times New Roman"/>
          <w:noProof/>
          <w:sz w:val="24"/>
        </w:rPr>
        <w:t>Много държави членки съобщават за затруднения при използването на информацията, предоставена от притежателя на решението в ЗН и съдържаща се в COPIS, за целите на анализа на риска.</w:t>
      </w: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5.6 </w:t>
      </w:r>
      <w:r>
        <w:rPr>
          <w:noProof/>
        </w:rPr>
        <w:tab/>
      </w:r>
      <w:r>
        <w:rPr>
          <w:rFonts w:ascii="Times New Roman" w:hAnsi="Times New Roman"/>
          <w:b/>
          <w:noProof/>
          <w:sz w:val="24"/>
        </w:rPr>
        <w:t xml:space="preserve">Изпълнение от Комисията </w:t>
      </w:r>
    </w:p>
    <w:p>
      <w:pPr>
        <w:jc w:val="both"/>
        <w:rPr>
          <w:rFonts w:ascii="Times New Roman" w:hAnsi="Times New Roman" w:cs="Times New Roman"/>
          <w:noProof/>
          <w:sz w:val="24"/>
          <w:szCs w:val="24"/>
        </w:rPr>
      </w:pPr>
      <w:r>
        <w:rPr>
          <w:rFonts w:ascii="Times New Roman" w:hAnsi="Times New Roman"/>
          <w:noProof/>
          <w:sz w:val="24"/>
        </w:rPr>
        <w:t>Както се предвижда в член 6, параграф 1 от Регламент (ЕС) № 608/2013, на 4 декември 2013 г. беше приет Регламент за изпълнение на Комисията</w:t>
      </w:r>
      <w:r>
        <w:rPr>
          <w:rStyle w:val="FootnoteReference"/>
          <w:rFonts w:ascii="Times New Roman" w:hAnsi="Times New Roman"/>
          <w:noProof/>
          <w:sz w:val="24"/>
        </w:rPr>
        <w:footnoteReference w:id="10"/>
      </w:r>
      <w:r>
        <w:rPr>
          <w:rFonts w:ascii="Times New Roman" w:hAnsi="Times New Roman"/>
          <w:noProof/>
          <w:sz w:val="24"/>
        </w:rPr>
        <w:t xml:space="preserve"> за установяване на формулярите, предвидени в Регламент (ЕС) № 608/2013. През 2017 г. се предвижда актуализация.</w:t>
      </w:r>
    </w:p>
    <w:p>
      <w:pPr>
        <w:jc w:val="both"/>
        <w:rPr>
          <w:rFonts w:ascii="Times New Roman" w:hAnsi="Times New Roman" w:cs="Times New Roman"/>
          <w:noProof/>
          <w:sz w:val="24"/>
          <w:szCs w:val="24"/>
        </w:rPr>
      </w:pPr>
      <w:r>
        <w:rPr>
          <w:rFonts w:ascii="Times New Roman" w:hAnsi="Times New Roman"/>
          <w:noProof/>
          <w:sz w:val="24"/>
        </w:rPr>
        <w:t>Комисията все още не е приела актовете за изпълнение, посочени в член 22 от Регламент (ЕС) № 608/2013.</w:t>
      </w:r>
    </w:p>
    <w:p>
      <w:pPr>
        <w:tabs>
          <w:tab w:val="left" w:pos="426"/>
        </w:tabs>
        <w:jc w:val="both"/>
        <w:rPr>
          <w:rFonts w:ascii="Times New Roman" w:hAnsi="Times New Roman" w:cs="Times New Roman"/>
          <w:b/>
          <w:noProof/>
          <w:sz w:val="24"/>
          <w:szCs w:val="24"/>
        </w:rPr>
      </w:pPr>
      <w:r>
        <w:rPr>
          <w:rFonts w:ascii="Times New Roman" w:hAnsi="Times New Roman"/>
          <w:b/>
          <w:noProof/>
          <w:sz w:val="24"/>
        </w:rPr>
        <w:t xml:space="preserve">5.7 </w:t>
      </w:r>
      <w:r>
        <w:rPr>
          <w:noProof/>
        </w:rPr>
        <w:tab/>
      </w:r>
      <w:r>
        <w:rPr>
          <w:rFonts w:ascii="Times New Roman" w:hAnsi="Times New Roman"/>
          <w:b/>
          <w:noProof/>
          <w:sz w:val="24"/>
        </w:rPr>
        <w:t>Резултати на границите на ЕС през 2014 г. и 2015 г.</w:t>
      </w:r>
    </w:p>
    <w:p>
      <w:pPr>
        <w:jc w:val="both"/>
        <w:rPr>
          <w:rFonts w:ascii="Times New Roman" w:hAnsi="Times New Roman" w:cs="Times New Roman"/>
          <w:noProof/>
          <w:sz w:val="24"/>
          <w:szCs w:val="24"/>
        </w:rPr>
      </w:pPr>
      <w:r>
        <w:rPr>
          <w:rFonts w:ascii="Times New Roman" w:hAnsi="Times New Roman"/>
          <w:noProof/>
          <w:sz w:val="24"/>
        </w:rPr>
        <w:t>Ежегодното публикуване на доклад относно защитата на ПИС от страна на митническите органи в ЕС</w:t>
      </w:r>
      <w:r>
        <w:rPr>
          <w:rStyle w:val="FootnoteReference"/>
          <w:rFonts w:ascii="Times New Roman" w:hAnsi="Times New Roman"/>
          <w:noProof/>
          <w:sz w:val="24"/>
        </w:rPr>
        <w:footnoteReference w:id="11"/>
      </w:r>
      <w:r>
        <w:rPr>
          <w:rFonts w:ascii="Times New Roman" w:hAnsi="Times New Roman"/>
          <w:noProof/>
          <w:sz w:val="24"/>
        </w:rPr>
        <w:t xml:space="preserve"> на външните граници на ЕС предоставя възможност за измерване на мащаба на намесата на митническите органи с цел защита на ПИС. Докладът съдържа статистическа информация за задържанията, извършени при митнически процедури, и включва данни за описанието, количествата и стойността на стоките, страната, от която идват, транспортните средства и вида на ПИС, по отношение на което може да е извършено нарушение.</w:t>
      </w:r>
    </w:p>
    <w:p>
      <w:pPr>
        <w:jc w:val="both"/>
        <w:rPr>
          <w:rFonts w:ascii="Times New Roman" w:hAnsi="Times New Roman" w:cs="Times New Roman"/>
          <w:noProof/>
          <w:sz w:val="24"/>
          <w:szCs w:val="24"/>
        </w:rPr>
      </w:pPr>
      <w:r>
        <w:rPr>
          <w:rFonts w:ascii="Times New Roman" w:hAnsi="Times New Roman"/>
          <w:noProof/>
          <w:sz w:val="24"/>
        </w:rPr>
        <w:t>Статистическите данни са изготвени от Комисията въз основа на данните, предадени от администрациите на държавите членки чрез COPIS.</w:t>
      </w:r>
    </w:p>
    <w:p>
      <w:pPr>
        <w:jc w:val="both"/>
        <w:rPr>
          <w:rFonts w:ascii="Times New Roman" w:hAnsi="Times New Roman" w:cs="Times New Roman"/>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5.7.1 </w:t>
      </w:r>
      <w:r>
        <w:rPr>
          <w:noProof/>
        </w:rPr>
        <w:tab/>
      </w:r>
      <w:r>
        <w:rPr>
          <w:rFonts w:ascii="Times New Roman" w:hAnsi="Times New Roman"/>
          <w:b/>
          <w:noProof/>
          <w:sz w:val="24"/>
        </w:rPr>
        <w:t>Общи резултати</w:t>
      </w:r>
    </w:p>
    <w:tbl>
      <w:tblPr>
        <w:tblStyle w:val="TableGrid"/>
        <w:tblW w:w="9128" w:type="dxa"/>
        <w:tblInd w:w="108" w:type="dxa"/>
        <w:tblLayout w:type="fixed"/>
        <w:tblLook w:val="04A0" w:firstRow="1" w:lastRow="0" w:firstColumn="1" w:lastColumn="0" w:noHBand="0" w:noVBand="1"/>
      </w:tblPr>
      <w:tblGrid>
        <w:gridCol w:w="2400"/>
        <w:gridCol w:w="1680"/>
        <w:gridCol w:w="1760"/>
        <w:gridCol w:w="1644"/>
        <w:gridCol w:w="1644"/>
      </w:tblGrid>
      <w:tr>
        <w:tc>
          <w:tcPr>
            <w:tcW w:w="2400" w:type="dxa"/>
          </w:tcPr>
          <w:p>
            <w:pPr>
              <w:jc w:val="both"/>
              <w:rPr>
                <w:rFonts w:ascii="Times New Roman" w:hAnsi="Times New Roman" w:cs="Times New Roman"/>
                <w:b/>
                <w:noProof/>
                <w:sz w:val="24"/>
                <w:szCs w:val="24"/>
              </w:rPr>
            </w:pPr>
            <w:r>
              <w:rPr>
                <w:rFonts w:ascii="Times New Roman" w:hAnsi="Times New Roman"/>
                <w:b/>
                <w:noProof/>
                <w:sz w:val="24"/>
              </w:rPr>
              <w:t>ЗАДЪРЖАНИЯ</w:t>
            </w:r>
          </w:p>
        </w:tc>
        <w:tc>
          <w:tcPr>
            <w:tcW w:w="1680" w:type="dxa"/>
            <w:noWrap/>
            <w:vAlign w:val="center"/>
          </w:tcPr>
          <w:p>
            <w:pPr>
              <w:ind w:right="146"/>
              <w:jc w:val="center"/>
              <w:rPr>
                <w:rFonts w:ascii="Times New Roman" w:hAnsi="Times New Roman" w:cs="Times New Roman"/>
                <w:b/>
                <w:noProof/>
                <w:sz w:val="24"/>
                <w:szCs w:val="24"/>
              </w:rPr>
            </w:pPr>
            <w:r>
              <w:rPr>
                <w:rFonts w:ascii="Times New Roman" w:hAnsi="Times New Roman"/>
                <w:b/>
                <w:noProof/>
                <w:sz w:val="24"/>
              </w:rPr>
              <w:t>2012 г.</w:t>
            </w:r>
          </w:p>
        </w:tc>
        <w:tc>
          <w:tcPr>
            <w:tcW w:w="1760" w:type="dxa"/>
            <w:noWrap/>
            <w:vAlign w:val="center"/>
          </w:tcPr>
          <w:p>
            <w:pPr>
              <w:ind w:right="146"/>
              <w:jc w:val="center"/>
              <w:rPr>
                <w:rFonts w:ascii="Times New Roman" w:hAnsi="Times New Roman" w:cs="Times New Roman"/>
                <w:b/>
                <w:noProof/>
                <w:sz w:val="24"/>
                <w:szCs w:val="24"/>
              </w:rPr>
            </w:pPr>
            <w:r>
              <w:rPr>
                <w:rFonts w:ascii="Times New Roman" w:hAnsi="Times New Roman"/>
                <w:b/>
                <w:noProof/>
                <w:sz w:val="24"/>
              </w:rPr>
              <w:t>2013 г.</w:t>
            </w:r>
          </w:p>
        </w:tc>
        <w:tc>
          <w:tcPr>
            <w:tcW w:w="1644" w:type="dxa"/>
            <w:noWrap/>
            <w:vAlign w:val="center"/>
          </w:tcPr>
          <w:p>
            <w:pPr>
              <w:ind w:right="89"/>
              <w:jc w:val="center"/>
              <w:rPr>
                <w:rFonts w:ascii="Times New Roman" w:hAnsi="Times New Roman" w:cs="Times New Roman"/>
                <w:b/>
                <w:noProof/>
                <w:sz w:val="24"/>
                <w:szCs w:val="24"/>
              </w:rPr>
            </w:pPr>
            <w:r>
              <w:rPr>
                <w:rFonts w:ascii="Times New Roman" w:hAnsi="Times New Roman"/>
                <w:b/>
                <w:noProof/>
                <w:sz w:val="24"/>
              </w:rPr>
              <w:t>2014 г.</w:t>
            </w:r>
          </w:p>
        </w:tc>
        <w:tc>
          <w:tcPr>
            <w:tcW w:w="1644" w:type="dxa"/>
            <w:noWrap/>
            <w:vAlign w:val="center"/>
          </w:tcPr>
          <w:p>
            <w:pPr>
              <w:ind w:right="89"/>
              <w:jc w:val="center"/>
              <w:rPr>
                <w:rFonts w:ascii="Times New Roman" w:hAnsi="Times New Roman" w:cs="Times New Roman"/>
                <w:b/>
                <w:noProof/>
                <w:sz w:val="24"/>
                <w:szCs w:val="24"/>
              </w:rPr>
            </w:pPr>
            <w:r>
              <w:rPr>
                <w:rFonts w:ascii="Times New Roman" w:hAnsi="Times New Roman"/>
                <w:b/>
                <w:noProof/>
                <w:sz w:val="24"/>
              </w:rPr>
              <w:t>2015 г.</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Случаи</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90 473</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86 854</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95 194</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noProof/>
                <w:sz w:val="24"/>
              </w:rPr>
              <w:t>81 098</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Процедури</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Неналично</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Неналично</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105 488</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noProof/>
                <w:sz w:val="24"/>
              </w:rPr>
              <w:t>95 313</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Артикули</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39 917 445</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noProof/>
                <w:sz w:val="24"/>
              </w:rPr>
              <w:t>35 940 294</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35 568 982</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noProof/>
                <w:sz w:val="24"/>
              </w:rPr>
              <w:t>40 728 675</w:t>
            </w:r>
          </w:p>
        </w:tc>
      </w:tr>
      <w:tr>
        <w:tc>
          <w:tcPr>
            <w:tcW w:w="2400" w:type="dxa"/>
          </w:tcPr>
          <w:p>
            <w:pPr>
              <w:jc w:val="both"/>
              <w:rPr>
                <w:rFonts w:ascii="Times New Roman" w:hAnsi="Times New Roman" w:cs="Times New Roman"/>
                <w:b/>
                <w:noProof/>
                <w:sz w:val="24"/>
                <w:szCs w:val="24"/>
              </w:rPr>
            </w:pPr>
            <w:r>
              <w:rPr>
                <w:rFonts w:ascii="Times New Roman" w:hAnsi="Times New Roman"/>
                <w:b/>
                <w:noProof/>
                <w:sz w:val="24"/>
              </w:rPr>
              <w:t>Стойност на националния пазар на дребно</w:t>
            </w:r>
          </w:p>
        </w:tc>
        <w:tc>
          <w:tcPr>
            <w:tcW w:w="1680" w:type="dxa"/>
            <w:noWrap/>
          </w:tcPr>
          <w:p>
            <w:pPr>
              <w:tabs>
                <w:tab w:val="left" w:pos="2664"/>
              </w:tabs>
              <w:ind w:right="146"/>
              <w:jc w:val="center"/>
              <w:rPr>
                <w:rFonts w:ascii="Times New Roman" w:hAnsi="Times New Roman" w:cs="Times New Roman"/>
                <w:noProof/>
                <w:sz w:val="24"/>
                <w:szCs w:val="24"/>
              </w:rPr>
            </w:pPr>
            <w:r>
              <w:rPr>
                <w:rFonts w:ascii="Times New Roman" w:hAnsi="Times New Roman"/>
                <w:noProof/>
                <w:sz w:val="24"/>
              </w:rPr>
              <w:t>896 милиона евро</w:t>
            </w:r>
          </w:p>
        </w:tc>
        <w:tc>
          <w:tcPr>
            <w:tcW w:w="1760" w:type="dxa"/>
            <w:noWrap/>
          </w:tcPr>
          <w:p>
            <w:pPr>
              <w:tabs>
                <w:tab w:val="left" w:pos="2664"/>
              </w:tabs>
              <w:ind w:right="146"/>
              <w:jc w:val="center"/>
              <w:rPr>
                <w:rFonts w:ascii="Times New Roman" w:hAnsi="Times New Roman" w:cs="Times New Roman"/>
                <w:noProof/>
                <w:sz w:val="24"/>
                <w:szCs w:val="24"/>
              </w:rPr>
            </w:pPr>
            <w:r>
              <w:rPr>
                <w:rFonts w:ascii="Times New Roman" w:hAnsi="Times New Roman"/>
                <w:noProof/>
                <w:sz w:val="24"/>
              </w:rPr>
              <w:t>768 милиона евро</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noProof/>
                <w:sz w:val="24"/>
              </w:rPr>
              <w:t>617 милиона евро</w:t>
            </w:r>
          </w:p>
        </w:tc>
        <w:tc>
          <w:tcPr>
            <w:tcW w:w="1644" w:type="dxa"/>
            <w:noWrap/>
            <w:vAlign w:val="center"/>
          </w:tcPr>
          <w:p>
            <w:pPr>
              <w:ind w:right="89"/>
              <w:jc w:val="right"/>
              <w:rPr>
                <w:rFonts w:ascii="Times New Roman" w:hAnsi="Times New Roman" w:cs="Times New Roman"/>
                <w:noProof/>
                <w:sz w:val="24"/>
                <w:szCs w:val="24"/>
              </w:rPr>
            </w:pPr>
            <w:r>
              <w:rPr>
                <w:rFonts w:ascii="Times New Roman" w:hAnsi="Times New Roman"/>
                <w:noProof/>
                <w:sz w:val="24"/>
              </w:rPr>
              <w:t>642 милиона евро</w:t>
            </w:r>
          </w:p>
        </w:tc>
      </w:tr>
    </w:tbl>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Всяко задържане се определя като случай, който може да се отнася за един или повече артикули. Всеки случай може да съдържа артикули от различни продуктови категории и на различни носители на права. В COPIS държавите членки регистрират всеки случай с информация по категории стоки и носители на права. Процедура за задържане се образува за всяка категория стоки и носители на права, с което се обяснява наличието на повече процедури, отколкото случаи.</w:t>
      </w:r>
    </w:p>
    <w:p>
      <w:pPr>
        <w:jc w:val="both"/>
        <w:rPr>
          <w:rFonts w:ascii="Times New Roman" w:hAnsi="Times New Roman" w:cs="Times New Roman"/>
          <w:noProof/>
          <w:sz w:val="24"/>
          <w:szCs w:val="24"/>
        </w:rPr>
      </w:pPr>
      <w:r>
        <w:rPr>
          <w:rFonts w:ascii="Times New Roman" w:hAnsi="Times New Roman"/>
          <w:noProof/>
          <w:sz w:val="24"/>
        </w:rPr>
        <w:t>Според доклада от 2015 г. относно защитата на ПИС от страна на митническите органи на външните граници на ЕС обемът на стоките, нарушаващи ПИС, които са конфискувани на границата, се е увеличил с 15 % между 2014 г. и 2015 г.</w:t>
      </w:r>
    </w:p>
    <w:p>
      <w:pPr>
        <w:tabs>
          <w:tab w:val="left" w:pos="567"/>
        </w:tabs>
        <w:jc w:val="both"/>
        <w:rPr>
          <w:rFonts w:ascii="Times New Roman" w:hAnsi="Times New Roman" w:cs="Times New Roman"/>
          <w:b/>
          <w:noProof/>
          <w:sz w:val="24"/>
          <w:szCs w:val="24"/>
        </w:rPr>
      </w:pPr>
      <w:r>
        <w:rPr>
          <w:rFonts w:ascii="Times New Roman" w:hAnsi="Times New Roman"/>
          <w:b/>
          <w:noProof/>
          <w:sz w:val="24"/>
        </w:rPr>
        <w:t xml:space="preserve">5.8 </w:t>
      </w:r>
      <w:r>
        <w:rPr>
          <w:noProof/>
        </w:rPr>
        <w:tab/>
      </w:r>
      <w:r>
        <w:rPr>
          <w:rFonts w:ascii="Times New Roman" w:hAnsi="Times New Roman"/>
          <w:b/>
          <w:noProof/>
          <w:sz w:val="24"/>
        </w:rPr>
        <w:t xml:space="preserve">Резултати във връзка с лекарствени продукти под режим транзит </w:t>
      </w:r>
    </w:p>
    <w:p>
      <w:pPr>
        <w:jc w:val="both"/>
        <w:rPr>
          <w:rFonts w:ascii="Times New Roman" w:hAnsi="Times New Roman" w:cs="Times New Roman"/>
          <w:noProof/>
          <w:sz w:val="24"/>
          <w:szCs w:val="24"/>
        </w:rPr>
      </w:pPr>
      <w:r>
        <w:rPr>
          <w:rFonts w:ascii="Times New Roman" w:hAnsi="Times New Roman"/>
          <w:noProof/>
          <w:sz w:val="24"/>
        </w:rPr>
        <w:t xml:space="preserve">Комисията изиска от митническите органи на държавите членки да съобщават на Комисията за всякакви значими инциденти, свързани с преминаване на лекарствени продукти под режим транзит през митническата територия на Съюза, които може да са възникнали във връзка с Регламент (ЕС) № 608/2013. </w:t>
      </w:r>
    </w:p>
    <w:p>
      <w:pPr>
        <w:jc w:val="both"/>
        <w:rPr>
          <w:rFonts w:ascii="Times New Roman" w:hAnsi="Times New Roman" w:cs="Times New Roman"/>
          <w:noProof/>
          <w:sz w:val="24"/>
          <w:szCs w:val="24"/>
        </w:rPr>
      </w:pPr>
      <w:r>
        <w:rPr>
          <w:rFonts w:ascii="Times New Roman" w:hAnsi="Times New Roman"/>
          <w:noProof/>
          <w:sz w:val="24"/>
        </w:rPr>
        <w:t xml:space="preserve">27 държави членки съобщиха, че не са възникнали значими инциденти, свързани с контрола при преминаването на лекарствени продукти под режим транзит през митническата територия на Съюза. </w:t>
      </w:r>
    </w:p>
    <w:p>
      <w:pPr>
        <w:jc w:val="both"/>
        <w:rPr>
          <w:rFonts w:ascii="Times New Roman" w:hAnsi="Times New Roman" w:cs="Times New Roman"/>
          <w:noProof/>
          <w:sz w:val="24"/>
          <w:szCs w:val="24"/>
        </w:rPr>
      </w:pPr>
      <w:r>
        <w:rPr>
          <w:rFonts w:ascii="Times New Roman" w:hAnsi="Times New Roman"/>
          <w:noProof/>
          <w:sz w:val="24"/>
        </w:rPr>
        <w:t>Една държава членка съобщи за случай на задържане на лекарствени продукти под режим транзит във връзка със защитени с патент лекарствени продукти, при който в информацията за пратката е отбелязано ясно, че стоките са били предназначени за вътрешния пазар и поради това стоките са били задържани. В крайна сметка стоките са били унищожени със съгласието на двете участващи страни.</w:t>
      </w:r>
    </w:p>
    <w:p>
      <w:pPr>
        <w:jc w:val="both"/>
        <w:rPr>
          <w:rFonts w:ascii="Times New Roman" w:hAnsi="Times New Roman" w:cs="Times New Roman"/>
          <w:noProof/>
          <w:sz w:val="24"/>
          <w:szCs w:val="24"/>
        </w:rPr>
      </w:pPr>
    </w:p>
    <w:p>
      <w:pPr>
        <w:tabs>
          <w:tab w:val="left" w:pos="567"/>
        </w:tabs>
        <w:ind w:left="564" w:hanging="564"/>
        <w:jc w:val="both"/>
        <w:rPr>
          <w:rFonts w:ascii="Times New Roman" w:hAnsi="Times New Roman" w:cs="Times New Roman"/>
          <w:b/>
          <w:noProof/>
          <w:sz w:val="24"/>
          <w:szCs w:val="24"/>
        </w:rPr>
      </w:pPr>
      <w:r>
        <w:rPr>
          <w:rFonts w:ascii="Times New Roman" w:hAnsi="Times New Roman"/>
          <w:b/>
          <w:noProof/>
          <w:sz w:val="24"/>
        </w:rPr>
        <w:t>5.9</w:t>
      </w:r>
      <w:r>
        <w:rPr>
          <w:noProof/>
        </w:rPr>
        <w:tab/>
      </w:r>
      <w:r>
        <w:rPr>
          <w:rFonts w:ascii="Times New Roman" w:hAnsi="Times New Roman"/>
          <w:b/>
          <w:noProof/>
          <w:sz w:val="24"/>
        </w:rPr>
        <w:t>Заявления за намеса и конфискации във връзка с права върху интелектуалната собственост, обхванати от Регламент (ЕС) № 608/2013</w:t>
      </w:r>
    </w:p>
    <w:p>
      <w:pPr>
        <w:jc w:val="both"/>
        <w:rPr>
          <w:rFonts w:ascii="Times New Roman" w:hAnsi="Times New Roman" w:cs="Times New Roman"/>
          <w:noProof/>
          <w:sz w:val="24"/>
          <w:szCs w:val="24"/>
        </w:rPr>
      </w:pPr>
      <w:r>
        <w:rPr>
          <w:rFonts w:ascii="Times New Roman" w:hAnsi="Times New Roman"/>
          <w:noProof/>
          <w:sz w:val="24"/>
        </w:rPr>
        <w:t>Правата върху интелектуалната собственост, които са обхванати от Регламент (ЕС) № 608/2013 отскоро, а именно полезните модели, търговските наименования и топологиите на полупроводникови изделия, не са довели до подаването на голям брой ЗН.</w:t>
      </w:r>
    </w:p>
    <w:p>
      <w:pPr>
        <w:jc w:val="both"/>
        <w:rPr>
          <w:rFonts w:ascii="Times New Roman" w:hAnsi="Times New Roman" w:cs="Times New Roman"/>
          <w:noProof/>
          <w:sz w:val="24"/>
          <w:szCs w:val="24"/>
        </w:rPr>
      </w:pPr>
      <w:r>
        <w:rPr>
          <w:rFonts w:ascii="Times New Roman" w:hAnsi="Times New Roman"/>
          <w:noProof/>
          <w:sz w:val="24"/>
        </w:rPr>
        <w:t xml:space="preserve">Към 15 септември 2016 г. търговски наименования са били включени в 8 активни ЗН, а полезни модели — в 15 активни ЗН. Не са подавани ЗН във връзка с топологии на полупроводникови изделия. </w:t>
      </w:r>
    </w:p>
    <w:p>
      <w:pPr>
        <w:jc w:val="both"/>
        <w:rPr>
          <w:rFonts w:ascii="Times New Roman" w:hAnsi="Times New Roman" w:cs="Times New Roman"/>
          <w:noProof/>
          <w:sz w:val="24"/>
          <w:szCs w:val="24"/>
        </w:rPr>
      </w:pPr>
      <w:r>
        <w:rPr>
          <w:rFonts w:ascii="Times New Roman" w:hAnsi="Times New Roman"/>
          <w:noProof/>
          <w:sz w:val="24"/>
        </w:rPr>
        <w:t>В резултат на това броят на задържанията на стоки, нарушаващи добавените отскоро права, е доста нисък.</w:t>
      </w:r>
    </w:p>
    <w:p>
      <w:pPr>
        <w:jc w:val="both"/>
        <w:rPr>
          <w:rFonts w:ascii="Times New Roman" w:hAnsi="Times New Roman" w:cs="Times New Roman"/>
          <w:noProof/>
          <w:sz w:val="24"/>
          <w:szCs w:val="24"/>
        </w:rPr>
      </w:pPr>
      <w:r>
        <w:rPr>
          <w:rFonts w:ascii="Times New Roman" w:hAnsi="Times New Roman"/>
          <w:noProof/>
          <w:sz w:val="24"/>
        </w:rPr>
        <w:t xml:space="preserve">Например в 18 случая стоки са били задържани по подозрение за нарушение по отношение на търговско наименование, а в два случая стоки — по подозрение за нарушение по отношение на полезен модел. Не са задържани стоки по подозрение за нарушение по отношение на топологии на полупроводникови изделия. </w:t>
      </w:r>
    </w:p>
    <w:p>
      <w:pPr>
        <w:spacing w:after="240"/>
        <w:jc w:val="both"/>
        <w:rPr>
          <w:rFonts w:ascii="Times New Roman" w:hAnsi="Times New Roman" w:cs="Times New Roman"/>
          <w:noProof/>
          <w:sz w:val="24"/>
          <w:szCs w:val="24"/>
        </w:rPr>
      </w:pPr>
      <w:r>
        <w:rPr>
          <w:rFonts w:ascii="Times New Roman" w:hAnsi="Times New Roman"/>
          <w:noProof/>
          <w:sz w:val="24"/>
        </w:rPr>
        <w:t>Не са извършвани задържания във връзка с приспособления за заобикаляне на мерки.</w:t>
      </w:r>
    </w:p>
    <w:p>
      <w:pPr>
        <w:spacing w:after="240"/>
        <w:jc w:val="both"/>
        <w:rPr>
          <w:rFonts w:ascii="Times New Roman" w:hAnsi="Times New Roman" w:cs="Times New Roman"/>
          <w:noProof/>
          <w:sz w:val="24"/>
          <w:szCs w:val="24"/>
        </w:rPr>
      </w:pPr>
      <w:r>
        <w:rPr>
          <w:rFonts w:ascii="Times New Roman" w:hAnsi="Times New Roman"/>
          <w:noProof/>
          <w:sz w:val="24"/>
        </w:rPr>
        <w:t xml:space="preserve">Що се отнася до правата, които са били обхванати от Регламент (ЕС) № 1383/2003 отпреди, броят на ЗН по отношение на географски указания остава нисък. </w:t>
      </w:r>
    </w:p>
    <w:p>
      <w:pPr>
        <w:tabs>
          <w:tab w:val="left" w:pos="567"/>
        </w:tabs>
        <w:ind w:left="564" w:hanging="564"/>
        <w:jc w:val="both"/>
        <w:rPr>
          <w:rFonts w:ascii="Times New Roman" w:hAnsi="Times New Roman" w:cs="Times New Roman"/>
          <w:b/>
          <w:noProof/>
          <w:sz w:val="24"/>
          <w:szCs w:val="24"/>
        </w:rPr>
      </w:pPr>
      <w:r>
        <w:rPr>
          <w:rFonts w:ascii="Times New Roman" w:hAnsi="Times New Roman"/>
          <w:b/>
          <w:noProof/>
          <w:sz w:val="24"/>
        </w:rPr>
        <w:t>5.10</w:t>
      </w:r>
      <w:r>
        <w:rPr>
          <w:noProof/>
        </w:rPr>
        <w:tab/>
      </w:r>
      <w:r>
        <w:rPr>
          <w:rFonts w:ascii="Times New Roman" w:hAnsi="Times New Roman"/>
          <w:b/>
          <w:noProof/>
          <w:sz w:val="24"/>
        </w:rPr>
        <w:t xml:space="preserve">Резултати от използването на „стандартната процедура“ </w:t>
      </w:r>
    </w:p>
    <w:p>
      <w:pPr>
        <w:jc w:val="both"/>
        <w:rPr>
          <w:rFonts w:ascii="Times New Roman" w:hAnsi="Times New Roman" w:cs="Times New Roman"/>
          <w:noProof/>
          <w:sz w:val="24"/>
          <w:szCs w:val="24"/>
        </w:rPr>
      </w:pPr>
      <w:r>
        <w:rPr>
          <w:rFonts w:ascii="Times New Roman" w:hAnsi="Times New Roman"/>
          <w:noProof/>
          <w:sz w:val="24"/>
        </w:rPr>
        <w:t>През 2014 г. 69,12 % от всички случаи са били разгледани по „стандартната процедура“, а 30,88 % — по „процедурата за малки пратки“.</w:t>
      </w:r>
    </w:p>
    <w:p>
      <w:pPr>
        <w:jc w:val="both"/>
        <w:rPr>
          <w:rFonts w:ascii="Times New Roman" w:hAnsi="Times New Roman" w:cs="Times New Roman"/>
          <w:noProof/>
          <w:sz w:val="24"/>
          <w:szCs w:val="24"/>
          <w:u w:val="single"/>
        </w:rPr>
      </w:pPr>
      <w:r>
        <w:rPr>
          <w:rFonts w:ascii="Times New Roman" w:hAnsi="Times New Roman"/>
          <w:noProof/>
          <w:sz w:val="24"/>
          <w:u w:val="single"/>
        </w:rPr>
        <w:t>Това е довело до следните резултати:</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извършено е унищожаване на стоките по „стандартната процедура“ след потвърждение от носителя на правата и съгласие от държателя на стоките (58,43 %);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извършено е унищожаване на стоките по „процедурата за малки пратки“ след съгласие от страна на държателя на стоките (27 %);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носителят на правата е завел съдебно дело за установяване на нарушение (6,14 %);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извършено е вдигане на стоките, тъй като са се оказали оригинални стоки, без да е налице нарушение (2,8 %);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извършено е вдигане на стоките, тъй като носителят на правата не е реагирал на уведомлението от митническите органи (5,5 %);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постигнато е извънсъдебно споразумение между носителя на правата и държателя на стоките, след което стоките са били вдигнати (0,11 %)</w:t>
      </w:r>
    </w:p>
    <w:p>
      <w:pPr>
        <w:jc w:val="both"/>
        <w:rPr>
          <w:rFonts w:ascii="Times New Roman" w:hAnsi="Times New Roman" w:cs="Times New Roman"/>
          <w:noProof/>
          <w:sz w:val="24"/>
          <w:szCs w:val="24"/>
        </w:rPr>
      </w:pPr>
      <w:r>
        <w:rPr>
          <w:rFonts w:ascii="Times New Roman" w:hAnsi="Times New Roman"/>
          <w:noProof/>
          <w:sz w:val="24"/>
        </w:rPr>
        <w:t>През 2015 г. 72,14 % от всички случаи са били разгледани по „стандартната процедура“, а 27,86 % — по „процедурата за малки пратки“. Това е довело до следните резултати:</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извършено е унищожаване на стоките по „стандартната процедура“ след потвърждение от носителя на правата и съгласие от държателя на стоките (59,93 %);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извършено е унищожаване на стоките по „процедурата за малки пратки“ след съгласие от страна на държателя на стоките (22,05 %);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носителят на правата е завел съдебно дело за установяване на нарушение (9,21 %);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извършено е вдигане на стоките, тъй като са се оказали оригинални стоки, без да е налице нарушение (2,77 %);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извършено е вдигане на стоките, тъй като носителят на правата не е реагирал на уведомлението от митническите органи (5,75 %);</w:t>
      </w:r>
    </w:p>
    <w:p>
      <w:pPr>
        <w:ind w:left="360" w:hanging="360"/>
        <w:jc w:val="both"/>
        <w:rPr>
          <w:rFonts w:ascii="Times New Roman" w:hAnsi="Times New Roman" w:cs="Times New Roman"/>
          <w:noProof/>
          <w:sz w:val="24"/>
          <w:szCs w:val="24"/>
          <w:highlight w:val="yellow"/>
        </w:rPr>
      </w:pPr>
      <w:r>
        <w:rPr>
          <w:rFonts w:ascii="Times New Roman" w:hAnsi="Times New Roman"/>
          <w:noProof/>
          <w:sz w:val="24"/>
        </w:rPr>
        <w:t>−</w:t>
      </w:r>
      <w:r>
        <w:rPr>
          <w:noProof/>
        </w:rPr>
        <w:tab/>
      </w:r>
      <w:r>
        <w:rPr>
          <w:rFonts w:ascii="Times New Roman" w:hAnsi="Times New Roman"/>
          <w:noProof/>
          <w:sz w:val="24"/>
        </w:rPr>
        <w:t>постигнато е извънсъдебно споразумение между носителя на правата и държателя на стоките, след което стоките са били вдигнати (0,29 %).</w:t>
      </w:r>
    </w:p>
    <w:p>
      <w:pPr>
        <w:tabs>
          <w:tab w:val="left" w:pos="567"/>
        </w:tabs>
        <w:ind w:left="564" w:hanging="564"/>
        <w:jc w:val="both"/>
        <w:rPr>
          <w:rFonts w:ascii="Times New Roman" w:hAnsi="Times New Roman" w:cs="Times New Roman"/>
          <w:b/>
          <w:noProof/>
          <w:sz w:val="24"/>
          <w:szCs w:val="24"/>
        </w:rPr>
      </w:pPr>
      <w:r>
        <w:rPr>
          <w:rFonts w:ascii="Times New Roman" w:hAnsi="Times New Roman"/>
          <w:b/>
          <w:noProof/>
          <w:sz w:val="24"/>
        </w:rPr>
        <w:t>5.11</w:t>
      </w:r>
      <w:r>
        <w:rPr>
          <w:noProof/>
        </w:rPr>
        <w:tab/>
      </w:r>
      <w:r>
        <w:rPr>
          <w:rFonts w:ascii="Times New Roman" w:hAnsi="Times New Roman"/>
          <w:b/>
          <w:noProof/>
          <w:sz w:val="24"/>
        </w:rPr>
        <w:t xml:space="preserve">Използване на „процедурата за малки пратки“ </w:t>
      </w:r>
    </w:p>
    <w:p>
      <w:pPr>
        <w:jc w:val="both"/>
        <w:rPr>
          <w:rFonts w:ascii="Times New Roman" w:hAnsi="Times New Roman" w:cs="Times New Roman"/>
          <w:noProof/>
          <w:sz w:val="24"/>
          <w:szCs w:val="24"/>
        </w:rPr>
      </w:pPr>
      <w:r>
        <w:rPr>
          <w:rFonts w:ascii="Times New Roman" w:hAnsi="Times New Roman"/>
          <w:noProof/>
          <w:sz w:val="24"/>
        </w:rPr>
        <w:t>Към 15 септември 2016 г. 48 % от националните ЗН са съдържали искане за използване на процедурата за малки пратки (726 от 1502), а 33 % от съюзните ЗН също са съдържали такова искане (393 от 1184).</w:t>
      </w:r>
    </w:p>
    <w:p>
      <w:pPr>
        <w:jc w:val="both"/>
        <w:rPr>
          <w:rFonts w:ascii="Times New Roman" w:hAnsi="Times New Roman" w:cs="Times New Roman"/>
          <w:noProof/>
          <w:sz w:val="24"/>
          <w:szCs w:val="24"/>
        </w:rPr>
      </w:pPr>
      <w:r>
        <w:rPr>
          <w:rFonts w:ascii="Times New Roman" w:hAnsi="Times New Roman"/>
          <w:noProof/>
          <w:sz w:val="24"/>
        </w:rPr>
        <w:t xml:space="preserve">Общо </w:t>
      </w:r>
      <w:r>
        <w:rPr>
          <w:rFonts w:ascii="Times New Roman" w:hAnsi="Times New Roman"/>
          <w:noProof/>
          <w:sz w:val="24"/>
          <w:lang w:val="ru-RU"/>
        </w:rPr>
        <w:t>41</w:t>
      </w:r>
      <w:r>
        <w:rPr>
          <w:rFonts w:ascii="Times New Roman" w:hAnsi="Times New Roman"/>
          <w:noProof/>
          <w:sz w:val="24"/>
        </w:rPr>
        <w:t> % от ЗН са съдържали искане за използване на процедурата за малки пратки.</w:t>
      </w:r>
    </w:p>
    <w:p>
      <w:pPr>
        <w:jc w:val="both"/>
        <w:rPr>
          <w:rFonts w:ascii="Times New Roman" w:hAnsi="Times New Roman" w:cs="Times New Roman"/>
          <w:noProof/>
          <w:sz w:val="24"/>
          <w:szCs w:val="24"/>
        </w:rPr>
      </w:pPr>
      <w:r>
        <w:rPr>
          <w:rFonts w:ascii="Times New Roman" w:hAnsi="Times New Roman"/>
          <w:noProof/>
          <w:sz w:val="24"/>
        </w:rPr>
        <w:t>Представители на частния сектор обясниха, че за някои видове права (по отношение на които е твърде сложно да се оцени наличието на нарушения и за които те считат експертните знания и опит на носителя на правата за особено важни) използването на процедурата за малки пратки не се счита за подходящо и поради това не е избрано.</w:t>
      </w:r>
    </w:p>
    <w:p>
      <w:pPr>
        <w:jc w:val="both"/>
        <w:rPr>
          <w:rFonts w:ascii="Times New Roman" w:hAnsi="Times New Roman" w:cs="Times New Roman"/>
          <w:noProof/>
          <w:sz w:val="24"/>
          <w:szCs w:val="24"/>
        </w:rPr>
      </w:pPr>
      <w:r>
        <w:rPr>
          <w:rFonts w:ascii="Times New Roman" w:hAnsi="Times New Roman"/>
          <w:noProof/>
          <w:sz w:val="24"/>
        </w:rPr>
        <w:t>През 2015 г. при малко повече от 22 % от извършените задържания стоките са били унищожени по процедурата за малки пратки. През 2014 г. унищожаването по същата процедура е съставлявало 27 % от резултата за всички случаи на задържане.</w:t>
      </w:r>
    </w:p>
    <w:p>
      <w:pPr>
        <w:jc w:val="both"/>
        <w:rPr>
          <w:rFonts w:ascii="Times New Roman" w:hAnsi="Times New Roman" w:cs="Times New Roman"/>
          <w:noProof/>
          <w:sz w:val="24"/>
          <w:szCs w:val="24"/>
        </w:rPr>
      </w:pPr>
      <w:r>
        <w:rPr>
          <w:rFonts w:ascii="Times New Roman" w:hAnsi="Times New Roman"/>
          <w:noProof/>
          <w:sz w:val="24"/>
        </w:rPr>
        <w:t>За пълната информация от докладите от 2014 г. и 2015 г. вж. уебсайта на ГД „Данъчно облагане и митнически съюз“:</w:t>
      </w:r>
    </w:p>
    <w:p>
      <w:pPr>
        <w:jc w:val="both"/>
        <w:rPr>
          <w:rFonts w:ascii="Times New Roman" w:hAnsi="Times New Roman" w:cs="Times New Roman"/>
          <w:noProof/>
          <w:sz w:val="24"/>
          <w:szCs w:val="24"/>
        </w:rPr>
      </w:pPr>
      <w:hyperlink r:id="rId16">
        <w:r>
          <w:rPr>
            <w:rStyle w:val="Hyperlink"/>
            <w:rFonts w:ascii="Times New Roman" w:hAnsi="Times New Roman"/>
            <w:noProof/>
            <w:sz w:val="24"/>
          </w:rPr>
          <w:t>http://ec.europa.eu/taxation_customs/sites/taxation/files/resources/documents/customs/customs_controls/counterfeit_piracy/statistics/2015_ipr_statistics.pdf</w:t>
        </w:r>
      </w:hyperlink>
    </w:p>
    <w:p>
      <w:pPr>
        <w:jc w:val="both"/>
        <w:rPr>
          <w:rFonts w:ascii="Times New Roman" w:hAnsi="Times New Roman" w:cs="Times New Roman"/>
          <w:noProof/>
          <w:sz w:val="24"/>
          <w:szCs w:val="24"/>
        </w:rPr>
      </w:pPr>
      <w:hyperlink r:id="rId17">
        <w:r>
          <w:rPr>
            <w:rStyle w:val="Hyperlink"/>
            <w:rFonts w:ascii="Times New Roman" w:hAnsi="Times New Roman"/>
            <w:noProof/>
            <w:sz w:val="24"/>
          </w:rPr>
          <w:t>https://ec.europa.eu/taxation_customs/sites/taxation/files/2016_ipr_statistics.pdf</w:t>
        </w:r>
      </w:hyperlink>
    </w:p>
    <w:p>
      <w:pPr>
        <w:tabs>
          <w:tab w:val="left" w:pos="924"/>
        </w:tabs>
        <w:jc w:val="both"/>
        <w:rPr>
          <w:rFonts w:ascii="Times New Roman" w:hAnsi="Times New Roman" w:cs="Times New Roman"/>
          <w:noProof/>
          <w:sz w:val="24"/>
          <w:szCs w:val="24"/>
        </w:rPr>
      </w:pPr>
      <w:r>
        <w:rPr>
          <w:noProof/>
        </w:rPr>
        <w:tab/>
      </w:r>
    </w:p>
    <w:p>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sz w:val="24"/>
          <w:szCs w:val="24"/>
        </w:rPr>
      </w:pPr>
      <w:r>
        <w:rPr>
          <w:rFonts w:ascii="Times New Roman" w:hAnsi="Times New Roman"/>
          <w:b/>
          <w:noProof/>
          <w:sz w:val="24"/>
        </w:rPr>
        <w:t>6.</w:t>
      </w:r>
      <w:r>
        <w:rPr>
          <w:noProof/>
        </w:rPr>
        <w:tab/>
      </w:r>
      <w:r>
        <w:rPr>
          <w:rFonts w:ascii="Times New Roman" w:hAnsi="Times New Roman"/>
          <w:b/>
          <w:noProof/>
          <w:sz w:val="24"/>
        </w:rPr>
        <w:t>ЗАКЛЮЧЕНИЯ</w:t>
      </w:r>
    </w:p>
    <w:p>
      <w:pPr>
        <w:jc w:val="both"/>
        <w:rPr>
          <w:rFonts w:ascii="Times New Roman" w:hAnsi="Times New Roman" w:cs="Times New Roman"/>
          <w:noProof/>
          <w:sz w:val="24"/>
          <w:szCs w:val="24"/>
        </w:rPr>
      </w:pPr>
      <w:r>
        <w:rPr>
          <w:rFonts w:ascii="Times New Roman" w:hAnsi="Times New Roman"/>
          <w:noProof/>
          <w:sz w:val="24"/>
        </w:rPr>
        <w:t>На настоящия етап Комисията счита, че прилагането на Регламент (ЕС) № 608/2013 се извършва по удовлетворителен начин. С него се предвиждат широк обхват на закрила и процедури, които се използват правилно във всички 28 държави членки.</w:t>
      </w:r>
    </w:p>
    <w:p>
      <w:pPr>
        <w:jc w:val="both"/>
        <w:rPr>
          <w:rFonts w:ascii="Times New Roman" w:hAnsi="Times New Roman" w:cs="Times New Roman"/>
          <w:noProof/>
          <w:sz w:val="24"/>
          <w:szCs w:val="24"/>
        </w:rPr>
      </w:pPr>
      <w:r>
        <w:rPr>
          <w:rFonts w:ascii="Times New Roman" w:hAnsi="Times New Roman"/>
          <w:noProof/>
          <w:sz w:val="24"/>
        </w:rPr>
        <w:t>Безспорно е налице необходимост от увеличаване на усилията в някои области като:</w:t>
      </w:r>
    </w:p>
    <w:p>
      <w:pPr>
        <w:numPr>
          <w:ilvl w:val="0"/>
          <w:numId w:val="13"/>
        </w:numPr>
        <w:spacing w:after="120"/>
        <w:ind w:left="709" w:hanging="425"/>
        <w:jc w:val="both"/>
        <w:rPr>
          <w:rFonts w:ascii="Times New Roman" w:eastAsia="Times New Roman" w:hAnsi="Times New Roman" w:cs="Times New Roman"/>
          <w:noProof/>
          <w:sz w:val="24"/>
          <w:szCs w:val="24"/>
        </w:rPr>
      </w:pPr>
      <w:r>
        <w:rPr>
          <w:rFonts w:ascii="Times New Roman" w:hAnsi="Times New Roman"/>
          <w:noProof/>
          <w:sz w:val="24"/>
        </w:rPr>
        <w:t>качеството на информацията, съдържаща се в заявленията за намеса, по-специално съюзните ЗН;</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hAnsi="Times New Roman"/>
          <w:noProof/>
          <w:sz w:val="24"/>
        </w:rPr>
        <w:t>използването на стандартната процедура в съответствие с характеристиките на процедурата, определени в Регламент (ЕС) № 608/2013.</w:t>
      </w:r>
    </w:p>
    <w:p>
      <w:pPr>
        <w:jc w:val="both"/>
        <w:rPr>
          <w:rFonts w:ascii="Times New Roman" w:hAnsi="Times New Roman" w:cs="Times New Roman"/>
          <w:noProof/>
          <w:sz w:val="24"/>
          <w:szCs w:val="24"/>
        </w:rPr>
      </w:pPr>
      <w:r>
        <w:rPr>
          <w:rFonts w:ascii="Times New Roman" w:hAnsi="Times New Roman"/>
          <w:noProof/>
          <w:sz w:val="24"/>
        </w:rPr>
        <w:t>Това ще бъде обсъдено допълнително в контекста на действията, предвидени в Плана за действие на ЕС в областта на митниците за борба с нарушенията на ПИС за периода 2013—2017 г. и при последващите действия във връзка със семинара „Митници 2020“ по отношение на заявленията за намеса.</w:t>
      </w:r>
    </w:p>
    <w:p>
      <w:pPr>
        <w:jc w:val="both"/>
        <w:rPr>
          <w:rFonts w:ascii="Times New Roman" w:hAnsi="Times New Roman" w:cs="Times New Roman"/>
          <w:noProof/>
          <w:sz w:val="24"/>
          <w:szCs w:val="24"/>
        </w:rPr>
      </w:pPr>
      <w:r>
        <w:rPr>
          <w:rFonts w:ascii="Times New Roman" w:hAnsi="Times New Roman"/>
          <w:noProof/>
          <w:sz w:val="24"/>
        </w:rPr>
        <w:t>Функционирането и обработването на малките пратки безспорно продължава да бъде предизвикателство, тъй като продажбите през интернет се увеличават все повече, особено продажбите на продукти, нарушаващи ПИС. Работата по този въпрос ще продължи във вече съществуващата работна група за малките пратки, чиято дейност ще бъде възобновена през 2017 г.</w:t>
      </w:r>
    </w:p>
    <w:p>
      <w:pPr>
        <w:jc w:val="both"/>
        <w:rPr>
          <w:rFonts w:ascii="Times New Roman" w:hAnsi="Times New Roman" w:cs="Times New Roman"/>
          <w:noProof/>
          <w:sz w:val="24"/>
          <w:szCs w:val="24"/>
        </w:rPr>
      </w:pPr>
      <w:r>
        <w:rPr>
          <w:rFonts w:ascii="Times New Roman" w:hAnsi="Times New Roman"/>
          <w:noProof/>
          <w:sz w:val="24"/>
        </w:rPr>
        <w:t>Опасенията, изразени от частния сектор, също ще бъдат обсъдени с митническите органи на държавите членки с цел да се прецени дали са основателни и дали могат да бъдат предвидени решения.</w:t>
      </w:r>
    </w:p>
    <w:p>
      <w:pPr>
        <w:jc w:val="both"/>
        <w:rPr>
          <w:rFonts w:ascii="Times New Roman" w:hAnsi="Times New Roman" w:cs="Times New Roman"/>
          <w:noProof/>
          <w:sz w:val="24"/>
          <w:szCs w:val="24"/>
        </w:rPr>
      </w:pPr>
      <w:r>
        <w:rPr>
          <w:rFonts w:ascii="Times New Roman" w:hAnsi="Times New Roman"/>
          <w:noProof/>
          <w:sz w:val="24"/>
        </w:rPr>
        <w:t>Комисията заключи, че към настоящия момент не са налице основания за преразглеждане на разпоредби от Регламент (ЕС) № 608/2013.</w:t>
      </w:r>
    </w:p>
    <w:p>
      <w:pPr>
        <w:jc w:val="both"/>
        <w:rPr>
          <w:rFonts w:ascii="Times New Roman" w:hAnsi="Times New Roman" w:cs="Times New Roman"/>
          <w:noProof/>
          <w:sz w:val="24"/>
          <w:szCs w:val="24"/>
        </w:rPr>
      </w:pPr>
      <w:r>
        <w:rPr>
          <w:rFonts w:ascii="Times New Roman" w:hAnsi="Times New Roman"/>
          <w:noProof/>
          <w:sz w:val="24"/>
        </w:rPr>
        <w:t>Планът за действие на ЕС в областта на митниците за борба с нарушенията на ПИС за периода 2013—2017 г. ще бъде оценен по-късно през настоящата година. С цел по-добро преодоляване на предизвикателствата, пред които е изправен ЕС по отношение на нарушенията на ПИС, може да е подходящо да се обмисли бъдещ глобален план за действие за защитата на ПИС в ЕС, който да обхваща не само намесата на митническите органи, но и действията, които понастоящем са обхванати от Съобщението от юли 2014 г. „Към обновен консенсус относно прилагането на правата върху интелектуалната собственост: план за действие на ЕС“</w:t>
      </w:r>
      <w:r>
        <w:rPr>
          <w:rStyle w:val="FootnoteReference"/>
          <w:rFonts w:ascii="Times New Roman" w:hAnsi="Times New Roman"/>
          <w:noProof/>
          <w:sz w:val="24"/>
        </w:rPr>
        <w:footnoteReference w:id="12"/>
      </w:r>
      <w:r>
        <w:rPr>
          <w:rFonts w:ascii="Times New Roman" w:hAnsi="Times New Roman"/>
          <w:noProof/>
          <w:sz w:val="24"/>
        </w:rPr>
        <w:t>, както и дейностите, разработвани от Европейската обсерватория за нарушенията на правата на интелектуална собственост.</w:t>
      </w:r>
      <w:r>
        <w:rPr>
          <w:noProof/>
        </w:rPr>
        <w:br w:type="page"/>
      </w:r>
    </w:p>
    <w:p>
      <w:pPr>
        <w:jc w:val="both"/>
        <w:rPr>
          <w:rFonts w:ascii="Times New Roman" w:hAnsi="Times New Roman" w:cs="Times New Roman"/>
          <w:noProof/>
          <w:sz w:val="24"/>
          <w:szCs w:val="24"/>
          <w:u w:val="single"/>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pPr>
    </w:p>
    <w:p>
      <w:pPr>
        <w:spacing w:after="0"/>
        <w:jc w:val="both"/>
        <w:rPr>
          <w:rFonts w:ascii="Times New Roman" w:hAnsi="Times New Roman" w:cs="Times New Roman"/>
          <w:b/>
          <w:noProof/>
          <w:sz w:val="24"/>
          <w:szCs w:val="24"/>
          <w:u w:val="single"/>
        </w:rPr>
      </w:pPr>
      <w:r>
        <w:rPr>
          <w:rFonts w:ascii="Times New Roman" w:hAnsi="Times New Roman"/>
          <w:b/>
          <w:noProof/>
          <w:sz w:val="24"/>
          <w:u w:val="single"/>
        </w:rPr>
        <w:t>Приложение 1</w:t>
      </w:r>
    </w:p>
    <w:p>
      <w:pPr>
        <w:spacing w:after="0"/>
        <w:jc w:val="both"/>
        <w:rPr>
          <w:rFonts w:ascii="Times New Roman" w:hAnsi="Times New Roman" w:cs="Times New Roman"/>
          <w:noProof/>
          <w:sz w:val="24"/>
          <w:szCs w:val="24"/>
          <w:u w:val="single"/>
        </w:rPr>
      </w:pPr>
    </w:p>
    <w:p>
      <w:pPr>
        <w:spacing w:after="0"/>
        <w:jc w:val="both"/>
        <w:rPr>
          <w:rFonts w:ascii="Times New Roman" w:hAnsi="Times New Roman" w:cs="Times New Roman"/>
          <w:noProof/>
          <w:sz w:val="24"/>
          <w:szCs w:val="24"/>
        </w:rPr>
      </w:pPr>
      <w:r>
        <w:rPr>
          <w:rFonts w:ascii="Times New Roman" w:hAnsi="Times New Roman"/>
          <w:noProof/>
          <w:sz w:val="24"/>
        </w:rPr>
        <w:t>Брой на заявленията за намеса (ЗН) по вид на правата — положение към 15 септември 2016 г.</w:t>
      </w:r>
    </w:p>
    <w:p>
      <w:pPr>
        <w:spacing w:after="0"/>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4446"/>
        <w:gridCol w:w="1314"/>
        <w:gridCol w:w="1310"/>
        <w:gridCol w:w="1372"/>
        <w:gridCol w:w="846"/>
      </w:tblGrid>
      <w:tr>
        <w:tc>
          <w:tcPr>
            <w:tcW w:w="4548" w:type="dxa"/>
            <w:tcBorders>
              <w:bottom w:val="single" w:sz="4" w:space="0" w:color="auto"/>
            </w:tcBorders>
          </w:tcPr>
          <w:p>
            <w:pPr>
              <w:jc w:val="both"/>
              <w:rPr>
                <w:rFonts w:ascii="Times New Roman" w:hAnsi="Times New Roman" w:cs="Times New Roman"/>
                <w:noProof/>
                <w:sz w:val="24"/>
                <w:szCs w:val="24"/>
              </w:rPr>
            </w:pPr>
          </w:p>
        </w:tc>
        <w:tc>
          <w:tcPr>
            <w:tcW w:w="1320"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Активни</w:t>
            </w:r>
          </w:p>
        </w:tc>
        <w:tc>
          <w:tcPr>
            <w:tcW w:w="1320"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С изтекъл срок</w:t>
            </w:r>
          </w:p>
        </w:tc>
        <w:tc>
          <w:tcPr>
            <w:tcW w:w="1320"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Оттеглени</w:t>
            </w:r>
          </w:p>
        </w:tc>
        <w:tc>
          <w:tcPr>
            <w:tcW w:w="780"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b/>
                <w:noProof/>
                <w:sz w:val="24"/>
              </w:rPr>
              <w:t>Общо</w:t>
            </w:r>
          </w:p>
        </w:tc>
      </w:tr>
      <w:tr>
        <w:tc>
          <w:tcPr>
            <w:tcW w:w="4548" w:type="dxa"/>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b/>
                <w:noProof/>
                <w:sz w:val="24"/>
              </w:rPr>
              <w:t>Географски указания</w:t>
            </w:r>
          </w:p>
        </w:tc>
        <w:tc>
          <w:tcPr>
            <w:tcW w:w="1320" w:type="dxa"/>
            <w:shd w:val="clear" w:color="auto" w:fill="BFBFBF" w:themeFill="background1" w:themeFillShade="BF"/>
          </w:tcPr>
          <w:p>
            <w:pPr>
              <w:jc w:val="both"/>
              <w:rPr>
                <w:rFonts w:ascii="Times New Roman" w:hAnsi="Times New Roman" w:cs="Times New Roman"/>
                <w:noProof/>
                <w:sz w:val="24"/>
                <w:szCs w:val="24"/>
              </w:rPr>
            </w:pPr>
          </w:p>
        </w:tc>
        <w:tc>
          <w:tcPr>
            <w:tcW w:w="1320" w:type="dxa"/>
            <w:shd w:val="clear" w:color="auto" w:fill="BFBFBF" w:themeFill="background1" w:themeFillShade="BF"/>
          </w:tcPr>
          <w:p>
            <w:pPr>
              <w:jc w:val="both"/>
              <w:rPr>
                <w:rFonts w:ascii="Times New Roman" w:hAnsi="Times New Roman" w:cs="Times New Roman"/>
                <w:noProof/>
                <w:sz w:val="24"/>
                <w:szCs w:val="24"/>
              </w:rPr>
            </w:pPr>
          </w:p>
        </w:tc>
        <w:tc>
          <w:tcPr>
            <w:tcW w:w="1320" w:type="dxa"/>
            <w:shd w:val="clear" w:color="auto" w:fill="BFBFBF" w:themeFill="background1" w:themeFillShade="BF"/>
          </w:tcPr>
          <w:p>
            <w:pPr>
              <w:jc w:val="both"/>
              <w:rPr>
                <w:rFonts w:ascii="Times New Roman" w:hAnsi="Times New Roman" w:cs="Times New Roman"/>
                <w:noProof/>
                <w:sz w:val="24"/>
                <w:szCs w:val="24"/>
              </w:rPr>
            </w:pPr>
          </w:p>
        </w:tc>
        <w:tc>
          <w:tcPr>
            <w:tcW w:w="780" w:type="dxa"/>
            <w:shd w:val="clear" w:color="auto" w:fill="BFBFBF" w:themeFill="background1" w:themeFillShade="BF"/>
          </w:tcPr>
          <w:p>
            <w:pPr>
              <w:jc w:val="both"/>
              <w:rPr>
                <w:rFonts w:ascii="Times New Roman" w:hAnsi="Times New Roman" w:cs="Times New Roman"/>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За ароматизирани напитки на винена основа</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Pr>
          <w:p>
            <w:pPr>
              <w:jc w:val="both"/>
              <w:rPr>
                <w:rFonts w:ascii="Times New Roman" w:hAnsi="Times New Roman" w:cs="Times New Roman"/>
                <w:noProof/>
                <w:sz w:val="24"/>
                <w:szCs w:val="24"/>
              </w:rPr>
            </w:pPr>
            <w:r>
              <w:rPr>
                <w:rFonts w:ascii="Times New Roman" w:hAnsi="Times New Roman"/>
                <w:noProof/>
                <w:sz w:val="24"/>
              </w:rPr>
              <w:t>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За продукти, изброени в споразумения с трети държави</w:t>
            </w:r>
          </w:p>
        </w:tc>
        <w:tc>
          <w:tcPr>
            <w:tcW w:w="1320" w:type="dxa"/>
          </w:tcPr>
          <w:p>
            <w:pPr>
              <w:jc w:val="both"/>
              <w:rPr>
                <w:rFonts w:ascii="Times New Roman" w:hAnsi="Times New Roman" w:cs="Times New Roman"/>
                <w:noProof/>
                <w:sz w:val="24"/>
                <w:szCs w:val="24"/>
              </w:rPr>
            </w:pPr>
            <w:r>
              <w:rPr>
                <w:rFonts w:ascii="Times New Roman" w:hAnsi="Times New Roman"/>
                <w:noProof/>
                <w:sz w:val="24"/>
              </w:rPr>
              <w:t>1</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Pr>
          <w:p>
            <w:pPr>
              <w:jc w:val="both"/>
              <w:rPr>
                <w:rFonts w:ascii="Times New Roman" w:hAnsi="Times New Roman" w:cs="Times New Roman"/>
                <w:noProof/>
                <w:sz w:val="24"/>
                <w:szCs w:val="24"/>
              </w:rPr>
            </w:pPr>
            <w:r>
              <w:rPr>
                <w:rFonts w:ascii="Times New Roman" w:hAnsi="Times New Roman"/>
                <w:noProof/>
                <w:sz w:val="24"/>
              </w:rPr>
              <w:t>1</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За селскостопански продукти и храни</w:t>
            </w:r>
          </w:p>
        </w:tc>
        <w:tc>
          <w:tcPr>
            <w:tcW w:w="1320" w:type="dxa"/>
          </w:tcPr>
          <w:p>
            <w:pPr>
              <w:jc w:val="both"/>
              <w:rPr>
                <w:rFonts w:ascii="Times New Roman" w:hAnsi="Times New Roman" w:cs="Times New Roman"/>
                <w:noProof/>
                <w:sz w:val="24"/>
                <w:szCs w:val="24"/>
              </w:rPr>
            </w:pPr>
            <w:r>
              <w:rPr>
                <w:rFonts w:ascii="Times New Roman" w:hAnsi="Times New Roman"/>
                <w:noProof/>
                <w:sz w:val="24"/>
              </w:rPr>
              <w:t>5</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Pr>
          <w:p>
            <w:pPr>
              <w:jc w:val="both"/>
              <w:rPr>
                <w:rFonts w:ascii="Times New Roman" w:hAnsi="Times New Roman" w:cs="Times New Roman"/>
                <w:noProof/>
                <w:sz w:val="24"/>
                <w:szCs w:val="24"/>
              </w:rPr>
            </w:pPr>
            <w:r>
              <w:rPr>
                <w:rFonts w:ascii="Times New Roman" w:hAnsi="Times New Roman"/>
                <w:noProof/>
                <w:sz w:val="24"/>
              </w:rPr>
              <w:t>5</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За алкохолни напитки</w:t>
            </w:r>
          </w:p>
        </w:tc>
        <w:tc>
          <w:tcPr>
            <w:tcW w:w="1320" w:type="dxa"/>
          </w:tcPr>
          <w:p>
            <w:pPr>
              <w:jc w:val="both"/>
              <w:rPr>
                <w:rFonts w:ascii="Times New Roman" w:hAnsi="Times New Roman" w:cs="Times New Roman"/>
                <w:noProof/>
                <w:sz w:val="24"/>
                <w:szCs w:val="24"/>
              </w:rPr>
            </w:pPr>
            <w:r>
              <w:rPr>
                <w:rFonts w:ascii="Times New Roman" w:hAnsi="Times New Roman"/>
                <w:noProof/>
                <w:sz w:val="24"/>
              </w:rPr>
              <w:t>2</w:t>
            </w:r>
          </w:p>
        </w:tc>
        <w:tc>
          <w:tcPr>
            <w:tcW w:w="1320" w:type="dxa"/>
          </w:tcPr>
          <w:p>
            <w:pPr>
              <w:jc w:val="both"/>
              <w:rPr>
                <w:rFonts w:ascii="Times New Roman" w:hAnsi="Times New Roman" w:cs="Times New Roman"/>
                <w:noProof/>
                <w:sz w:val="24"/>
                <w:szCs w:val="24"/>
              </w:rPr>
            </w:pPr>
            <w:r>
              <w:rPr>
                <w:rFonts w:ascii="Times New Roman" w:hAnsi="Times New Roman"/>
                <w:noProof/>
                <w:sz w:val="24"/>
              </w:rPr>
              <w:t>1</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Pr>
          <w:p>
            <w:pPr>
              <w:jc w:val="both"/>
              <w:rPr>
                <w:rFonts w:ascii="Times New Roman" w:hAnsi="Times New Roman" w:cs="Times New Roman"/>
                <w:noProof/>
                <w:sz w:val="24"/>
                <w:szCs w:val="24"/>
              </w:rPr>
            </w:pPr>
            <w:r>
              <w:rPr>
                <w:rFonts w:ascii="Times New Roman" w:hAnsi="Times New Roman"/>
                <w:noProof/>
                <w:sz w:val="24"/>
              </w:rPr>
              <w:t>3</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За вино</w:t>
            </w:r>
          </w:p>
        </w:tc>
        <w:tc>
          <w:tcPr>
            <w:tcW w:w="1320" w:type="dxa"/>
          </w:tcPr>
          <w:p>
            <w:pPr>
              <w:jc w:val="both"/>
              <w:rPr>
                <w:rFonts w:ascii="Times New Roman" w:hAnsi="Times New Roman" w:cs="Times New Roman"/>
                <w:noProof/>
                <w:sz w:val="24"/>
                <w:szCs w:val="24"/>
              </w:rPr>
            </w:pPr>
            <w:r>
              <w:rPr>
                <w:rFonts w:ascii="Times New Roman" w:hAnsi="Times New Roman"/>
                <w:noProof/>
                <w:sz w:val="24"/>
              </w:rPr>
              <w:t>3</w:t>
            </w:r>
          </w:p>
        </w:tc>
        <w:tc>
          <w:tcPr>
            <w:tcW w:w="1320" w:type="dxa"/>
          </w:tcPr>
          <w:p>
            <w:pPr>
              <w:jc w:val="both"/>
              <w:rPr>
                <w:rFonts w:ascii="Times New Roman" w:hAnsi="Times New Roman" w:cs="Times New Roman"/>
                <w:noProof/>
                <w:sz w:val="24"/>
                <w:szCs w:val="24"/>
              </w:rPr>
            </w:pPr>
            <w:r>
              <w:rPr>
                <w:rFonts w:ascii="Times New Roman" w:hAnsi="Times New Roman"/>
                <w:noProof/>
                <w:sz w:val="24"/>
              </w:rPr>
              <w:t>2</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Pr>
          <w:p>
            <w:pPr>
              <w:jc w:val="both"/>
              <w:rPr>
                <w:rFonts w:ascii="Times New Roman" w:hAnsi="Times New Roman" w:cs="Times New Roman"/>
                <w:noProof/>
                <w:sz w:val="24"/>
                <w:szCs w:val="24"/>
              </w:rPr>
            </w:pPr>
            <w:r>
              <w:rPr>
                <w:rFonts w:ascii="Times New Roman" w:hAnsi="Times New Roman"/>
                <w:noProof/>
                <w:sz w:val="24"/>
              </w:rPr>
              <w:t>5</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Национални географски указания за други продукти</w:t>
            </w:r>
          </w:p>
        </w:tc>
        <w:tc>
          <w:tcPr>
            <w:tcW w:w="132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0</w:t>
            </w:r>
          </w:p>
        </w:tc>
        <w:tc>
          <w:tcPr>
            <w:tcW w:w="132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0</w:t>
            </w:r>
          </w:p>
        </w:tc>
        <w:tc>
          <w:tcPr>
            <w:tcW w:w="132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0</w:t>
            </w:r>
          </w:p>
        </w:tc>
      </w:tr>
      <w:tr>
        <w:tc>
          <w:tcPr>
            <w:tcW w:w="4548" w:type="dxa"/>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b/>
                <w:noProof/>
                <w:sz w:val="24"/>
              </w:rPr>
              <w:t>Промишлен дизайн</w:t>
            </w:r>
          </w:p>
        </w:tc>
        <w:tc>
          <w:tcPr>
            <w:tcW w:w="1320" w:type="dxa"/>
            <w:shd w:val="clear" w:color="auto" w:fill="A6A6A6" w:themeFill="background1" w:themeFillShade="A6"/>
          </w:tcPr>
          <w:p>
            <w:pPr>
              <w:jc w:val="both"/>
              <w:rPr>
                <w:rFonts w:ascii="Times New Roman" w:hAnsi="Times New Roman" w:cs="Times New Roman"/>
                <w:b/>
                <w:noProof/>
                <w:sz w:val="24"/>
                <w:szCs w:val="24"/>
              </w:rPr>
            </w:pPr>
          </w:p>
        </w:tc>
        <w:tc>
          <w:tcPr>
            <w:tcW w:w="1320" w:type="dxa"/>
            <w:shd w:val="clear" w:color="auto" w:fill="A6A6A6" w:themeFill="background1" w:themeFillShade="A6"/>
          </w:tcPr>
          <w:p>
            <w:pPr>
              <w:jc w:val="both"/>
              <w:rPr>
                <w:rFonts w:ascii="Times New Roman" w:hAnsi="Times New Roman" w:cs="Times New Roman"/>
                <w:b/>
                <w:noProof/>
                <w:sz w:val="24"/>
                <w:szCs w:val="24"/>
              </w:rPr>
            </w:pPr>
          </w:p>
        </w:tc>
        <w:tc>
          <w:tcPr>
            <w:tcW w:w="1320" w:type="dxa"/>
            <w:shd w:val="clear" w:color="auto" w:fill="A6A6A6" w:themeFill="background1" w:themeFillShade="A6"/>
          </w:tcPr>
          <w:p>
            <w:pPr>
              <w:jc w:val="both"/>
              <w:rPr>
                <w:rFonts w:ascii="Times New Roman" w:hAnsi="Times New Roman" w:cs="Times New Roman"/>
                <w:b/>
                <w:noProof/>
                <w:sz w:val="24"/>
                <w:szCs w:val="24"/>
              </w:rPr>
            </w:pPr>
          </w:p>
        </w:tc>
        <w:tc>
          <w:tcPr>
            <w:tcW w:w="780" w:type="dxa"/>
            <w:shd w:val="clear" w:color="auto" w:fill="A6A6A6" w:themeFill="background1" w:themeFillShade="A6"/>
          </w:tcPr>
          <w:p>
            <w:pPr>
              <w:jc w:val="both"/>
              <w:rPr>
                <w:rFonts w:ascii="Times New Roman" w:hAnsi="Times New Roman" w:cs="Times New Roman"/>
                <w:b/>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Регистриран промишлен дизайн на Общността</w:t>
            </w:r>
          </w:p>
        </w:tc>
        <w:tc>
          <w:tcPr>
            <w:tcW w:w="1320" w:type="dxa"/>
          </w:tcPr>
          <w:p>
            <w:pPr>
              <w:jc w:val="both"/>
              <w:rPr>
                <w:rFonts w:ascii="Times New Roman" w:hAnsi="Times New Roman" w:cs="Times New Roman"/>
                <w:noProof/>
                <w:sz w:val="24"/>
                <w:szCs w:val="24"/>
              </w:rPr>
            </w:pPr>
            <w:r>
              <w:rPr>
                <w:rFonts w:ascii="Times New Roman" w:hAnsi="Times New Roman"/>
                <w:noProof/>
                <w:sz w:val="24"/>
              </w:rPr>
              <w:t>627</w:t>
            </w:r>
          </w:p>
        </w:tc>
        <w:tc>
          <w:tcPr>
            <w:tcW w:w="1320" w:type="dxa"/>
          </w:tcPr>
          <w:p>
            <w:pPr>
              <w:jc w:val="both"/>
              <w:rPr>
                <w:rFonts w:ascii="Times New Roman" w:hAnsi="Times New Roman" w:cs="Times New Roman"/>
                <w:noProof/>
                <w:sz w:val="24"/>
                <w:szCs w:val="24"/>
              </w:rPr>
            </w:pPr>
            <w:r>
              <w:rPr>
                <w:rFonts w:ascii="Times New Roman" w:hAnsi="Times New Roman"/>
                <w:noProof/>
                <w:sz w:val="24"/>
              </w:rPr>
              <w:t>398</w:t>
            </w:r>
          </w:p>
        </w:tc>
        <w:tc>
          <w:tcPr>
            <w:tcW w:w="1320" w:type="dxa"/>
          </w:tcPr>
          <w:p>
            <w:pPr>
              <w:jc w:val="both"/>
              <w:rPr>
                <w:rFonts w:ascii="Times New Roman" w:hAnsi="Times New Roman" w:cs="Times New Roman"/>
                <w:noProof/>
                <w:sz w:val="24"/>
                <w:szCs w:val="24"/>
              </w:rPr>
            </w:pPr>
            <w:r>
              <w:rPr>
                <w:rFonts w:ascii="Times New Roman" w:hAnsi="Times New Roman"/>
                <w:noProof/>
                <w:sz w:val="24"/>
              </w:rPr>
              <w:t>58</w:t>
            </w:r>
          </w:p>
        </w:tc>
        <w:tc>
          <w:tcPr>
            <w:tcW w:w="780" w:type="dxa"/>
          </w:tcPr>
          <w:p>
            <w:pPr>
              <w:jc w:val="both"/>
              <w:rPr>
                <w:rFonts w:ascii="Times New Roman" w:hAnsi="Times New Roman" w:cs="Times New Roman"/>
                <w:noProof/>
                <w:sz w:val="24"/>
                <w:szCs w:val="24"/>
              </w:rPr>
            </w:pPr>
            <w:r>
              <w:rPr>
                <w:rFonts w:ascii="Times New Roman" w:hAnsi="Times New Roman"/>
                <w:noProof/>
                <w:sz w:val="24"/>
              </w:rPr>
              <w:t>1083</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Нерегистриран промишлен дизайн на Общността</w:t>
            </w:r>
          </w:p>
        </w:tc>
        <w:tc>
          <w:tcPr>
            <w:tcW w:w="1320" w:type="dxa"/>
          </w:tcPr>
          <w:p>
            <w:pPr>
              <w:jc w:val="both"/>
              <w:rPr>
                <w:rFonts w:ascii="Times New Roman" w:hAnsi="Times New Roman" w:cs="Times New Roman"/>
                <w:noProof/>
                <w:sz w:val="24"/>
                <w:szCs w:val="24"/>
              </w:rPr>
            </w:pPr>
            <w:r>
              <w:rPr>
                <w:rFonts w:ascii="Times New Roman" w:hAnsi="Times New Roman"/>
                <w:noProof/>
                <w:sz w:val="24"/>
              </w:rPr>
              <w:t>11</w:t>
            </w:r>
          </w:p>
        </w:tc>
        <w:tc>
          <w:tcPr>
            <w:tcW w:w="1320" w:type="dxa"/>
          </w:tcPr>
          <w:p>
            <w:pPr>
              <w:jc w:val="both"/>
              <w:rPr>
                <w:rFonts w:ascii="Times New Roman" w:hAnsi="Times New Roman" w:cs="Times New Roman"/>
                <w:noProof/>
                <w:sz w:val="24"/>
                <w:szCs w:val="24"/>
              </w:rPr>
            </w:pPr>
            <w:r>
              <w:rPr>
                <w:rFonts w:ascii="Times New Roman" w:hAnsi="Times New Roman"/>
                <w:noProof/>
                <w:sz w:val="24"/>
              </w:rPr>
              <w:t>11</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Pr>
          <w:p>
            <w:pPr>
              <w:jc w:val="both"/>
              <w:rPr>
                <w:rFonts w:ascii="Times New Roman" w:hAnsi="Times New Roman" w:cs="Times New Roman"/>
                <w:noProof/>
                <w:sz w:val="24"/>
                <w:szCs w:val="24"/>
              </w:rPr>
            </w:pPr>
            <w:r>
              <w:rPr>
                <w:rFonts w:ascii="Times New Roman" w:hAnsi="Times New Roman"/>
                <w:noProof/>
                <w:sz w:val="24"/>
              </w:rPr>
              <w:t>22</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Регистриран международен промишлен дизайн</w:t>
            </w:r>
          </w:p>
        </w:tc>
        <w:tc>
          <w:tcPr>
            <w:tcW w:w="1320" w:type="dxa"/>
          </w:tcPr>
          <w:p>
            <w:pPr>
              <w:jc w:val="both"/>
              <w:rPr>
                <w:rFonts w:ascii="Times New Roman" w:hAnsi="Times New Roman" w:cs="Times New Roman"/>
                <w:noProof/>
                <w:sz w:val="24"/>
                <w:szCs w:val="24"/>
              </w:rPr>
            </w:pPr>
            <w:r>
              <w:rPr>
                <w:rFonts w:ascii="Times New Roman" w:hAnsi="Times New Roman"/>
                <w:noProof/>
                <w:sz w:val="24"/>
              </w:rPr>
              <w:t>109</w:t>
            </w:r>
          </w:p>
        </w:tc>
        <w:tc>
          <w:tcPr>
            <w:tcW w:w="1320" w:type="dxa"/>
          </w:tcPr>
          <w:p>
            <w:pPr>
              <w:jc w:val="both"/>
              <w:rPr>
                <w:rFonts w:ascii="Times New Roman" w:hAnsi="Times New Roman" w:cs="Times New Roman"/>
                <w:noProof/>
                <w:sz w:val="24"/>
                <w:szCs w:val="24"/>
              </w:rPr>
            </w:pPr>
            <w:r>
              <w:rPr>
                <w:rFonts w:ascii="Times New Roman" w:hAnsi="Times New Roman"/>
                <w:noProof/>
                <w:sz w:val="24"/>
              </w:rPr>
              <w:t>73</w:t>
            </w:r>
          </w:p>
        </w:tc>
        <w:tc>
          <w:tcPr>
            <w:tcW w:w="1320" w:type="dxa"/>
          </w:tcPr>
          <w:p>
            <w:pPr>
              <w:jc w:val="both"/>
              <w:rPr>
                <w:rFonts w:ascii="Times New Roman" w:hAnsi="Times New Roman" w:cs="Times New Roman"/>
                <w:noProof/>
                <w:sz w:val="24"/>
                <w:szCs w:val="24"/>
              </w:rPr>
            </w:pPr>
            <w:r>
              <w:rPr>
                <w:rFonts w:ascii="Times New Roman" w:hAnsi="Times New Roman"/>
                <w:noProof/>
                <w:sz w:val="24"/>
              </w:rPr>
              <w:t>4</w:t>
            </w:r>
          </w:p>
        </w:tc>
        <w:tc>
          <w:tcPr>
            <w:tcW w:w="780" w:type="dxa"/>
          </w:tcPr>
          <w:p>
            <w:pPr>
              <w:jc w:val="both"/>
              <w:rPr>
                <w:rFonts w:ascii="Times New Roman" w:hAnsi="Times New Roman" w:cs="Times New Roman"/>
                <w:noProof/>
                <w:sz w:val="24"/>
                <w:szCs w:val="24"/>
              </w:rPr>
            </w:pPr>
            <w:r>
              <w:rPr>
                <w:rFonts w:ascii="Times New Roman" w:hAnsi="Times New Roman"/>
                <w:noProof/>
                <w:sz w:val="24"/>
              </w:rPr>
              <w:t>186</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Национален промишлен дизайн</w:t>
            </w:r>
          </w:p>
        </w:tc>
        <w:tc>
          <w:tcPr>
            <w:tcW w:w="132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128</w:t>
            </w:r>
          </w:p>
        </w:tc>
        <w:tc>
          <w:tcPr>
            <w:tcW w:w="132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63</w:t>
            </w:r>
          </w:p>
        </w:tc>
        <w:tc>
          <w:tcPr>
            <w:tcW w:w="132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2</w:t>
            </w:r>
          </w:p>
        </w:tc>
        <w:tc>
          <w:tcPr>
            <w:tcW w:w="78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193</w:t>
            </w:r>
          </w:p>
        </w:tc>
      </w:tr>
      <w:tr>
        <w:tc>
          <w:tcPr>
            <w:tcW w:w="4548" w:type="dxa"/>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b/>
                <w:noProof/>
                <w:sz w:val="24"/>
              </w:rPr>
              <w:t>Търговски марки</w:t>
            </w:r>
          </w:p>
        </w:tc>
        <w:tc>
          <w:tcPr>
            <w:tcW w:w="1320" w:type="dxa"/>
            <w:shd w:val="clear" w:color="auto" w:fill="A6A6A6" w:themeFill="background1" w:themeFillShade="A6"/>
          </w:tcPr>
          <w:p>
            <w:pPr>
              <w:jc w:val="both"/>
              <w:rPr>
                <w:rFonts w:ascii="Times New Roman" w:hAnsi="Times New Roman" w:cs="Times New Roman"/>
                <w:b/>
                <w:noProof/>
                <w:sz w:val="24"/>
                <w:szCs w:val="24"/>
              </w:rPr>
            </w:pPr>
          </w:p>
        </w:tc>
        <w:tc>
          <w:tcPr>
            <w:tcW w:w="1320" w:type="dxa"/>
            <w:shd w:val="clear" w:color="auto" w:fill="A6A6A6" w:themeFill="background1" w:themeFillShade="A6"/>
          </w:tcPr>
          <w:p>
            <w:pPr>
              <w:jc w:val="both"/>
              <w:rPr>
                <w:rFonts w:ascii="Times New Roman" w:hAnsi="Times New Roman" w:cs="Times New Roman"/>
                <w:b/>
                <w:noProof/>
                <w:sz w:val="24"/>
                <w:szCs w:val="24"/>
              </w:rPr>
            </w:pPr>
          </w:p>
        </w:tc>
        <w:tc>
          <w:tcPr>
            <w:tcW w:w="1320" w:type="dxa"/>
            <w:shd w:val="clear" w:color="auto" w:fill="A6A6A6" w:themeFill="background1" w:themeFillShade="A6"/>
          </w:tcPr>
          <w:p>
            <w:pPr>
              <w:jc w:val="both"/>
              <w:rPr>
                <w:rFonts w:ascii="Times New Roman" w:hAnsi="Times New Roman" w:cs="Times New Roman"/>
                <w:b/>
                <w:noProof/>
                <w:sz w:val="24"/>
                <w:szCs w:val="24"/>
              </w:rPr>
            </w:pPr>
          </w:p>
        </w:tc>
        <w:tc>
          <w:tcPr>
            <w:tcW w:w="780" w:type="dxa"/>
            <w:shd w:val="clear" w:color="auto" w:fill="A6A6A6" w:themeFill="background1" w:themeFillShade="A6"/>
          </w:tcPr>
          <w:p>
            <w:pPr>
              <w:jc w:val="both"/>
              <w:rPr>
                <w:rFonts w:ascii="Times New Roman" w:hAnsi="Times New Roman" w:cs="Times New Roman"/>
                <w:b/>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Търговска марка на ЕС</w:t>
            </w:r>
          </w:p>
        </w:tc>
        <w:tc>
          <w:tcPr>
            <w:tcW w:w="1320" w:type="dxa"/>
          </w:tcPr>
          <w:p>
            <w:pPr>
              <w:jc w:val="both"/>
              <w:rPr>
                <w:rFonts w:ascii="Times New Roman" w:hAnsi="Times New Roman" w:cs="Times New Roman"/>
                <w:noProof/>
                <w:sz w:val="24"/>
                <w:szCs w:val="24"/>
              </w:rPr>
            </w:pPr>
            <w:r>
              <w:rPr>
                <w:rFonts w:ascii="Times New Roman" w:hAnsi="Times New Roman"/>
                <w:noProof/>
                <w:sz w:val="24"/>
              </w:rPr>
              <w:t>2326</w:t>
            </w:r>
          </w:p>
        </w:tc>
        <w:tc>
          <w:tcPr>
            <w:tcW w:w="1320" w:type="dxa"/>
          </w:tcPr>
          <w:p>
            <w:pPr>
              <w:jc w:val="both"/>
              <w:rPr>
                <w:rFonts w:ascii="Times New Roman" w:hAnsi="Times New Roman" w:cs="Times New Roman"/>
                <w:noProof/>
                <w:sz w:val="24"/>
                <w:szCs w:val="24"/>
              </w:rPr>
            </w:pPr>
            <w:r>
              <w:rPr>
                <w:rFonts w:ascii="Times New Roman" w:hAnsi="Times New Roman"/>
                <w:noProof/>
                <w:sz w:val="24"/>
              </w:rPr>
              <w:t>1596</w:t>
            </w:r>
          </w:p>
        </w:tc>
        <w:tc>
          <w:tcPr>
            <w:tcW w:w="1320" w:type="dxa"/>
          </w:tcPr>
          <w:p>
            <w:pPr>
              <w:jc w:val="both"/>
              <w:rPr>
                <w:rFonts w:ascii="Times New Roman" w:hAnsi="Times New Roman" w:cs="Times New Roman"/>
                <w:noProof/>
                <w:sz w:val="24"/>
                <w:szCs w:val="24"/>
              </w:rPr>
            </w:pPr>
            <w:r>
              <w:rPr>
                <w:rFonts w:ascii="Times New Roman" w:hAnsi="Times New Roman"/>
                <w:noProof/>
                <w:sz w:val="24"/>
              </w:rPr>
              <w:t>118</w:t>
            </w:r>
          </w:p>
        </w:tc>
        <w:tc>
          <w:tcPr>
            <w:tcW w:w="780" w:type="dxa"/>
          </w:tcPr>
          <w:p>
            <w:pPr>
              <w:jc w:val="both"/>
              <w:rPr>
                <w:rFonts w:ascii="Times New Roman" w:hAnsi="Times New Roman" w:cs="Times New Roman"/>
                <w:noProof/>
                <w:sz w:val="24"/>
                <w:szCs w:val="24"/>
              </w:rPr>
            </w:pPr>
            <w:r>
              <w:rPr>
                <w:rFonts w:ascii="Times New Roman" w:hAnsi="Times New Roman"/>
                <w:noProof/>
                <w:sz w:val="24"/>
              </w:rPr>
              <w:t>4040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Международна търговска марка</w:t>
            </w:r>
          </w:p>
        </w:tc>
        <w:tc>
          <w:tcPr>
            <w:tcW w:w="1320" w:type="dxa"/>
          </w:tcPr>
          <w:p>
            <w:pPr>
              <w:jc w:val="both"/>
              <w:rPr>
                <w:rFonts w:ascii="Times New Roman" w:hAnsi="Times New Roman" w:cs="Times New Roman"/>
                <w:noProof/>
                <w:sz w:val="24"/>
                <w:szCs w:val="24"/>
              </w:rPr>
            </w:pPr>
            <w:r>
              <w:rPr>
                <w:rFonts w:ascii="Times New Roman" w:hAnsi="Times New Roman"/>
                <w:noProof/>
                <w:sz w:val="24"/>
              </w:rPr>
              <w:t>1053</w:t>
            </w:r>
          </w:p>
        </w:tc>
        <w:tc>
          <w:tcPr>
            <w:tcW w:w="1320" w:type="dxa"/>
          </w:tcPr>
          <w:p>
            <w:pPr>
              <w:jc w:val="both"/>
              <w:rPr>
                <w:rFonts w:ascii="Times New Roman" w:hAnsi="Times New Roman" w:cs="Times New Roman"/>
                <w:noProof/>
                <w:sz w:val="24"/>
                <w:szCs w:val="24"/>
              </w:rPr>
            </w:pPr>
            <w:r>
              <w:rPr>
                <w:rFonts w:ascii="Times New Roman" w:hAnsi="Times New Roman"/>
                <w:noProof/>
                <w:sz w:val="24"/>
              </w:rPr>
              <w:t>832</w:t>
            </w:r>
          </w:p>
        </w:tc>
        <w:tc>
          <w:tcPr>
            <w:tcW w:w="1320" w:type="dxa"/>
          </w:tcPr>
          <w:p>
            <w:pPr>
              <w:jc w:val="both"/>
              <w:rPr>
                <w:rFonts w:ascii="Times New Roman" w:hAnsi="Times New Roman" w:cs="Times New Roman"/>
                <w:noProof/>
                <w:sz w:val="24"/>
                <w:szCs w:val="24"/>
              </w:rPr>
            </w:pPr>
            <w:r>
              <w:rPr>
                <w:rFonts w:ascii="Times New Roman" w:hAnsi="Times New Roman"/>
                <w:noProof/>
                <w:sz w:val="24"/>
              </w:rPr>
              <w:t>55</w:t>
            </w:r>
          </w:p>
        </w:tc>
        <w:tc>
          <w:tcPr>
            <w:tcW w:w="780" w:type="dxa"/>
          </w:tcPr>
          <w:p>
            <w:pPr>
              <w:jc w:val="both"/>
              <w:rPr>
                <w:rFonts w:ascii="Times New Roman" w:hAnsi="Times New Roman" w:cs="Times New Roman"/>
                <w:noProof/>
                <w:sz w:val="24"/>
                <w:szCs w:val="24"/>
              </w:rPr>
            </w:pPr>
            <w:r>
              <w:rPr>
                <w:rFonts w:ascii="Times New Roman" w:hAnsi="Times New Roman"/>
                <w:noProof/>
                <w:sz w:val="24"/>
              </w:rPr>
              <w:t>1940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Национална търговска марка</w:t>
            </w:r>
          </w:p>
        </w:tc>
        <w:tc>
          <w:tcPr>
            <w:tcW w:w="1320" w:type="dxa"/>
          </w:tcPr>
          <w:p>
            <w:pPr>
              <w:jc w:val="both"/>
              <w:rPr>
                <w:rFonts w:ascii="Times New Roman" w:hAnsi="Times New Roman" w:cs="Times New Roman"/>
                <w:noProof/>
                <w:sz w:val="24"/>
                <w:szCs w:val="24"/>
              </w:rPr>
            </w:pPr>
            <w:r>
              <w:rPr>
                <w:rFonts w:ascii="Times New Roman" w:hAnsi="Times New Roman"/>
                <w:noProof/>
                <w:sz w:val="24"/>
              </w:rPr>
              <w:t>1220</w:t>
            </w:r>
          </w:p>
        </w:tc>
        <w:tc>
          <w:tcPr>
            <w:tcW w:w="1320" w:type="dxa"/>
          </w:tcPr>
          <w:p>
            <w:pPr>
              <w:jc w:val="both"/>
              <w:rPr>
                <w:rFonts w:ascii="Times New Roman" w:hAnsi="Times New Roman" w:cs="Times New Roman"/>
                <w:noProof/>
                <w:sz w:val="24"/>
                <w:szCs w:val="24"/>
              </w:rPr>
            </w:pPr>
            <w:r>
              <w:rPr>
                <w:rFonts w:ascii="Times New Roman" w:hAnsi="Times New Roman"/>
                <w:noProof/>
                <w:sz w:val="24"/>
              </w:rPr>
              <w:t>771</w:t>
            </w:r>
          </w:p>
        </w:tc>
        <w:tc>
          <w:tcPr>
            <w:tcW w:w="1320" w:type="dxa"/>
          </w:tcPr>
          <w:p>
            <w:pPr>
              <w:jc w:val="both"/>
              <w:rPr>
                <w:rFonts w:ascii="Times New Roman" w:hAnsi="Times New Roman" w:cs="Times New Roman"/>
                <w:noProof/>
                <w:sz w:val="24"/>
                <w:szCs w:val="24"/>
              </w:rPr>
            </w:pPr>
            <w:r>
              <w:rPr>
                <w:rFonts w:ascii="Times New Roman" w:hAnsi="Times New Roman"/>
                <w:noProof/>
                <w:sz w:val="24"/>
              </w:rPr>
              <w:t>20</w:t>
            </w:r>
          </w:p>
        </w:tc>
        <w:tc>
          <w:tcPr>
            <w:tcW w:w="780" w:type="dxa"/>
          </w:tcPr>
          <w:p>
            <w:pPr>
              <w:jc w:val="both"/>
              <w:rPr>
                <w:rFonts w:ascii="Times New Roman" w:hAnsi="Times New Roman" w:cs="Times New Roman"/>
                <w:noProof/>
                <w:sz w:val="24"/>
                <w:szCs w:val="24"/>
              </w:rPr>
            </w:pPr>
            <w:r>
              <w:rPr>
                <w:rFonts w:ascii="Times New Roman" w:hAnsi="Times New Roman"/>
                <w:noProof/>
                <w:sz w:val="24"/>
              </w:rPr>
              <w:t>2011</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Авторско право и сродните му права</w:t>
            </w:r>
          </w:p>
        </w:tc>
        <w:tc>
          <w:tcPr>
            <w:tcW w:w="132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206</w:t>
            </w:r>
          </w:p>
        </w:tc>
        <w:tc>
          <w:tcPr>
            <w:tcW w:w="132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103</w:t>
            </w:r>
          </w:p>
        </w:tc>
        <w:tc>
          <w:tcPr>
            <w:tcW w:w="132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7</w:t>
            </w:r>
          </w:p>
        </w:tc>
        <w:tc>
          <w:tcPr>
            <w:tcW w:w="780"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noProof/>
                <w:sz w:val="24"/>
              </w:rPr>
              <w:t>316</w:t>
            </w:r>
          </w:p>
        </w:tc>
      </w:tr>
      <w:tr>
        <w:tc>
          <w:tcPr>
            <w:tcW w:w="4548" w:type="dxa"/>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b/>
                <w:noProof/>
                <w:sz w:val="24"/>
              </w:rPr>
              <w:t>Патенти</w:t>
            </w:r>
          </w:p>
        </w:tc>
        <w:tc>
          <w:tcPr>
            <w:tcW w:w="1320" w:type="dxa"/>
            <w:shd w:val="clear" w:color="auto" w:fill="BFBFBF" w:themeFill="background1" w:themeFillShade="BF"/>
          </w:tcPr>
          <w:p>
            <w:pPr>
              <w:jc w:val="both"/>
              <w:rPr>
                <w:rFonts w:ascii="Times New Roman" w:hAnsi="Times New Roman" w:cs="Times New Roman"/>
                <w:noProof/>
                <w:sz w:val="24"/>
                <w:szCs w:val="24"/>
              </w:rPr>
            </w:pPr>
          </w:p>
        </w:tc>
        <w:tc>
          <w:tcPr>
            <w:tcW w:w="1320" w:type="dxa"/>
            <w:shd w:val="clear" w:color="auto" w:fill="BFBFBF" w:themeFill="background1" w:themeFillShade="BF"/>
          </w:tcPr>
          <w:p>
            <w:pPr>
              <w:jc w:val="both"/>
              <w:rPr>
                <w:rFonts w:ascii="Times New Roman" w:hAnsi="Times New Roman" w:cs="Times New Roman"/>
                <w:noProof/>
                <w:sz w:val="24"/>
                <w:szCs w:val="24"/>
              </w:rPr>
            </w:pPr>
          </w:p>
        </w:tc>
        <w:tc>
          <w:tcPr>
            <w:tcW w:w="1320" w:type="dxa"/>
            <w:shd w:val="clear" w:color="auto" w:fill="BFBFBF" w:themeFill="background1" w:themeFillShade="BF"/>
          </w:tcPr>
          <w:p>
            <w:pPr>
              <w:jc w:val="both"/>
              <w:rPr>
                <w:rFonts w:ascii="Times New Roman" w:hAnsi="Times New Roman" w:cs="Times New Roman"/>
                <w:noProof/>
                <w:sz w:val="24"/>
                <w:szCs w:val="24"/>
              </w:rPr>
            </w:pPr>
          </w:p>
        </w:tc>
        <w:tc>
          <w:tcPr>
            <w:tcW w:w="780" w:type="dxa"/>
            <w:shd w:val="clear" w:color="auto" w:fill="BFBFBF" w:themeFill="background1" w:themeFillShade="BF"/>
          </w:tcPr>
          <w:p>
            <w:pPr>
              <w:jc w:val="both"/>
              <w:rPr>
                <w:rFonts w:ascii="Times New Roman" w:hAnsi="Times New Roman" w:cs="Times New Roman"/>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Национален патент</w:t>
            </w:r>
          </w:p>
        </w:tc>
        <w:tc>
          <w:tcPr>
            <w:tcW w:w="1320" w:type="dxa"/>
          </w:tcPr>
          <w:p>
            <w:pPr>
              <w:jc w:val="both"/>
              <w:rPr>
                <w:rFonts w:ascii="Times New Roman" w:hAnsi="Times New Roman" w:cs="Times New Roman"/>
                <w:noProof/>
                <w:sz w:val="24"/>
                <w:szCs w:val="24"/>
              </w:rPr>
            </w:pPr>
            <w:r>
              <w:rPr>
                <w:rFonts w:ascii="Times New Roman" w:hAnsi="Times New Roman"/>
                <w:noProof/>
                <w:sz w:val="24"/>
              </w:rPr>
              <w:t>115</w:t>
            </w:r>
          </w:p>
        </w:tc>
        <w:tc>
          <w:tcPr>
            <w:tcW w:w="1320" w:type="dxa"/>
          </w:tcPr>
          <w:p>
            <w:pPr>
              <w:jc w:val="both"/>
              <w:rPr>
                <w:rFonts w:ascii="Times New Roman" w:hAnsi="Times New Roman" w:cs="Times New Roman"/>
                <w:noProof/>
                <w:sz w:val="24"/>
                <w:szCs w:val="24"/>
              </w:rPr>
            </w:pPr>
            <w:r>
              <w:rPr>
                <w:rFonts w:ascii="Times New Roman" w:hAnsi="Times New Roman"/>
                <w:noProof/>
                <w:sz w:val="24"/>
              </w:rPr>
              <w:t>72</w:t>
            </w:r>
          </w:p>
        </w:tc>
        <w:tc>
          <w:tcPr>
            <w:tcW w:w="1320" w:type="dxa"/>
          </w:tcPr>
          <w:p>
            <w:pPr>
              <w:jc w:val="both"/>
              <w:rPr>
                <w:rFonts w:ascii="Times New Roman" w:hAnsi="Times New Roman" w:cs="Times New Roman"/>
                <w:noProof/>
                <w:sz w:val="24"/>
                <w:szCs w:val="24"/>
              </w:rPr>
            </w:pPr>
            <w:r>
              <w:rPr>
                <w:rFonts w:ascii="Times New Roman" w:hAnsi="Times New Roman"/>
                <w:noProof/>
                <w:sz w:val="24"/>
              </w:rPr>
              <w:t>6</w:t>
            </w:r>
          </w:p>
        </w:tc>
        <w:tc>
          <w:tcPr>
            <w:tcW w:w="780" w:type="dxa"/>
          </w:tcPr>
          <w:p>
            <w:pPr>
              <w:jc w:val="both"/>
              <w:rPr>
                <w:rFonts w:ascii="Times New Roman" w:hAnsi="Times New Roman" w:cs="Times New Roman"/>
                <w:noProof/>
                <w:sz w:val="24"/>
                <w:szCs w:val="24"/>
              </w:rPr>
            </w:pPr>
            <w:r>
              <w:rPr>
                <w:rFonts w:ascii="Times New Roman" w:hAnsi="Times New Roman"/>
                <w:noProof/>
                <w:sz w:val="24"/>
              </w:rPr>
              <w:t>193</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Патент на ЕС</w:t>
            </w:r>
          </w:p>
        </w:tc>
        <w:tc>
          <w:tcPr>
            <w:tcW w:w="1320" w:type="dxa"/>
          </w:tcPr>
          <w:p>
            <w:pPr>
              <w:jc w:val="both"/>
              <w:rPr>
                <w:rFonts w:ascii="Times New Roman" w:hAnsi="Times New Roman" w:cs="Times New Roman"/>
                <w:noProof/>
                <w:sz w:val="24"/>
                <w:szCs w:val="24"/>
              </w:rPr>
            </w:pPr>
            <w:r>
              <w:rPr>
                <w:rFonts w:ascii="Times New Roman" w:hAnsi="Times New Roman"/>
                <w:noProof/>
                <w:sz w:val="24"/>
              </w:rPr>
              <w:t>110</w:t>
            </w:r>
          </w:p>
        </w:tc>
        <w:tc>
          <w:tcPr>
            <w:tcW w:w="1320" w:type="dxa"/>
          </w:tcPr>
          <w:p>
            <w:pPr>
              <w:jc w:val="both"/>
              <w:rPr>
                <w:rFonts w:ascii="Times New Roman" w:hAnsi="Times New Roman" w:cs="Times New Roman"/>
                <w:noProof/>
                <w:sz w:val="24"/>
                <w:szCs w:val="24"/>
              </w:rPr>
            </w:pPr>
            <w:r>
              <w:rPr>
                <w:rFonts w:ascii="Times New Roman" w:hAnsi="Times New Roman"/>
                <w:noProof/>
                <w:sz w:val="24"/>
              </w:rPr>
              <w:t>75</w:t>
            </w:r>
          </w:p>
        </w:tc>
        <w:tc>
          <w:tcPr>
            <w:tcW w:w="1320" w:type="dxa"/>
          </w:tcPr>
          <w:p>
            <w:pPr>
              <w:jc w:val="both"/>
              <w:rPr>
                <w:rFonts w:ascii="Times New Roman" w:hAnsi="Times New Roman" w:cs="Times New Roman"/>
                <w:noProof/>
                <w:sz w:val="24"/>
                <w:szCs w:val="24"/>
              </w:rPr>
            </w:pPr>
            <w:r>
              <w:rPr>
                <w:rFonts w:ascii="Times New Roman" w:hAnsi="Times New Roman"/>
                <w:noProof/>
                <w:sz w:val="24"/>
              </w:rPr>
              <w:t>6</w:t>
            </w:r>
          </w:p>
        </w:tc>
        <w:tc>
          <w:tcPr>
            <w:tcW w:w="780" w:type="dxa"/>
          </w:tcPr>
          <w:p>
            <w:pPr>
              <w:jc w:val="both"/>
              <w:rPr>
                <w:rFonts w:ascii="Times New Roman" w:hAnsi="Times New Roman" w:cs="Times New Roman"/>
                <w:noProof/>
                <w:sz w:val="24"/>
                <w:szCs w:val="24"/>
              </w:rPr>
            </w:pPr>
            <w:r>
              <w:rPr>
                <w:rFonts w:ascii="Times New Roman" w:hAnsi="Times New Roman"/>
                <w:noProof/>
                <w:sz w:val="24"/>
              </w:rPr>
              <w:t>191</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Полезни модели</w:t>
            </w:r>
          </w:p>
        </w:tc>
        <w:tc>
          <w:tcPr>
            <w:tcW w:w="1320" w:type="dxa"/>
          </w:tcPr>
          <w:p>
            <w:pPr>
              <w:jc w:val="both"/>
              <w:rPr>
                <w:rFonts w:ascii="Times New Roman" w:hAnsi="Times New Roman" w:cs="Times New Roman"/>
                <w:noProof/>
                <w:sz w:val="24"/>
                <w:szCs w:val="24"/>
              </w:rPr>
            </w:pPr>
            <w:r>
              <w:rPr>
                <w:rFonts w:ascii="Times New Roman" w:hAnsi="Times New Roman"/>
                <w:noProof/>
                <w:sz w:val="24"/>
              </w:rPr>
              <w:t>15</w:t>
            </w:r>
          </w:p>
        </w:tc>
        <w:tc>
          <w:tcPr>
            <w:tcW w:w="1320" w:type="dxa"/>
          </w:tcPr>
          <w:p>
            <w:pPr>
              <w:jc w:val="both"/>
              <w:rPr>
                <w:rFonts w:ascii="Times New Roman" w:hAnsi="Times New Roman" w:cs="Times New Roman"/>
                <w:noProof/>
                <w:sz w:val="24"/>
                <w:szCs w:val="24"/>
              </w:rPr>
            </w:pPr>
            <w:r>
              <w:rPr>
                <w:rFonts w:ascii="Times New Roman" w:hAnsi="Times New Roman"/>
                <w:noProof/>
                <w:sz w:val="24"/>
              </w:rPr>
              <w:t>10</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Pr>
          <w:p>
            <w:pPr>
              <w:jc w:val="both"/>
              <w:rPr>
                <w:rFonts w:ascii="Times New Roman" w:hAnsi="Times New Roman" w:cs="Times New Roman"/>
                <w:noProof/>
                <w:sz w:val="24"/>
                <w:szCs w:val="24"/>
              </w:rPr>
            </w:pPr>
            <w:r>
              <w:rPr>
                <w:rFonts w:ascii="Times New Roman" w:hAnsi="Times New Roman"/>
                <w:noProof/>
                <w:sz w:val="24"/>
              </w:rPr>
              <w:t>25</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Сертификат за допълнителна закрила на лекарствен продукт</w:t>
            </w:r>
          </w:p>
        </w:tc>
        <w:tc>
          <w:tcPr>
            <w:tcW w:w="1320" w:type="dxa"/>
          </w:tcPr>
          <w:p>
            <w:pPr>
              <w:jc w:val="both"/>
              <w:rPr>
                <w:rFonts w:ascii="Times New Roman" w:hAnsi="Times New Roman" w:cs="Times New Roman"/>
                <w:noProof/>
                <w:sz w:val="24"/>
                <w:szCs w:val="24"/>
              </w:rPr>
            </w:pPr>
            <w:r>
              <w:rPr>
                <w:rFonts w:ascii="Times New Roman" w:hAnsi="Times New Roman"/>
                <w:noProof/>
                <w:sz w:val="24"/>
              </w:rPr>
              <w:t>23</w:t>
            </w:r>
          </w:p>
        </w:tc>
        <w:tc>
          <w:tcPr>
            <w:tcW w:w="1320" w:type="dxa"/>
          </w:tcPr>
          <w:p>
            <w:pPr>
              <w:jc w:val="both"/>
              <w:rPr>
                <w:rFonts w:ascii="Times New Roman" w:hAnsi="Times New Roman" w:cs="Times New Roman"/>
                <w:noProof/>
                <w:sz w:val="24"/>
                <w:szCs w:val="24"/>
              </w:rPr>
            </w:pPr>
            <w:r>
              <w:rPr>
                <w:rFonts w:ascii="Times New Roman" w:hAnsi="Times New Roman"/>
                <w:noProof/>
                <w:sz w:val="24"/>
              </w:rPr>
              <w:t>17</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Pr>
          <w:p>
            <w:pPr>
              <w:jc w:val="both"/>
              <w:rPr>
                <w:rFonts w:ascii="Times New Roman" w:hAnsi="Times New Roman" w:cs="Times New Roman"/>
                <w:noProof/>
                <w:sz w:val="24"/>
                <w:szCs w:val="24"/>
              </w:rPr>
            </w:pPr>
            <w:r>
              <w:rPr>
                <w:rFonts w:ascii="Times New Roman" w:hAnsi="Times New Roman"/>
                <w:noProof/>
                <w:sz w:val="24"/>
              </w:rPr>
              <w:t>40</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Сертификат за допълнителна закрила на продукт за растителна защита</w:t>
            </w:r>
          </w:p>
        </w:tc>
        <w:tc>
          <w:tcPr>
            <w:tcW w:w="1320" w:type="dxa"/>
          </w:tcPr>
          <w:p>
            <w:pPr>
              <w:jc w:val="both"/>
              <w:rPr>
                <w:rFonts w:ascii="Times New Roman" w:hAnsi="Times New Roman" w:cs="Times New Roman"/>
                <w:noProof/>
                <w:sz w:val="24"/>
                <w:szCs w:val="24"/>
              </w:rPr>
            </w:pPr>
            <w:r>
              <w:rPr>
                <w:rFonts w:ascii="Times New Roman" w:hAnsi="Times New Roman"/>
                <w:noProof/>
                <w:sz w:val="24"/>
              </w:rPr>
              <w:t>4</w:t>
            </w:r>
          </w:p>
        </w:tc>
        <w:tc>
          <w:tcPr>
            <w:tcW w:w="1320" w:type="dxa"/>
          </w:tcPr>
          <w:p>
            <w:pPr>
              <w:jc w:val="both"/>
              <w:rPr>
                <w:rFonts w:ascii="Times New Roman" w:hAnsi="Times New Roman" w:cs="Times New Roman"/>
                <w:noProof/>
                <w:sz w:val="24"/>
                <w:szCs w:val="24"/>
              </w:rPr>
            </w:pPr>
            <w:r>
              <w:rPr>
                <w:rFonts w:ascii="Times New Roman" w:hAnsi="Times New Roman"/>
                <w:noProof/>
                <w:sz w:val="24"/>
              </w:rPr>
              <w:t>12</w:t>
            </w:r>
          </w:p>
        </w:tc>
        <w:tc>
          <w:tcPr>
            <w:tcW w:w="1320" w:type="dxa"/>
          </w:tcPr>
          <w:p>
            <w:pPr>
              <w:jc w:val="both"/>
              <w:rPr>
                <w:rFonts w:ascii="Times New Roman" w:hAnsi="Times New Roman" w:cs="Times New Roman"/>
                <w:noProof/>
                <w:sz w:val="24"/>
                <w:szCs w:val="24"/>
              </w:rPr>
            </w:pPr>
            <w:r>
              <w:rPr>
                <w:rFonts w:ascii="Times New Roman" w:hAnsi="Times New Roman"/>
                <w:noProof/>
                <w:sz w:val="24"/>
              </w:rPr>
              <w:t>1</w:t>
            </w:r>
          </w:p>
        </w:tc>
        <w:tc>
          <w:tcPr>
            <w:tcW w:w="780" w:type="dxa"/>
          </w:tcPr>
          <w:p>
            <w:pPr>
              <w:jc w:val="both"/>
              <w:rPr>
                <w:rFonts w:ascii="Times New Roman" w:hAnsi="Times New Roman" w:cs="Times New Roman"/>
                <w:noProof/>
                <w:sz w:val="24"/>
                <w:szCs w:val="24"/>
              </w:rPr>
            </w:pPr>
            <w:r>
              <w:rPr>
                <w:rFonts w:ascii="Times New Roman" w:hAnsi="Times New Roman"/>
                <w:noProof/>
                <w:sz w:val="24"/>
              </w:rPr>
              <w:t>17</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Национална правна закрила на сортовете растения</w:t>
            </w:r>
          </w:p>
        </w:tc>
        <w:tc>
          <w:tcPr>
            <w:tcW w:w="1320" w:type="dxa"/>
          </w:tcPr>
          <w:p>
            <w:pPr>
              <w:jc w:val="both"/>
              <w:rPr>
                <w:rFonts w:ascii="Times New Roman" w:hAnsi="Times New Roman" w:cs="Times New Roman"/>
                <w:noProof/>
                <w:sz w:val="24"/>
                <w:szCs w:val="24"/>
              </w:rPr>
            </w:pPr>
            <w:r>
              <w:rPr>
                <w:rFonts w:ascii="Times New Roman" w:hAnsi="Times New Roman"/>
                <w:noProof/>
                <w:sz w:val="24"/>
              </w:rPr>
              <w:t>8</w:t>
            </w:r>
          </w:p>
        </w:tc>
        <w:tc>
          <w:tcPr>
            <w:tcW w:w="1320" w:type="dxa"/>
          </w:tcPr>
          <w:p>
            <w:pPr>
              <w:jc w:val="both"/>
              <w:rPr>
                <w:rFonts w:ascii="Times New Roman" w:hAnsi="Times New Roman" w:cs="Times New Roman"/>
                <w:noProof/>
                <w:sz w:val="24"/>
                <w:szCs w:val="24"/>
              </w:rPr>
            </w:pPr>
            <w:r>
              <w:rPr>
                <w:rFonts w:ascii="Times New Roman" w:hAnsi="Times New Roman"/>
                <w:noProof/>
                <w:sz w:val="24"/>
              </w:rPr>
              <w:t>8</w:t>
            </w:r>
          </w:p>
        </w:tc>
        <w:tc>
          <w:tcPr>
            <w:tcW w:w="1320" w:type="dxa"/>
          </w:tcPr>
          <w:p>
            <w:pPr>
              <w:jc w:val="both"/>
              <w:rPr>
                <w:rFonts w:ascii="Times New Roman" w:hAnsi="Times New Roman" w:cs="Times New Roman"/>
                <w:noProof/>
                <w:sz w:val="24"/>
                <w:szCs w:val="24"/>
              </w:rPr>
            </w:pPr>
            <w:r>
              <w:rPr>
                <w:rFonts w:ascii="Times New Roman" w:hAnsi="Times New Roman"/>
                <w:noProof/>
                <w:sz w:val="24"/>
              </w:rPr>
              <w:t>2</w:t>
            </w:r>
          </w:p>
        </w:tc>
        <w:tc>
          <w:tcPr>
            <w:tcW w:w="780" w:type="dxa"/>
          </w:tcPr>
          <w:p>
            <w:pPr>
              <w:jc w:val="both"/>
              <w:rPr>
                <w:rFonts w:ascii="Times New Roman" w:hAnsi="Times New Roman" w:cs="Times New Roman"/>
                <w:noProof/>
                <w:sz w:val="24"/>
                <w:szCs w:val="24"/>
              </w:rPr>
            </w:pPr>
            <w:r>
              <w:rPr>
                <w:rFonts w:ascii="Times New Roman" w:hAnsi="Times New Roman"/>
                <w:noProof/>
                <w:sz w:val="24"/>
              </w:rPr>
              <w:t>18</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 xml:space="preserve">Правна закрила на Общността на сортовете растения </w:t>
            </w:r>
          </w:p>
        </w:tc>
        <w:tc>
          <w:tcPr>
            <w:tcW w:w="1320" w:type="dxa"/>
          </w:tcPr>
          <w:p>
            <w:pPr>
              <w:jc w:val="both"/>
              <w:rPr>
                <w:rFonts w:ascii="Times New Roman" w:hAnsi="Times New Roman" w:cs="Times New Roman"/>
                <w:noProof/>
                <w:sz w:val="24"/>
                <w:szCs w:val="24"/>
              </w:rPr>
            </w:pPr>
            <w:r>
              <w:rPr>
                <w:rFonts w:ascii="Times New Roman" w:hAnsi="Times New Roman"/>
                <w:noProof/>
                <w:sz w:val="24"/>
              </w:rPr>
              <w:t>1</w:t>
            </w:r>
          </w:p>
        </w:tc>
        <w:tc>
          <w:tcPr>
            <w:tcW w:w="1320" w:type="dxa"/>
          </w:tcPr>
          <w:p>
            <w:pPr>
              <w:jc w:val="both"/>
              <w:rPr>
                <w:rFonts w:ascii="Times New Roman" w:hAnsi="Times New Roman" w:cs="Times New Roman"/>
                <w:noProof/>
                <w:sz w:val="24"/>
                <w:szCs w:val="24"/>
              </w:rPr>
            </w:pPr>
            <w:r>
              <w:rPr>
                <w:rFonts w:ascii="Times New Roman" w:hAnsi="Times New Roman"/>
                <w:noProof/>
                <w:sz w:val="24"/>
              </w:rPr>
              <w:t>1</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Pr>
          <w:p>
            <w:pPr>
              <w:jc w:val="both"/>
              <w:rPr>
                <w:rFonts w:ascii="Times New Roman" w:hAnsi="Times New Roman" w:cs="Times New Roman"/>
                <w:noProof/>
                <w:sz w:val="24"/>
                <w:szCs w:val="24"/>
              </w:rPr>
            </w:pPr>
            <w:r>
              <w:rPr>
                <w:rFonts w:ascii="Times New Roman" w:hAnsi="Times New Roman"/>
                <w:noProof/>
                <w:sz w:val="24"/>
              </w:rPr>
              <w:t>2</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Търговско наименование</w:t>
            </w:r>
          </w:p>
        </w:tc>
        <w:tc>
          <w:tcPr>
            <w:tcW w:w="1320" w:type="dxa"/>
          </w:tcPr>
          <w:p>
            <w:pPr>
              <w:jc w:val="both"/>
              <w:rPr>
                <w:rFonts w:ascii="Times New Roman" w:hAnsi="Times New Roman" w:cs="Times New Roman"/>
                <w:noProof/>
                <w:sz w:val="24"/>
                <w:szCs w:val="24"/>
              </w:rPr>
            </w:pPr>
            <w:r>
              <w:rPr>
                <w:rFonts w:ascii="Times New Roman" w:hAnsi="Times New Roman"/>
                <w:noProof/>
                <w:sz w:val="24"/>
              </w:rPr>
              <w:t>8</w:t>
            </w:r>
          </w:p>
        </w:tc>
        <w:tc>
          <w:tcPr>
            <w:tcW w:w="1320" w:type="dxa"/>
          </w:tcPr>
          <w:p>
            <w:pPr>
              <w:jc w:val="both"/>
              <w:rPr>
                <w:rFonts w:ascii="Times New Roman" w:hAnsi="Times New Roman" w:cs="Times New Roman"/>
                <w:noProof/>
                <w:sz w:val="24"/>
                <w:szCs w:val="24"/>
              </w:rPr>
            </w:pPr>
            <w:r>
              <w:rPr>
                <w:rFonts w:ascii="Times New Roman" w:hAnsi="Times New Roman"/>
                <w:noProof/>
                <w:sz w:val="24"/>
              </w:rPr>
              <w:t>10</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Pr>
          <w:p>
            <w:pPr>
              <w:jc w:val="both"/>
              <w:rPr>
                <w:rFonts w:ascii="Times New Roman" w:hAnsi="Times New Roman" w:cs="Times New Roman"/>
                <w:noProof/>
                <w:sz w:val="24"/>
                <w:szCs w:val="24"/>
              </w:rPr>
            </w:pPr>
            <w:r>
              <w:rPr>
                <w:rFonts w:ascii="Times New Roman" w:hAnsi="Times New Roman"/>
                <w:noProof/>
                <w:sz w:val="24"/>
              </w:rPr>
              <w:t>18</w:t>
            </w:r>
          </w:p>
        </w:tc>
      </w:tr>
      <w:tr>
        <w:tc>
          <w:tcPr>
            <w:tcW w:w="4548" w:type="dxa"/>
          </w:tcPr>
          <w:p>
            <w:pPr>
              <w:jc w:val="both"/>
              <w:rPr>
                <w:rFonts w:ascii="Times New Roman" w:hAnsi="Times New Roman" w:cs="Times New Roman"/>
                <w:noProof/>
                <w:sz w:val="24"/>
                <w:szCs w:val="24"/>
              </w:rPr>
            </w:pPr>
            <w:r>
              <w:rPr>
                <w:rFonts w:ascii="Times New Roman" w:hAnsi="Times New Roman"/>
                <w:noProof/>
                <w:sz w:val="24"/>
              </w:rPr>
              <w:t>Топология на полупроводникови изделия</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1320" w:type="dxa"/>
          </w:tcPr>
          <w:p>
            <w:pPr>
              <w:jc w:val="both"/>
              <w:rPr>
                <w:rFonts w:ascii="Times New Roman" w:hAnsi="Times New Roman" w:cs="Times New Roman"/>
                <w:noProof/>
                <w:sz w:val="24"/>
                <w:szCs w:val="24"/>
              </w:rPr>
            </w:pPr>
            <w:r>
              <w:rPr>
                <w:rFonts w:ascii="Times New Roman" w:hAnsi="Times New Roman"/>
                <w:noProof/>
                <w:sz w:val="24"/>
              </w:rPr>
              <w:t>0</w:t>
            </w:r>
          </w:p>
        </w:tc>
        <w:tc>
          <w:tcPr>
            <w:tcW w:w="780" w:type="dxa"/>
          </w:tcPr>
          <w:p>
            <w:pPr>
              <w:jc w:val="both"/>
              <w:rPr>
                <w:rFonts w:ascii="Times New Roman" w:hAnsi="Times New Roman" w:cs="Times New Roman"/>
                <w:noProof/>
                <w:sz w:val="24"/>
                <w:szCs w:val="24"/>
              </w:rPr>
            </w:pPr>
            <w:r>
              <w:rPr>
                <w:rFonts w:ascii="Times New Roman" w:hAnsi="Times New Roman"/>
                <w:noProof/>
                <w:sz w:val="24"/>
              </w:rPr>
              <w:t>0</w:t>
            </w:r>
          </w:p>
        </w:tc>
      </w:tr>
    </w:tbl>
    <w:p>
      <w:pPr>
        <w:spacing w:after="0"/>
        <w:jc w:val="both"/>
        <w:rPr>
          <w:rFonts w:ascii="Times New Roman" w:hAnsi="Times New Roman" w:cs="Times New Roman"/>
          <w:noProof/>
          <w:sz w:val="24"/>
          <w:szCs w:val="24"/>
        </w:rPr>
      </w:pPr>
    </w:p>
    <w:p>
      <w:pPr>
        <w:rPr>
          <w:noProof/>
        </w:rPr>
      </w:pPr>
      <w:r>
        <w:rPr>
          <w:noProof/>
        </w:rPr>
        <w:br w:type="page"/>
      </w:r>
    </w:p>
    <w:p>
      <w:pPr>
        <w:spacing w:after="0"/>
        <w:jc w:val="both"/>
        <w:rPr>
          <w:rFonts w:ascii="Times New Roman" w:hAnsi="Times New Roman" w:cs="Times New Roman"/>
          <w:noProof/>
          <w:sz w:val="24"/>
          <w:szCs w:val="24"/>
        </w:rPr>
      </w:pPr>
    </w:p>
    <w:p>
      <w:pPr>
        <w:pStyle w:val="Tablecaption0"/>
        <w:framePr w:w="638" w:h="258" w:hSpace="8256" w:wrap="notBeside" w:vAnchor="text" w:hAnchor="text" w:x="10503" w:y="-19"/>
        <w:shd w:val="clear" w:color="auto" w:fill="auto"/>
        <w:rPr>
          <w:noProof/>
        </w:rPr>
      </w:pPr>
    </w:p>
    <w:p>
      <w:pPr>
        <w:jc w:val="both"/>
        <w:rPr>
          <w:rFonts w:ascii="Times New Roman" w:hAnsi="Times New Roman" w:cs="Times New Roman"/>
          <w:b/>
          <w:noProof/>
          <w:sz w:val="24"/>
          <w:szCs w:val="24"/>
          <w:u w:val="single"/>
        </w:rPr>
      </w:pPr>
      <w:r>
        <w:rPr>
          <w:rFonts w:ascii="Times New Roman" w:hAnsi="Times New Roman"/>
          <w:b/>
          <w:noProof/>
          <w:sz w:val="24"/>
          <w:u w:val="single"/>
        </w:rPr>
        <w:t>Приложение 2</w:t>
      </w:r>
    </w:p>
    <w:p>
      <w:pPr>
        <w:jc w:val="both"/>
        <w:rPr>
          <w:rFonts w:ascii="Times New Roman" w:hAnsi="Times New Roman" w:cs="Times New Roman"/>
          <w:noProof/>
          <w:sz w:val="24"/>
          <w:szCs w:val="24"/>
        </w:rPr>
      </w:pPr>
      <w:r>
        <w:rPr>
          <w:rFonts w:ascii="Times New Roman" w:hAnsi="Times New Roman"/>
          <w:noProof/>
          <w:sz w:val="24"/>
        </w:rPr>
        <w:t>Брой на заявленията за намеса (ЗН), съдържащи искане за използване на „процедурата за малки пратки“ — положение към 15 септември 2016 г.</w:t>
      </w:r>
    </w:p>
    <w:tbl>
      <w:tblPr>
        <w:tblStyle w:val="TableGrid"/>
        <w:tblW w:w="0" w:type="auto"/>
        <w:tblLook w:val="04A0" w:firstRow="1" w:lastRow="0" w:firstColumn="1" w:lastColumn="0" w:noHBand="0" w:noVBand="1"/>
      </w:tblPr>
      <w:tblGrid>
        <w:gridCol w:w="4475"/>
        <w:gridCol w:w="1198"/>
        <w:gridCol w:w="1195"/>
        <w:gridCol w:w="1288"/>
        <w:gridCol w:w="1132"/>
      </w:tblGrid>
      <w:tr>
        <w:tc>
          <w:tcPr>
            <w:tcW w:w="4548" w:type="dxa"/>
            <w:tcBorders>
              <w:top w:val="nil"/>
              <w:left w:val="nil"/>
              <w:bottom w:val="nil"/>
              <w:right w:val="nil"/>
            </w:tcBorders>
            <w:shd w:val="clear" w:color="auto" w:fill="auto"/>
          </w:tcPr>
          <w:p>
            <w:pPr>
              <w:jc w:val="both"/>
              <w:rPr>
                <w:rFonts w:ascii="Times New Roman" w:hAnsi="Times New Roman" w:cs="Times New Roman"/>
                <w:b/>
                <w:noProof/>
                <w:sz w:val="24"/>
                <w:szCs w:val="24"/>
              </w:rPr>
            </w:pP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Активни</w:t>
            </w: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С изтекъл срок</w:t>
            </w: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Оттеглени</w:t>
            </w:r>
          </w:p>
        </w:tc>
        <w:tc>
          <w:tcPr>
            <w:tcW w:w="114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noProof/>
                <w:sz w:val="24"/>
              </w:rPr>
              <w:t>Общо</w:t>
            </w:r>
          </w:p>
        </w:tc>
      </w:tr>
      <w:tr>
        <w:tc>
          <w:tcPr>
            <w:tcW w:w="4548" w:type="dxa"/>
            <w:tcBorders>
              <w:top w:val="nil"/>
              <w:left w:val="nil"/>
              <w:bottom w:val="nil"/>
              <w:right w:val="nil"/>
            </w:tcBorders>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b/>
                <w:noProof/>
                <w:sz w:val="24"/>
              </w:rPr>
              <w:t>Брой ЗН:</w:t>
            </w: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Национални ЗН</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1502</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2395</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82</w:t>
            </w: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3979</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Съюзни ЗН</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1184</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406</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103</w:t>
            </w:r>
          </w:p>
        </w:tc>
        <w:tc>
          <w:tcPr>
            <w:tcW w:w="114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1693</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Общо</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lang w:val="en-GB"/>
              </w:rPr>
              <w:t>2</w:t>
            </w:r>
            <w:r>
              <w:rPr>
                <w:rFonts w:ascii="Times New Roman" w:hAnsi="Times New Roman"/>
                <w:noProof/>
                <w:sz w:val="24"/>
              </w:rPr>
              <w:t>686</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2801</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185</w:t>
            </w:r>
          </w:p>
        </w:tc>
        <w:tc>
          <w:tcPr>
            <w:tcW w:w="114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5672</w:t>
            </w: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b/>
                <w:noProof/>
                <w:sz w:val="24"/>
              </w:rPr>
              <w:t>ЗН по процедурата за малки пратки:</w:t>
            </w: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Национални ЗН</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726</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510</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30</w:t>
            </w: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1266</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Съюзни ЗН</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393</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152</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15</w:t>
            </w:r>
          </w:p>
        </w:tc>
        <w:tc>
          <w:tcPr>
            <w:tcW w:w="114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560</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Общо</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1119</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662</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45</w:t>
            </w:r>
          </w:p>
        </w:tc>
        <w:tc>
          <w:tcPr>
            <w:tcW w:w="114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1826</w:t>
            </w: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Дял в % на националните ЗН по процедурата за МП от общия брой:</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48 %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21 %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Дял в % на съюзните ЗН по процедурата за МП от общия брой::</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33 %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37 %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noProof/>
                <w:sz w:val="24"/>
              </w:rPr>
              <w:t>Дял в % на ЗН по процедурата за МП от общия брой:</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lang w:val="en-GB"/>
              </w:rPr>
              <w:t>41</w:t>
            </w:r>
            <w:r>
              <w:rPr>
                <w:rFonts w:ascii="Times New Roman" w:hAnsi="Times New Roman"/>
                <w:noProof/>
                <w:sz w:val="24"/>
              </w:rPr>
              <w:t>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noProof/>
                <w:sz w:val="24"/>
              </w:rPr>
              <w:t>24 %</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bl>
    <w:p>
      <w:pPr>
        <w:jc w:val="both"/>
        <w:rPr>
          <w:rFonts w:ascii="Times New Roman" w:hAnsi="Times New Roman" w:cs="Times New Roman"/>
          <w:noProof/>
          <w:sz w:val="24"/>
          <w:szCs w:val="24"/>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1133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3940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ru-RU"/>
        </w:rPr>
      </w:pPr>
      <w:r>
        <w:rPr>
          <w:rStyle w:val="FootnoteReference"/>
        </w:rPr>
        <w:footnoteRef/>
      </w:r>
      <w:r>
        <w:t xml:space="preserve"> Търговията с фалшифицирани и пиратски стоки: обзор на икономическото въздействие, ОИСР/EUIPO (2016 г.).</w:t>
      </w:r>
    </w:p>
    <w:p>
      <w:pPr>
        <w:pStyle w:val="FootnoteText"/>
        <w:spacing w:after="120"/>
        <w:rPr>
          <w:lang w:val="ru-RU"/>
        </w:rPr>
      </w:pPr>
      <w:hyperlink r:id="rId1">
        <w:r>
          <w:rPr>
            <w:rStyle w:val="Hyperlink"/>
          </w:rPr>
          <w:t>https://euipo.europa.eu/tunnel-web/secure/webdav/guest/document_library/observatory/documents/Mapping_the_Economic_Impact_study/Mapping_the_Economic_Impact_en.pdf</w:t>
        </w:r>
      </w:hyperlink>
      <w:r>
        <w:t>.</w:t>
      </w:r>
    </w:p>
  </w:footnote>
  <w:footnote w:id="2">
    <w:p>
      <w:pPr>
        <w:pStyle w:val="FootnoteText"/>
        <w:rPr>
          <w:lang w:val="ru-RU"/>
        </w:rPr>
      </w:pPr>
      <w:r>
        <w:rPr>
          <w:rStyle w:val="FootnoteReference"/>
        </w:rPr>
        <w:footnoteRef/>
      </w:r>
      <w:r>
        <w:t xml:space="preserve"> Регламент (ЕС) № 608/2013 на Европейския парламент и на Съвета от 12 юни 2013 г. относно защитата на правата върху интелектуалната собственост, осъществявана от митническите органи, и за отмяна на Регламент (ЕО) № 1383/2003 на Съвета (ОВ L 181, 29.6.2013 г., стр. 15—33).</w:t>
      </w:r>
    </w:p>
  </w:footnote>
  <w:footnote w:id="3">
    <w:p>
      <w:pPr>
        <w:pStyle w:val="FootnoteText"/>
      </w:pPr>
      <w:r>
        <w:rPr>
          <w:rStyle w:val="FootnoteReference"/>
        </w:rPr>
        <w:footnoteRef/>
      </w:r>
      <w:r>
        <w:t xml:space="preserve"> Резолюция на Съвета относно плана за действие на ЕС в областта на митниците за борба с нарушенията на правата върху интелектуалната собственост (ПИС) (ОВ C 80, 19.3.2013 г., стр. 1).</w:t>
      </w:r>
    </w:p>
  </w:footnote>
  <w:footnote w:id="4">
    <w:p>
      <w:pPr>
        <w:pStyle w:val="FootnoteText"/>
        <w:rPr>
          <w:lang w:val="ru-RU"/>
        </w:rPr>
      </w:pPr>
      <w:r>
        <w:rPr>
          <w:rStyle w:val="FootnoteReference"/>
        </w:rPr>
        <w:footnoteRef/>
      </w:r>
      <w:r>
        <w:t xml:space="preserve"> Целта на действие 1.3.2 от Плана за действие на ЕС в областта на митниците за борба с нарушенията на правата върху интелектуалната собственост е да се предприеме диалог между митническите органи и носителите на права и заинтересованите страни, участващи в защитата на ПИС.</w:t>
      </w:r>
    </w:p>
  </w:footnote>
  <w:footnote w:id="5">
    <w:p>
      <w:pPr>
        <w:pStyle w:val="FootnoteText"/>
        <w:spacing w:after="120"/>
        <w:jc w:val="both"/>
        <w:rPr>
          <w:lang w:val="ru-RU"/>
        </w:rPr>
      </w:pPr>
      <w:r>
        <w:rPr>
          <w:rStyle w:val="FootnoteReference"/>
        </w:rPr>
        <w:footnoteRef/>
      </w:r>
      <w:r>
        <w:t xml:space="preserve"> Регламент (ЕИО) № 3842/86 на Съвета от 1 декември 1986 г. за установяване на мерки за забрана на допускането до свободно обращение на фалшифицирани стоки (ОВ L 357, 18.12.1986 г., стр. 1).</w:t>
      </w:r>
    </w:p>
  </w:footnote>
  <w:footnote w:id="6">
    <w:p>
      <w:pPr>
        <w:pStyle w:val="FootnoteText"/>
        <w:jc w:val="both"/>
      </w:pPr>
      <w:r>
        <w:rPr>
          <w:rStyle w:val="FootnoteReference"/>
        </w:rPr>
        <w:footnoteRef/>
      </w:r>
      <w:r>
        <w:t xml:space="preserve"> Регламент (ЕО) № 3295/94 на Съвета от 22 декември 1994 г. относно определянето на мерки за забрана на пускането в свободно обращение, износа, повторния износ или внасянето, при преустановяваща процедура, на фалшиви и пиратски стоки (ОВ L 341, 30.12.1994 г., стр. 8), Регламент (ЕО) № 1383/2003 на Съвета от 22 юли 2003 г. относно намесата на митническите органи по отношение на стоки, за които се подозира, че нарушават някои права върху интелектуалната собственост, както и относно мерките, които следва да се вземат по отношение на стоки, нарушаващи някои права върху интелектуалната собственост (ОВ L 196, 2.8.2003 г., стр. 7) и Регламент (ЕС) № 608/2013.</w:t>
      </w:r>
    </w:p>
    <w:p>
      <w:pPr>
        <w:spacing w:after="0" w:line="240" w:lineRule="auto"/>
        <w:rPr>
          <w:rFonts w:ascii="Calibri" w:eastAsia="Calibri" w:hAnsi="Calibri" w:cs="Times New Roman"/>
          <w:sz w:val="20"/>
          <w:szCs w:val="20"/>
          <w:lang w:eastAsia="x-none"/>
        </w:rPr>
      </w:pPr>
    </w:p>
    <w:p>
      <w:pPr>
        <w:pStyle w:val="FootnoteText"/>
        <w:rPr>
          <w:lang w:val="ru-RU"/>
        </w:rPr>
      </w:pPr>
    </w:p>
    <w:p>
      <w:pPr>
        <w:pStyle w:val="FootnoteText"/>
        <w:rPr>
          <w:lang w:val="ru-RU"/>
        </w:rPr>
      </w:pPr>
    </w:p>
  </w:footnote>
  <w:footnote w:id="7">
    <w:p>
      <w:pPr>
        <w:pStyle w:val="FootnoteText"/>
        <w:spacing w:after="120"/>
        <w:jc w:val="both"/>
        <w:rPr>
          <w:lang w:val="ru-RU"/>
        </w:rPr>
      </w:pPr>
      <w:r>
        <w:rPr>
          <w:rStyle w:val="FootnoteReference"/>
        </w:rPr>
        <w:footnoteRef/>
      </w:r>
      <w:r>
        <w:t xml:space="preserve"> Регламент за изпълнение(ЕС) № 1352/2013 на Комисията от 4 декември 2013 г. за установяване на формулярите, предвидени в Регламент (ЕС) № 608/201</w:t>
      </w:r>
      <w:r>
        <w:rPr>
          <w:lang w:val="ru-RU"/>
        </w:rPr>
        <w:t>3</w:t>
      </w:r>
      <w:r>
        <w:t xml:space="preserve"> на Европейския парламент и на Съвета относно защитата на правата върху интелектуалната собственост, осъществявана от митническите органи (ОВ L 341, 18.12.2013 г., стр. 10.)</w:t>
      </w:r>
    </w:p>
  </w:footnote>
  <w:footnote w:id="8">
    <w:p>
      <w:pPr>
        <w:pStyle w:val="FootnoteText"/>
        <w:rPr>
          <w:lang w:val="ru-RU"/>
        </w:rPr>
      </w:pPr>
      <w:r>
        <w:rPr>
          <w:rStyle w:val="FootnoteReference"/>
        </w:rPr>
        <w:footnoteRef/>
      </w:r>
      <w:r>
        <w:t xml:space="preserve"> </w:t>
      </w:r>
      <w:hyperlink r:id="rId2">
        <w:r>
          <w:rPr>
            <w:rStyle w:val="Hyperlink"/>
          </w:rPr>
          <w:t>http://ec.europa.eu/taxation_customs/business/customs-controls/counterfeit-piracy-other-ipr-violations/ipr-infringements-facts-figures_en</w:t>
        </w:r>
      </w:hyperlink>
    </w:p>
    <w:p>
      <w:pPr>
        <w:pStyle w:val="FootnoteText"/>
      </w:pPr>
    </w:p>
  </w:footnote>
  <w:footnote w:id="9">
    <w:p>
      <w:pPr>
        <w:pStyle w:val="FootnoteText"/>
        <w:jc w:val="both"/>
      </w:pPr>
      <w:r>
        <w:rPr>
          <w:rStyle w:val="FootnoteReference"/>
        </w:rPr>
        <w:footnoteRef/>
      </w:r>
      <w:r>
        <w:t> Вж. </w:t>
      </w:r>
      <w:hyperlink r:id="rId3">
        <w:r>
          <w:rPr>
            <w:rStyle w:val="Hyperlink"/>
          </w:rPr>
          <w:t>http://ec.europa.eu/taxation_customs/sites/taxation/files/resources/documents/customs/customs_controls/counterfeit_piracy/right_holders/manual-application-for-action_bg.pdf</w:t>
        </w:r>
      </w:hyperlink>
    </w:p>
  </w:footnote>
  <w:footnote w:id="10">
    <w:p>
      <w:pPr>
        <w:pStyle w:val="FootnoteText"/>
        <w:rPr>
          <w:lang w:val="ru-RU"/>
        </w:rPr>
      </w:pPr>
      <w:r>
        <w:rPr>
          <w:rStyle w:val="FootnoteReference"/>
        </w:rPr>
        <w:footnoteRef/>
      </w:r>
      <w:r>
        <w:t xml:space="preserve"> Регламент за изпълнение (ЕС) № 1352/2013 на Комисията от 4 декември 2013 г. за установяване на формулярите, предвидени в Регламент (ЕС) № 608/2013 на Европейския парламент и на Съвета относно защитата на правата върху интелектуалната собственост, осъществявана от митническите органи (ОВ L 341, 18.12.2013 г., стр. 10).</w:t>
      </w:r>
    </w:p>
  </w:footnote>
  <w:footnote w:id="11">
    <w:p>
      <w:pPr>
        <w:pStyle w:val="FootnoteText"/>
        <w:rPr>
          <w:lang w:val="ru-RU"/>
        </w:rPr>
      </w:pPr>
      <w:r>
        <w:rPr>
          <w:rStyle w:val="FootnoteReference"/>
        </w:rPr>
        <w:footnoteRef/>
      </w:r>
      <w:r>
        <w:t xml:space="preserve"> </w:t>
      </w:r>
      <w:hyperlink r:id="rId4">
        <w:r>
          <w:rPr>
            <w:rStyle w:val="Hyperlink"/>
          </w:rPr>
          <w:t>http://ec.europa.eu/taxation_customs/business/customs-controls/counterfeit-piracy-other-ipr-violations/ipr-infringements-facts-figures_en</w:t>
        </w:r>
      </w:hyperlink>
    </w:p>
  </w:footnote>
  <w:footnote w:id="12">
    <w:p>
      <w:pPr>
        <w:pStyle w:val="FootnoteText"/>
        <w:rPr>
          <w:lang w:val="ru-RU"/>
        </w:rPr>
      </w:pPr>
      <w:r>
        <w:rPr>
          <w:rStyle w:val="FootnoteReference"/>
        </w:rPr>
        <w:footnoteRef/>
      </w:r>
      <w:r>
        <w:t xml:space="preserve"> COM(2014) 392: Съобщение на Комисията до Европейския парламент, Съвета и Европейския икономически и социален комитет: Към обновен консенсус относно прилагането на правата върху интелектуалната собственост: план за действие на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46AE"/>
    <w:multiLevelType w:val="hybridMultilevel"/>
    <w:tmpl w:val="83D638A6"/>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34330B"/>
    <w:multiLevelType w:val="hybridMultilevel"/>
    <w:tmpl w:val="544A2738"/>
    <w:lvl w:ilvl="0" w:tplc="AFB6867A">
      <w:numFmt w:val="bullet"/>
      <w:lvlText w:val="-"/>
      <w:lvlJc w:val="left"/>
      <w:pPr>
        <w:ind w:left="360" w:hanging="360"/>
      </w:pPr>
      <w:rPr>
        <w:rFonts w:ascii="Calibri" w:eastAsia="Calibri" w:hAnsi="Calibri" w:cs="DokChampa" w:hint="default"/>
      </w:rPr>
    </w:lvl>
    <w:lvl w:ilvl="1" w:tplc="AFB6867A">
      <w:numFmt w:val="bullet"/>
      <w:lvlText w:val="-"/>
      <w:lvlJc w:val="left"/>
      <w:pPr>
        <w:ind w:left="1440" w:hanging="360"/>
      </w:pPr>
      <w:rPr>
        <w:rFonts w:ascii="Calibri" w:eastAsia="Calibri" w:hAnsi="Calibri" w:cs="DokChamp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9C05D7"/>
    <w:multiLevelType w:val="hybridMultilevel"/>
    <w:tmpl w:val="681E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7A68B7"/>
    <w:multiLevelType w:val="hybridMultilevel"/>
    <w:tmpl w:val="E87CA23A"/>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986E63"/>
    <w:multiLevelType w:val="hybridMultilevel"/>
    <w:tmpl w:val="32C2C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2EE5C0E"/>
    <w:multiLevelType w:val="hybridMultilevel"/>
    <w:tmpl w:val="71F41266"/>
    <w:lvl w:ilvl="0" w:tplc="43128916">
      <w:start w:val="19"/>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46045579"/>
    <w:multiLevelType w:val="hybridMultilevel"/>
    <w:tmpl w:val="93C6BA50"/>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192022"/>
    <w:multiLevelType w:val="hybridMultilevel"/>
    <w:tmpl w:val="FAA07CA4"/>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625E56"/>
    <w:multiLevelType w:val="hybridMultilevel"/>
    <w:tmpl w:val="9EB88F18"/>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220206"/>
    <w:multiLevelType w:val="hybridMultilevel"/>
    <w:tmpl w:val="77682A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D45414"/>
    <w:multiLevelType w:val="hybridMultilevel"/>
    <w:tmpl w:val="987AE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468316C"/>
    <w:multiLevelType w:val="hybridMultilevel"/>
    <w:tmpl w:val="77A8CCB6"/>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BE1CB9"/>
    <w:multiLevelType w:val="hybridMultilevel"/>
    <w:tmpl w:val="397A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1"/>
  </w:num>
  <w:num w:numId="6">
    <w:abstractNumId w:val="8"/>
  </w:num>
  <w:num w:numId="7">
    <w:abstractNumId w:val="11"/>
  </w:num>
  <w:num w:numId="8">
    <w:abstractNumId w:val="7"/>
  </w:num>
  <w:num w:numId="9">
    <w:abstractNumId w:val="0"/>
  </w:num>
  <w:num w:numId="10">
    <w:abstractNumId w:val="3"/>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F57C3A870BB472883B6BEE9E6DE2639"/>
    <w:docVar w:name="LW_CROSSREFERENCE" w:val="&lt;UNUSED&gt;"/>
    <w:docVar w:name="LW_DocType" w:val="NORMAL"/>
    <w:docVar w:name="LW_EMISSION" w:val="15.5.2017"/>
    <w:docVar w:name="LW_EMISSION_ISODATE" w:val="2017-05-1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33"/>
    <w:docVar w:name="LW_REF.INTERNE" w:val="&lt;UNUSED&gt;"/>
    <w:docVar w:name="LW_SOUS.TITRE.OBJ" w:val="1 January 2014-31 December 2015"/>
    <w:docVar w:name="LW_SOUS.TITRE.OBJ.CP" w:val="&lt;UNUSED&gt;"/>
    <w:docVar w:name="LW_SUPERTITRE" w:val="&lt;UNUSED&gt;"/>
    <w:docVar w:name="LW_TITRE.OBJ.CP" w:val="\u1079?\u1072? \u1087?\u1088?\u1080?\u1083?\u1072?\u1075?\u1072?\u1085?\u1077?\u1090?\u1086? \u1085?\u1072? \u1056?\u1077?\u1075?\u1083?\u1072?\u1084?\u1077?\u1085?\u1090? (\u1045?\u1057?) \u8470? 608/2013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bg-BG" w:eastAsia="bg-BG"/>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bg-BG" w:eastAsia="bg-BG"/>
    </w:rPr>
  </w:style>
  <w:style w:type="table" w:styleId="TableGrid">
    <w:name w:val="Table Grid"/>
    <w:basedOn w:val="TableNormal"/>
    <w:uiPriority w:val="59"/>
    <w:pPr>
      <w:spacing w:after="0" w:line="240" w:lineRule="auto"/>
    </w:pPr>
    <w:rPr>
      <w:rFonts w:ascii="Calibri" w:eastAsia="Calibri" w:hAnsi="Calibri" w:cs="DokChamp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oterDate">
    <w:name w:val="Footer Date"/>
    <w:basedOn w:val="Footer"/>
    <w:link w:val="FooterDateChar"/>
    <w:qFormat/>
    <w:pPr>
      <w:tabs>
        <w:tab w:val="clear" w:pos="4536"/>
        <w:tab w:val="clear" w:pos="9072"/>
        <w:tab w:val="right" w:pos="9240"/>
      </w:tabs>
      <w:ind w:right="-567"/>
    </w:pPr>
    <w:rPr>
      <w:rFonts w:ascii="Verdana" w:eastAsia="Times New Roman" w:hAnsi="Verdana" w:cs="Times New Roman"/>
      <w:sz w:val="16"/>
      <w:szCs w:val="20"/>
    </w:rPr>
  </w:style>
  <w:style w:type="character" w:customStyle="1" w:styleId="FooterDateChar">
    <w:name w:val="Footer Date Char"/>
    <w:link w:val="FooterDate"/>
    <w:rPr>
      <w:rFonts w:ascii="Verdana" w:eastAsia="Times New Roman" w:hAnsi="Verdana" w:cs="Times New Roman"/>
      <w:sz w:val="16"/>
      <w:szCs w:val="20"/>
      <w:lang w:val="bg-B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eastAsia="bg-BG"/>
    </w:rPr>
  </w:style>
  <w:style w:type="paragraph" w:styleId="Revision">
    <w:name w:val="Revision"/>
    <w:hidden/>
    <w:uiPriority w:val="99"/>
    <w:semiHidden/>
    <w:pPr>
      <w:spacing w:after="0" w:line="240" w:lineRule="auto"/>
    </w:pPr>
    <w:rPr>
      <w:rFonts w:ascii="Calibri" w:eastAsia="Calibri" w:hAnsi="Calibri" w:cs="DokChampa"/>
    </w:rPr>
  </w:style>
  <w:style w:type="paragraph" w:styleId="ListParagraph">
    <w:name w:val="List Paragraph"/>
    <w:basedOn w:val="Normal"/>
    <w:uiPriority w:val="34"/>
    <w:qFormat/>
    <w:pPr>
      <w:ind w:left="720"/>
      <w:contextualSpacing/>
    </w:pPr>
    <w:rPr>
      <w:rFonts w:ascii="Calibri" w:eastAsia="Calibri" w:hAnsi="Calibri" w:cs="DokChampa"/>
    </w:rPr>
  </w:style>
  <w:style w:type="character" w:customStyle="1" w:styleId="Bodytext2">
    <w:name w:val="Body text (2)_"/>
    <w:basedOn w:val="DefaultParagraphFont"/>
    <w:link w:val="Bodytext20"/>
    <w:rPr>
      <w:sz w:val="20"/>
      <w:szCs w:val="20"/>
      <w:shd w:val="clear" w:color="auto" w:fill="FFFFFF"/>
    </w:rPr>
  </w:style>
  <w:style w:type="character" w:customStyle="1" w:styleId="Bodytext2Arial9pt">
    <w:name w:val="Body text (2) + Arial;9 pt"/>
    <w:basedOn w:val="Bodytext2"/>
    <w:rPr>
      <w:rFonts w:ascii="Arial" w:eastAsia="Arial" w:hAnsi="Arial" w:cs="Arial"/>
      <w:color w:val="000000"/>
      <w:spacing w:val="0"/>
      <w:w w:val="100"/>
      <w:position w:val="0"/>
      <w:sz w:val="18"/>
      <w:szCs w:val="18"/>
      <w:shd w:val="clear" w:color="auto" w:fill="FFFFFF"/>
      <w:lang w:val="bg-BG" w:eastAsia="bg-BG" w:bidi="bg-BG"/>
    </w:rPr>
  </w:style>
  <w:style w:type="character" w:customStyle="1" w:styleId="Tablecaption">
    <w:name w:val="Table caption_"/>
    <w:basedOn w:val="DefaultParagraphFont"/>
    <w:link w:val="Tablecaption0"/>
    <w:rPr>
      <w:rFonts w:ascii="Arial" w:eastAsia="Arial" w:hAnsi="Arial" w:cs="Arial"/>
      <w:sz w:val="18"/>
      <w:szCs w:val="18"/>
      <w:shd w:val="clear" w:color="auto" w:fill="FFFFFF"/>
    </w:rPr>
  </w:style>
  <w:style w:type="paragraph" w:customStyle="1" w:styleId="Bodytext20">
    <w:name w:val="Body text (2)"/>
    <w:basedOn w:val="Normal"/>
    <w:link w:val="Bodytext2"/>
    <w:pPr>
      <w:widowControl w:val="0"/>
      <w:shd w:val="clear" w:color="auto" w:fill="FFFFFF"/>
      <w:spacing w:after="0" w:line="240" w:lineRule="auto"/>
    </w:pPr>
    <w:rPr>
      <w:sz w:val="20"/>
      <w:szCs w:val="20"/>
    </w:rPr>
  </w:style>
  <w:style w:type="paragraph" w:customStyle="1" w:styleId="Tablecaption0">
    <w:name w:val="Table caption"/>
    <w:basedOn w:val="Normal"/>
    <w:link w:val="Tablecaption"/>
    <w:pPr>
      <w:widowControl w:val="0"/>
      <w:shd w:val="clear" w:color="auto" w:fill="FFFFFF"/>
      <w:spacing w:after="0" w:line="200" w:lineRule="exact"/>
    </w:pPr>
    <w:rPr>
      <w:rFonts w:ascii="Arial" w:eastAsia="Arial" w:hAnsi="Arial" w:cs="Arial"/>
      <w:sz w:val="18"/>
      <w:szCs w:val="18"/>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shd w:val="clear" w:color="auto" w:fill="FFFFFF"/>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bg-BG" w:eastAsia="bg-BG"/>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bg-BG" w:eastAsia="bg-BG"/>
    </w:rPr>
  </w:style>
  <w:style w:type="table" w:styleId="TableGrid">
    <w:name w:val="Table Grid"/>
    <w:basedOn w:val="TableNormal"/>
    <w:uiPriority w:val="59"/>
    <w:pPr>
      <w:spacing w:after="0" w:line="240" w:lineRule="auto"/>
    </w:pPr>
    <w:rPr>
      <w:rFonts w:ascii="Calibri" w:eastAsia="Calibri" w:hAnsi="Calibri" w:cs="DokChamp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oterDate">
    <w:name w:val="Footer Date"/>
    <w:basedOn w:val="Footer"/>
    <w:link w:val="FooterDateChar"/>
    <w:qFormat/>
    <w:pPr>
      <w:tabs>
        <w:tab w:val="clear" w:pos="4536"/>
        <w:tab w:val="clear" w:pos="9072"/>
        <w:tab w:val="right" w:pos="9240"/>
      </w:tabs>
      <w:ind w:right="-567"/>
    </w:pPr>
    <w:rPr>
      <w:rFonts w:ascii="Verdana" w:eastAsia="Times New Roman" w:hAnsi="Verdana" w:cs="Times New Roman"/>
      <w:sz w:val="16"/>
      <w:szCs w:val="20"/>
    </w:rPr>
  </w:style>
  <w:style w:type="character" w:customStyle="1" w:styleId="FooterDateChar">
    <w:name w:val="Footer Date Char"/>
    <w:link w:val="FooterDate"/>
    <w:rPr>
      <w:rFonts w:ascii="Verdana" w:eastAsia="Times New Roman" w:hAnsi="Verdana" w:cs="Times New Roman"/>
      <w:sz w:val="16"/>
      <w:szCs w:val="20"/>
      <w:lang w:val="bg-B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eastAsia="bg-BG"/>
    </w:rPr>
  </w:style>
  <w:style w:type="paragraph" w:styleId="Revision">
    <w:name w:val="Revision"/>
    <w:hidden/>
    <w:uiPriority w:val="99"/>
    <w:semiHidden/>
    <w:pPr>
      <w:spacing w:after="0" w:line="240" w:lineRule="auto"/>
    </w:pPr>
    <w:rPr>
      <w:rFonts w:ascii="Calibri" w:eastAsia="Calibri" w:hAnsi="Calibri" w:cs="DokChampa"/>
    </w:rPr>
  </w:style>
  <w:style w:type="paragraph" w:styleId="ListParagraph">
    <w:name w:val="List Paragraph"/>
    <w:basedOn w:val="Normal"/>
    <w:uiPriority w:val="34"/>
    <w:qFormat/>
    <w:pPr>
      <w:ind w:left="720"/>
      <w:contextualSpacing/>
    </w:pPr>
    <w:rPr>
      <w:rFonts w:ascii="Calibri" w:eastAsia="Calibri" w:hAnsi="Calibri" w:cs="DokChampa"/>
    </w:rPr>
  </w:style>
  <w:style w:type="character" w:customStyle="1" w:styleId="Bodytext2">
    <w:name w:val="Body text (2)_"/>
    <w:basedOn w:val="DefaultParagraphFont"/>
    <w:link w:val="Bodytext20"/>
    <w:rPr>
      <w:sz w:val="20"/>
      <w:szCs w:val="20"/>
      <w:shd w:val="clear" w:color="auto" w:fill="FFFFFF"/>
    </w:rPr>
  </w:style>
  <w:style w:type="character" w:customStyle="1" w:styleId="Bodytext2Arial9pt">
    <w:name w:val="Body text (2) + Arial;9 pt"/>
    <w:basedOn w:val="Bodytext2"/>
    <w:rPr>
      <w:rFonts w:ascii="Arial" w:eastAsia="Arial" w:hAnsi="Arial" w:cs="Arial"/>
      <w:color w:val="000000"/>
      <w:spacing w:val="0"/>
      <w:w w:val="100"/>
      <w:position w:val="0"/>
      <w:sz w:val="18"/>
      <w:szCs w:val="18"/>
      <w:shd w:val="clear" w:color="auto" w:fill="FFFFFF"/>
      <w:lang w:val="bg-BG" w:eastAsia="bg-BG" w:bidi="bg-BG"/>
    </w:rPr>
  </w:style>
  <w:style w:type="character" w:customStyle="1" w:styleId="Tablecaption">
    <w:name w:val="Table caption_"/>
    <w:basedOn w:val="DefaultParagraphFont"/>
    <w:link w:val="Tablecaption0"/>
    <w:rPr>
      <w:rFonts w:ascii="Arial" w:eastAsia="Arial" w:hAnsi="Arial" w:cs="Arial"/>
      <w:sz w:val="18"/>
      <w:szCs w:val="18"/>
      <w:shd w:val="clear" w:color="auto" w:fill="FFFFFF"/>
    </w:rPr>
  </w:style>
  <w:style w:type="paragraph" w:customStyle="1" w:styleId="Bodytext20">
    <w:name w:val="Body text (2)"/>
    <w:basedOn w:val="Normal"/>
    <w:link w:val="Bodytext2"/>
    <w:pPr>
      <w:widowControl w:val="0"/>
      <w:shd w:val="clear" w:color="auto" w:fill="FFFFFF"/>
      <w:spacing w:after="0" w:line="240" w:lineRule="auto"/>
    </w:pPr>
    <w:rPr>
      <w:sz w:val="20"/>
      <w:szCs w:val="20"/>
    </w:rPr>
  </w:style>
  <w:style w:type="paragraph" w:customStyle="1" w:styleId="Tablecaption0">
    <w:name w:val="Table caption"/>
    <w:basedOn w:val="Normal"/>
    <w:link w:val="Tablecaption"/>
    <w:pPr>
      <w:widowControl w:val="0"/>
      <w:shd w:val="clear" w:color="auto" w:fill="FFFFFF"/>
      <w:spacing w:after="0" w:line="200" w:lineRule="exact"/>
    </w:pPr>
    <w:rPr>
      <w:rFonts w:ascii="Arial" w:eastAsia="Arial" w:hAnsi="Arial" w:cs="Arial"/>
      <w:sz w:val="18"/>
      <w:szCs w:val="18"/>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taxation_customs/sites/taxation/files/2016_ipr_statistics.pdf"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ec.europa.eu/taxation_customs/sites/taxation/files/resources/documents/customs/customs_controls/counterfeit_piracy/statistics/2015_ipr_statistics.pdf"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sites/taxation/files/resources/documents/customs/customs_controls/counterfeit_piracy/right_holders/manual-application-for-action_bg.pdf" TargetMode="External"/><Relationship Id="rId2" Type="http://schemas.openxmlformats.org/officeDocument/2006/relationships/hyperlink" Target="http://ec.europa.eu/taxation_customs/business/customs-controls/counterfeit-piracy-other-ipr-violations/ipr-infringements-facts-figures_en" TargetMode="External"/><Relationship Id="rId1" Type="http://schemas.openxmlformats.org/officeDocument/2006/relationships/hyperlink" Target="https://euipo.europa.eu/tunnel-web/secure/webdav/guest/document_library/observatory/documents/Mapping_the_Economic_Impact_study/Mapping_the_Economic_Impact_en.pdf" TargetMode="External"/><Relationship Id="rId4" Type="http://schemas.openxmlformats.org/officeDocument/2006/relationships/hyperlink" Target="http://ec.europa.eu/taxation_customs/business/customs-controls/counterfeit-piracy-other-ipr-violations/ipr-infringements-facts-figur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FC1F-7BEF-4D63-8496-81ACA5A2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8127</Words>
  <Characters>45758</Characters>
  <Application>Microsoft Office Word</Application>
  <DocSecurity>0</DocSecurity>
  <Lines>1039</Lines>
  <Paragraphs>494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43</cp:revision>
  <cp:lastPrinted>2017-04-03T12:16:00Z</cp:lastPrinted>
  <dcterms:created xsi:type="dcterms:W3CDTF">2017-03-28T09:31:00Z</dcterms:created>
  <dcterms:modified xsi:type="dcterms:W3CDTF">2017-05-15T08:46:00Z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