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EA" w:rsidRDefault="00E916D8" w:rsidP="00E916D8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8DBB8E808CED4C4EB6EE36BD2170FFAA" style="width:450.25pt;height:483.6pt">
            <v:imagedata r:id="rId9" o:title=""/>
          </v:shape>
        </w:pict>
      </w:r>
    </w:p>
    <w:bookmarkEnd w:id="0"/>
    <w:p w:rsidR="00A07AEA" w:rsidRDefault="00A07AEA">
      <w:pPr>
        <w:rPr>
          <w:noProof/>
        </w:rPr>
        <w:sectPr w:rsidR="00A07AEA" w:rsidSect="00E916D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A07AEA" w:rsidRDefault="00A07AEA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1" w:name="_GoBack"/>
      <w:bookmarkEnd w:id="1"/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387"/>
      </w:tblGrid>
      <w:tr w:rsidR="00A07AEA">
        <w:tc>
          <w:tcPr>
            <w:tcW w:w="5529" w:type="dxa"/>
            <w:shd w:val="clear" w:color="auto" w:fill="auto"/>
          </w:tcPr>
          <w:p w:rsidR="00A07AEA" w:rsidRDefault="00E916D8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Actions</w:t>
            </w:r>
          </w:p>
        </w:tc>
        <w:tc>
          <w:tcPr>
            <w:tcW w:w="5387" w:type="dxa"/>
            <w:shd w:val="clear" w:color="auto" w:fill="auto"/>
          </w:tcPr>
          <w:p w:rsidR="00A07AEA" w:rsidRDefault="00E916D8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État d'avancement</w:t>
            </w:r>
          </w:p>
        </w:tc>
      </w:tr>
      <w:tr w:rsidR="00A07AEA">
        <w:tc>
          <w:tcPr>
            <w:tcW w:w="10916" w:type="dxa"/>
            <w:gridSpan w:val="2"/>
            <w:shd w:val="clear" w:color="auto" w:fill="auto"/>
          </w:tcPr>
          <w:p w:rsidR="00A07AEA" w:rsidRDefault="00E916D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I. Améliorer l'accès aux biens et services numériques dans toute l'Europe </w:t>
            </w:r>
            <w:r>
              <w:rPr>
                <w:rFonts w:ascii="Times New Roman" w:hAnsi="Times New Roman"/>
                <w:b/>
                <w:noProof/>
                <w:sz w:val="24"/>
              </w:rPr>
              <w:t>pour les consommateurs et les entreprises</w:t>
            </w:r>
          </w:p>
        </w:tc>
      </w:tr>
      <w:tr w:rsidR="00A07AEA">
        <w:tc>
          <w:tcPr>
            <w:tcW w:w="5529" w:type="dxa"/>
            <w:shd w:val="clear" w:color="auto" w:fill="auto"/>
          </w:tcPr>
          <w:p w:rsidR="00A07AEA" w:rsidRDefault="00E916D8">
            <w:pPr>
              <w:spacing w:after="0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 xml:space="preserve">Propositions législatives concernant des règles simples et efficaces en matière de marchés transfrontières pour les consommateurs et les entreprises  </w:t>
            </w:r>
          </w:p>
          <w:p w:rsidR="00A07AEA" w:rsidRDefault="00E916D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Proposition de directive du Parlement européen et du Conseil c</w:t>
            </w:r>
            <w:r>
              <w:rPr>
                <w:rFonts w:ascii="Times New Roman" w:hAnsi="Times New Roman"/>
                <w:noProof/>
                <w:sz w:val="24"/>
              </w:rPr>
              <w:t xml:space="preserve">oncernant certains aspects des contrats de fourniture de contenu numérique  </w:t>
            </w:r>
          </w:p>
          <w:p w:rsidR="00A07AEA" w:rsidRDefault="00E916D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Proposition de directive du Parlement européen et du Conseil concernant certains aspects des contrats de ventes en ligne et de toute autre vente à distance de biens </w:t>
            </w:r>
          </w:p>
        </w:tc>
        <w:tc>
          <w:tcPr>
            <w:tcW w:w="5387" w:type="dxa"/>
            <w:shd w:val="clear" w:color="auto" w:fill="auto"/>
          </w:tcPr>
          <w:p w:rsidR="00A07AEA" w:rsidRDefault="00E916D8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>2015</w:t>
            </w:r>
          </w:p>
          <w:p w:rsidR="00A07AEA" w:rsidRDefault="00A07AE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A07AE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E916D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Adoptée par COM le 9 décembre 2015</w:t>
            </w:r>
          </w:p>
          <w:p w:rsidR="00A07AEA" w:rsidRDefault="00A07AE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A07AE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E916D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Adoptée par COM le 9 décembre 2015</w:t>
            </w:r>
          </w:p>
          <w:p w:rsidR="00A07AEA" w:rsidRDefault="00A07AE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07AEA">
        <w:tc>
          <w:tcPr>
            <w:tcW w:w="5529" w:type="dxa"/>
            <w:shd w:val="clear" w:color="auto" w:fill="auto"/>
          </w:tcPr>
          <w:p w:rsidR="00A07AEA" w:rsidRDefault="00E916D8">
            <w:pPr>
              <w:spacing w:after="0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>Révision du règlement relatif à la coopération en matière de protection des consommateurs</w:t>
            </w:r>
          </w:p>
          <w:p w:rsidR="00A07AEA" w:rsidRDefault="00E916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Proposition de révision du règlement relatif à la coopération en matière de protection des consommateurs </w:t>
            </w:r>
          </w:p>
        </w:tc>
        <w:tc>
          <w:tcPr>
            <w:tcW w:w="5387" w:type="dxa"/>
            <w:shd w:val="clear" w:color="auto" w:fill="auto"/>
          </w:tcPr>
          <w:p w:rsidR="00A07AEA" w:rsidRDefault="00E916D8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>2016</w:t>
            </w:r>
          </w:p>
          <w:p w:rsidR="00A07AEA" w:rsidRDefault="00A07AEA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</w:p>
          <w:p w:rsidR="00A07AEA" w:rsidRDefault="00E916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Adoptée par COM le 25 mai 2016</w:t>
            </w:r>
          </w:p>
          <w:p w:rsidR="00A07AEA" w:rsidRDefault="00A07AE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07AEA">
        <w:tc>
          <w:tcPr>
            <w:tcW w:w="5529" w:type="dxa"/>
            <w:shd w:val="clear" w:color="auto" w:fill="auto"/>
          </w:tcPr>
          <w:p w:rsidR="00A07AEA" w:rsidRDefault="00E916D8">
            <w:pPr>
              <w:spacing w:after="0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>Mesures dans le domaine de la livraison de colis</w:t>
            </w:r>
          </w:p>
          <w:p w:rsidR="00A07AEA" w:rsidRDefault="00E916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Proposition législative concernant des mesures dans le domaine de la livraison des colis </w:t>
            </w:r>
          </w:p>
        </w:tc>
        <w:tc>
          <w:tcPr>
            <w:tcW w:w="5387" w:type="dxa"/>
            <w:shd w:val="clear" w:color="auto" w:fill="auto"/>
          </w:tcPr>
          <w:p w:rsidR="00A07AEA" w:rsidRDefault="00E916D8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>2016</w:t>
            </w:r>
          </w:p>
          <w:p w:rsidR="00A07AEA" w:rsidRDefault="00E916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Adoptée par COM le 25 mai 2016</w:t>
            </w:r>
          </w:p>
          <w:p w:rsidR="00A07AEA" w:rsidRDefault="00A07AE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07AEA">
        <w:tc>
          <w:tcPr>
            <w:tcW w:w="5529" w:type="dxa"/>
            <w:shd w:val="clear" w:color="auto" w:fill="auto"/>
          </w:tcPr>
          <w:p w:rsidR="00A07AEA" w:rsidRDefault="00E916D8">
            <w:pPr>
              <w:spacing w:after="0"/>
              <w:rPr>
                <w:rFonts w:ascii="Times New Roman" w:eastAsia="MS Gothic" w:hAnsi="Times New Roman" w:cs="Times New Roman"/>
                <w:bCs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>Examen de grande envergure en vue d'élaborer des propositions législatives pour lutter contre le blocage géographique injustifié</w:t>
            </w:r>
          </w:p>
          <w:p w:rsidR="00A07AEA" w:rsidRDefault="00E916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MS Gothic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Mesures législatives visant à prévenir le blocage géographique et d'autres discriminations à l’égard des consommateurs fondées sur la nationalité ou sur le lieu de résidence </w:t>
            </w:r>
          </w:p>
          <w:p w:rsidR="00A07AEA" w:rsidRDefault="00E916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MS Gothic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Orientations concernant l’application de la directive sur les pratiques commerci</w:t>
            </w:r>
            <w:r>
              <w:rPr>
                <w:rFonts w:ascii="Times New Roman" w:hAnsi="Times New Roman"/>
                <w:noProof/>
                <w:sz w:val="24"/>
              </w:rPr>
              <w:t xml:space="preserve">ales déloyales SWD (2016) </w:t>
            </w:r>
          </w:p>
        </w:tc>
        <w:tc>
          <w:tcPr>
            <w:tcW w:w="5387" w:type="dxa"/>
            <w:shd w:val="clear" w:color="auto" w:fill="auto"/>
          </w:tcPr>
          <w:p w:rsidR="00A07AEA" w:rsidRDefault="00E916D8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>2015</w:t>
            </w:r>
          </w:p>
          <w:p w:rsidR="00A07AEA" w:rsidRDefault="00A07AE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A07AE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E916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Adopté par COM le 25 mai 2016</w:t>
            </w:r>
          </w:p>
          <w:p w:rsidR="00A07AEA" w:rsidRDefault="00E916D8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Initiative prioritaire sur la déclaration commune des trois institutions sur les priorités législatives de l’Union européenne pour l’année 2017. </w:t>
            </w:r>
          </w:p>
          <w:p w:rsidR="00A07AEA" w:rsidRDefault="00E916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SWD publié le 25 mai 2016</w:t>
            </w:r>
          </w:p>
        </w:tc>
      </w:tr>
      <w:tr w:rsidR="00A07AEA">
        <w:tc>
          <w:tcPr>
            <w:tcW w:w="5529" w:type="dxa"/>
            <w:shd w:val="clear" w:color="auto" w:fill="auto"/>
          </w:tcPr>
          <w:p w:rsidR="00A07AEA" w:rsidRDefault="00E916D8">
            <w:pPr>
              <w:spacing w:after="0"/>
              <w:rPr>
                <w:rFonts w:ascii="Times New Roman" w:eastAsia="MS Gothic" w:hAnsi="Times New Roman" w:cs="Times New Roman"/>
                <w:bCs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 xml:space="preserve">Enquête sur la concurrence dans le secteur du commerce électronique, relative au commerce en ligne de biens de consommation et à la fourniture en ligne de contenu numérique </w:t>
            </w:r>
          </w:p>
          <w:p w:rsidR="00A07AEA" w:rsidRDefault="00E916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Lancée le 6 mai 2015</w:t>
            </w:r>
          </w:p>
          <w:p w:rsidR="00A07AEA" w:rsidRDefault="00E916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MS Gothic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Rapport préliminaire relatif à l’enquête sur la concurrence d</w:t>
            </w:r>
            <w:r>
              <w:rPr>
                <w:rFonts w:ascii="Times New Roman" w:hAnsi="Times New Roman"/>
                <w:noProof/>
                <w:sz w:val="24"/>
              </w:rPr>
              <w:t>ans le secteur du commerce électronique (15 septembre 2016)</w:t>
            </w:r>
          </w:p>
          <w:p w:rsidR="00A07AEA" w:rsidRDefault="00E916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MS Gothic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Consultation publique sur le rapport préliminaire jusqu’en novembre 2016</w:t>
            </w:r>
          </w:p>
        </w:tc>
        <w:tc>
          <w:tcPr>
            <w:tcW w:w="5387" w:type="dxa"/>
            <w:shd w:val="clear" w:color="auto" w:fill="auto"/>
          </w:tcPr>
          <w:p w:rsidR="00A07AEA" w:rsidRDefault="00E916D8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>2017</w:t>
            </w:r>
          </w:p>
          <w:p w:rsidR="00A07AEA" w:rsidRDefault="00A07AE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A07AE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A07AE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E916D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Publication du rapport relatif à l’enquête sur la concurrence dans le secteur du commerce électronique le 10 mai </w:t>
            </w:r>
            <w:r>
              <w:rPr>
                <w:rFonts w:ascii="Times New Roman" w:hAnsi="Times New Roman"/>
                <w:noProof/>
                <w:sz w:val="24"/>
              </w:rPr>
              <w:t>2017</w:t>
            </w:r>
          </w:p>
        </w:tc>
      </w:tr>
      <w:tr w:rsidR="00A07AEA">
        <w:tc>
          <w:tcPr>
            <w:tcW w:w="5529" w:type="dxa"/>
            <w:shd w:val="clear" w:color="auto" w:fill="auto"/>
          </w:tcPr>
          <w:p w:rsidR="00A07AEA" w:rsidRDefault="00E916D8">
            <w:pPr>
              <w:spacing w:after="0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>Propositions législatives en vue d’une réforme du droit d’auteur</w:t>
            </w:r>
          </w:p>
          <w:p w:rsidR="00A07AEA" w:rsidRDefault="00E916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Proposition de règlement visant à assurer la </w:t>
            </w:r>
            <w:r>
              <w:rPr>
                <w:rFonts w:ascii="Times New Roman" w:hAnsi="Times New Roman"/>
                <w:noProof/>
                <w:sz w:val="24"/>
              </w:rPr>
              <w:lastRenderedPageBreak/>
              <w:t xml:space="preserve">portabilité transfrontière des services de contenu en ligne dans le marché intérieur </w:t>
            </w:r>
          </w:p>
          <w:p w:rsidR="00A07AEA" w:rsidRDefault="00E916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Communication intitulée «Vers un cadre moderne et plus</w:t>
            </w:r>
            <w:r>
              <w:rPr>
                <w:rFonts w:ascii="Times New Roman" w:hAnsi="Times New Roman"/>
                <w:noProof/>
                <w:sz w:val="24"/>
              </w:rPr>
              <w:t xml:space="preserve"> européen pour le droit d’auteur»- Droit d’auteur I </w:t>
            </w:r>
          </w:p>
          <w:p w:rsidR="00A07AEA" w:rsidRDefault="00E916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Propositions législatives (règlement et directive) relatives au format accessible de certaines œuvres et autres objets protégés par le droit d'auteur en faveur de personnes ayant des difficultés de lectu</w:t>
            </w:r>
            <w:r>
              <w:rPr>
                <w:rFonts w:ascii="Times New Roman" w:hAnsi="Times New Roman"/>
                <w:noProof/>
                <w:sz w:val="24"/>
              </w:rPr>
              <w:t>re des textes imprimés et mettant en œuvre le traité de Marrakech</w:t>
            </w:r>
          </w:p>
          <w:p w:rsidR="00A07AEA" w:rsidRDefault="00A07AE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E916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Directive sur le droit d’auteur dans le marché unique numérique</w:t>
            </w:r>
          </w:p>
          <w:p w:rsidR="00A07AEA" w:rsidRDefault="00A07AEA">
            <w:pPr>
              <w:spacing w:after="0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A07AEA">
            <w:pPr>
              <w:spacing w:after="0" w:line="240" w:lineRule="auto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A07AEA">
            <w:pPr>
              <w:spacing w:after="0" w:line="240" w:lineRule="auto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E916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Communication «Promouvoir une économie européenne fondée sur le droit d’auteur juste, efficiente et compétitive dans le marché unique numérique» - Droit d’auteur II </w:t>
            </w:r>
          </w:p>
        </w:tc>
        <w:tc>
          <w:tcPr>
            <w:tcW w:w="5387" w:type="dxa"/>
            <w:shd w:val="clear" w:color="auto" w:fill="auto"/>
          </w:tcPr>
          <w:p w:rsidR="00A07AEA" w:rsidRDefault="00E916D8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lastRenderedPageBreak/>
              <w:t>2015</w:t>
            </w:r>
          </w:p>
          <w:p w:rsidR="00A07AEA" w:rsidRDefault="00A07AE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E916D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Adoptée par COM le 9 décembre 2015</w:t>
            </w:r>
          </w:p>
          <w:p w:rsidR="00A07AEA" w:rsidRDefault="00A07AE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A07AE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E916D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Adoptée par COM le 9 décembre 2015</w:t>
            </w:r>
          </w:p>
          <w:p w:rsidR="00A07AEA" w:rsidRDefault="00A07AE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A07AE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E916D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Adoptées p</w:t>
            </w:r>
            <w:r>
              <w:rPr>
                <w:rFonts w:ascii="Times New Roman" w:hAnsi="Times New Roman"/>
                <w:noProof/>
                <w:sz w:val="24"/>
              </w:rPr>
              <w:t xml:space="preserve">ar COM le 14 septembre 2016 </w:t>
            </w:r>
          </w:p>
          <w:p w:rsidR="00A07AEA" w:rsidRDefault="00E916D8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Initiative prioritaire sur la déclaration commune des trois institutions sur les priorités législatives de l’Union européenne pour l’année 2017. </w:t>
            </w:r>
          </w:p>
          <w:p w:rsidR="00A07AEA" w:rsidRDefault="00A07AE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A07AE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A07AE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E916D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Adoptée par COM le 14 septembre 2016 </w:t>
            </w:r>
          </w:p>
          <w:p w:rsidR="00A07AEA" w:rsidRDefault="00E916D8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Initiative prioritaire sur la déclaration commune des trois institutions sur les priorités législatives de l’Union européenne pour l’année 2017. </w:t>
            </w:r>
          </w:p>
          <w:p w:rsidR="00A07AEA" w:rsidRDefault="00A07AE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noProof/>
                <w:sz w:val="24"/>
              </w:rPr>
            </w:pPr>
          </w:p>
          <w:p w:rsidR="00A07AEA" w:rsidRDefault="00E916D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Adoptée par COM le 14 septembre 2016</w:t>
            </w:r>
          </w:p>
          <w:p w:rsidR="00A07AEA" w:rsidRDefault="00A07AE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A07AE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07AEA">
        <w:tc>
          <w:tcPr>
            <w:tcW w:w="5529" w:type="dxa"/>
            <w:shd w:val="clear" w:color="auto" w:fill="auto"/>
          </w:tcPr>
          <w:p w:rsidR="00A07AEA" w:rsidRDefault="00E916D8">
            <w:pPr>
              <w:spacing w:after="0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lastRenderedPageBreak/>
              <w:t>Révision de la directive «satellite et câble»</w:t>
            </w:r>
          </w:p>
          <w:p w:rsidR="00A07AEA" w:rsidRDefault="00E916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Proposition relative à </w:t>
            </w:r>
            <w:r>
              <w:rPr>
                <w:rFonts w:ascii="Times New Roman" w:hAnsi="Times New Roman"/>
                <w:noProof/>
                <w:sz w:val="24"/>
              </w:rPr>
              <w:t xml:space="preserve">l’exercice du droit d’auteur et des droits voisins dans certaines transmissions en ligne des organismes de radiodiffusion (règlement) </w:t>
            </w:r>
          </w:p>
        </w:tc>
        <w:tc>
          <w:tcPr>
            <w:tcW w:w="5387" w:type="dxa"/>
            <w:shd w:val="clear" w:color="auto" w:fill="auto"/>
          </w:tcPr>
          <w:p w:rsidR="00A07AEA" w:rsidRDefault="00E916D8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>2015/2016</w:t>
            </w:r>
          </w:p>
          <w:p w:rsidR="00A07AEA" w:rsidRDefault="00E916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Adoptée par COM le 14 septembre 2016</w:t>
            </w:r>
          </w:p>
          <w:p w:rsidR="00A07AEA" w:rsidRDefault="00E916D8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Initiative prioritaire sur la déclaration commune des trois institutions sur les priorités législatives de l’Union européenne pour l’année 2017. </w:t>
            </w:r>
          </w:p>
        </w:tc>
      </w:tr>
      <w:tr w:rsidR="00A07AEA">
        <w:tc>
          <w:tcPr>
            <w:tcW w:w="5529" w:type="dxa"/>
            <w:shd w:val="clear" w:color="auto" w:fill="auto"/>
          </w:tcPr>
          <w:p w:rsidR="00A07AEA" w:rsidRDefault="00E916D8">
            <w:pPr>
              <w:spacing w:after="0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>Propositions législatives visant à réduire les charges administratives pesant sur les entreprises en raison d</w:t>
            </w:r>
            <w:r>
              <w:rPr>
                <w:rFonts w:ascii="Times New Roman" w:hAnsi="Times New Roman"/>
                <w:noProof/>
                <w:color w:val="0070C0"/>
                <w:sz w:val="24"/>
              </w:rPr>
              <w:t xml:space="preserve">e la disparité des régimes de TVA </w:t>
            </w:r>
          </w:p>
          <w:p w:rsidR="00A07AEA" w:rsidRDefault="00E916D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Train de mesures concernant la TVA pour le commerce électronique - propositions visant à modifier les directives 2006/112/CE et 2009/132/CE du Conseil (commerce électronique et publications électroniques transfrontaliers)</w:t>
            </w: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A07AEA" w:rsidRDefault="00E916D8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>2016</w:t>
            </w:r>
          </w:p>
          <w:p w:rsidR="00A07AEA" w:rsidRDefault="00A07AE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A07AE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E916D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Adoptées par COM le 1</w:t>
            </w:r>
            <w:r>
              <w:rPr>
                <w:rFonts w:ascii="Times New Roman" w:hAnsi="Times New Roman"/>
                <w:noProof/>
                <w:sz w:val="24"/>
                <w:vertAlign w:val="superscript"/>
              </w:rPr>
              <w:t>er</w:t>
            </w:r>
            <w:r>
              <w:rPr>
                <w:rFonts w:ascii="Times New Roman" w:hAnsi="Times New Roman"/>
                <w:noProof/>
                <w:sz w:val="24"/>
              </w:rPr>
              <w:t xml:space="preserve"> décembre 2016</w:t>
            </w:r>
          </w:p>
          <w:p w:rsidR="00A07AEA" w:rsidRDefault="00A07AE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07AEA">
        <w:tc>
          <w:tcPr>
            <w:tcW w:w="10916" w:type="dxa"/>
            <w:gridSpan w:val="2"/>
            <w:shd w:val="clear" w:color="auto" w:fill="auto"/>
          </w:tcPr>
          <w:p w:rsidR="00A07AEA" w:rsidRDefault="00E916D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II. Mettre en place un environnement propice au développement des réseaux et services numériques</w:t>
            </w:r>
          </w:p>
        </w:tc>
      </w:tr>
      <w:tr w:rsidR="00A07AEA">
        <w:tc>
          <w:tcPr>
            <w:tcW w:w="5529" w:type="dxa"/>
            <w:shd w:val="clear" w:color="auto" w:fill="auto"/>
          </w:tcPr>
          <w:p w:rsidR="00A07AEA" w:rsidRDefault="00E916D8">
            <w:pPr>
              <w:tabs>
                <w:tab w:val="left" w:pos="3669"/>
              </w:tabs>
              <w:spacing w:after="0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 xml:space="preserve">Propositions législatives visant à réformer la réglementation actuelle en matière de télécommunications  </w:t>
            </w:r>
          </w:p>
          <w:p w:rsidR="00A07AEA" w:rsidRDefault="00E916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Proposition de décision sur l’utilisation de la bande de fréquences 470-790 MHz dans l’Union </w:t>
            </w:r>
          </w:p>
          <w:p w:rsidR="00A07AEA" w:rsidRDefault="00A07AEA">
            <w:pPr>
              <w:spacing w:after="0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A07AEA">
            <w:pPr>
              <w:spacing w:after="180"/>
              <w:ind w:left="35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E916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Révision des marchés de gros de l’itinérance </w:t>
            </w:r>
          </w:p>
          <w:p w:rsidR="00A07AEA" w:rsidRDefault="00A07AEA">
            <w:pPr>
              <w:spacing w:after="18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E916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Code européen en matière de communications électroniques - refonte;</w:t>
            </w:r>
          </w:p>
          <w:p w:rsidR="00A07AEA" w:rsidRDefault="00A07AEA">
            <w:pPr>
              <w:spacing w:after="0" w:line="240" w:lineRule="auto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A07AEA">
            <w:pPr>
              <w:spacing w:after="0" w:line="240" w:lineRule="auto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E916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 Règlement ORECE </w:t>
            </w:r>
          </w:p>
          <w:p w:rsidR="00A07AEA" w:rsidRDefault="00A07AE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A07AEA">
            <w:pPr>
              <w:spacing w:after="18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E916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Proposition législative</w:t>
            </w:r>
            <w:r>
              <w:rPr>
                <w:rFonts w:ascii="Times New Roman" w:hAnsi="Times New Roman"/>
                <w:noProof/>
                <w:sz w:val="24"/>
              </w:rPr>
              <w:t xml:space="preserve"> relative à la promotion de la connectivité de l’internet dans les communautés locales et les espaces publics – «Wi-Fi pour l’Europe» (WIFI4EU) </w:t>
            </w:r>
          </w:p>
          <w:p w:rsidR="00A07AEA" w:rsidRDefault="00E916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Communication sur un plan d’action pour le déploiement de la 5G </w:t>
            </w:r>
          </w:p>
          <w:p w:rsidR="00A07AEA" w:rsidRDefault="00E916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Communication «Connectivité pour un marché unique numérique compétitif» </w:t>
            </w:r>
          </w:p>
        </w:tc>
        <w:tc>
          <w:tcPr>
            <w:tcW w:w="5387" w:type="dxa"/>
            <w:shd w:val="clear" w:color="auto" w:fill="auto"/>
          </w:tcPr>
          <w:p w:rsidR="00A07AEA" w:rsidRDefault="00E916D8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lastRenderedPageBreak/>
              <w:t>2016</w:t>
            </w:r>
          </w:p>
          <w:p w:rsidR="00A07AEA" w:rsidRDefault="00A07AE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A07AE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E916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Adoptée par les colégislateurs le 25 avril 2017; Entrera en vigueur en 2017.</w:t>
            </w:r>
          </w:p>
          <w:p w:rsidR="00A07AEA" w:rsidRDefault="00A07AEA">
            <w:pPr>
              <w:pStyle w:val="ListParagraph"/>
              <w:spacing w:after="240" w:line="240" w:lineRule="auto"/>
              <w:ind w:left="357"/>
              <w:jc w:val="both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</w:p>
          <w:p w:rsidR="00A07AEA" w:rsidRDefault="00A07AEA">
            <w:pPr>
              <w:pStyle w:val="ListParagraph"/>
              <w:spacing w:after="240" w:line="240" w:lineRule="auto"/>
              <w:ind w:left="357"/>
              <w:jc w:val="both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</w:p>
          <w:p w:rsidR="00A07AEA" w:rsidRDefault="00A07AEA">
            <w:pPr>
              <w:pStyle w:val="ListParagraph"/>
              <w:spacing w:after="240" w:line="240" w:lineRule="auto"/>
              <w:ind w:left="357"/>
              <w:jc w:val="both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</w:p>
          <w:p w:rsidR="00A07AEA" w:rsidRDefault="00E916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Adoptée par COM le 15 juin 2016</w:t>
            </w:r>
          </w:p>
          <w:p w:rsidR="00A07AEA" w:rsidRDefault="00E916D8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u w:val="single"/>
              </w:rPr>
              <w:t>Fin du processus interinstitutionnel sous la présidence maltaise</w:t>
            </w:r>
          </w:p>
          <w:p w:rsidR="00A07AEA" w:rsidRDefault="00E916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Adopté par COM le 14 septembre 2016</w:t>
            </w:r>
          </w:p>
          <w:p w:rsidR="00A07AEA" w:rsidRDefault="00E916D8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Initiative prioritaire sur la déclaration commune </w:t>
            </w:r>
            <w:r>
              <w:rPr>
                <w:rFonts w:ascii="Times New Roman" w:hAnsi="Times New Roman"/>
                <w:noProof/>
                <w:sz w:val="24"/>
              </w:rPr>
              <w:lastRenderedPageBreak/>
              <w:t>des trois institutions sur les priorités législatives de l’Union européenne pour l’année 2017.</w:t>
            </w:r>
          </w:p>
          <w:p w:rsidR="00A07AEA" w:rsidRDefault="00E916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Adopté par COM le 14 septembre 2016</w:t>
            </w:r>
          </w:p>
          <w:p w:rsidR="00A07AEA" w:rsidRDefault="00E916D8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Initiative prioritaire sur la déclarat</w:t>
            </w:r>
            <w:r>
              <w:rPr>
                <w:rFonts w:ascii="Times New Roman" w:hAnsi="Times New Roman"/>
                <w:noProof/>
                <w:sz w:val="24"/>
              </w:rPr>
              <w:t>ion commune des trois institutions sur les priorités législatives de l’Union européenne pour l’année 2017.</w:t>
            </w:r>
          </w:p>
          <w:p w:rsidR="00A07AEA" w:rsidRDefault="00E916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Adoptée par COM le 14 septembre 2016</w:t>
            </w:r>
          </w:p>
          <w:p w:rsidR="00A07AEA" w:rsidRDefault="00A07AE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A07AE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A07AE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E916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Adoptée par COM le 14 septembre 2016 </w:t>
            </w:r>
          </w:p>
          <w:p w:rsidR="00A07AEA" w:rsidRDefault="00A07AE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E916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Adoptée par COM le 14 septembre 2016</w:t>
            </w:r>
          </w:p>
        </w:tc>
      </w:tr>
      <w:tr w:rsidR="00A07AEA">
        <w:tc>
          <w:tcPr>
            <w:tcW w:w="5529" w:type="dxa"/>
            <w:shd w:val="clear" w:color="auto" w:fill="auto"/>
          </w:tcPr>
          <w:p w:rsidR="00A07AEA" w:rsidRDefault="00E916D8">
            <w:pPr>
              <w:tabs>
                <w:tab w:val="left" w:pos="3669"/>
              </w:tabs>
              <w:spacing w:after="0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lastRenderedPageBreak/>
              <w:t xml:space="preserve">Révision de la directive </w:t>
            </w:r>
            <w:r>
              <w:rPr>
                <w:rFonts w:ascii="Times New Roman" w:hAnsi="Times New Roman"/>
                <w:noProof/>
                <w:color w:val="0070C0"/>
                <w:sz w:val="24"/>
              </w:rPr>
              <w:t>«Services de médias audiovisuels»</w:t>
            </w:r>
          </w:p>
          <w:p w:rsidR="00A07AEA" w:rsidRDefault="00E916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Révision de la directive «Services de médias audiovisuels» </w:t>
            </w:r>
          </w:p>
        </w:tc>
        <w:tc>
          <w:tcPr>
            <w:tcW w:w="5387" w:type="dxa"/>
            <w:shd w:val="clear" w:color="auto" w:fill="auto"/>
          </w:tcPr>
          <w:p w:rsidR="00A07AEA" w:rsidRDefault="00E916D8">
            <w:pPr>
              <w:spacing w:after="0"/>
              <w:jc w:val="center"/>
              <w:rPr>
                <w:rFonts w:ascii="Times New Roman" w:hAnsi="Times New Roman"/>
                <w:noProof/>
                <w:color w:val="0070C0"/>
                <w:sz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>2016</w:t>
            </w:r>
          </w:p>
          <w:p w:rsidR="00A07AEA" w:rsidRDefault="00A07AEA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</w:p>
          <w:p w:rsidR="00A07AEA" w:rsidRDefault="00E916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Adoptée par COM le 25 mai 2016</w:t>
            </w:r>
          </w:p>
          <w:p w:rsidR="00A07AEA" w:rsidRDefault="00E916D8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Initiative prioritaire sur la déclaration commune des trois institutions sur les priorités législatives de l’Union européenne</w:t>
            </w:r>
            <w:r>
              <w:rPr>
                <w:rFonts w:ascii="Times New Roman" w:hAnsi="Times New Roman"/>
                <w:noProof/>
                <w:sz w:val="24"/>
              </w:rPr>
              <w:t xml:space="preserve"> pour l’année 2017.</w:t>
            </w:r>
          </w:p>
        </w:tc>
      </w:tr>
      <w:tr w:rsidR="00A07AEA">
        <w:tc>
          <w:tcPr>
            <w:tcW w:w="5529" w:type="dxa"/>
            <w:shd w:val="clear" w:color="auto" w:fill="auto"/>
          </w:tcPr>
          <w:p w:rsidR="00A07AEA" w:rsidRDefault="00E916D8">
            <w:pPr>
              <w:spacing w:after="0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>Analyse détaillée du rôle des plateformes sur le marché, notamment les contenus illicites sur l'internet</w:t>
            </w:r>
          </w:p>
          <w:p w:rsidR="00A07AEA" w:rsidRDefault="00E916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Évaluation par la Commission du rôle des plateformes sur le marché, notamment les contenus illicites sur l'internet </w:t>
            </w:r>
          </w:p>
          <w:p w:rsidR="00A07AEA" w:rsidRDefault="00A07AEA">
            <w:pPr>
              <w:spacing w:after="0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A07AEA" w:rsidRDefault="00E916D8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>2015</w:t>
            </w:r>
          </w:p>
          <w:p w:rsidR="00A07AEA" w:rsidRDefault="00A07AE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E916D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Adoptée par COM le 25 mai 2016</w:t>
            </w:r>
          </w:p>
        </w:tc>
      </w:tr>
      <w:tr w:rsidR="00A07AEA">
        <w:tc>
          <w:tcPr>
            <w:tcW w:w="5529" w:type="dxa"/>
            <w:shd w:val="clear" w:color="auto" w:fill="auto"/>
          </w:tcPr>
          <w:p w:rsidR="00A07AEA" w:rsidRDefault="00E916D8">
            <w:pPr>
              <w:spacing w:after="0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 xml:space="preserve">Révision de la directive «Vie privée et communications électroniques» </w:t>
            </w:r>
          </w:p>
          <w:p w:rsidR="00A07AEA" w:rsidRDefault="00E916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Proposition de règlement «Vie privée et communications électroniques» </w:t>
            </w:r>
          </w:p>
        </w:tc>
        <w:tc>
          <w:tcPr>
            <w:tcW w:w="5387" w:type="dxa"/>
            <w:shd w:val="clear" w:color="auto" w:fill="auto"/>
          </w:tcPr>
          <w:p w:rsidR="00A07AEA" w:rsidRDefault="00E916D8">
            <w:pPr>
              <w:spacing w:after="0"/>
              <w:jc w:val="center"/>
              <w:rPr>
                <w:rFonts w:ascii="Times New Roman" w:hAnsi="Times New Roman"/>
                <w:noProof/>
                <w:color w:val="0070C0"/>
                <w:sz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>2016</w:t>
            </w:r>
          </w:p>
          <w:p w:rsidR="00A07AEA" w:rsidRDefault="00A07AEA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E916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Adoptée par COM le 10 janvier 2017</w:t>
            </w:r>
          </w:p>
          <w:p w:rsidR="00A07AEA" w:rsidRDefault="00E916D8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Initiative prioritaire sur la déclaration</w:t>
            </w:r>
            <w:r>
              <w:rPr>
                <w:rFonts w:ascii="Times New Roman" w:hAnsi="Times New Roman"/>
                <w:noProof/>
                <w:sz w:val="24"/>
              </w:rPr>
              <w:t xml:space="preserve"> commune des trois institutions sur les priorités législatives de l’Union européenne pour l’année 2017.</w:t>
            </w:r>
          </w:p>
        </w:tc>
      </w:tr>
      <w:tr w:rsidR="00A07AEA">
        <w:tc>
          <w:tcPr>
            <w:tcW w:w="5529" w:type="dxa"/>
            <w:shd w:val="clear" w:color="auto" w:fill="auto"/>
          </w:tcPr>
          <w:p w:rsidR="00A07AEA" w:rsidRDefault="00E916D8">
            <w:pPr>
              <w:spacing w:after="0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 xml:space="preserve">Création d'un partenariat public-privé contractuel sur la cybersécurité </w:t>
            </w:r>
          </w:p>
          <w:p w:rsidR="00A07AEA" w:rsidRDefault="00E916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Décision (C 2016/4400) de la Commission relative à la signature d’un accord co</w:t>
            </w:r>
            <w:r>
              <w:rPr>
                <w:rFonts w:ascii="Times New Roman" w:hAnsi="Times New Roman"/>
                <w:noProof/>
                <w:sz w:val="24"/>
              </w:rPr>
              <w:t xml:space="preserve">ntractuel concernant un partenariat public-privé pour la recherche et l’innovation industrielles dans le domaine de la cybersécurité entre l’Union européenne, représentée par la Commission, et l'organisation partenaire </w:t>
            </w:r>
          </w:p>
          <w:p w:rsidR="00A07AEA" w:rsidRDefault="00E916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Communication «Renforcer le système </w:t>
            </w:r>
            <w:r>
              <w:rPr>
                <w:rFonts w:ascii="Times New Roman" w:hAnsi="Times New Roman"/>
                <w:noProof/>
                <w:sz w:val="24"/>
              </w:rPr>
              <w:t xml:space="preserve">européen de cyber-résilience et promouvoir la compétitivité et l'innovation dans le secteur européen de la cybersécurité»  </w:t>
            </w:r>
          </w:p>
        </w:tc>
        <w:tc>
          <w:tcPr>
            <w:tcW w:w="5387" w:type="dxa"/>
            <w:shd w:val="clear" w:color="auto" w:fill="auto"/>
          </w:tcPr>
          <w:p w:rsidR="00A07AEA" w:rsidRDefault="00E916D8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>2016</w:t>
            </w:r>
          </w:p>
          <w:p w:rsidR="00A07AEA" w:rsidRDefault="00A07AEA">
            <w:pPr>
              <w:pStyle w:val="ListParagraph"/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E916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Adoptée par COM le 5 juillet 2016</w:t>
            </w:r>
          </w:p>
          <w:p w:rsidR="00A07AEA" w:rsidRDefault="00A07AE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A07AE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A07AEA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A07AEA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A07AEA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A07AEA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E916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Adoptée par COM le 5 juillet 2016</w:t>
            </w:r>
          </w:p>
        </w:tc>
      </w:tr>
      <w:tr w:rsidR="00A07AEA">
        <w:tc>
          <w:tcPr>
            <w:tcW w:w="10916" w:type="dxa"/>
            <w:gridSpan w:val="2"/>
            <w:shd w:val="clear" w:color="auto" w:fill="auto"/>
          </w:tcPr>
          <w:p w:rsidR="00A07AEA" w:rsidRDefault="00E916D8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III. Maximiser le potentiel de croissance de </w:t>
            </w:r>
            <w:r>
              <w:rPr>
                <w:rFonts w:ascii="Times New Roman" w:hAnsi="Times New Roman"/>
                <w:b/>
                <w:noProof/>
                <w:sz w:val="24"/>
              </w:rPr>
              <w:t>l'économie numérique</w:t>
            </w:r>
          </w:p>
        </w:tc>
      </w:tr>
      <w:tr w:rsidR="00A07AEA">
        <w:tc>
          <w:tcPr>
            <w:tcW w:w="5529" w:type="dxa"/>
            <w:shd w:val="clear" w:color="auto" w:fill="auto"/>
          </w:tcPr>
          <w:p w:rsidR="00A07AEA" w:rsidRDefault="00E916D8">
            <w:pPr>
              <w:spacing w:after="0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 xml:space="preserve">Initiatives concernant la propriété des données, la libre circulation des données (par exemple entre </w:t>
            </w:r>
            <w:r>
              <w:rPr>
                <w:rFonts w:ascii="Times New Roman" w:hAnsi="Times New Roman"/>
                <w:noProof/>
                <w:color w:val="0070C0"/>
                <w:sz w:val="24"/>
              </w:rPr>
              <w:lastRenderedPageBreak/>
              <w:t>fournisseurs dans le nuage) et un nuage européen</w:t>
            </w:r>
          </w:p>
          <w:p w:rsidR="00A07AEA" w:rsidRDefault="00E916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Communication intitulée «Initiative européenne sur l’informatique en nuage» </w:t>
            </w:r>
          </w:p>
          <w:p w:rsidR="00A07AEA" w:rsidRDefault="00E916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Communication intitulée «Bâtir une économie compétitive des données et de la connaissance en Europe» </w:t>
            </w:r>
          </w:p>
          <w:p w:rsidR="00A07AEA" w:rsidRDefault="00A07AE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A07AEA" w:rsidRDefault="00E916D8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lastRenderedPageBreak/>
              <w:t>2016</w:t>
            </w:r>
          </w:p>
          <w:p w:rsidR="00A07AEA" w:rsidRDefault="00A07AE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A07AE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E916D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Adoptée par COM le 19 avril 2016</w:t>
            </w:r>
          </w:p>
          <w:p w:rsidR="00A07AEA" w:rsidRDefault="00A07AE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E916D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Adoptée par COM le 10 janvier 2017</w:t>
            </w:r>
          </w:p>
          <w:p w:rsidR="00A07AEA" w:rsidRDefault="00A07AE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07AEA">
        <w:tc>
          <w:tcPr>
            <w:tcW w:w="5529" w:type="dxa"/>
            <w:shd w:val="clear" w:color="auto" w:fill="auto"/>
          </w:tcPr>
          <w:p w:rsidR="00A07AEA" w:rsidRDefault="00E916D8">
            <w:pPr>
              <w:spacing w:after="0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lastRenderedPageBreak/>
              <w:t xml:space="preserve">Priorités pour la normalisation en matière de TIC et extension du cadre </w:t>
            </w:r>
            <w:r>
              <w:rPr>
                <w:rFonts w:ascii="Times New Roman" w:hAnsi="Times New Roman"/>
                <w:noProof/>
                <w:color w:val="0070C0"/>
                <w:sz w:val="24"/>
              </w:rPr>
              <w:t>européen d’interopérabilité pour les services publics</w:t>
            </w:r>
          </w:p>
          <w:p w:rsidR="00A07AEA" w:rsidRDefault="00E916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Communication «Passage au numérique des entreprises européennes — Tirer tous les avantages du marché unique numérique» </w:t>
            </w:r>
          </w:p>
          <w:p w:rsidR="00A07AEA" w:rsidRDefault="00E916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Priorités pour la normalisation en matière de TIC dans le marché unique numérique </w:t>
            </w:r>
          </w:p>
          <w:p w:rsidR="00A07AEA" w:rsidRDefault="00E916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Révision du cadre européen d’interopérabilité </w:t>
            </w:r>
          </w:p>
        </w:tc>
        <w:tc>
          <w:tcPr>
            <w:tcW w:w="5387" w:type="dxa"/>
            <w:shd w:val="clear" w:color="auto" w:fill="auto"/>
          </w:tcPr>
          <w:p w:rsidR="00A07AEA" w:rsidRDefault="00E916D8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>2015</w:t>
            </w:r>
          </w:p>
          <w:p w:rsidR="00A07AEA" w:rsidRDefault="00A07AE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A07AE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E916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Adoptée par COM le 19 avril 2016</w:t>
            </w:r>
          </w:p>
          <w:p w:rsidR="00A07AEA" w:rsidRDefault="00A07AE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A07AE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E916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Adoptées par COM le 19 avril 2016</w:t>
            </w:r>
          </w:p>
          <w:p w:rsidR="00A07AEA" w:rsidRDefault="00A07AE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E916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Adoptée par COM le 23 mars 2017</w:t>
            </w:r>
          </w:p>
        </w:tc>
      </w:tr>
      <w:tr w:rsidR="00A07AEA">
        <w:tc>
          <w:tcPr>
            <w:tcW w:w="5529" w:type="dxa"/>
            <w:shd w:val="clear" w:color="auto" w:fill="auto"/>
          </w:tcPr>
          <w:p w:rsidR="00A07AEA" w:rsidRDefault="00E916D8">
            <w:pPr>
              <w:spacing w:after="0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 xml:space="preserve">Nouveau plan d’action pour l’administration en ligne comprenant une initiative relative au </w:t>
            </w:r>
            <w:r>
              <w:rPr>
                <w:rFonts w:ascii="Times New Roman" w:hAnsi="Times New Roman"/>
                <w:noProof/>
                <w:color w:val="0070C0"/>
                <w:sz w:val="24"/>
              </w:rPr>
              <w:t>principe d'«une fois pour toutes» et une initiative concernant la réalisation de l’interconnexion des registres du commerce</w:t>
            </w:r>
          </w:p>
          <w:p w:rsidR="00A07AEA" w:rsidRDefault="00E916D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Plan d'action européen 2016-2020 pour l'administration en ligne — Accélérer la mutation numérique des administrations publiques </w:t>
            </w:r>
          </w:p>
          <w:p w:rsidR="00A07AEA" w:rsidRDefault="00E916D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Pro</w:t>
            </w:r>
            <w:r>
              <w:rPr>
                <w:rFonts w:ascii="Times New Roman" w:hAnsi="Times New Roman"/>
                <w:noProof/>
                <w:sz w:val="24"/>
              </w:rPr>
              <w:t>position de règlement du Parlement européen et du Conseil sur la mise en place d’un portail numérique unique destiné à fournir des informations, des procédures et des services d’assistance et de résolution de problèmes et modifiant le règlement (UE) n° 102</w:t>
            </w:r>
            <w:r>
              <w:rPr>
                <w:rFonts w:ascii="Times New Roman" w:hAnsi="Times New Roman"/>
                <w:noProof/>
                <w:sz w:val="24"/>
              </w:rPr>
              <w:t>4/2012</w:t>
            </w:r>
          </w:p>
        </w:tc>
        <w:tc>
          <w:tcPr>
            <w:tcW w:w="5387" w:type="dxa"/>
            <w:shd w:val="clear" w:color="auto" w:fill="auto"/>
          </w:tcPr>
          <w:p w:rsidR="00A07AEA" w:rsidRDefault="00E916D8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</w:rPr>
              <w:t>2016</w:t>
            </w:r>
          </w:p>
          <w:p w:rsidR="00A07AEA" w:rsidRDefault="00A07AE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A07AE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A07AE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A07AE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E916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Adopté par COM le 19 avril 2016 2017</w:t>
            </w:r>
          </w:p>
          <w:p w:rsidR="00A07AEA" w:rsidRDefault="00A07AE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A07AE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07AEA" w:rsidRDefault="00E916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Adoptée par COM le mardi 2 mai 2017</w:t>
            </w:r>
          </w:p>
        </w:tc>
      </w:tr>
    </w:tbl>
    <w:p w:rsidR="00A07AEA" w:rsidRDefault="00A07AEA">
      <w:pPr>
        <w:rPr>
          <w:rFonts w:ascii="Times New Roman" w:hAnsi="Times New Roman" w:cs="Times New Roman"/>
          <w:noProof/>
        </w:rPr>
      </w:pPr>
    </w:p>
    <w:p w:rsidR="00A07AEA" w:rsidRDefault="00A07AEA">
      <w:pPr>
        <w:rPr>
          <w:noProof/>
        </w:rPr>
      </w:pPr>
    </w:p>
    <w:sectPr w:rsidR="00A07AE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AEA" w:rsidRDefault="00E916D8">
      <w:pPr>
        <w:spacing w:after="0" w:line="240" w:lineRule="auto"/>
      </w:pPr>
      <w:r>
        <w:separator/>
      </w:r>
    </w:p>
  </w:endnote>
  <w:endnote w:type="continuationSeparator" w:id="0">
    <w:p w:rsidR="00A07AEA" w:rsidRDefault="00E9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D8" w:rsidRPr="00E916D8" w:rsidRDefault="00E916D8" w:rsidP="00E916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D8" w:rsidRPr="00E916D8" w:rsidRDefault="00E916D8" w:rsidP="00E916D8">
    <w:pPr>
      <w:pStyle w:val="FooterCoverPage"/>
      <w:rPr>
        <w:rFonts w:ascii="Arial" w:hAnsi="Arial" w:cs="Arial"/>
        <w:b/>
        <w:sz w:val="48"/>
      </w:rPr>
    </w:pPr>
    <w:r w:rsidRPr="00E916D8">
      <w:rPr>
        <w:rFonts w:ascii="Arial" w:hAnsi="Arial" w:cs="Arial"/>
        <w:b/>
        <w:sz w:val="48"/>
      </w:rPr>
      <w:t>FR</w:t>
    </w:r>
    <w:r w:rsidRPr="00E916D8">
      <w:rPr>
        <w:rFonts w:ascii="Arial" w:hAnsi="Arial" w:cs="Arial"/>
        <w:b/>
        <w:sz w:val="48"/>
      </w:rPr>
      <w:tab/>
    </w:r>
    <w:r w:rsidRPr="00E916D8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E916D8">
      <w:tab/>
    </w:r>
    <w:r w:rsidRPr="00E916D8"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D8" w:rsidRPr="00E916D8" w:rsidRDefault="00E916D8" w:rsidP="00E916D8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EA" w:rsidRDefault="00A07AEA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0737797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7AEA" w:rsidRDefault="00E916D8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EA" w:rsidRDefault="00A07A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AEA" w:rsidRDefault="00E916D8">
      <w:pPr>
        <w:spacing w:after="0" w:line="240" w:lineRule="auto"/>
      </w:pPr>
      <w:r>
        <w:separator/>
      </w:r>
    </w:p>
  </w:footnote>
  <w:footnote w:type="continuationSeparator" w:id="0">
    <w:p w:rsidR="00A07AEA" w:rsidRDefault="00E91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D8" w:rsidRPr="00E916D8" w:rsidRDefault="00E916D8" w:rsidP="00E916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D8" w:rsidRPr="00E916D8" w:rsidRDefault="00E916D8" w:rsidP="00E916D8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D8" w:rsidRPr="00E916D8" w:rsidRDefault="00E916D8" w:rsidP="00E916D8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EA" w:rsidRDefault="00A07AEA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EA" w:rsidRDefault="00A07AEA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EA" w:rsidRDefault="00A07A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49D2"/>
    <w:multiLevelType w:val="hybridMultilevel"/>
    <w:tmpl w:val="08CCD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04352"/>
    <w:multiLevelType w:val="hybridMultilevel"/>
    <w:tmpl w:val="2B1EA7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DC320F"/>
    <w:multiLevelType w:val="hybridMultilevel"/>
    <w:tmpl w:val="8EA0F8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77677F"/>
    <w:multiLevelType w:val="hybridMultilevel"/>
    <w:tmpl w:val="721E68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5C1208"/>
    <w:multiLevelType w:val="hybridMultilevel"/>
    <w:tmpl w:val="D194D1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AA576E"/>
    <w:multiLevelType w:val="hybridMultilevel"/>
    <w:tmpl w:val="B0E60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DB6947"/>
    <w:multiLevelType w:val="hybridMultilevel"/>
    <w:tmpl w:val="217255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AE62BA"/>
    <w:multiLevelType w:val="hybridMultilevel"/>
    <w:tmpl w:val="50DED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82569B"/>
    <w:multiLevelType w:val="hybridMultilevel"/>
    <w:tmpl w:val="43A6BB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1EA3462"/>
    <w:multiLevelType w:val="hybridMultilevel"/>
    <w:tmpl w:val="7EB67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537A12"/>
    <w:multiLevelType w:val="hybridMultilevel"/>
    <w:tmpl w:val="5AB087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C6029D7"/>
    <w:multiLevelType w:val="hybridMultilevel"/>
    <w:tmpl w:val="B6AEB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DD1AC9"/>
    <w:multiLevelType w:val="hybridMultilevel"/>
    <w:tmpl w:val="4ED24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2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9"/>
  </w:num>
  <w:num w:numId="11">
    <w:abstractNumId w:val="1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de la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8DBB8E808CED4C4EB6EE36BD2170FFAA"/>
    <w:docVar w:name="LW_CROSSREFERENCE" w:val="{SWD(2017) 155 final}"/>
    <w:docVar w:name="LW_DocType" w:val="NORMAL"/>
    <w:docVar w:name="LW_EMISSION" w:val="10.5.2017"/>
    <w:docVar w:name="LW_EMISSION_ISODATE" w:val="2017-05-10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sur l'examen à mi-parcours de la mise en \u339?uvre de la stratégie pour le marché unique numérique_x000b__x000b_Un marché numérique connecté pour tous"/>
    <w:docVar w:name="LW_PART_NBR" w:val="1"/>
    <w:docVar w:name="LW_PART_NBR_TOTAL" w:val="1"/>
    <w:docVar w:name="LW_REF.INST.NEW" w:val="COM"/>
    <w:docVar w:name="LW_REF.INST.NEW_ADOPTED" w:val="final"/>
    <w:docVar w:name="LW_REF.INST.NEW_TEXT" w:val="(2017) 228"/>
    <w:docVar w:name="LW_REF.INTERNE" w:val="&lt;UNUSED&gt;"/>
    <w:docVar w:name="LW_SUPERTITRE" w:val="&lt;UNUSED&gt;"/>
    <w:docVar w:name="LW_TITRE.OBJ.CP" w:val="Mise en \u339?uvre de la stratégie pour le marché unique numérique"/>
    <w:docVar w:name="LW_TYPE.DOC.CP" w:val="ANNEXE_x000b_"/>
    <w:docVar w:name="LW_TYPEACTEPRINCIPAL.CP" w:val="communication de la Commission au Parlement européen, au Conseil, au Comité économique et social et au Comité des régions"/>
  </w:docVars>
  <w:rsids>
    <w:rsidRoot w:val="00A07AEA"/>
    <w:rsid w:val="00A07AEA"/>
    <w:rsid w:val="00E9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sk Body,Viñetas (Inicio Parrafo),3 Txt tabla,Zerrenda-paragrafoa,Lista multicolor - Énfasis 11,Fiche List Paragraph,List Paragraph compact,Dot pt,F5 List Paragraph,List Paragraph1,No Spacing1,List Paragraph Char Char Char,Indicator Text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Task Body Char,Viñetas (Inicio Parrafo) Char,3 Txt tabla Char,Zerrenda-paragrafoa Char,Lista multicolor - Énfasis 11 Char,Fiche List Paragraph Char,List Paragraph compact Char,Dot pt Char,F5 List Paragraph Char,List Paragraph1 Char"/>
    <w:link w:val="ListParagraph"/>
    <w:uiPriority w:val="34"/>
    <w:qFormat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noProof/>
      <w:sz w:val="24"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noProof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noProof/>
      <w:sz w:val="24"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sk Body,Viñetas (Inicio Parrafo),3 Txt tabla,Zerrenda-paragrafoa,Lista multicolor - Énfasis 11,Fiche List Paragraph,List Paragraph compact,Dot pt,F5 List Paragraph,List Paragraph1,No Spacing1,List Paragraph Char Char Char,Indicator Text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Task Body Char,Viñetas (Inicio Parrafo) Char,3 Txt tabla Char,Zerrenda-paragrafoa Char,Lista multicolor - Énfasis 11 Char,Fiche List Paragraph Char,List Paragraph compact Char,Dot pt Char,F5 List Paragraph Char,List Paragraph1 Char"/>
    <w:link w:val="ListParagraph"/>
    <w:uiPriority w:val="34"/>
    <w:qFormat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noProof/>
      <w:sz w:val="24"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noProof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noProof/>
      <w:sz w:val="24"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75D14-17D8-4669-A1B4-24DB482A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1290</Words>
  <Characters>7542</Characters>
  <Application>Microsoft Office Word</Application>
  <DocSecurity>0</DocSecurity>
  <Lines>307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Julie (SG)</dc:creator>
  <cp:lastModifiedBy>Stefanie Heilemann</cp:lastModifiedBy>
  <cp:revision>16</cp:revision>
  <cp:lastPrinted>2017-05-10T06:32:00Z</cp:lastPrinted>
  <dcterms:created xsi:type="dcterms:W3CDTF">2017-05-05T14:27:00Z</dcterms:created>
  <dcterms:modified xsi:type="dcterms:W3CDTF">2017-05-10T07:32:00Z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