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fr-FR"/>
        </w:rPr>
      </w:pPr>
      <w:bookmarkStart w:id="0" w:name="LW_BM_COVERPAGE"/>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424A2747694E01AF6D032270992361" style="width:450pt;height:321pt">
            <v:imagedata r:id="rId9" o:title=""/>
          </v:shape>
        </w:pict>
      </w:r>
    </w:p>
    <w:bookmarkEnd w:id="0"/>
    <w:p>
      <w:pPr>
        <w:rPr>
          <w:noProof/>
          <w:lang w:eastAsia="fr-F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line="240" w:lineRule="auto"/>
        <w:contextualSpacing w:val="0"/>
        <w:rPr>
          <w:rFonts w:ascii="Times New Roman" w:eastAsia="MS Mincho" w:hAnsi="Times New Roman" w:cs="Times New Roman"/>
          <w:b/>
          <w:smallCaps/>
          <w:noProof/>
          <w:sz w:val="24"/>
          <w:szCs w:val="28"/>
          <w:u w:val="single"/>
          <w:lang w:eastAsia="fr-FR"/>
        </w:rPr>
      </w:pPr>
      <w:bookmarkStart w:id="1" w:name="_GoBack"/>
      <w:bookmarkEnd w:id="1"/>
      <w:r>
        <w:rPr>
          <w:rFonts w:ascii="Times New Roman" w:eastAsia="MS Mincho" w:hAnsi="Times New Roman" w:cs="Times New Roman"/>
          <w:b/>
          <w:smallCaps/>
          <w:noProof/>
          <w:sz w:val="24"/>
          <w:szCs w:val="28"/>
          <w:u w:val="single"/>
          <w:lang w:eastAsia="fr-FR"/>
        </w:rPr>
        <w:lastRenderedPageBreak/>
        <w:t>Introduction</w:t>
      </w:r>
    </w:p>
    <w:p>
      <w:pPr>
        <w:spacing w:after="18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This Communication on a Nuclear Illustrative Programme (PINC), a requirement under Article 40 of the Euratom Treaty, provides an overview of investments in the EU for all the steps of the nuclear lifecycle. It is the first presented by the Commission after the Fukushima Daiichi accident in March 2011.</w:t>
      </w:r>
    </w:p>
    <w:p>
      <w:pPr>
        <w:spacing w:after="180" w:line="240" w:lineRule="auto"/>
        <w:jc w:val="both"/>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xml:space="preserve">Nuclear energy is part of the energy mix of half of the EU Member States. </w:t>
      </w:r>
      <w:r>
        <w:rPr>
          <w:rFonts w:ascii="Times New Roman" w:eastAsia="Times New Roman" w:hAnsi="Times New Roman"/>
          <w:noProof/>
          <w:sz w:val="24"/>
          <w:szCs w:val="24"/>
          <w:lang w:eastAsia="en-GB"/>
        </w:rPr>
        <w:t xml:space="preserve">In those countries that choose to use it, nuclear has a role to play in ensuring the security of electricity supply. In this context, </w:t>
      </w:r>
      <w:r>
        <w:rPr>
          <w:rFonts w:ascii="Times New Roman" w:hAnsi="Times New Roman" w:cs="Times New Roman"/>
          <w:iCs/>
          <w:noProof/>
          <w:sz w:val="24"/>
          <w:szCs w:val="24"/>
        </w:rPr>
        <w:t>the Energy Union Strategy</w:t>
      </w:r>
      <w:r>
        <w:rPr>
          <w:rStyle w:val="FootnoteReference"/>
          <w:rFonts w:ascii="Times New Roman" w:hAnsi="Times New Roman" w:cs="Times New Roman"/>
          <w:iCs/>
          <w:noProof/>
          <w:sz w:val="24"/>
          <w:szCs w:val="24"/>
        </w:rPr>
        <w:footnoteReference w:id="2"/>
      </w:r>
      <w:r>
        <w:rPr>
          <w:rFonts w:ascii="Times New Roman" w:hAnsi="Times New Roman" w:cs="Times New Roman"/>
          <w:iCs/>
          <w:noProof/>
          <w:sz w:val="24"/>
          <w:szCs w:val="24"/>
        </w:rPr>
        <w:t xml:space="preserve"> and the European Energy Security Strategy</w:t>
      </w:r>
      <w:r>
        <w:rPr>
          <w:rStyle w:val="FootnoteReference"/>
          <w:rFonts w:ascii="Times New Roman" w:hAnsi="Times New Roman" w:cs="Times New Roman"/>
          <w:iCs/>
          <w:noProof/>
          <w:sz w:val="24"/>
          <w:szCs w:val="24"/>
        </w:rPr>
        <w:footnoteReference w:id="3"/>
      </w:r>
      <w:r>
        <w:rPr>
          <w:rFonts w:ascii="Times New Roman" w:hAnsi="Times New Roman" w:cs="Times New Roman"/>
          <w:iCs/>
          <w:noProof/>
          <w:sz w:val="24"/>
          <w:szCs w:val="24"/>
        </w:rPr>
        <w:t xml:space="preserve"> stressed that Member States need to apply the highest standards of safety, security, waste management and non-proliferation as well as diversify nuclear fuel supplies. Doing so will help </w:t>
      </w:r>
      <w:r>
        <w:rPr>
          <w:rFonts w:ascii="Times New Roman" w:eastAsia="Times New Roman" w:hAnsi="Times New Roman"/>
          <w:iCs/>
          <w:noProof/>
          <w:sz w:val="24"/>
          <w:szCs w:val="24"/>
          <w:lang w:eastAsia="en-GB"/>
        </w:rPr>
        <w:t xml:space="preserve">achieve the objectives of the 2030 climate and energy framework. </w:t>
      </w:r>
    </w:p>
    <w:p>
      <w:pPr>
        <w:spacing w:after="180" w:line="240" w:lineRule="auto"/>
        <w:jc w:val="both"/>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The EU is currently one of the three major economies</w:t>
      </w:r>
      <w:r>
        <w:rPr>
          <w:rFonts w:ascii="Times New Roman" w:eastAsia="Times New Roman" w:hAnsi="Times New Roman"/>
          <w:iCs/>
          <w:noProof/>
          <w:sz w:val="24"/>
          <w:szCs w:val="24"/>
          <w:vertAlign w:val="superscript"/>
          <w:lang w:eastAsia="en-GB"/>
        </w:rPr>
        <w:footnoteReference w:id="4"/>
      </w:r>
      <w:r>
        <w:rPr>
          <w:rFonts w:ascii="Times New Roman" w:eastAsia="Times New Roman" w:hAnsi="Times New Roman"/>
          <w:iCs/>
          <w:noProof/>
          <w:sz w:val="24"/>
          <w:szCs w:val="24"/>
          <w:lang w:eastAsia="en-GB"/>
        </w:rPr>
        <w:t xml:space="preserve"> that generate more than half of their electricity from low-carbon energy sources (about 58%</w:t>
      </w:r>
      <w:r>
        <w:rPr>
          <w:rFonts w:ascii="Times New Roman" w:eastAsia="Times New Roman" w:hAnsi="Times New Roman"/>
          <w:iCs/>
          <w:noProof/>
          <w:sz w:val="24"/>
          <w:szCs w:val="24"/>
          <w:vertAlign w:val="superscript"/>
          <w:lang w:eastAsia="en-GB"/>
        </w:rPr>
        <w:footnoteReference w:id="5"/>
      </w:r>
      <w:r>
        <w:rPr>
          <w:rFonts w:ascii="Times New Roman" w:eastAsia="Times New Roman" w:hAnsi="Times New Roman"/>
          <w:iCs/>
          <w:noProof/>
          <w:sz w:val="24"/>
          <w:szCs w:val="24"/>
          <w:lang w:eastAsia="en-GB"/>
        </w:rPr>
        <w:t>)</w:t>
      </w:r>
      <w:r>
        <w:rPr>
          <w:rFonts w:ascii="Times New Roman" w:hAnsi="Times New Roman" w:cs="Times New Roman"/>
          <w:iCs/>
          <w:noProof/>
          <w:sz w:val="24"/>
          <w:szCs w:val="24"/>
        </w:rPr>
        <w:t xml:space="preserve">. </w:t>
      </w:r>
    </w:p>
    <w:p>
      <w:pPr>
        <w:spacing w:after="180" w:line="240" w:lineRule="auto"/>
        <w:jc w:val="both"/>
        <w:rPr>
          <w:rFonts w:ascii="Times New Roman" w:eastAsia="Times New Roman" w:hAnsi="Times New Roman"/>
          <w:iCs/>
          <w:noProof/>
          <w:sz w:val="24"/>
          <w:szCs w:val="24"/>
          <w:lang w:eastAsia="en-GB"/>
        </w:rPr>
      </w:pPr>
      <w:r>
        <w:rPr>
          <w:rFonts w:ascii="Times New Roman" w:eastAsia="Times New Roman" w:hAnsi="Times New Roman"/>
          <w:noProof/>
          <w:sz w:val="24"/>
          <w:szCs w:val="24"/>
          <w:lang w:eastAsia="en-GB"/>
        </w:rPr>
        <w:t>The PINC</w:t>
      </w:r>
      <w:r>
        <w:rPr>
          <w:rFonts w:ascii="Times New Roman" w:eastAsia="Times New Roman" w:hAnsi="Times New Roman"/>
          <w:iCs/>
          <w:noProof/>
          <w:sz w:val="24"/>
          <w:szCs w:val="24"/>
          <w:lang w:eastAsia="en-GB"/>
        </w:rPr>
        <w:t xml:space="preserve"> provides a basis for discussing how nuclear energy can help achieve the EU's energy objectives. As nuclear safety remains the Commission's absolute priority, it specifically includes investments related to post-Fukushima safety upgrades and those related to the long-term operation of existing nuclear power plants. In addition, with the EU nuclear industry moving into a new phase characterised by increased activities in the back-end of the lifecycle, it will contribute to an informed debate on the associated investment needs and the management of nuclear liabilities.</w:t>
      </w:r>
    </w:p>
    <w:p>
      <w:pPr>
        <w:spacing w:after="180" w:line="240" w:lineRule="auto"/>
        <w:jc w:val="both"/>
        <w:rPr>
          <w:rFonts w:ascii="Times New Roman" w:eastAsia="Times New Roman" w:hAnsi="Times New Roman"/>
          <w:noProof/>
          <w:sz w:val="24"/>
          <w:szCs w:val="24"/>
          <w:highlight w:val="yellow"/>
          <w:lang w:eastAsia="en-GB"/>
        </w:rPr>
      </w:pPr>
      <w:r>
        <w:rPr>
          <w:rFonts w:ascii="Times New Roman" w:eastAsia="Times New Roman" w:hAnsi="Times New Roman"/>
          <w:noProof/>
          <w:sz w:val="24"/>
          <w:szCs w:val="24"/>
          <w:lang w:eastAsia="en-GB"/>
        </w:rPr>
        <w:t>The PINC also</w:t>
      </w:r>
      <w:r>
        <w:rPr>
          <w:rFonts w:ascii="Times New Roman" w:eastAsia="Times New Roman" w:hAnsi="Times New Roman"/>
          <w:iCs/>
          <w:noProof/>
          <w:sz w:val="24"/>
          <w:szCs w:val="24"/>
          <w:lang w:eastAsia="en-GB"/>
        </w:rPr>
        <w:t xml:space="preserve"> addresses the need for investment in research reactors and the associated fuel cycle, including the production of medical radioisotopes.</w:t>
      </w:r>
    </w:p>
    <w:p>
      <w:pPr>
        <w:pStyle w:val="ListParagraph"/>
        <w:numPr>
          <w:ilvl w:val="0"/>
          <w:numId w:val="1"/>
        </w:numPr>
        <w:spacing w:before="300" w:after="240" w:line="240" w:lineRule="auto"/>
        <w:contextualSpacing w:val="0"/>
        <w:rPr>
          <w:rFonts w:ascii="Times New Roman" w:eastAsia="MS Mincho" w:hAnsi="Times New Roman" w:cs="Times New Roman"/>
          <w:b/>
          <w:smallCaps/>
          <w:noProof/>
          <w:sz w:val="24"/>
          <w:szCs w:val="28"/>
          <w:u w:val="single"/>
          <w:lang w:eastAsia="fr-FR"/>
        </w:rPr>
      </w:pPr>
      <w:r>
        <w:rPr>
          <w:rFonts w:ascii="Times New Roman" w:eastAsia="MS Mincho" w:hAnsi="Times New Roman" w:cs="Times New Roman"/>
          <w:b/>
          <w:smallCaps/>
          <w:noProof/>
          <w:sz w:val="24"/>
          <w:szCs w:val="28"/>
          <w:u w:val="single"/>
          <w:lang w:eastAsia="fr-FR"/>
        </w:rPr>
        <w:t xml:space="preserve">Nuclear energy </w:t>
      </w:r>
    </w:p>
    <w:p>
      <w:pPr>
        <w:pStyle w:val="ListParagraph"/>
        <w:numPr>
          <w:ilvl w:val="1"/>
          <w:numId w:val="1"/>
        </w:numPr>
        <w:spacing w:before="300" w:after="240" w:line="240" w:lineRule="auto"/>
        <w:contextualSpacing w:val="0"/>
        <w:rPr>
          <w:rFonts w:ascii="Times New Roman Bold" w:eastAsia="MS Mincho" w:hAnsi="Times New Roman Bold" w:cs="Times New Roman" w:hint="eastAsia"/>
          <w:b/>
          <w:noProof/>
          <w:sz w:val="24"/>
          <w:szCs w:val="28"/>
          <w:u w:val="single"/>
          <w:lang w:eastAsia="fr-FR"/>
        </w:rPr>
      </w:pPr>
      <w:r>
        <w:rPr>
          <w:rFonts w:ascii="Times New Roman Bold" w:eastAsia="MS Mincho" w:hAnsi="Times New Roman Bold" w:cs="Times New Roman"/>
          <w:b/>
          <w:noProof/>
          <w:sz w:val="24"/>
          <w:szCs w:val="28"/>
          <w:u w:val="single"/>
          <w:lang w:eastAsia="fr-FR"/>
        </w:rPr>
        <w:t>Recent nuclear policy developments</w:t>
      </w:r>
    </w:p>
    <w:p>
      <w:pPr>
        <w:spacing w:after="180" w:line="240" w:lineRule="auto"/>
        <w:jc w:val="both"/>
        <w:rPr>
          <w:rFonts w:ascii="Times New Roman" w:hAnsi="Times New Roman" w:cs="Times New Roman"/>
          <w:bCs/>
          <w:iCs/>
          <w:noProof/>
          <w:sz w:val="24"/>
          <w:szCs w:val="24"/>
        </w:rPr>
      </w:pPr>
      <w:r>
        <w:rPr>
          <w:rFonts w:ascii="Times New Roman" w:hAnsi="Times New Roman" w:cs="Times New Roman"/>
          <w:iCs/>
          <w:noProof/>
          <w:sz w:val="24"/>
          <w:szCs w:val="24"/>
        </w:rPr>
        <w:t>There are 129 nuclear power reactors in operation in 14 Member States, with a total capacity of 120 GWe and an average age close to 30 years. New build projects are envisaged in 10 Member States, with four reactors already under construction in Finland, France and Slovakia. Other projects in Finland, Hungary and the United Kingdom, are under licensing process, while projects in other Member States (Bulgaria, the Czech Republic, Lithuania, Poland and Romania) are at a preparatory stage. The United Kingdom has recently announced its intention to close all coal-fired power plants by 2025 and to fill the capacity gap mainly with new gas and nuclear power plants.</w:t>
      </w:r>
    </w:p>
    <w:p>
      <w:pPr>
        <w:spacing w:after="180" w:line="240" w:lineRule="auto"/>
        <w:jc w:val="both"/>
        <w:rPr>
          <w:rFonts w:ascii="Times New Roman" w:hAnsi="Times New Roman"/>
          <w:iCs/>
          <w:noProof/>
          <w:sz w:val="24"/>
          <w:szCs w:val="24"/>
        </w:rPr>
      </w:pPr>
      <w:r>
        <w:rPr>
          <w:rFonts w:ascii="Times New Roman" w:hAnsi="Times New Roman" w:cs="Times New Roman"/>
          <w:noProof/>
          <w:sz w:val="24"/>
          <w:szCs w:val="24"/>
        </w:rPr>
        <w:t>Many countries in Europe and in the rest of the world will rely on nuclear energy to produce part of their electricity for the coming decades. T</w:t>
      </w:r>
      <w:r>
        <w:rPr>
          <w:rFonts w:ascii="Times New Roman" w:hAnsi="Times New Roman"/>
          <w:iCs/>
          <w:noProof/>
          <w:sz w:val="24"/>
          <w:szCs w:val="24"/>
        </w:rPr>
        <w:t xml:space="preserve">he EU has the most advanced legally binding and enforceable regional framework for nuclear safety in the world and, despite diverging views among Member States on nuclear electricity, there is a shared recognition of the need to ensure the highest possible standards for the safe and responsible use of nuclear power and to protect citizens from radiation. </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Since the previous PINC update in 2008, the EU nuclear landscape has undergone significant changes with the organisation of the comprehensive risk and safety assessments ('stress tests') of the EU nuclear power reactors after the Fukushima Daiichi accident and the adoption of landmark legislation on nuclear safety</w:t>
      </w:r>
      <w:r>
        <w:rPr>
          <w:rStyle w:val="FootnoteReference"/>
          <w:rFonts w:ascii="Times New Roman" w:hAnsi="Times New Roman"/>
          <w:iCs/>
          <w:noProof/>
          <w:sz w:val="24"/>
          <w:szCs w:val="24"/>
        </w:rPr>
        <w:footnoteReference w:id="6"/>
      </w:r>
      <w:r>
        <w:rPr>
          <w:rFonts w:ascii="Times New Roman" w:hAnsi="Times New Roman"/>
          <w:iCs/>
          <w:noProof/>
          <w:sz w:val="24"/>
          <w:szCs w:val="24"/>
        </w:rPr>
        <w:t>, radioactive waste and spent fuel management</w:t>
      </w:r>
      <w:r>
        <w:rPr>
          <w:rStyle w:val="FootnoteReference"/>
          <w:rFonts w:ascii="Times New Roman" w:hAnsi="Times New Roman"/>
          <w:iCs/>
          <w:noProof/>
          <w:sz w:val="24"/>
          <w:szCs w:val="24"/>
        </w:rPr>
        <w:footnoteReference w:id="7"/>
      </w:r>
      <w:r>
        <w:rPr>
          <w:rFonts w:ascii="Times New Roman" w:hAnsi="Times New Roman"/>
          <w:iCs/>
          <w:noProof/>
          <w:sz w:val="24"/>
          <w:szCs w:val="24"/>
        </w:rPr>
        <w:t xml:space="preserve"> and radiation protection</w:t>
      </w:r>
      <w:r>
        <w:rPr>
          <w:rStyle w:val="FootnoteReference"/>
          <w:rFonts w:ascii="Times New Roman" w:hAnsi="Times New Roman"/>
          <w:iCs/>
          <w:noProof/>
          <w:sz w:val="24"/>
          <w:szCs w:val="24"/>
        </w:rPr>
        <w:footnoteReference w:id="8"/>
      </w:r>
      <w:r>
        <w:rPr>
          <w:rFonts w:ascii="Times New Roman" w:hAnsi="Times New Roman"/>
          <w:iCs/>
          <w:noProof/>
          <w:sz w:val="24"/>
          <w:szCs w:val="24"/>
        </w:rPr>
        <w:t xml:space="preserve">. </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 xml:space="preserve">While the stress tests </w:t>
      </w:r>
      <w:r>
        <w:rPr>
          <w:rFonts w:ascii="Times New Roman" w:hAnsi="Times New Roman"/>
          <w:noProof/>
          <w:sz w:val="24"/>
        </w:rPr>
        <w:t>found that the safety standards of nuclear power plants in the EU, Switzerland and the Ukraine were high, further improvements were recommended. N</w:t>
      </w:r>
      <w:r>
        <w:rPr>
          <w:rFonts w:ascii="Times New Roman" w:hAnsi="Times New Roman"/>
          <w:iCs/>
          <w:noProof/>
          <w:sz w:val="24"/>
          <w:szCs w:val="24"/>
        </w:rPr>
        <w:t xml:space="preserve">uclear operators </w:t>
      </w:r>
      <w:r>
        <w:rPr>
          <w:rFonts w:ascii="Times New Roman" w:hAnsi="Times New Roman"/>
          <w:noProof/>
          <w:sz w:val="24"/>
        </w:rPr>
        <w:t xml:space="preserve">are implementing them </w:t>
      </w:r>
      <w:r>
        <w:rPr>
          <w:rFonts w:ascii="Times New Roman" w:hAnsi="Times New Roman"/>
          <w:iCs/>
          <w:noProof/>
          <w:sz w:val="24"/>
          <w:szCs w:val="24"/>
        </w:rPr>
        <w:t>in accordance with their national action plans. The Commission will continue to monitor the implementation of those plans through the European Nuclear Safety Regulators Group.</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The amended Nuclear Safety Directive</w:t>
      </w:r>
      <w:r>
        <w:rPr>
          <w:rFonts w:ascii="Times New Roman" w:hAnsi="Times New Roman"/>
          <w:iCs/>
          <w:noProof/>
          <w:sz w:val="24"/>
          <w:szCs w:val="24"/>
          <w:vertAlign w:val="superscript"/>
        </w:rPr>
        <w:t>5</w:t>
      </w:r>
      <w:r>
        <w:rPr>
          <w:rFonts w:ascii="Times New Roman" w:hAnsi="Times New Roman"/>
          <w:iCs/>
          <w:noProof/>
          <w:sz w:val="24"/>
          <w:szCs w:val="24"/>
        </w:rPr>
        <w:t xml:space="preserve"> brings the nuclear safety standards to a higher level. It sets an ambitious EU-wide objective of reducing the risk of accidents and avoiding large radioactive releases. It also introduces the requirement for a European system of peer reviews, with specific safety issues to be reviewed every six years. These requirements must always be taken into account when investing in new nuclear installations and wherever reasonably practicable when upgrading existing installations.</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In early 2015, Euratom played a key role in ensuring the adoption of the Vienna Declaration. This commits the contracting parties of the International Atomic Energy Agency Convention on Nuclear Safety to achieving standards of safety comparable to those laid down in the amended Nuclear Safety Directive. With the expansion of nuclear energy across all continents and with many vendors coming into play, it is important to ensure that high safety standards are applied worldwide and that these are not undermined by the use of cheaper or outdated technology.</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The EU legal framework requires increased transparency and public participation in nuclear issues as well as improved cooperation between all stakeholders. The directives on nuclear safety, radioactive waste and radiation protection referred to above all lay down requirements on the availability of information and public participation. The Commission is currently reviewing the implementation of these requirements in the directives already transposed, and aims to promote best practices. These will also apply to the directives still to be transposed. The Commission aims to ensure that the public has access to reliable information and can participate where appropriate in a transparent decision-making process.</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Cooperation among the nuclear safety authorities of EU Member States is now well established thanks to the European Nuclear Safety Regulators Group. In addition, the Commission will continue to promote the dialogue between stakeholders – including civil society – through, albeit not exclusively, the European Nuclear Energy Forum.</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Dialogue with stakeholders and civil society over the last two years covered issues such as emergency preparedness and response, the role of nuclear in the Energy Union and security of supply, the EU as a world leader in nuclear safety, the creation of a market for decommissioning in Europe, and the crucial involvement of civil society. Together with the forthcoming report to the Council and the European Parliament on the Radioactive Waste Directive, they create a sound basis for increased transparency and debate. Moreover, more effort is necessary to enhance communication and engagement in order both to better understand civil society concerns and to better communicate and explain to the public the risk and safety aspects of all forms of nuclear technology.</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 xml:space="preserve">In addition, greater attention will continue to be paid to nuclear security. As highlighted in the conclusions of the 2016 Nuclear Security Summit, countering malevolent acts of a nuclear and radiological nature calls for international cooperation. This includes sharing information in accordance with States’ national laws and procedures. </w:t>
      </w:r>
    </w:p>
    <w:p>
      <w:pPr>
        <w:pStyle w:val="ListParagraph"/>
        <w:keepNext/>
        <w:numPr>
          <w:ilvl w:val="1"/>
          <w:numId w:val="1"/>
        </w:numPr>
        <w:spacing w:before="300" w:after="240" w:line="240" w:lineRule="auto"/>
        <w:ind w:left="788" w:hanging="431"/>
        <w:contextualSpacing w:val="0"/>
        <w:rPr>
          <w:rFonts w:ascii="Times New Roman" w:hAnsi="Times New Roman" w:cs="Times New Roman"/>
          <w:b/>
          <w:iCs/>
          <w:noProof/>
          <w:sz w:val="24"/>
          <w:szCs w:val="24"/>
          <w:u w:val="single"/>
        </w:rPr>
      </w:pPr>
      <w:r>
        <w:rPr>
          <w:rFonts w:ascii="Times New Roman" w:hAnsi="Times New Roman" w:cs="Times New Roman"/>
          <w:b/>
          <w:iCs/>
          <w:noProof/>
          <w:sz w:val="24"/>
          <w:szCs w:val="24"/>
          <w:u w:val="single"/>
        </w:rPr>
        <w:t>EU nuclear market and main developments</w:t>
      </w:r>
    </w:p>
    <w:p>
      <w:pPr>
        <w:spacing w:after="18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EU nuclear energy market needs to be examined in the global context, given the potential impact of developments in other regions on the EU nuclear industry, global safety, security, health and on public opinion. Cooperation should be further strengthened with the EU candidate countries and neighbourhood countries, in particular Ukraine, Belarus, Turkey and Armenia. Safety stress tests have already been conducted in Ukraine, are set to be completed in Armenia in 2016 and are planned in Belarus and Turkey.</w:t>
      </w:r>
    </w:p>
    <w:p>
      <w:pPr>
        <w:spacing w:after="18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EU nuclear industry has developed into a global technology leader in all nuclear industry segments and directly employs between 400 000 and 500 000 people</w:t>
      </w:r>
      <w:r>
        <w:rPr>
          <w:rStyle w:val="FootnoteReference"/>
          <w:rFonts w:ascii="Times New Roman" w:hAnsi="Times New Roman" w:cs="Times New Roman"/>
          <w:iCs/>
          <w:noProof/>
          <w:sz w:val="24"/>
          <w:szCs w:val="24"/>
        </w:rPr>
        <w:footnoteReference w:id="9"/>
      </w:r>
      <w:r>
        <w:rPr>
          <w:rFonts w:ascii="Times New Roman" w:hAnsi="Times New Roman" w:cs="Times New Roman"/>
          <w:iCs/>
          <w:noProof/>
          <w:sz w:val="24"/>
          <w:szCs w:val="24"/>
        </w:rPr>
        <w:t>, while creating around 400 000 additional jobs</w:t>
      </w:r>
      <w:r>
        <w:rPr>
          <w:rStyle w:val="FootnoteReference"/>
          <w:rFonts w:ascii="Times New Roman" w:hAnsi="Times New Roman" w:cs="Times New Roman"/>
          <w:iCs/>
          <w:noProof/>
          <w:sz w:val="24"/>
          <w:szCs w:val="24"/>
        </w:rPr>
        <w:footnoteReference w:id="10"/>
      </w:r>
      <w:r>
        <w:rPr>
          <w:rFonts w:ascii="Times New Roman" w:hAnsi="Times New Roman" w:cs="Times New Roman"/>
          <w:iCs/>
          <w:noProof/>
          <w:sz w:val="24"/>
          <w:szCs w:val="24"/>
        </w:rPr>
        <w:t xml:space="preserve">. Such leadership can be an important asset worldwide. </w:t>
      </w:r>
      <w:r>
        <w:rPr>
          <w:rFonts w:ascii="Times New Roman" w:eastAsia="Calibri" w:hAnsi="Times New Roman" w:cs="Times New Roman"/>
          <w:iCs/>
          <w:noProof/>
          <w:sz w:val="24"/>
          <w:szCs w:val="24"/>
        </w:rPr>
        <w:t>Nuclear-related investment needs in the global market are estimated at around EUR 3 trillion by 2050</w:t>
      </w:r>
      <w:r>
        <w:rPr>
          <w:rFonts w:ascii="Times New Roman" w:eastAsia="Calibri" w:hAnsi="Times New Roman" w:cs="Times New Roman"/>
          <w:iCs/>
          <w:noProof/>
          <w:sz w:val="24"/>
          <w:szCs w:val="24"/>
          <w:vertAlign w:val="superscript"/>
        </w:rPr>
        <w:footnoteReference w:id="11"/>
      </w:r>
      <w:r>
        <w:rPr>
          <w:rFonts w:ascii="Times New Roman" w:eastAsia="Calibri" w:hAnsi="Times New Roman" w:cs="Times New Roman"/>
          <w:iCs/>
          <w:noProof/>
          <w:sz w:val="24"/>
          <w:szCs w:val="24"/>
        </w:rPr>
        <w:t>, with the majority expected in Asia.</w:t>
      </w:r>
      <w:r>
        <w:rPr>
          <w:rFonts w:ascii="Times New Roman" w:eastAsia="Calibri" w:hAnsi="Times New Roman" w:cs="Times New Roman"/>
          <w:noProof/>
          <w:sz w:val="24"/>
          <w:szCs w:val="24"/>
          <w:lang w:eastAsia="en-GB"/>
        </w:rPr>
        <w:t xml:space="preserve"> The </w:t>
      </w:r>
      <w:r>
        <w:rPr>
          <w:rFonts w:ascii="Times New Roman" w:hAnsi="Times New Roman" w:cs="Times New Roman"/>
          <w:iCs/>
          <w:noProof/>
          <w:sz w:val="24"/>
          <w:szCs w:val="24"/>
        </w:rPr>
        <w:t>number of countries operating nuclear power reactors and the global nuclear installed capacity are expected to increase by 2040. China's nuclear installed capacity alone is projected to increase by 125 GWe, a value higher than the current capacity of the EU (120 GWe), the United States (104 GWe) and Russia (25 GWe).</w:t>
      </w:r>
    </w:p>
    <w:p>
      <w:pPr>
        <w:spacing w:after="240" w:line="240" w:lineRule="auto"/>
        <w:jc w:val="both"/>
        <w:rPr>
          <w:rFonts w:ascii="Times New Roman" w:hAnsi="Times New Roman"/>
          <w:iCs/>
          <w:noProof/>
          <w:sz w:val="24"/>
          <w:szCs w:val="24"/>
        </w:rPr>
      </w:pPr>
      <w:r>
        <w:rPr>
          <w:rFonts w:ascii="Times New Roman" w:hAnsi="Times New Roman" w:cs="Times New Roman"/>
          <w:iCs/>
          <w:noProof/>
          <w:sz w:val="24"/>
          <w:szCs w:val="24"/>
        </w:rPr>
        <w:t>The Commission predicts a decline in nuclear generation capacity at EU level up to 2025, t</w:t>
      </w:r>
      <w:r>
        <w:rPr>
          <w:rFonts w:ascii="Times New Roman" w:hAnsi="Times New Roman"/>
          <w:iCs/>
          <w:noProof/>
          <w:sz w:val="24"/>
          <w:szCs w:val="24"/>
        </w:rPr>
        <w:t>aking into account the decisions of some Member States to phase out nuclear energy or to reduce its share in their energy mix</w:t>
      </w:r>
      <w:r>
        <w:rPr>
          <w:rStyle w:val="FootnoteReference"/>
          <w:rFonts w:ascii="Times New Roman" w:hAnsi="Times New Roman"/>
          <w:iCs/>
          <w:noProof/>
          <w:sz w:val="24"/>
          <w:szCs w:val="24"/>
        </w:rPr>
        <w:footnoteReference w:id="12"/>
      </w:r>
      <w:r>
        <w:rPr>
          <w:rFonts w:ascii="Times New Roman" w:hAnsi="Times New Roman"/>
          <w:iCs/>
          <w:noProof/>
          <w:sz w:val="24"/>
          <w:szCs w:val="24"/>
        </w:rPr>
        <w:t>.</w:t>
      </w:r>
      <w:r>
        <w:rPr>
          <w:rFonts w:ascii="Times New Roman" w:hAnsi="Times New Roman"/>
          <w:noProof/>
          <w:sz w:val="24"/>
        </w:rPr>
        <w:t xml:space="preserve"> </w:t>
      </w:r>
      <w:r>
        <w:rPr>
          <w:rFonts w:ascii="Times New Roman" w:hAnsi="Times New Roman" w:cs="Times New Roman"/>
          <w:noProof/>
          <w:sz w:val="24"/>
        </w:rPr>
        <w:t>T</w:t>
      </w:r>
      <w:r>
        <w:rPr>
          <w:rFonts w:ascii="Times New Roman" w:hAnsi="Times New Roman"/>
          <w:iCs/>
          <w:noProof/>
          <w:sz w:val="24"/>
          <w:szCs w:val="24"/>
        </w:rPr>
        <w:t>his trend would be reversed by 2030 as new reactors are predicted to be connected to the grid and the lifetime of others will be extended. Nuclear capacity would increase slightly and remain stable at between 95 and 105 GWe by 2050</w:t>
      </w:r>
      <w:r>
        <w:rPr>
          <w:rStyle w:val="FootnoteReference"/>
          <w:rFonts w:ascii="Times New Roman" w:hAnsi="Times New Roman"/>
          <w:iCs/>
          <w:noProof/>
          <w:sz w:val="24"/>
          <w:szCs w:val="24"/>
        </w:rPr>
        <w:footnoteReference w:id="13"/>
      </w:r>
      <w:r>
        <w:rPr>
          <w:rFonts w:ascii="Times New Roman" w:hAnsi="Times New Roman"/>
          <w:iCs/>
          <w:noProof/>
          <w:sz w:val="24"/>
          <w:szCs w:val="24"/>
        </w:rPr>
        <w:t xml:space="preserve"> (Figure 1). Since electricity demand is expected to increase over the same period, the share of nuclear electricity in the EU would fall from its current level of 27% to around 20%.</w:t>
      </w:r>
    </w:p>
    <w:p>
      <w:pPr>
        <w:rPr>
          <w:rFonts w:ascii="Times New Roman" w:hAnsi="Times New Roman"/>
          <w:b/>
          <w:bCs/>
          <w:iCs/>
          <w:noProof/>
          <w:sz w:val="24"/>
          <w:szCs w:val="24"/>
        </w:rPr>
      </w:pPr>
      <w:r>
        <w:rPr>
          <w:rFonts w:ascii="Times New Roman" w:hAnsi="Times New Roman"/>
          <w:b/>
          <w:bCs/>
          <w:iCs/>
          <w:noProof/>
          <w:sz w:val="24"/>
          <w:szCs w:val="24"/>
        </w:rPr>
        <w:br w:type="page"/>
      </w:r>
    </w:p>
    <w:p>
      <w:pPr>
        <w:spacing w:after="180"/>
        <w:jc w:val="center"/>
        <w:rPr>
          <w:rFonts w:ascii="Times New Roman" w:hAnsi="Times New Roman"/>
          <w:b/>
          <w:bCs/>
          <w:iCs/>
          <w:noProof/>
          <w:sz w:val="24"/>
          <w:szCs w:val="24"/>
        </w:rPr>
      </w:pPr>
      <w:r>
        <w:rPr>
          <w:rFonts w:ascii="Times New Roman" w:hAnsi="Times New Roman"/>
          <w:b/>
          <w:bCs/>
          <w:iCs/>
          <w:noProof/>
          <w:sz w:val="24"/>
          <w:szCs w:val="24"/>
        </w:rPr>
        <w:t xml:space="preserve">Figure </w:t>
      </w:r>
      <w:r>
        <w:rPr>
          <w:rFonts w:ascii="Times New Roman" w:hAnsi="Times New Roman"/>
          <w:b/>
          <w:bCs/>
          <w:iCs/>
          <w:noProof/>
          <w:sz w:val="24"/>
          <w:szCs w:val="24"/>
        </w:rPr>
        <w:fldChar w:fldCharType="begin"/>
      </w:r>
      <w:r>
        <w:rPr>
          <w:rFonts w:ascii="Times New Roman" w:hAnsi="Times New Roman"/>
          <w:b/>
          <w:bCs/>
          <w:iCs/>
          <w:noProof/>
          <w:sz w:val="24"/>
          <w:szCs w:val="24"/>
        </w:rPr>
        <w:instrText xml:space="preserve"> SEQ Figure \* ARABIC </w:instrText>
      </w:r>
      <w:r>
        <w:rPr>
          <w:rFonts w:ascii="Times New Roman" w:hAnsi="Times New Roman"/>
          <w:b/>
          <w:bCs/>
          <w:iCs/>
          <w:noProof/>
          <w:sz w:val="24"/>
          <w:szCs w:val="24"/>
        </w:rPr>
        <w:fldChar w:fldCharType="separate"/>
      </w:r>
      <w:r>
        <w:rPr>
          <w:rFonts w:ascii="Times New Roman" w:hAnsi="Times New Roman"/>
          <w:b/>
          <w:bCs/>
          <w:iCs/>
          <w:noProof/>
          <w:sz w:val="24"/>
          <w:szCs w:val="24"/>
        </w:rPr>
        <w:t>1</w:t>
      </w:r>
      <w:r>
        <w:rPr>
          <w:rFonts w:ascii="Times New Roman" w:hAnsi="Times New Roman"/>
          <w:b/>
          <w:bCs/>
          <w:iCs/>
          <w:noProof/>
          <w:sz w:val="24"/>
          <w:szCs w:val="24"/>
        </w:rPr>
        <w:fldChar w:fldCharType="end"/>
      </w:r>
      <w:r>
        <w:rPr>
          <w:rFonts w:ascii="Times New Roman" w:hAnsi="Times New Roman"/>
          <w:b/>
          <w:bCs/>
          <w:iCs/>
          <w:noProof/>
          <w:sz w:val="24"/>
          <w:szCs w:val="24"/>
        </w:rPr>
        <w:t xml:space="preserve"> - Total EU nuclear capacity (GWe)</w:t>
      </w:r>
    </w:p>
    <w:p>
      <w:pPr>
        <w:spacing w:after="180"/>
        <w:jc w:val="center"/>
        <w:rPr>
          <w:rFonts w:ascii="Times New Roman" w:hAnsi="Times New Roman"/>
          <w:b/>
          <w:bCs/>
          <w:iCs/>
          <w:noProof/>
          <w:sz w:val="24"/>
          <w:szCs w:val="24"/>
        </w:rPr>
      </w:pPr>
      <w:r>
        <w:rPr>
          <w:noProof/>
          <w:lang w:val="en-US"/>
        </w:rPr>
        <w:drawing>
          <wp:inline distT="0" distB="0" distL="0" distR="0">
            <wp:extent cx="3720974" cy="2254313"/>
            <wp:effectExtent l="0" t="0" r="13335"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300"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Capacity replacement investment up to 2050 will most likely be in the most advanced reactors, such as EPR, AP 1000, VVER 1200, ACR 1000 and ABWR. </w:t>
      </w:r>
    </w:p>
    <w:p>
      <w:pPr>
        <w:pStyle w:val="ListParagraph"/>
        <w:numPr>
          <w:ilvl w:val="0"/>
          <w:numId w:val="1"/>
        </w:numPr>
        <w:spacing w:before="300" w:after="240" w:line="240" w:lineRule="auto"/>
        <w:contextualSpacing w:val="0"/>
        <w:jc w:val="both"/>
        <w:rPr>
          <w:rStyle w:val="IntenseReference"/>
          <w:b/>
          <w:smallCaps w:val="0"/>
          <w:noProof/>
          <w:sz w:val="24"/>
          <w:szCs w:val="24"/>
          <w:u w:val="single"/>
        </w:rPr>
      </w:pPr>
      <w:r>
        <w:rPr>
          <w:rStyle w:val="IntenseReference"/>
          <w:b/>
          <w:noProof/>
          <w:sz w:val="24"/>
          <w:szCs w:val="24"/>
          <w:u w:val="single"/>
        </w:rPr>
        <w:t>Nuclear investment needs towards 2050</w:t>
      </w:r>
    </w:p>
    <w:p>
      <w:pPr>
        <w:spacing w:before="300" w:after="180" w:line="240" w:lineRule="auto"/>
        <w:jc w:val="both"/>
        <w:rPr>
          <w:rStyle w:val="IntenseReference"/>
          <w:smallCaps w:val="0"/>
          <w:noProof/>
          <w:sz w:val="24"/>
          <w:szCs w:val="24"/>
        </w:rPr>
      </w:pPr>
      <w:r>
        <w:rPr>
          <w:rFonts w:ascii="Times New Roman" w:eastAsia="Times New Roman" w:hAnsi="Times New Roman"/>
          <w:noProof/>
          <w:sz w:val="24"/>
          <w:szCs w:val="24"/>
          <w:lang w:eastAsia="en-GB"/>
        </w:rPr>
        <w:t xml:space="preserve">Significant investments will be needed to support the transformation of the energy system in line with the Energy Union Strategy. Between EUR </w:t>
      </w:r>
      <w:r>
        <w:rPr>
          <w:rFonts w:ascii="Times New Roman" w:hAnsi="Times New Roman"/>
          <w:noProof/>
          <w:sz w:val="24"/>
        </w:rPr>
        <w:t xml:space="preserve">3.2 </w:t>
      </w:r>
      <w:r>
        <w:rPr>
          <w:rFonts w:ascii="Times New Roman" w:eastAsia="Times New Roman" w:hAnsi="Times New Roman"/>
          <w:noProof/>
          <w:sz w:val="24"/>
          <w:szCs w:val="24"/>
          <w:lang w:eastAsia="en-GB"/>
        </w:rPr>
        <w:t xml:space="preserve">and EUR </w:t>
      </w:r>
      <w:r>
        <w:rPr>
          <w:rFonts w:ascii="Times New Roman" w:hAnsi="Times New Roman"/>
          <w:noProof/>
          <w:sz w:val="24"/>
        </w:rPr>
        <w:t>4.2 trillion</w:t>
      </w:r>
      <w:r>
        <w:rPr>
          <w:rFonts w:ascii="Times New Roman" w:eastAsia="Times New Roman" w:hAnsi="Times New Roman"/>
          <w:noProof/>
          <w:sz w:val="24"/>
          <w:szCs w:val="24"/>
          <w:lang w:eastAsia="en-GB"/>
        </w:rPr>
        <w:t xml:space="preserve"> will need to be invested in the EU energy supply between 2015 and 2050</w:t>
      </w:r>
      <w:r>
        <w:rPr>
          <w:rStyle w:val="FootnoteReference"/>
          <w:rFonts w:ascii="Times New Roman" w:eastAsia="Times New Roman" w:hAnsi="Times New Roman"/>
          <w:noProof/>
          <w:sz w:val="24"/>
          <w:szCs w:val="24"/>
          <w:lang w:eastAsia="en-GB"/>
        </w:rPr>
        <w:footnoteReference w:id="14"/>
      </w:r>
      <w:r>
        <w:rPr>
          <w:rFonts w:ascii="Times New Roman" w:eastAsia="Times New Roman" w:hAnsi="Times New Roman"/>
          <w:noProof/>
          <w:sz w:val="24"/>
          <w:szCs w:val="24"/>
          <w:lang w:eastAsia="en-GB"/>
        </w:rPr>
        <w:t>.  Investments in the nuclear sector are a small part of the overall effort and must be made within the framework established in EU legislation.</w:t>
      </w:r>
    </w:p>
    <w:p>
      <w:pPr>
        <w:spacing w:before="120" w:after="180" w:line="240" w:lineRule="auto"/>
        <w:jc w:val="both"/>
        <w:rPr>
          <w:rStyle w:val="IntenseReference"/>
          <w:smallCaps w:val="0"/>
          <w:noProof/>
          <w:sz w:val="24"/>
          <w:szCs w:val="24"/>
        </w:rPr>
      </w:pPr>
      <w:r>
        <w:rPr>
          <w:rStyle w:val="IntenseReference"/>
          <w:smallCaps w:val="0"/>
          <w:noProof/>
          <w:sz w:val="24"/>
          <w:szCs w:val="24"/>
        </w:rPr>
        <w:t>Under Article 41 of the Euratom Treaty, the Commission must be notified of new nuclear investment projects. Since 2008, a total of 48 projects have been notified. Nine were for facilities dedicated to front-end activities, 20 for major modifications or upgrades in nuclear power plants related to long-term operations or to post-Fukushima improvements, seven for new commercial or research reactors and 12 for back-end installations. All projects received a non-binding Commission opinion, providing the Member State with comments and/or suggestions for improvements to be taken into account when authorising the projects. Particular attention was paid to safety, waste management, safeguards and security of supply issues.</w:t>
      </w:r>
    </w:p>
    <w:p>
      <w:pPr>
        <w:spacing w:after="240" w:line="240" w:lineRule="auto"/>
        <w:jc w:val="both"/>
        <w:rPr>
          <w:rStyle w:val="IntenseReference"/>
          <w:smallCaps w:val="0"/>
          <w:noProof/>
          <w:sz w:val="24"/>
          <w:szCs w:val="24"/>
        </w:rPr>
      </w:pPr>
      <w:r>
        <w:rPr>
          <w:rStyle w:val="IntenseReference"/>
          <w:smallCaps w:val="0"/>
          <w:noProof/>
          <w:sz w:val="24"/>
          <w:szCs w:val="24"/>
        </w:rPr>
        <w:t>Later this year, the Commission will propose an update and better definition of the requirements for these notifications which, together with the Recommendation on the application of Article 103 of the Euratom Treaty</w:t>
      </w:r>
      <w:r>
        <w:rPr>
          <w:rStyle w:val="FootnoteReference"/>
          <w:rFonts w:ascii="Times New Roman" w:hAnsi="Times New Roman"/>
          <w:bCs/>
          <w:noProof/>
          <w:spacing w:val="5"/>
          <w:sz w:val="24"/>
          <w:szCs w:val="24"/>
        </w:rPr>
        <w:footnoteReference w:id="15"/>
      </w:r>
      <w:r>
        <w:rPr>
          <w:rStyle w:val="IntenseReference"/>
          <w:smallCaps w:val="0"/>
          <w:noProof/>
          <w:sz w:val="24"/>
          <w:szCs w:val="24"/>
        </w:rPr>
        <w:t>, will strengthen the Commission's ability to ensure that new investments and bilateral agreements with third countries in the field of nuclear energy comply with the Euratom Treaty and reflect the most recent security of supply considerations.</w:t>
      </w:r>
    </w:p>
    <w:p>
      <w:pPr>
        <w:rPr>
          <w:rFonts w:ascii="Times New Roman" w:eastAsia="Times New Roman" w:hAnsi="Times New Roman"/>
          <w:b/>
          <w:noProof/>
          <w:sz w:val="24"/>
          <w:szCs w:val="24"/>
          <w:u w:val="single"/>
          <w:lang w:eastAsia="en-GB"/>
        </w:rPr>
      </w:pPr>
      <w:r>
        <w:rPr>
          <w:rFonts w:ascii="Times New Roman" w:eastAsia="Times New Roman" w:hAnsi="Times New Roman"/>
          <w:b/>
          <w:noProof/>
          <w:sz w:val="24"/>
          <w:szCs w:val="24"/>
          <w:u w:val="single"/>
          <w:lang w:eastAsia="en-GB"/>
        </w:rPr>
        <w:br w:type="page"/>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lang w:eastAsia="en-GB"/>
        </w:rPr>
      </w:pPr>
      <w:r>
        <w:rPr>
          <w:rFonts w:ascii="Times New Roman" w:eastAsia="Times New Roman" w:hAnsi="Times New Roman"/>
          <w:b/>
          <w:noProof/>
          <w:sz w:val="24"/>
          <w:szCs w:val="24"/>
          <w:u w:val="single"/>
          <w:lang w:eastAsia="en-GB"/>
        </w:rPr>
        <w:t xml:space="preserve">Investments in the front end of the </w:t>
      </w:r>
      <w:r>
        <w:rPr>
          <w:rFonts w:ascii="Times New Roman" w:hAnsi="Times New Roman"/>
          <w:b/>
          <w:noProof/>
          <w:sz w:val="24"/>
          <w:u w:val="single"/>
        </w:rPr>
        <w:t>fuel</w:t>
      </w:r>
      <w:r>
        <w:rPr>
          <w:rFonts w:ascii="Times New Roman" w:eastAsia="Times New Roman" w:hAnsi="Times New Roman"/>
          <w:b/>
          <w:noProof/>
          <w:sz w:val="24"/>
          <w:szCs w:val="24"/>
          <w:u w:val="single"/>
          <w:lang w:eastAsia="en-GB"/>
        </w:rPr>
        <w:t xml:space="preserve"> cycle</w:t>
      </w:r>
    </w:p>
    <w:p>
      <w:pPr>
        <w:spacing w:before="300" w:after="18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The process of fabricating fuel (front end of the fuel cycle) includes different steps from uranium ore exploration and mining to fabrication of fuel assemblies.</w:t>
      </w:r>
    </w:p>
    <w:p>
      <w:pPr>
        <w:spacing w:before="120" w:after="18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While uranium </w:t>
      </w:r>
      <w:r>
        <w:rPr>
          <w:rFonts w:ascii="Times New Roman" w:hAnsi="Times New Roman"/>
          <w:noProof/>
          <w:sz w:val="24"/>
        </w:rPr>
        <w:t>mining activities are</w:t>
      </w:r>
      <w:r>
        <w:rPr>
          <w:rFonts w:ascii="Times New Roman" w:hAnsi="Times New Roman" w:cs="Times New Roman"/>
          <w:iCs/>
          <w:noProof/>
          <w:sz w:val="24"/>
          <w:szCs w:val="24"/>
        </w:rPr>
        <w:t xml:space="preserve"> limited in the EU, abundant uranium resources are available worldwide. European companies rank among the world's major producers of nuclear fuel.</w:t>
      </w:r>
      <w:r>
        <w:rPr>
          <w:noProof/>
        </w:rPr>
        <w:t xml:space="preserve"> </w:t>
      </w:r>
    </w:p>
    <w:p>
      <w:pPr>
        <w:spacing w:after="18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EU demand for natural uranium represents approximately one third of global demand and is obtained from a diverse range of suppliers. Kazakhstan (27%) was the main supplier in 2014, followed by Russia (18 %), and Niger (15 %). Australia and Canada accounted for 14 % and 13 % respectively.</w:t>
      </w:r>
    </w:p>
    <w:p>
      <w:pPr>
        <w:spacing w:before="120" w:after="18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accordance with the European Energy Security Strategy, the Commission is taking action to ensure a well-functioning internal market for nuclear fuels and to further enhance security of supply. The Euratom Supply Agency assesses these matters continuously in its decisions on supply contracts, with particular attention paid to new-build projects. </w:t>
      </w:r>
    </w:p>
    <w:p>
      <w:pPr>
        <w:spacing w:before="120" w:after="18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While some companies offer integrated packages with services that span the nuclear fuel cycle, the Commission will ensure that this capacity will not act as a barrier to other companies that operate in a single segment of the nuclear cycle, as this would limit competition in the market.</w:t>
      </w:r>
    </w:p>
    <w:p>
      <w:pPr>
        <w:spacing w:after="180" w:line="240" w:lineRule="auto"/>
        <w:jc w:val="both"/>
        <w:rPr>
          <w:rFonts w:ascii="Times New Roman" w:hAnsi="Times New Roman" w:cs="Times New Roman"/>
          <w:iCs/>
          <w:noProof/>
          <w:sz w:val="24"/>
          <w:szCs w:val="24"/>
        </w:rPr>
      </w:pPr>
      <w:r>
        <w:rPr>
          <w:rFonts w:ascii="Times New Roman" w:eastAsia="Times New Roman" w:hAnsi="Times New Roman"/>
          <w:noProof/>
          <w:sz w:val="24"/>
          <w:szCs w:val="24"/>
          <w:lang w:eastAsia="en-GB"/>
        </w:rPr>
        <w:t xml:space="preserve">Major investments have been made in the past in conversion and enrichment capabilities, and the focus in the coming years will be on modernising them in order to maintain EU technological leadership. Regarding the fabrication of nuclear fuel, the EU-based capacity would be able to cover all its needs for western-design reactors, whereas developing and licensing fuel assemblies for Russian-design reactors would take a few years (provided that a sufficient market is available to make the investment attractive for the industry). </w:t>
      </w:r>
      <w:r>
        <w:rPr>
          <w:rFonts w:ascii="Times New Roman" w:hAnsi="Times New Roman" w:cs="Times New Roman"/>
          <w:iCs/>
          <w:noProof/>
          <w:sz w:val="24"/>
          <w:szCs w:val="24"/>
        </w:rPr>
        <w:t xml:space="preserve">The Commission will continue to monitor the front end of the fuel cycle and use all instruments available at its disposal to ensure security of supply in the EU, diversification and global competition. </w:t>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lang w:eastAsia="en-GB"/>
        </w:rPr>
      </w:pPr>
      <w:r>
        <w:rPr>
          <w:rFonts w:ascii="Times New Roman" w:eastAsia="Times New Roman" w:hAnsi="Times New Roman"/>
          <w:b/>
          <w:noProof/>
          <w:sz w:val="24"/>
          <w:szCs w:val="24"/>
          <w:u w:val="single"/>
          <w:lang w:eastAsia="en-GB"/>
        </w:rPr>
        <w:t>Investments and business environment for new nuclear power plants</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All Member States operating nuclear power plants are investing in safety improvements. </w:t>
      </w:r>
      <w:r>
        <w:rPr>
          <w:rFonts w:ascii="Times New Roman" w:hAnsi="Times New Roman"/>
          <w:iCs/>
          <w:noProof/>
          <w:sz w:val="24"/>
          <w:szCs w:val="24"/>
        </w:rPr>
        <w:t xml:space="preserve">Due to the average age of the EU nuclear fleet, several Member States are also faced with policy decisions on the replacement or long-term operation of their nuclear power plants. </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 xml:space="preserve">Figure 1 shows that without long-term operation programmes, around 90% of the existing reactors would be shut down by 2030, resulting in the need to replace large amounts of capacity. When Member States decide to proceed with the long-term operation of reactors, national regulatory approval and safety upgrades will be needed to ensure compliance with the Nuclear Safety Directive. </w:t>
      </w:r>
      <w:r>
        <w:rPr>
          <w:rFonts w:ascii="Times New Roman" w:hAnsi="Times New Roman"/>
          <w:noProof/>
          <w:sz w:val="24"/>
        </w:rPr>
        <w:t>Whichever options Member States choose</w:t>
      </w:r>
      <w:r>
        <w:rPr>
          <w:rFonts w:ascii="Times New Roman" w:hAnsi="Times New Roman"/>
          <w:iCs/>
          <w:noProof/>
          <w:sz w:val="24"/>
          <w:szCs w:val="24"/>
        </w:rPr>
        <w:t xml:space="preserve">, 90% of the existing nuclear electricity production capacity will need to be replaced by 2050. </w:t>
      </w:r>
    </w:p>
    <w:p>
      <w:pPr>
        <w:spacing w:after="18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Maintaining a nuclear generation capacity of between 95 and 105 GWe in the EU until 2050 and beyond would require further</w:t>
      </w:r>
      <w:r>
        <w:rPr>
          <w:rFonts w:ascii="Times New Roman" w:hAnsi="Times New Roman"/>
          <w:noProof/>
          <w:sz w:val="24"/>
        </w:rPr>
        <w:t xml:space="preserve"> investments</w:t>
      </w:r>
      <w:r>
        <w:rPr>
          <w:rFonts w:ascii="Times New Roman" w:eastAsia="Times New Roman" w:hAnsi="Times New Roman"/>
          <w:noProof/>
          <w:sz w:val="24"/>
          <w:szCs w:val="24"/>
          <w:lang w:eastAsia="en-GB"/>
        </w:rPr>
        <w:t xml:space="preserve"> over the next 35 years. Between </w:t>
      </w:r>
      <w:r>
        <w:rPr>
          <w:rFonts w:ascii="Times New Roman" w:hAnsi="Times New Roman"/>
          <w:noProof/>
          <w:sz w:val="24"/>
        </w:rPr>
        <w:t>EUR 350 and 450 billion</w:t>
      </w:r>
      <w:r>
        <w:rPr>
          <w:rFonts w:ascii="Times New Roman" w:eastAsia="Times New Roman" w:hAnsi="Times New Roman"/>
          <w:noProof/>
          <w:sz w:val="24"/>
          <w:szCs w:val="24"/>
          <w:lang w:eastAsia="en-GB"/>
        </w:rPr>
        <w:t xml:space="preserve"> would have to be invested in new plants to replace most of the existing nuclear power capacity. Since new nuclear power plants are designed to operate for at least 60 years, these new plants would generate electricity until the end of the century.</w:t>
      </w:r>
    </w:p>
    <w:p>
      <w:pPr>
        <w:spacing w:after="180" w:line="240" w:lineRule="auto"/>
        <w:jc w:val="both"/>
        <w:rPr>
          <w:rFonts w:ascii="Times New Roman" w:eastAsia="Times New Roman" w:hAnsi="Times New Roman"/>
          <w:noProof/>
          <w:sz w:val="24"/>
          <w:szCs w:val="24"/>
          <w:highlight w:val="yellow"/>
          <w:lang w:eastAsia="en-GB"/>
        </w:rPr>
      </w:pPr>
      <w:r>
        <w:rPr>
          <w:rStyle w:val="IntenseReference"/>
          <w:rFonts w:eastAsia="Times New Roman"/>
          <w:smallCaps w:val="0"/>
          <w:noProof/>
          <w:sz w:val="24"/>
          <w:szCs w:val="24"/>
          <w:lang w:eastAsia="en-GB"/>
        </w:rPr>
        <w:t>A number of factors influence the availability of finance for investments in new nuclear capacity. For the two main cost components, overnight cost</w:t>
      </w:r>
      <w:r>
        <w:rPr>
          <w:rStyle w:val="FootnoteReference"/>
          <w:rFonts w:ascii="Times New Roman" w:eastAsia="Times New Roman" w:hAnsi="Times New Roman"/>
          <w:bCs/>
          <w:noProof/>
          <w:spacing w:val="5"/>
          <w:sz w:val="24"/>
          <w:szCs w:val="24"/>
          <w:lang w:eastAsia="en-GB"/>
        </w:rPr>
        <w:footnoteReference w:id="16"/>
      </w:r>
      <w:r>
        <w:rPr>
          <w:rStyle w:val="IntenseReference"/>
          <w:rFonts w:eastAsia="Times New Roman"/>
          <w:smallCaps w:val="0"/>
          <w:noProof/>
          <w:sz w:val="24"/>
          <w:szCs w:val="24"/>
          <w:lang w:eastAsia="en-GB"/>
        </w:rPr>
        <w:t xml:space="preserve"> and financing cost, the expected construction time and project discount rate play a significant role. </w:t>
      </w:r>
    </w:p>
    <w:p>
      <w:pPr>
        <w:spacing w:after="180" w:line="240" w:lineRule="auto"/>
        <w:jc w:val="both"/>
        <w:rPr>
          <w:rFonts w:ascii="Times New Roman" w:hAnsi="Times New Roman" w:cs="Times New Roman"/>
          <w:noProof/>
          <w:sz w:val="24"/>
          <w:szCs w:val="24"/>
        </w:rPr>
      </w:pPr>
      <w:r>
        <w:rPr>
          <w:rStyle w:val="IntenseReference"/>
          <w:rFonts w:eastAsia="Times New Roman"/>
          <w:bCs w:val="0"/>
          <w:smallCaps w:val="0"/>
          <w:noProof/>
          <w:sz w:val="24"/>
          <w:szCs w:val="24"/>
          <w:lang w:eastAsia="en-GB"/>
        </w:rPr>
        <w:t xml:space="preserve">Different financing models are being examined or used in several EU Member States, such as the </w:t>
      </w:r>
      <w:r>
        <w:rPr>
          <w:rStyle w:val="IntenseReference"/>
          <w:smallCaps w:val="0"/>
          <w:noProof/>
          <w:sz w:val="24"/>
        </w:rPr>
        <w:t>Contract for Difference</w:t>
      </w:r>
      <w:r>
        <w:rPr>
          <w:rStyle w:val="FootnoteReference"/>
          <w:rFonts w:ascii="Times New Roman" w:eastAsia="Times New Roman" w:hAnsi="Times New Roman"/>
          <w:noProof/>
          <w:spacing w:val="5"/>
          <w:sz w:val="24"/>
          <w:szCs w:val="24"/>
          <w:lang w:eastAsia="en-GB"/>
        </w:rPr>
        <w:footnoteReference w:id="17"/>
      </w:r>
      <w:r>
        <w:rPr>
          <w:rStyle w:val="IntenseReference"/>
          <w:rFonts w:eastAsia="Times New Roman"/>
          <w:bCs w:val="0"/>
          <w:smallCaps w:val="0"/>
          <w:noProof/>
          <w:sz w:val="24"/>
          <w:szCs w:val="24"/>
          <w:lang w:eastAsia="en-GB"/>
        </w:rPr>
        <w:t xml:space="preserve"> scheme proposed for the Hinkley Point C project in the UK or the Mankala model</w:t>
      </w:r>
      <w:r>
        <w:rPr>
          <w:rStyle w:val="FootnoteReference"/>
          <w:rFonts w:ascii="Times New Roman" w:eastAsia="Times New Roman" w:hAnsi="Times New Roman"/>
          <w:noProof/>
          <w:spacing w:val="5"/>
          <w:sz w:val="24"/>
          <w:szCs w:val="24"/>
          <w:lang w:eastAsia="en-GB"/>
        </w:rPr>
        <w:footnoteReference w:id="18"/>
      </w:r>
      <w:r>
        <w:rPr>
          <w:rStyle w:val="IntenseReference"/>
          <w:rFonts w:eastAsia="Times New Roman"/>
          <w:bCs w:val="0"/>
          <w:smallCaps w:val="0"/>
          <w:noProof/>
          <w:sz w:val="24"/>
          <w:szCs w:val="24"/>
          <w:lang w:eastAsia="en-GB"/>
        </w:rPr>
        <w:t xml:space="preserve"> proposed for the Hanhikivi project in Finland. </w:t>
      </w:r>
    </w:p>
    <w:p>
      <w:pPr>
        <w:spacing w:after="180" w:line="240" w:lineRule="auto"/>
        <w:jc w:val="both"/>
        <w:rPr>
          <w:rStyle w:val="IntenseReference"/>
          <w:smallCaps w:val="0"/>
          <w:noProof/>
          <w:sz w:val="24"/>
        </w:rPr>
      </w:pPr>
      <w:r>
        <w:rPr>
          <w:rFonts w:ascii="Times New Roman" w:hAnsi="Times New Roman"/>
          <w:bCs/>
          <w:noProof/>
          <w:spacing w:val="5"/>
          <w:sz w:val="24"/>
        </w:rPr>
        <w:t>Some new, first-of-a-kind projects in the EU have experienced delays and cost overruns. Future projects using the same technology should benefit from the experience gained and should exploit cost-reduction opportunities, provided that an appropriate policy is established.</w:t>
      </w:r>
    </w:p>
    <w:p>
      <w:pPr>
        <w:spacing w:after="180" w:line="240" w:lineRule="auto"/>
        <w:jc w:val="both"/>
        <w:rPr>
          <w:rStyle w:val="IntenseReference"/>
          <w:rFonts w:eastAsia="Times New Roman"/>
          <w:smallCaps w:val="0"/>
          <w:noProof/>
          <w:sz w:val="24"/>
          <w:szCs w:val="24"/>
          <w:lang w:eastAsia="en-GB"/>
        </w:rPr>
      </w:pPr>
      <w:r>
        <w:rPr>
          <w:rStyle w:val="IntenseReference"/>
          <w:smallCaps w:val="0"/>
          <w:noProof/>
          <w:sz w:val="24"/>
        </w:rPr>
        <w:t xml:space="preserve">This policy should focus on improving cooperation between regulators when </w:t>
      </w:r>
      <w:r>
        <w:rPr>
          <w:rStyle w:val="IntenseReference"/>
          <w:b/>
          <w:smallCaps w:val="0"/>
          <w:noProof/>
          <w:sz w:val="24"/>
        </w:rPr>
        <w:t>licensing</w:t>
      </w:r>
      <w:r>
        <w:rPr>
          <w:rStyle w:val="IntenseReference"/>
          <w:smallCaps w:val="0"/>
          <w:noProof/>
          <w:sz w:val="24"/>
        </w:rPr>
        <w:t xml:space="preserve"> new reactors and on encouraging industry to </w:t>
      </w:r>
      <w:r>
        <w:rPr>
          <w:rStyle w:val="IntenseReference"/>
          <w:b/>
          <w:smallCaps w:val="0"/>
          <w:noProof/>
          <w:sz w:val="24"/>
        </w:rPr>
        <w:t>standardise</w:t>
      </w:r>
      <w:r>
        <w:rPr>
          <w:rStyle w:val="IntenseReference"/>
          <w:smallCaps w:val="0"/>
          <w:noProof/>
          <w:sz w:val="24"/>
        </w:rPr>
        <w:t xml:space="preserve"> nuclear reactor designs. In addition to improving cost efficiency, this would help make new nuclear power plants safer.</w:t>
      </w:r>
    </w:p>
    <w:p>
      <w:pPr>
        <w:spacing w:after="180" w:line="240" w:lineRule="auto"/>
        <w:jc w:val="both"/>
        <w:rPr>
          <w:rStyle w:val="IntenseReference"/>
          <w:rFonts w:eastAsia="Times New Roman"/>
          <w:smallCaps w:val="0"/>
          <w:noProof/>
          <w:sz w:val="24"/>
          <w:szCs w:val="24"/>
          <w:lang w:eastAsia="en-GB"/>
        </w:rPr>
      </w:pPr>
      <w:r>
        <w:rPr>
          <w:rStyle w:val="IntenseReference"/>
          <w:smallCaps w:val="0"/>
          <w:noProof/>
          <w:sz w:val="24"/>
        </w:rPr>
        <w:t xml:space="preserve">The </w:t>
      </w:r>
      <w:r>
        <w:rPr>
          <w:rStyle w:val="IntenseReference"/>
          <w:b/>
          <w:smallCaps w:val="0"/>
          <w:noProof/>
          <w:sz w:val="24"/>
        </w:rPr>
        <w:t>licensing</w:t>
      </w:r>
      <w:r>
        <w:rPr>
          <w:rStyle w:val="IntenseReference"/>
          <w:smallCaps w:val="0"/>
          <w:noProof/>
          <w:sz w:val="24"/>
        </w:rPr>
        <w:t xml:space="preserve"> process, while falling under the exclusive competence of national safety regulators, presents opportunities for enhanced cooperation, for example in the pre-licensing steps or in design certification. </w:t>
      </w:r>
    </w:p>
    <w:p>
      <w:pPr>
        <w:spacing w:after="180" w:line="240" w:lineRule="auto"/>
        <w:jc w:val="both"/>
        <w:rPr>
          <w:rStyle w:val="IntenseReference"/>
          <w:smallCaps w:val="0"/>
          <w:noProof/>
          <w:sz w:val="24"/>
        </w:rPr>
      </w:pPr>
      <w:r>
        <w:rPr>
          <w:rStyle w:val="IntenseReference"/>
          <w:rFonts w:eastAsia="Times New Roman"/>
          <w:smallCaps w:val="0"/>
          <w:noProof/>
          <w:sz w:val="24"/>
          <w:szCs w:val="24"/>
          <w:lang w:eastAsia="en-GB"/>
        </w:rPr>
        <w:t xml:space="preserve">The aim of collaboration on licensing requirements should be to ensure that a design that is considered safe in one country does not have to be substantially modified to meet licensing requirements elsewhere, therefore reducing both time and costs. In this area the Commission intends to consult the European Nuclear Safety Regulators Group and the European </w:t>
      </w:r>
      <w:r>
        <w:rPr>
          <w:rFonts w:ascii="Times New Roman" w:eastAsia="Times New Roman" w:hAnsi="Times New Roman"/>
          <w:bCs/>
          <w:noProof/>
          <w:spacing w:val="5"/>
          <w:sz w:val="24"/>
          <w:szCs w:val="24"/>
          <w:lang w:eastAsia="en-GB"/>
        </w:rPr>
        <w:t xml:space="preserve">Technical Safety Organisations </w:t>
      </w:r>
      <w:r>
        <w:rPr>
          <w:rStyle w:val="IntenseReference"/>
          <w:rFonts w:eastAsia="Times New Roman"/>
          <w:smallCaps w:val="0"/>
          <w:noProof/>
          <w:sz w:val="24"/>
          <w:szCs w:val="24"/>
          <w:lang w:eastAsia="en-GB"/>
        </w:rPr>
        <w:t>Network.</w:t>
      </w:r>
    </w:p>
    <w:p>
      <w:pPr>
        <w:spacing w:after="0" w:line="240" w:lineRule="auto"/>
        <w:jc w:val="both"/>
        <w:rPr>
          <w:rStyle w:val="IntenseReference"/>
          <w:smallCaps w:val="0"/>
          <w:noProof/>
          <w:sz w:val="24"/>
        </w:rPr>
      </w:pPr>
      <w:r>
        <w:rPr>
          <w:rStyle w:val="IntenseReference"/>
          <w:smallCaps w:val="0"/>
          <w:noProof/>
          <w:sz w:val="24"/>
        </w:rPr>
        <w:t xml:space="preserve">On </w:t>
      </w:r>
      <w:r>
        <w:rPr>
          <w:rStyle w:val="IntenseReference"/>
          <w:b/>
          <w:smallCaps w:val="0"/>
          <w:noProof/>
          <w:sz w:val="24"/>
        </w:rPr>
        <w:t>standardisation</w:t>
      </w:r>
      <w:r>
        <w:rPr>
          <w:rStyle w:val="IntenseReference"/>
          <w:smallCaps w:val="0"/>
          <w:noProof/>
          <w:sz w:val="24"/>
        </w:rPr>
        <w:t>, construction codes are used as a common reference by all actors involved in the design and construction of power plants and other nuclear facilities</w:t>
      </w:r>
      <w:r>
        <w:rPr>
          <w:rStyle w:val="FootnoteReference"/>
          <w:rFonts w:ascii="Times New Roman" w:hAnsi="Times New Roman"/>
          <w:bCs/>
          <w:noProof/>
          <w:spacing w:val="5"/>
          <w:sz w:val="24"/>
        </w:rPr>
        <w:footnoteReference w:id="19"/>
      </w:r>
      <w:r>
        <w:rPr>
          <w:rStyle w:val="IntenseReference"/>
          <w:smallCaps w:val="0"/>
          <w:noProof/>
          <w:sz w:val="24"/>
        </w:rPr>
        <w:t>. Given the emergence of potential new vendors and the need to ensure control of any new model/technology, it would be beneficial to encourage vendors and suppliers to engage in an initiative to increase standardisation of their components and codes in order to ensure:</w:t>
      </w:r>
    </w:p>
    <w:p>
      <w:pPr>
        <w:spacing w:after="0" w:line="240" w:lineRule="auto"/>
        <w:jc w:val="both"/>
        <w:rPr>
          <w:rStyle w:val="IntenseReference"/>
          <w:smallCaps w:val="0"/>
          <w:noProof/>
          <w:sz w:val="24"/>
        </w:rPr>
      </w:pPr>
      <w:r>
        <w:rPr>
          <w:rStyle w:val="IntenseReference"/>
          <w:smallCaps w:val="0"/>
          <w:noProof/>
          <w:sz w:val="24"/>
        </w:rPr>
        <w:t xml:space="preserve">(a) a faster procurement process; </w:t>
      </w:r>
    </w:p>
    <w:p>
      <w:pPr>
        <w:spacing w:after="0" w:line="240" w:lineRule="auto"/>
        <w:jc w:val="both"/>
        <w:rPr>
          <w:rStyle w:val="IntenseReference"/>
          <w:smallCaps w:val="0"/>
          <w:noProof/>
          <w:sz w:val="24"/>
        </w:rPr>
      </w:pPr>
      <w:r>
        <w:rPr>
          <w:rStyle w:val="IntenseReference"/>
          <w:smallCaps w:val="0"/>
          <w:noProof/>
          <w:sz w:val="24"/>
        </w:rPr>
        <w:t xml:space="preserve">(b) greater comparability and more transparent and higher safety standards; </w:t>
      </w:r>
    </w:p>
    <w:p>
      <w:pPr>
        <w:spacing w:after="0" w:line="240" w:lineRule="auto"/>
        <w:jc w:val="both"/>
        <w:rPr>
          <w:rStyle w:val="IntenseReference"/>
          <w:smallCaps w:val="0"/>
          <w:noProof/>
          <w:sz w:val="24"/>
        </w:rPr>
      </w:pPr>
      <w:r>
        <w:rPr>
          <w:rStyle w:val="IntenseReference"/>
          <w:smallCaps w:val="0"/>
          <w:noProof/>
          <w:sz w:val="24"/>
        </w:rPr>
        <w:t xml:space="preserve">(c) increased capacity of operators to control technology and knowledge management. </w:t>
      </w:r>
    </w:p>
    <w:p>
      <w:pPr>
        <w:spacing w:after="0" w:line="240" w:lineRule="auto"/>
        <w:jc w:val="both"/>
        <w:rPr>
          <w:rStyle w:val="IntenseReference"/>
          <w:smallCaps w:val="0"/>
          <w:noProof/>
          <w:sz w:val="24"/>
        </w:rPr>
      </w:pPr>
    </w:p>
    <w:p>
      <w:pPr>
        <w:spacing w:after="0" w:line="240" w:lineRule="auto"/>
        <w:jc w:val="both"/>
        <w:rPr>
          <w:noProof/>
        </w:rPr>
      </w:pPr>
      <w:r>
        <w:rPr>
          <w:rStyle w:val="IntenseReference"/>
          <w:smallCaps w:val="0"/>
          <w:noProof/>
          <w:sz w:val="24"/>
        </w:rPr>
        <w:t xml:space="preserve">Given the emphasis on optimising the use of existing resources and on mutual recognition to open up more opportunities, the Commission is closely following the work of the European Committee for Standardisation to see what potential policy options are needed at EU level. </w:t>
      </w:r>
    </w:p>
    <w:p>
      <w:pPr>
        <w:pStyle w:val="ListParagraph"/>
        <w:keepNext/>
        <w:numPr>
          <w:ilvl w:val="1"/>
          <w:numId w:val="1"/>
        </w:numPr>
        <w:spacing w:before="300" w:after="180" w:line="240" w:lineRule="auto"/>
        <w:ind w:left="788" w:hanging="431"/>
        <w:contextualSpacing w:val="0"/>
        <w:jc w:val="both"/>
        <w:rPr>
          <w:rFonts w:ascii="Times New Roman" w:hAnsi="Times New Roman"/>
          <w:b/>
          <w:iCs/>
          <w:noProof/>
          <w:sz w:val="24"/>
          <w:szCs w:val="24"/>
          <w:u w:val="single"/>
        </w:rPr>
      </w:pPr>
      <w:r>
        <w:rPr>
          <w:rFonts w:ascii="Times New Roman" w:hAnsi="Times New Roman"/>
          <w:b/>
          <w:iCs/>
          <w:noProof/>
          <w:sz w:val="24"/>
          <w:szCs w:val="24"/>
          <w:u w:val="single"/>
        </w:rPr>
        <w:t xml:space="preserve">Investments and business environment related to </w:t>
      </w:r>
      <w:r>
        <w:rPr>
          <w:rFonts w:ascii="Times New Roman" w:hAnsi="Times New Roman"/>
          <w:b/>
          <w:noProof/>
          <w:sz w:val="24"/>
          <w:u w:val="single"/>
        </w:rPr>
        <w:t>safety upgrades and</w:t>
      </w:r>
      <w:r>
        <w:rPr>
          <w:rFonts w:ascii="Times New Roman" w:hAnsi="Times New Roman"/>
          <w:b/>
          <w:iCs/>
          <w:noProof/>
          <w:sz w:val="24"/>
          <w:szCs w:val="24"/>
          <w:u w:val="single"/>
        </w:rPr>
        <w:t xml:space="preserve"> the long term operation of existing nuclear power plants</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In order to continuously improve nuclear safety, which is a key responsibility of the nuclear operators under the supervision of the competent national regulatory authorities, regular efforts are made to increase the robustness of nuclear power plants, in particular following specific reviews, periodic safety reviews or peer reviews such as the EU stress tests. </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Many operators in Europe have expressed the intention to operate their nuclear power plants for longer than envisaged by their original design. From a nuclear safety point of view, continuing to operate a nuclear power plant requires two things: demonstrating and maintaining plant conformity to the applicable regulatory requirements; and enhancing plant safety as far as reasonably practicable. </w:t>
      </w:r>
    </w:p>
    <w:p>
      <w:pPr>
        <w:spacing w:after="180" w:line="240" w:lineRule="auto"/>
        <w:jc w:val="both"/>
        <w:rPr>
          <w:rStyle w:val="IntenseReference"/>
          <w:rFonts w:eastAsia="Times New Roman"/>
          <w:smallCaps w:val="0"/>
          <w:noProof/>
          <w:sz w:val="24"/>
          <w:szCs w:val="24"/>
          <w:lang w:eastAsia="en-GB"/>
        </w:rPr>
      </w:pPr>
      <w:r>
        <w:rPr>
          <w:rStyle w:val="IntenseReference"/>
          <w:rFonts w:eastAsia="Times New Roman"/>
          <w:smallCaps w:val="0"/>
          <w:noProof/>
          <w:sz w:val="24"/>
          <w:szCs w:val="24"/>
          <w:lang w:eastAsia="en-GB"/>
        </w:rPr>
        <w:t xml:space="preserve">In the light of information provided by Member States, an estimated EUR 45-50 billion will have to be invested in the long-term operation of existing reactors by 2050. The related investment projects will need to be communicated to the Commission, which will then issue its views on them in accordance with Article 41 of the Euratom Treaty. </w:t>
      </w:r>
    </w:p>
    <w:p>
      <w:pPr>
        <w:spacing w:after="180" w:line="240" w:lineRule="auto"/>
        <w:jc w:val="both"/>
        <w:rPr>
          <w:rStyle w:val="IntenseReference"/>
          <w:rFonts w:eastAsia="Times New Roman"/>
          <w:smallCaps w:val="0"/>
          <w:noProof/>
          <w:sz w:val="24"/>
          <w:szCs w:val="24"/>
          <w:lang w:eastAsia="en-GB"/>
        </w:rPr>
      </w:pPr>
      <w:r>
        <w:rPr>
          <w:rStyle w:val="IntenseReference"/>
          <w:rFonts w:eastAsia="Times New Roman"/>
          <w:smallCaps w:val="0"/>
          <w:noProof/>
          <w:sz w:val="24"/>
          <w:szCs w:val="24"/>
          <w:lang w:eastAsia="en-GB"/>
        </w:rPr>
        <w:t>Depending on the model and age of the reactor, national regulators assume that granting long-term operation programmes will mean extending their lifetime by 10 to 20 years on average.</w:t>
      </w:r>
    </w:p>
    <w:p>
      <w:pPr>
        <w:spacing w:after="180" w:line="240" w:lineRule="auto"/>
        <w:jc w:val="both"/>
        <w:rPr>
          <w:rStyle w:val="IntenseReference"/>
          <w:rFonts w:eastAsia="Times New Roman"/>
          <w:smallCaps w:val="0"/>
          <w:noProof/>
          <w:sz w:val="24"/>
          <w:szCs w:val="24"/>
          <w:lang w:eastAsia="en-GB"/>
        </w:rPr>
      </w:pPr>
      <w:r>
        <w:rPr>
          <w:rStyle w:val="IntenseReference"/>
          <w:rFonts w:eastAsia="Times New Roman"/>
          <w:smallCaps w:val="0"/>
          <w:noProof/>
          <w:sz w:val="24"/>
          <w:szCs w:val="24"/>
          <w:lang w:eastAsia="en-GB"/>
        </w:rPr>
        <w:t>U</w:t>
      </w:r>
      <w:r>
        <w:rPr>
          <w:rFonts w:ascii="Times New Roman" w:hAnsi="Times New Roman"/>
          <w:noProof/>
          <w:sz w:val="24"/>
        </w:rPr>
        <w:t>tilities and regulatory bodies need to prepare, review and approve the safety cases associated with these plans in accordance with the amended Nuclear Safety Directive. Enhancing c</w:t>
      </w:r>
      <w:r>
        <w:rPr>
          <w:rStyle w:val="IntenseReference"/>
          <w:rFonts w:eastAsia="Times New Roman"/>
          <w:smallCaps w:val="0"/>
          <w:noProof/>
          <w:sz w:val="24"/>
          <w:szCs w:val="24"/>
          <w:lang w:eastAsia="en-GB"/>
        </w:rPr>
        <w:t>ooperation among the regulators in the licensing processes, for example by setting common criteria, will help ensure an adequate and timely response to the challenge.</w:t>
      </w:r>
    </w:p>
    <w:p>
      <w:pPr>
        <w:pStyle w:val="ListParagraph"/>
        <w:numPr>
          <w:ilvl w:val="1"/>
          <w:numId w:val="1"/>
        </w:numPr>
        <w:spacing w:before="300" w:after="180" w:line="240" w:lineRule="auto"/>
        <w:ind w:left="788" w:hanging="431"/>
        <w:contextualSpacing w:val="0"/>
        <w:rPr>
          <w:rFonts w:ascii="Times New Roman" w:hAnsi="Times New Roman"/>
          <w:b/>
          <w:iCs/>
          <w:noProof/>
          <w:sz w:val="24"/>
          <w:szCs w:val="24"/>
          <w:u w:val="single"/>
        </w:rPr>
      </w:pPr>
      <w:r>
        <w:rPr>
          <w:rFonts w:ascii="Times New Roman" w:hAnsi="Times New Roman"/>
          <w:b/>
          <w:iCs/>
          <w:noProof/>
          <w:sz w:val="24"/>
          <w:szCs w:val="24"/>
          <w:u w:val="single"/>
        </w:rPr>
        <w:t>Increased activities in the back-end of the fuel cycle: challenges and opportunities</w:t>
      </w:r>
    </w:p>
    <w:p>
      <w:pPr>
        <w:spacing w:line="240" w:lineRule="auto"/>
        <w:jc w:val="both"/>
        <w:rPr>
          <w:rFonts w:ascii="Times New Roman" w:hAnsi="Times New Roman"/>
          <w:iCs/>
          <w:noProof/>
          <w:sz w:val="24"/>
        </w:rPr>
      </w:pPr>
      <w:r>
        <w:rPr>
          <w:rFonts w:ascii="Times New Roman" w:hAnsi="Times New Roman"/>
          <w:iCs/>
          <w:noProof/>
          <w:sz w:val="24"/>
        </w:rPr>
        <w:t>The back-end of the fuel cycle will need increasing levels of attention. It is estimated that more than 50 of the 129 reactors currently in operation in the EU are to be shut down by 2025. Careful planning and enhanced cooperation among Member States will be needed. All EU Member States operating nuclear power plants will have to take politically sensitive decisions on geological disposal and the long-term management of radioactive waste.</w:t>
      </w:r>
      <w:r>
        <w:rPr>
          <w:rFonts w:ascii="Times New Roman" w:hAnsi="Times New Roman"/>
          <w:noProof/>
          <w:sz w:val="24"/>
        </w:rPr>
        <w:t xml:space="preserve"> </w:t>
      </w:r>
      <w:r>
        <w:rPr>
          <w:rFonts w:ascii="Times New Roman" w:hAnsi="Times New Roman"/>
          <w:iCs/>
          <w:noProof/>
          <w:sz w:val="24"/>
        </w:rPr>
        <w:t>It is important not to postpone actions and investment decisions on these issues as the acceptance of nuclear energy by civil society is closely linked to the ability to demonstrate responsible, safe and sustainable solutions for waste management.</w:t>
      </w:r>
    </w:p>
    <w:p>
      <w:pPr>
        <w:pStyle w:val="ListParagraph"/>
        <w:numPr>
          <w:ilvl w:val="2"/>
          <w:numId w:val="1"/>
        </w:numPr>
        <w:spacing w:before="300" w:after="180" w:line="240" w:lineRule="auto"/>
        <w:contextualSpacing w:val="0"/>
        <w:jc w:val="both"/>
        <w:rPr>
          <w:rFonts w:ascii="Times New Roman" w:hAnsi="Times New Roman"/>
          <w:noProof/>
          <w:sz w:val="24"/>
        </w:rPr>
      </w:pPr>
      <w:r>
        <w:rPr>
          <w:rFonts w:ascii="Times New Roman" w:hAnsi="Times New Roman"/>
          <w:iCs/>
          <w:noProof/>
          <w:sz w:val="24"/>
          <w:szCs w:val="24"/>
          <w:u w:val="single"/>
        </w:rPr>
        <w:t>Spent fuel and radioactive waste management</w:t>
      </w:r>
    </w:p>
    <w:p>
      <w:pPr>
        <w:spacing w:line="240" w:lineRule="auto"/>
        <w:jc w:val="both"/>
        <w:rPr>
          <w:rFonts w:ascii="Times New Roman" w:hAnsi="Times New Roman"/>
          <w:noProof/>
          <w:sz w:val="24"/>
        </w:rPr>
      </w:pPr>
      <w:r>
        <w:rPr>
          <w:rFonts w:ascii="Times New Roman" w:hAnsi="Times New Roman"/>
          <w:noProof/>
          <w:sz w:val="24"/>
        </w:rPr>
        <w:t xml:space="preserve">The Spent Fuel and Radioactive Waste Directive establishes legally binding requirements for the safe and responsible long-term management of radioactive waste and spent fuel, with the objective of avoiding undue burdens on future generations. Member States have made significant efforts towards implementing the Directive.  </w:t>
      </w:r>
    </w:p>
    <w:p>
      <w:pPr>
        <w:spacing w:line="240" w:lineRule="auto"/>
        <w:jc w:val="both"/>
        <w:rPr>
          <w:rFonts w:ascii="Times New Roman" w:hAnsi="Times New Roman"/>
          <w:noProof/>
          <w:sz w:val="24"/>
        </w:rPr>
      </w:pPr>
      <w:r>
        <w:rPr>
          <w:rFonts w:ascii="Times New Roman" w:hAnsi="Times New Roman"/>
          <w:noProof/>
          <w:sz w:val="24"/>
        </w:rPr>
        <w:t>Each Member State is free to define its own fuel cycle policy. The spent fuel can be regarded either as a valuable resource to be reprocessed or as radioactive waste that is destined for direct disposal. Whatever option is chosen, the disposal of high-level waste, separated during reprocessing, or of spent fuel regarded as waste should be addressed.</w:t>
      </w:r>
    </w:p>
    <w:p>
      <w:pPr>
        <w:spacing w:line="240" w:lineRule="auto"/>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France and the United Kingdom have reprocessing facilities in operation, although the UK has decided to shut its facilities down by 2018. A number of reactors in Germany, France and the Netherlands used mixed oxide (MOX) fuel in 2014. </w:t>
      </w:r>
    </w:p>
    <w:p>
      <w:pPr>
        <w:spacing w:line="240" w:lineRule="auto"/>
        <w:jc w:val="both"/>
        <w:rPr>
          <w:rFonts w:ascii="Times New Roman" w:hAnsi="Times New Roman"/>
          <w:noProof/>
          <w:sz w:val="24"/>
        </w:rPr>
      </w:pPr>
      <w:r>
        <w:rPr>
          <w:rFonts w:ascii="Times New Roman" w:hAnsi="Times New Roman"/>
          <w:noProof/>
          <w:sz w:val="24"/>
        </w:rPr>
        <w:t xml:space="preserve">Disposal facilities for low-level and intermediate-level radioactive waste are already in place in most Member States. </w:t>
      </w:r>
      <w:r>
        <w:rPr>
          <w:rFonts w:ascii="Times New Roman" w:eastAsia="Times New Roman" w:hAnsi="Times New Roman"/>
          <w:bCs/>
          <w:noProof/>
          <w:sz w:val="24"/>
          <w:szCs w:val="24"/>
          <w:lang w:eastAsia="en-GB"/>
        </w:rPr>
        <w:t xml:space="preserve">Operators are moving from research to action with the construction of the world's first geological disposal facilities for high-level waste and spent fuel. These facilities are expected to become operational in </w:t>
      </w:r>
      <w:r>
        <w:rPr>
          <w:rFonts w:ascii="Times New Roman" w:hAnsi="Times New Roman"/>
          <w:noProof/>
          <w:sz w:val="24"/>
        </w:rPr>
        <w:t>Finland, Sweden and France</w:t>
      </w:r>
      <w:r>
        <w:rPr>
          <w:rFonts w:ascii="Times New Roman" w:eastAsia="Times New Roman" w:hAnsi="Times New Roman"/>
          <w:bCs/>
          <w:noProof/>
          <w:sz w:val="24"/>
          <w:szCs w:val="24"/>
          <w:lang w:eastAsia="en-GB"/>
        </w:rPr>
        <w:t xml:space="preserve"> between 2020 and 2030. Other European companies should take advantage of this expertise in order to consolidate the required skills and know-how and develop commercial opportunities at global level.</w:t>
      </w:r>
    </w:p>
    <w:p>
      <w:pPr>
        <w:spacing w:line="240" w:lineRule="auto"/>
        <w:jc w:val="both"/>
        <w:rPr>
          <w:rFonts w:ascii="Times New Roman" w:hAnsi="Times New Roman"/>
          <w:noProof/>
          <w:sz w:val="24"/>
        </w:rPr>
      </w:pPr>
      <w:r>
        <w:rPr>
          <w:rFonts w:ascii="Times New Roman" w:hAnsi="Times New Roman"/>
          <w:noProof/>
          <w:sz w:val="24"/>
        </w:rPr>
        <w:t xml:space="preserve">There is scope for cooperation between Member States, including the sharing of best practices or even through shared repositories. Whereas shared repositories are legally possible under the Directive, several issues still need to be resolved, in particular communicating with the public and building public acceptance. Another crucial step is to determine, who is ultimately responsible for the radioactive waste that needs to be disposed of as part of a multinational approach. </w:t>
      </w:r>
    </w:p>
    <w:p>
      <w:pPr>
        <w:spacing w:line="240" w:lineRule="auto"/>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Member States operating nuclear power plants currently use facilities for storing waste for between 40 and 100 years. However, the storage of radioactive waste, including long-term storage, is an interim solution and not an alternative to disposal. </w:t>
      </w:r>
    </w:p>
    <w:p>
      <w:pPr>
        <w:pStyle w:val="ListParagraph"/>
        <w:keepNext/>
        <w:numPr>
          <w:ilvl w:val="2"/>
          <w:numId w:val="1"/>
        </w:numPr>
        <w:spacing w:before="300" w:after="180" w:line="240" w:lineRule="auto"/>
        <w:ind w:left="1225" w:hanging="505"/>
        <w:contextualSpacing w:val="0"/>
        <w:rPr>
          <w:rFonts w:ascii="Times New Roman" w:eastAsia="Times New Roman" w:hAnsi="Times New Roman"/>
          <w:bCs/>
          <w:noProof/>
          <w:sz w:val="24"/>
          <w:szCs w:val="24"/>
          <w:u w:val="single"/>
          <w:lang w:eastAsia="en-GB"/>
        </w:rPr>
      </w:pPr>
      <w:r>
        <w:rPr>
          <w:rFonts w:ascii="Times New Roman" w:eastAsia="Times New Roman" w:hAnsi="Times New Roman"/>
          <w:bCs/>
          <w:noProof/>
          <w:sz w:val="24"/>
          <w:szCs w:val="24"/>
          <w:u w:val="single"/>
          <w:lang w:eastAsia="en-GB"/>
        </w:rPr>
        <w:t>Decommissioning</w:t>
      </w:r>
    </w:p>
    <w:p>
      <w:pPr>
        <w:spacing w:before="120" w:after="180" w:line="240" w:lineRule="auto"/>
        <w:jc w:val="both"/>
        <w:rPr>
          <w:rFonts w:ascii="Times New Roman" w:hAnsi="Times New Roman"/>
          <w:noProof/>
          <w:sz w:val="24"/>
        </w:rPr>
      </w:pPr>
      <w:r>
        <w:rPr>
          <w:rFonts w:ascii="Times New Roman" w:hAnsi="Times New Roman"/>
          <w:noProof/>
          <w:sz w:val="24"/>
        </w:rPr>
        <w:t>Worldwide there is little experience in decommissioning power reactors. 90 nuclear power reactors have been shut down permanently in Europe as at January 2016. However, only 3 reactors have been completely decommissioned so far</w:t>
      </w:r>
      <w:r>
        <w:rPr>
          <w:rStyle w:val="FootnoteReference"/>
          <w:rFonts w:ascii="Times New Roman" w:hAnsi="Times New Roman"/>
          <w:noProof/>
          <w:sz w:val="24"/>
        </w:rPr>
        <w:footnoteReference w:id="20"/>
      </w:r>
      <w:r>
        <w:rPr>
          <w:rFonts w:ascii="Times New Roman" w:hAnsi="Times New Roman"/>
          <w:noProof/>
          <w:sz w:val="24"/>
        </w:rPr>
        <w:t xml:space="preserve"> (all in Germany). </w:t>
      </w:r>
    </w:p>
    <w:p>
      <w:pPr>
        <w:spacing w:after="18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European companies have the opportunity to become global leaders by developing the required skills in the domestic market, which includes measures to encourage the participation of SMEs. </w:t>
      </w:r>
      <w:r>
        <w:rPr>
          <w:rFonts w:ascii="Times New Roman" w:hAnsi="Times New Roman"/>
          <w:noProof/>
          <w:sz w:val="24"/>
        </w:rPr>
        <w:t>The use of best practice in the various stages of the decommissioning process, including through a staged approach that would allow benefit from the continuous reduction in the radiological hazard, would bring efficiency and safety improvements. Best practices could be promoted by creating a European centre of excellence, that brings together public and private actors, or by establishing it under the Decommissioning Funding Group.</w:t>
      </w:r>
    </w:p>
    <w:p>
      <w:pPr>
        <w:pStyle w:val="ListParagraph"/>
        <w:numPr>
          <w:ilvl w:val="2"/>
          <w:numId w:val="1"/>
        </w:numPr>
        <w:spacing w:before="300" w:after="180" w:line="240" w:lineRule="auto"/>
        <w:contextualSpacing w:val="0"/>
        <w:jc w:val="both"/>
        <w:rPr>
          <w:rFonts w:ascii="Times New Roman" w:eastAsia="Times New Roman" w:hAnsi="Times New Roman"/>
          <w:bCs/>
          <w:noProof/>
          <w:sz w:val="24"/>
          <w:szCs w:val="24"/>
          <w:u w:val="single"/>
          <w:lang w:eastAsia="en-GB"/>
        </w:rPr>
      </w:pPr>
      <w:r>
        <w:rPr>
          <w:rFonts w:ascii="Times New Roman" w:eastAsia="Times New Roman" w:hAnsi="Times New Roman"/>
          <w:bCs/>
          <w:noProof/>
          <w:sz w:val="24"/>
          <w:szCs w:val="24"/>
          <w:u w:val="single"/>
          <w:lang w:eastAsia="en-GB"/>
        </w:rPr>
        <w:t>Funding requirements for spent fuel, radioactive waste management and decommissioning</w:t>
      </w:r>
    </w:p>
    <w:p>
      <w:pPr>
        <w:spacing w:after="180" w:line="240" w:lineRule="auto"/>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The Spent Fuel and Radioactive Waste Directive recognises that operators are fully responsible for the management of radioactive waste from generation through to final disposal. Funding has to be accumulated by the operators from the early years of operation and be ring-fenced to mitigate the risk of financial liabilities for governments to the extent possible. Member States guarantee this principle by establishing and maintaining national programmes that include an assessment of the costs and the applicable financing scheme.</w:t>
      </w:r>
    </w:p>
    <w:p>
      <w:pPr>
        <w:widowControl w:val="0"/>
        <w:spacing w:after="180" w:line="240" w:lineRule="auto"/>
        <w:jc w:val="both"/>
        <w:outlineLvl w:val="0"/>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Based on the latest information provided by Member States,</w:t>
      </w:r>
      <w:r>
        <w:rPr>
          <w:rStyle w:val="FootnoteReference"/>
          <w:rFonts w:ascii="Times New Roman" w:eastAsia="Times New Roman" w:hAnsi="Times New Roman"/>
          <w:bCs/>
          <w:noProof/>
          <w:sz w:val="24"/>
          <w:szCs w:val="24"/>
          <w:lang w:eastAsia="en-GB"/>
        </w:rPr>
        <w:footnoteReference w:id="21"/>
      </w:r>
      <w:r>
        <w:rPr>
          <w:rFonts w:ascii="Times New Roman" w:eastAsia="Times New Roman" w:hAnsi="Times New Roman"/>
          <w:bCs/>
          <w:noProof/>
          <w:sz w:val="24"/>
          <w:szCs w:val="24"/>
          <w:lang w:eastAsia="en-GB"/>
        </w:rPr>
        <w:t xml:space="preserve"> European nuclear operators estimated in December 2014 that </w:t>
      </w:r>
      <w:r>
        <w:rPr>
          <w:rFonts w:ascii="Times New Roman" w:hAnsi="Times New Roman"/>
          <w:noProof/>
          <w:sz w:val="24"/>
        </w:rPr>
        <w:t>EUR 263 billion</w:t>
      </w:r>
      <w:r>
        <w:rPr>
          <w:rFonts w:ascii="Times New Roman" w:eastAsia="Times New Roman" w:hAnsi="Times New Roman"/>
          <w:bCs/>
          <w:noProof/>
          <w:sz w:val="24"/>
          <w:szCs w:val="24"/>
          <w:lang w:eastAsia="en-GB"/>
        </w:rPr>
        <w:t xml:space="preserve"> will be needed for nuclear decommissioning and radioactive waste management until 2050, with </w:t>
      </w:r>
      <w:r>
        <w:rPr>
          <w:rFonts w:ascii="Times New Roman" w:hAnsi="Times New Roman"/>
          <w:noProof/>
          <w:sz w:val="24"/>
        </w:rPr>
        <w:t>EUR 123 billion</w:t>
      </w:r>
      <w:r>
        <w:rPr>
          <w:rFonts w:ascii="Times New Roman" w:eastAsia="Times New Roman" w:hAnsi="Times New Roman"/>
          <w:bCs/>
          <w:noProof/>
          <w:sz w:val="24"/>
          <w:szCs w:val="24"/>
          <w:lang w:eastAsia="en-GB"/>
        </w:rPr>
        <w:t xml:space="preserve"> for decommissioning and </w:t>
      </w:r>
      <w:r>
        <w:rPr>
          <w:rFonts w:ascii="Times New Roman" w:hAnsi="Times New Roman"/>
          <w:noProof/>
          <w:sz w:val="24"/>
        </w:rPr>
        <w:t>EUR 140 billion</w:t>
      </w:r>
      <w:r>
        <w:rPr>
          <w:rFonts w:ascii="Times New Roman" w:eastAsia="Times New Roman" w:hAnsi="Times New Roman"/>
          <w:bCs/>
          <w:noProof/>
          <w:sz w:val="24"/>
          <w:szCs w:val="24"/>
          <w:lang w:eastAsia="en-GB"/>
        </w:rPr>
        <w:t xml:space="preserve"> for spent fuel and radioactive waste management as well as deep geological disposal.</w:t>
      </w:r>
    </w:p>
    <w:p>
      <w:pPr>
        <w:widowControl w:val="0"/>
        <w:spacing w:after="180" w:line="240" w:lineRule="auto"/>
        <w:jc w:val="both"/>
        <w:outlineLvl w:val="0"/>
        <w:rPr>
          <w:rFonts w:ascii="Times New Roman" w:hAnsi="Times New Roman"/>
          <w:b/>
          <w:bCs/>
          <w:iCs/>
          <w:noProof/>
          <w:sz w:val="24"/>
          <w:szCs w:val="24"/>
        </w:rPr>
      </w:pPr>
      <w:r>
        <w:rPr>
          <w:rFonts w:ascii="Times New Roman" w:eastAsia="Times New Roman" w:hAnsi="Times New Roman"/>
          <w:bCs/>
          <w:noProof/>
          <w:sz w:val="24"/>
          <w:szCs w:val="24"/>
          <w:lang w:eastAsia="en-GB"/>
        </w:rPr>
        <w:t xml:space="preserve">Member States have also provided data on assets backing these expected investments, which amounted to approximately EUR 133 billion. Typically, these assets are collected in dedicated funds, often combined for decommissioning and radioactive waste management. </w:t>
      </w:r>
      <w:r>
        <w:rPr>
          <w:rFonts w:ascii="Times New Roman" w:hAnsi="Times New Roman"/>
          <w:noProof/>
          <w:sz w:val="24"/>
        </w:rPr>
        <w:t>The most frequently used method to collect funds is a fixed contribution based on the electricity produced by the relevant nuclear power plants.</w:t>
      </w:r>
    </w:p>
    <w:p>
      <w:pPr>
        <w:widowControl w:val="0"/>
        <w:spacing w:before="120" w:after="180" w:line="240" w:lineRule="auto"/>
        <w:jc w:val="both"/>
        <w:outlineLvl w:val="0"/>
        <w:rPr>
          <w:rFonts w:ascii="Times New Roman" w:hAnsi="Times New Roman"/>
          <w:noProof/>
          <w:sz w:val="24"/>
        </w:rPr>
      </w:pPr>
      <w:r>
        <w:rPr>
          <w:rFonts w:ascii="Times New Roman" w:hAnsi="Times New Roman"/>
          <w:noProof/>
          <w:sz w:val="24"/>
        </w:rPr>
        <w:t>Member States apply different methods to estimate the costs of completing the back-end activities of the nuclear fuel cycle. The Commission will continue collecting additional data with the help of the Decommissioning Funding Group, and has drawn up a report on the implementation of the Radioactive Waste and Spent Fuel Directive.</w:t>
      </w:r>
    </w:p>
    <w:p>
      <w:pPr>
        <w:pStyle w:val="ListParagraph"/>
        <w:numPr>
          <w:ilvl w:val="0"/>
          <w:numId w:val="1"/>
        </w:numPr>
        <w:spacing w:before="300" w:after="240" w:line="240" w:lineRule="auto"/>
        <w:contextualSpacing w:val="0"/>
        <w:rPr>
          <w:rFonts w:ascii="Times New Roman" w:hAnsi="Times New Roman"/>
          <w:b/>
          <w:smallCaps/>
          <w:noProof/>
          <w:sz w:val="24"/>
          <w:szCs w:val="24"/>
          <w:u w:val="single"/>
        </w:rPr>
      </w:pPr>
      <w:r>
        <w:rPr>
          <w:rFonts w:ascii="Times New Roman" w:hAnsi="Times New Roman"/>
          <w:b/>
          <w:smallCaps/>
          <w:noProof/>
          <w:sz w:val="24"/>
          <w:szCs w:val="24"/>
          <w:u w:val="single"/>
        </w:rPr>
        <w:t>Non-power applications</w:t>
      </w:r>
    </w:p>
    <w:p>
      <w:pPr>
        <w:spacing w:after="180" w:line="240" w:lineRule="auto"/>
        <w:jc w:val="both"/>
        <w:rPr>
          <w:rFonts w:ascii="Times New Roman" w:hAnsi="Times New Roman"/>
          <w:noProof/>
          <w:sz w:val="24"/>
          <w:szCs w:val="24"/>
        </w:rPr>
      </w:pPr>
      <w:r>
        <w:rPr>
          <w:rFonts w:ascii="Times New Roman" w:hAnsi="Times New Roman"/>
          <w:noProof/>
          <w:sz w:val="24"/>
          <w:szCs w:val="24"/>
        </w:rPr>
        <w:t xml:space="preserve">Nuclear and radiation technologies have many applications in the medical sector, industry, agriculture and research, with substantial benefits to society in all Member States. </w:t>
      </w:r>
    </w:p>
    <w:p>
      <w:pPr>
        <w:spacing w:after="180" w:line="240" w:lineRule="auto"/>
        <w:jc w:val="both"/>
        <w:rPr>
          <w:rFonts w:ascii="Times New Roman" w:hAnsi="Times New Roman"/>
          <w:noProof/>
          <w:sz w:val="24"/>
          <w:szCs w:val="24"/>
        </w:rPr>
      </w:pPr>
      <w:r>
        <w:rPr>
          <w:rFonts w:ascii="Times New Roman" w:hAnsi="Times New Roman"/>
          <w:noProof/>
          <w:sz w:val="24"/>
          <w:szCs w:val="24"/>
        </w:rPr>
        <w:t>More than 500 million diagnostic procedures using x-rays or radioisotopes are carried out in Europe each year, and more than 700 000 European healthcare workers use nuclear and radiation technology on a daily basis. There is a vibrant market for medical imaging equipment in Europe. It is worth more than EUR 20 billion and enjoys annual growth rates of about 5%.</w:t>
      </w:r>
    </w:p>
    <w:p>
      <w:pPr>
        <w:spacing w:after="180" w:line="240" w:lineRule="auto"/>
        <w:jc w:val="both"/>
        <w:rPr>
          <w:rFonts w:ascii="Times New Roman" w:hAnsi="Times New Roman"/>
          <w:noProof/>
          <w:sz w:val="24"/>
          <w:szCs w:val="24"/>
        </w:rPr>
      </w:pPr>
      <w:r>
        <w:rPr>
          <w:rFonts w:ascii="Times New Roman" w:hAnsi="Times New Roman"/>
          <w:noProof/>
          <w:sz w:val="24"/>
          <w:szCs w:val="24"/>
        </w:rPr>
        <w:t xml:space="preserve">Different types of research reactors are operated in the EU. They are used for material and nuclear fuel testing as well as basic research and development. Some also produce medical radioisotopes for the diagnosis and treatment of various diseases, including cancers, cardiovascular and brain disorders. Over 10 000 hospitals worldwide use radioisotopes for the </w:t>
      </w:r>
      <w:r>
        <w:rPr>
          <w:rFonts w:ascii="Times New Roman" w:hAnsi="Times New Roman"/>
          <w:i/>
          <w:noProof/>
          <w:sz w:val="24"/>
        </w:rPr>
        <w:t>in vivo</w:t>
      </w:r>
      <w:r>
        <w:rPr>
          <w:rFonts w:ascii="Times New Roman" w:hAnsi="Times New Roman"/>
          <w:noProof/>
          <w:sz w:val="24"/>
          <w:szCs w:val="24"/>
        </w:rPr>
        <w:t xml:space="preserve"> diagnosis or treatment of some 35 million patients every year, of which nine million are European. </w:t>
      </w:r>
    </w:p>
    <w:p>
      <w:pPr>
        <w:spacing w:after="180" w:line="240" w:lineRule="auto"/>
        <w:jc w:val="both"/>
        <w:rPr>
          <w:rFonts w:ascii="Times New Roman" w:hAnsi="Times New Roman"/>
          <w:noProof/>
          <w:sz w:val="24"/>
          <w:szCs w:val="24"/>
        </w:rPr>
      </w:pPr>
      <w:r>
        <w:rPr>
          <w:rFonts w:ascii="Times New Roman" w:hAnsi="Times New Roman"/>
          <w:noProof/>
          <w:sz w:val="24"/>
          <w:szCs w:val="24"/>
        </w:rPr>
        <w:t>Europe is the second largest consumer of technetium-99m (Tc-99m), the most widely used diagnostic radioisotope. Several European research reactors involved in the production of medical radioisotopes are approaching the end of their lifespan, with the supply of medical radioisotopes becoming more fragile and leading to some severe shortages.</w:t>
      </w:r>
    </w:p>
    <w:p>
      <w:pPr>
        <w:spacing w:after="180" w:line="240" w:lineRule="auto"/>
        <w:jc w:val="both"/>
        <w:rPr>
          <w:rFonts w:ascii="Times New Roman" w:hAnsi="Times New Roman"/>
          <w:noProof/>
          <w:sz w:val="24"/>
          <w:szCs w:val="24"/>
        </w:rPr>
      </w:pPr>
      <w:r>
        <w:rPr>
          <w:rFonts w:ascii="Times New Roman" w:hAnsi="Times New Roman"/>
          <w:noProof/>
          <w:sz w:val="24"/>
          <w:szCs w:val="24"/>
        </w:rPr>
        <w:t>Action has recently been undertaken to coordinate the operation of research reactors in the European Union and abroad and to minimise interruptions in radioisotope production, for example the establishment of the European Observatory on the Supply of Medical Radioisotopes in 2012.</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Despite these efforts, the issue of medical radioisotope capacity, especially in Europe, still requires full consideration by all stakeholders as it is essential to ensuring key medical diagnosis and treatments in the European Union. </w:t>
      </w:r>
    </w:p>
    <w:p>
      <w:pPr>
        <w:spacing w:after="180" w:line="240" w:lineRule="auto"/>
        <w:jc w:val="both"/>
        <w:rPr>
          <w:rFonts w:ascii="Times New Roman" w:hAnsi="Times New Roman"/>
          <w:noProof/>
          <w:sz w:val="24"/>
          <w:szCs w:val="24"/>
        </w:rPr>
      </w:pPr>
      <w:r>
        <w:rPr>
          <w:rFonts w:ascii="Times New Roman" w:hAnsi="Times New Roman"/>
          <w:noProof/>
          <w:sz w:val="24"/>
          <w:szCs w:val="24"/>
        </w:rPr>
        <w:t>The Commission considers that there is a need for a more coordinated European approach to the non-power uses of nuclear and radiation technology.</w:t>
      </w:r>
    </w:p>
    <w:p>
      <w:pPr>
        <w:pStyle w:val="ListParagraph"/>
        <w:numPr>
          <w:ilvl w:val="0"/>
          <w:numId w:val="1"/>
        </w:numPr>
        <w:spacing w:before="300" w:after="240" w:line="240" w:lineRule="auto"/>
        <w:contextualSpacing w:val="0"/>
        <w:rPr>
          <w:rFonts w:ascii="Times New Roman Bold" w:hAnsi="Times New Roman Bold"/>
          <w:b/>
          <w:smallCaps/>
          <w:noProof/>
          <w:sz w:val="24"/>
          <w:u w:val="single"/>
        </w:rPr>
      </w:pPr>
      <w:r>
        <w:rPr>
          <w:rFonts w:ascii="Times New Roman Bold" w:hAnsi="Times New Roman Bold"/>
          <w:b/>
          <w:smallCaps/>
          <w:noProof/>
          <w:sz w:val="24"/>
          <w:u w:val="single"/>
        </w:rPr>
        <w:t>Maintaining EU technology leadership in the nuclear domain through further research and development activities</w:t>
      </w:r>
    </w:p>
    <w:p>
      <w:pPr>
        <w:spacing w:line="240" w:lineRule="auto"/>
        <w:jc w:val="both"/>
        <w:rPr>
          <w:rFonts w:ascii="Times New Roman" w:hAnsi="Times New Roman"/>
          <w:noProof/>
          <w:sz w:val="24"/>
          <w:szCs w:val="24"/>
        </w:rPr>
      </w:pPr>
      <w:r>
        <w:rPr>
          <w:rFonts w:ascii="Times New Roman" w:hAnsi="Times New Roman"/>
          <w:noProof/>
          <w:sz w:val="24"/>
          <w:szCs w:val="24"/>
        </w:rPr>
        <w:t>The EU must maintain its technological leadership in the nuclear domain, including the development of fusion through the International Thermonuclear Experimental Reactor (ITER),</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so as not to increase energy and technology dependence, and to provide European companies with business opportunities. This will in turn support EU growth, jobs and competitiveness.</w:t>
      </w:r>
    </w:p>
    <w:p>
      <w:pPr>
        <w:spacing w:line="240" w:lineRule="auto"/>
        <w:jc w:val="both"/>
        <w:rPr>
          <w:rFonts w:ascii="Times New Roman" w:hAnsi="Times New Roman"/>
          <w:noProof/>
          <w:sz w:val="24"/>
          <w:szCs w:val="24"/>
        </w:rPr>
      </w:pPr>
      <w:r>
        <w:rPr>
          <w:rFonts w:ascii="Times New Roman" w:hAnsi="Times New Roman"/>
          <w:noProof/>
          <w:sz w:val="24"/>
          <w:szCs w:val="24"/>
        </w:rPr>
        <w:t>The recent Communication on the Integrated Strategic Energy Technology Plan (SET-Plan)</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further details that the priority for nuclear energy is to support the development of the most advanced technologies to maintain the highest level of safety in nuclear reactors and to improve the efficiency of operation, the back-end of the fuel cycle and decommissioning.</w:t>
      </w:r>
      <w:r>
        <w:rPr>
          <w:rFonts w:ascii="Times New Roman" w:hAnsi="Times New Roman" w:cs="Times New Roman"/>
          <w:noProof/>
          <w:sz w:val="24"/>
        </w:rPr>
        <w:t xml:space="preserve"> </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As underlined by European research and industrial stakeholders</w:t>
      </w:r>
      <w:r>
        <w:rPr>
          <w:rStyle w:val="FootnoteReference"/>
          <w:rFonts w:ascii="Times New Roman" w:hAnsi="Times New Roman"/>
          <w:noProof/>
          <w:sz w:val="24"/>
          <w:szCs w:val="24"/>
        </w:rPr>
        <w:footnoteReference w:id="25"/>
      </w:r>
      <w:r>
        <w:rPr>
          <w:rFonts w:ascii="Times New Roman" w:hAnsi="Times New Roman"/>
          <w:noProof/>
          <w:sz w:val="24"/>
          <w:szCs w:val="24"/>
        </w:rPr>
        <w:t>, retaining technological leadership in the nuclear field is possible only if interested Member States maintain diverse and sufficiently funded nuclear research capabilities, including education and training aspects. However, it will not be easy for Europe to retain leadership in all areas in view of the significant increase in nuclear generating capacity in other regions of the world. This underlines the importance of cooperation at European level, especially in areas such as the expertise on safety of advanced and innovative reactors.</w:t>
      </w:r>
    </w:p>
    <w:p>
      <w:pPr>
        <w:autoSpaceDE w:val="0"/>
        <w:autoSpaceDN w:val="0"/>
        <w:adjustRightInd w:val="0"/>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The ongoing Euratom programme contributes to these objectives by supporting nuclear research and training activities aiming at continuous improvement of nuclear safety, security and radiation protection, thus contributing to the long-term decarbonisation of the energy system.</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ITER project is a key step on the way to establishing fusion's future role in energy scenarios after 2050. Significant progress was made on ITER in 2016 in terms of revising the project baseline. In June 2016 the ITER Parties agreed on a new schedule and cost estimates for the period up to 2025. In November 2016 they gave their support to a fully revised baseline up to 2035, which is subject to final political approval in 2017. </w:t>
      </w:r>
    </w:p>
    <w:p>
      <w:pPr>
        <w:spacing w:after="180" w:line="240" w:lineRule="auto"/>
        <w:jc w:val="both"/>
        <w:rPr>
          <w:rFonts w:ascii="Times New Roman" w:hAnsi="Times New Roman"/>
          <w:iCs/>
          <w:noProof/>
          <w:sz w:val="24"/>
          <w:szCs w:val="24"/>
        </w:rPr>
      </w:pPr>
      <w:r>
        <w:rPr>
          <w:rFonts w:ascii="Times New Roman" w:hAnsi="Times New Roman"/>
          <w:iCs/>
          <w:noProof/>
          <w:sz w:val="24"/>
          <w:szCs w:val="24"/>
        </w:rPr>
        <w:t>Continuing to pursue research and development is instrumental to maintain the EU at the forefront of nuclear technology and develop the highest standards of safety, security, waste management and non-proliferation. This implies continued investment on research and training/education, as well as on nuclear research infrastructure.</w:t>
      </w:r>
    </w:p>
    <w:p>
      <w:pPr>
        <w:pStyle w:val="ListParagraph"/>
        <w:numPr>
          <w:ilvl w:val="0"/>
          <w:numId w:val="1"/>
        </w:numPr>
        <w:spacing w:before="300" w:after="240" w:line="240" w:lineRule="auto"/>
        <w:contextualSpacing w:val="0"/>
        <w:rPr>
          <w:rFonts w:ascii="Times New Roman Bold" w:hAnsi="Times New Roman Bold"/>
          <w:b/>
          <w:smallCaps/>
          <w:noProof/>
          <w:sz w:val="24"/>
          <w:szCs w:val="20"/>
          <w:u w:val="single"/>
        </w:rPr>
      </w:pPr>
      <w:r>
        <w:rPr>
          <w:rFonts w:ascii="Times New Roman Bold" w:hAnsi="Times New Roman Bold"/>
          <w:b/>
          <w:smallCaps/>
          <w:noProof/>
          <w:sz w:val="24"/>
          <w:szCs w:val="20"/>
          <w:u w:val="single"/>
        </w:rPr>
        <w:t>Conclusion</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According to the Commission's estimate, nuclear energy is expected to remain an important component of the EU’s energy mix in the 2050 horizon.   </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cs="Times New Roman"/>
          <w:noProof/>
          <w:sz w:val="24"/>
        </w:rPr>
        <w:t>For those Member States choosing to use nuclear, the highest standards of safety, security, waste management and non-proliferation have to be ensured across the whole fuel cycle. It is crucial to ensure the swift and thorough implementation of the legislation adopted post-Fukushima. Top-level nuclear research, including through the development of state-of-the-art nuclear research infrastructure in the EU is fundamental to ensure that the EU maintains its competence in the field. Cooperation among national regulators on licensing and general supervision is seen as beneficial.</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cs="Times New Roman"/>
          <w:noProof/>
          <w:sz w:val="24"/>
        </w:rPr>
        <w:t>The nuclear fleet in Europe is ageing and significant investments are needed where Member States opt for a lifetime extension of some reactors (and related safety improvements), expected decommissioning activities and for the long-term storage of nuclear waste. Investments are also needed to replace existing nuclear plants. Such investments could also go in part to new nuclear plants. The total estimated investments in the nuclear fuel cycle between 2015 and 2050 are projected to be between EUR 660 and 770 billion</w:t>
      </w:r>
      <w:r>
        <w:rPr>
          <w:rStyle w:val="FootnoteReference"/>
          <w:rFonts w:ascii="Times New Roman" w:hAnsi="Times New Roman" w:cs="Times New Roman"/>
          <w:noProof/>
          <w:sz w:val="24"/>
        </w:rPr>
        <w:footnoteReference w:id="26"/>
      </w:r>
      <w:r>
        <w:rPr>
          <w:rFonts w:ascii="Times New Roman" w:hAnsi="Times New Roman" w:cs="Times New Roman"/>
          <w:noProof/>
          <w:sz w:val="24"/>
        </w:rPr>
        <w:t xml:space="preserve">. </w:t>
      </w:r>
    </w:p>
    <w:p>
      <w:pPr>
        <w:autoSpaceDE w:val="0"/>
        <w:autoSpaceDN w:val="0"/>
        <w:adjustRightInd w:val="0"/>
        <w:spacing w:after="120" w:line="240" w:lineRule="auto"/>
        <w:jc w:val="both"/>
        <w:rPr>
          <w:rFonts w:ascii="Times New Roman" w:hAnsi="Times New Roman" w:cs="Times New Roman"/>
          <w:noProof/>
          <w:sz w:val="24"/>
          <w:lang w:val="en-US"/>
        </w:rPr>
      </w:pPr>
      <w:r>
        <w:rPr>
          <w:rFonts w:ascii="Times New Roman" w:hAnsi="Times New Roman" w:cs="Times New Roman"/>
          <w:noProof/>
          <w:sz w:val="24"/>
        </w:rPr>
        <w:t>Finally, the rapid rise in nuclear energy use outside the EU (China, India, etc.) also means that the EU needs to maintain its global leadership and excellence in the technology and safety domains. To this end, continuous investment in research and development activities will be needed.</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17" w:bottom="1417" w:left="1320"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638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47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COM(2015)80.</w:t>
      </w:r>
    </w:p>
  </w:footnote>
  <w:footnote w:id="3">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COM(2014)330.</w:t>
      </w:r>
    </w:p>
  </w:footnote>
  <w:footnote w:id="4">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The others are Brazil and Canada.</w:t>
      </w:r>
    </w:p>
  </w:footnote>
  <w:footnote w:id="5">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27.5% from nuclear and 29.2% from renewable sources, </w:t>
      </w:r>
      <w:r>
        <w:rPr>
          <w:rFonts w:ascii="Times New Roman" w:hAnsi="Times New Roman"/>
          <w:lang w:val="en-GB"/>
        </w:rPr>
        <w:t>Eurostat, May 2016.</w:t>
      </w:r>
    </w:p>
  </w:footnote>
  <w:footnote w:id="6">
    <w:p>
      <w:pPr>
        <w:pStyle w:val="FootnoteText"/>
        <w:spacing w:after="0" w:line="240" w:lineRule="auto"/>
        <w:jc w:val="both"/>
        <w:rPr>
          <w:rFonts w:ascii="Times New Roman" w:hAnsi="Times New Roman"/>
          <w:lang w:val="pl-PL"/>
        </w:rPr>
      </w:pPr>
      <w:r>
        <w:rPr>
          <w:rStyle w:val="FootnoteReference"/>
          <w:rFonts w:ascii="Times New Roman" w:hAnsi="Times New Roman"/>
          <w:lang w:val="en-GB"/>
        </w:rPr>
        <w:footnoteRef/>
      </w:r>
      <w:r>
        <w:rPr>
          <w:rFonts w:ascii="Times New Roman" w:hAnsi="Times New Roman"/>
          <w:lang w:val="pl-PL"/>
        </w:rPr>
        <w:t xml:space="preserve"> OJ L 219, 25.7.2014, p. 42–52</w:t>
      </w:r>
    </w:p>
  </w:footnote>
  <w:footnote w:id="7">
    <w:p>
      <w:pPr>
        <w:pStyle w:val="FootnoteText"/>
        <w:spacing w:after="0" w:line="240" w:lineRule="auto"/>
        <w:jc w:val="both"/>
        <w:rPr>
          <w:rFonts w:ascii="Times New Roman" w:hAnsi="Times New Roman"/>
          <w:lang w:val="pl-PL"/>
        </w:rPr>
      </w:pPr>
      <w:r>
        <w:rPr>
          <w:rStyle w:val="FootnoteReference"/>
          <w:rFonts w:ascii="Times New Roman" w:hAnsi="Times New Roman"/>
          <w:lang w:val="en-GB"/>
        </w:rPr>
        <w:footnoteRef/>
      </w:r>
      <w:r>
        <w:rPr>
          <w:rFonts w:ascii="Times New Roman" w:hAnsi="Times New Roman"/>
          <w:lang w:val="pl-PL"/>
        </w:rPr>
        <w:t xml:space="preserve"> OJ L 199, 2.8.2011, p. 48–56</w:t>
      </w:r>
    </w:p>
  </w:footnote>
  <w:footnote w:id="8">
    <w:p>
      <w:pPr>
        <w:pStyle w:val="FootnoteText"/>
        <w:spacing w:after="0" w:line="240" w:lineRule="auto"/>
        <w:jc w:val="both"/>
        <w:rPr>
          <w:rFonts w:ascii="Times New Roman" w:hAnsi="Times New Roman"/>
          <w:lang w:val="pl-PL"/>
        </w:rPr>
      </w:pPr>
      <w:r>
        <w:rPr>
          <w:rStyle w:val="FootnoteReference"/>
          <w:rFonts w:ascii="Times New Roman" w:hAnsi="Times New Roman"/>
          <w:lang w:val="en-GB"/>
        </w:rPr>
        <w:footnoteRef/>
      </w:r>
      <w:r>
        <w:rPr>
          <w:rFonts w:ascii="Times New Roman" w:hAnsi="Times New Roman"/>
          <w:lang w:val="pl-PL"/>
        </w:rPr>
        <w:t xml:space="preserve"> OJ L 13, 17.1.2014, p. 1-73</w:t>
      </w:r>
    </w:p>
  </w:footnote>
  <w:footnote w:id="9">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SWD(2014)299</w:t>
      </w:r>
    </w:p>
  </w:footnote>
  <w:footnote w:id="10">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hyperlink r:id="rId1" w:history="1">
        <w:r>
          <w:rPr>
            <w:rStyle w:val="Hyperlink"/>
            <w:rFonts w:ascii="Times New Roman" w:hAnsi="Times New Roman"/>
            <w:lang w:val="en-GB"/>
          </w:rPr>
          <w:t>http://ec.europa.eu/research/energy/euratom/publications/pdf/study2012_synthesis_report.pdf</w:t>
        </w:r>
      </w:hyperlink>
      <w:r>
        <w:rPr>
          <w:rFonts w:ascii="Times New Roman" w:hAnsi="Times New Roman"/>
          <w:lang w:val="en-GB"/>
        </w:rPr>
        <w:t xml:space="preserve"> </w:t>
      </w:r>
    </w:p>
  </w:footnote>
  <w:footnote w:id="11">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Source: Nuclear Energy Agency and International Energy Agency, 2015</w:t>
      </w:r>
      <w:r>
        <w:rPr>
          <w:rFonts w:ascii="Times New Roman" w:hAnsi="Times New Roman"/>
          <w:lang w:val="en-GB"/>
        </w:rPr>
        <w:t xml:space="preserve"> (</w:t>
      </w:r>
      <w:r>
        <w:rPr>
          <w:rFonts w:ascii="Times New Roman" w:hAnsi="Times New Roman"/>
        </w:rPr>
        <w:t xml:space="preserve">USD 1 = </w:t>
      </w:r>
      <w:r>
        <w:rPr>
          <w:rFonts w:ascii="Times New Roman" w:hAnsi="Times New Roman"/>
          <w:lang w:val="en-GB"/>
        </w:rPr>
        <w:t xml:space="preserve">EUR </w:t>
      </w:r>
      <w:r>
        <w:rPr>
          <w:rFonts w:ascii="Times New Roman" w:hAnsi="Times New Roman"/>
        </w:rPr>
        <w:t>0,75</w:t>
      </w:r>
      <w:r>
        <w:rPr>
          <w:rFonts w:ascii="Times New Roman" w:hAnsi="Times New Roman"/>
          <w:lang w:val="en-GB"/>
        </w:rPr>
        <w:t>)</w:t>
      </w:r>
    </w:p>
  </w:footnote>
  <w:footnote w:id="12">
    <w:p>
      <w:pPr>
        <w:pStyle w:val="FootnoteText"/>
        <w:spacing w:after="0" w:line="240" w:lineRule="auto"/>
        <w:jc w:val="both"/>
        <w:rPr>
          <w:rFonts w:ascii="Times New Roman" w:hAnsi="Times New Roman"/>
          <w:lang w:val="en-US"/>
        </w:rPr>
      </w:pPr>
      <w:r>
        <w:rPr>
          <w:rStyle w:val="FootnoteReference"/>
        </w:rPr>
        <w:footnoteRef/>
      </w:r>
      <w:r>
        <w:t xml:space="preserve"> </w:t>
      </w:r>
      <w:r>
        <w:rPr>
          <w:rFonts w:ascii="Times New Roman" w:hAnsi="Times New Roman"/>
          <w:lang w:val="en-US"/>
        </w:rPr>
        <w:t>Such as the decision of</w:t>
      </w:r>
      <w:r>
        <w:rPr>
          <w:lang w:val="en-US"/>
        </w:rPr>
        <w:t xml:space="preserve"> </w:t>
      </w:r>
      <w:r>
        <w:rPr>
          <w:rFonts w:ascii="Times New Roman" w:hAnsi="Times New Roman"/>
          <w:lang w:val="en-US"/>
        </w:rPr>
        <w:t xml:space="preserve">Germany and the </w:t>
      </w:r>
      <w:r>
        <w:rPr>
          <w:rFonts w:ascii="Times New Roman" w:hAnsi="Times New Roman"/>
        </w:rPr>
        <w:t xml:space="preserve">new </w:t>
      </w:r>
      <w:r>
        <w:rPr>
          <w:rFonts w:ascii="Times New Roman" w:hAnsi="Times New Roman"/>
          <w:lang w:val="en-US"/>
        </w:rPr>
        <w:t xml:space="preserve">French </w:t>
      </w:r>
      <w:r>
        <w:rPr>
          <w:rFonts w:ascii="Times New Roman" w:hAnsi="Times New Roman"/>
        </w:rPr>
        <w:t>energy transition law</w:t>
      </w:r>
    </w:p>
  </w:footnote>
  <w:footnote w:id="13">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E</w:t>
      </w:r>
      <w:r>
        <w:rPr>
          <w:rFonts w:ascii="Times New Roman" w:hAnsi="Times New Roman"/>
        </w:rPr>
        <w:t>stimat</w:t>
      </w:r>
      <w:r>
        <w:rPr>
          <w:rFonts w:ascii="Times New Roman" w:hAnsi="Times New Roman"/>
          <w:lang w:val="en-GB"/>
        </w:rPr>
        <w:t>e</w:t>
      </w:r>
      <w:r>
        <w:rPr>
          <w:rFonts w:ascii="Times New Roman" w:hAnsi="Times New Roman"/>
        </w:rPr>
        <w:t xml:space="preserve"> within the range of the analysis performed by the Commission during the preparation of the 2030 Climate and </w:t>
      </w:r>
      <w:r>
        <w:rPr>
          <w:rFonts w:ascii="Times New Roman" w:hAnsi="Times New Roman"/>
          <w:lang w:val="en-US"/>
        </w:rPr>
        <w:t>E</w:t>
      </w:r>
      <w:r>
        <w:rPr>
          <w:rFonts w:ascii="Times New Roman" w:hAnsi="Times New Roman"/>
        </w:rPr>
        <w:t xml:space="preserve">nergy </w:t>
      </w:r>
      <w:r>
        <w:rPr>
          <w:rFonts w:ascii="Times New Roman" w:hAnsi="Times New Roman"/>
          <w:lang w:val="en-US"/>
        </w:rPr>
        <w:t>F</w:t>
      </w:r>
      <w:r>
        <w:rPr>
          <w:rFonts w:ascii="Times New Roman" w:hAnsi="Times New Roman"/>
        </w:rPr>
        <w:t>ramework</w:t>
      </w:r>
      <w:r>
        <w:rPr>
          <w:rFonts w:ascii="Times New Roman" w:hAnsi="Times New Roman"/>
          <w:lang w:val="en-US"/>
        </w:rPr>
        <w:t xml:space="preserve">. </w:t>
      </w:r>
      <w:r>
        <w:rPr>
          <w:rFonts w:ascii="Times New Roman" w:hAnsi="Times New Roman"/>
        </w:rPr>
        <w:t>See SWD(2014)25</w:t>
      </w:r>
      <w:r>
        <w:rPr>
          <w:rFonts w:ascii="Times New Roman" w:hAnsi="Times New Roman"/>
          <w:lang w:val="en-GB"/>
        </w:rPr>
        <w:t>5</w:t>
      </w:r>
      <w:r>
        <w:rPr>
          <w:rFonts w:ascii="Times New Roman" w:hAnsi="Times New Roman"/>
        </w:rPr>
        <w:t xml:space="preserve"> and SWD(2014)15</w:t>
      </w:r>
    </w:p>
  </w:footnote>
  <w:footnote w:id="14">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SWD(2014)25</w:t>
      </w:r>
      <w:r>
        <w:rPr>
          <w:rFonts w:ascii="Times New Roman" w:hAnsi="Times New Roman"/>
          <w:lang w:val="en-GB"/>
        </w:rPr>
        <w:t>5.</w:t>
      </w:r>
      <w:r>
        <w:rPr>
          <w:rFonts w:ascii="Times New Roman" w:hAnsi="Times New Roman"/>
        </w:rPr>
        <w:t xml:space="preserve"> </w:t>
      </w:r>
      <w:r>
        <w:rPr>
          <w:rFonts w:ascii="Times New Roman" w:hAnsi="Times New Roman"/>
          <w:lang w:val="en-GB"/>
        </w:rPr>
        <w:t>This includes</w:t>
      </w:r>
      <w:r>
        <w:rPr>
          <w:rFonts w:ascii="Times New Roman" w:hAnsi="Times New Roman"/>
        </w:rPr>
        <w:t xml:space="preserve"> power grid investment,</w:t>
      </w:r>
      <w:r>
        <w:rPr>
          <w:rFonts w:ascii="Times New Roman" w:hAnsi="Times New Roman"/>
          <w:lang w:val="en-GB"/>
        </w:rPr>
        <w:t xml:space="preserve"> </w:t>
      </w:r>
      <w:r>
        <w:rPr>
          <w:rFonts w:ascii="Times New Roman" w:hAnsi="Times New Roman"/>
        </w:rPr>
        <w:t>investment in power plants (including electricity and CHP) and steam boilers</w:t>
      </w:r>
      <w:r>
        <w:rPr>
          <w:rFonts w:ascii="Times New Roman" w:hAnsi="Times New Roman"/>
          <w:lang w:val="en-GB"/>
        </w:rPr>
        <w:t>.</w:t>
      </w:r>
      <w:r>
        <w:rPr>
          <w:rFonts w:ascii="Times New Roman" w:hAnsi="Times New Roman"/>
        </w:rPr>
        <w:t xml:space="preserve"> </w:t>
      </w:r>
      <w:r>
        <w:rPr>
          <w:rFonts w:ascii="Times New Roman" w:hAnsi="Times New Roman"/>
          <w:lang w:val="en-GB"/>
        </w:rPr>
        <w:t>All figures in this Communication are expressed in constant values unless stated otherwise.</w:t>
      </w:r>
    </w:p>
  </w:footnote>
  <w:footnote w:id="15">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Adopted on 4th April 2016.</w:t>
      </w:r>
    </w:p>
  </w:footnote>
  <w:footnote w:id="16">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The overnight construction costs include: construction, major equipment, instrumentation and control, indirect costs and owners cost</w:t>
      </w:r>
    </w:p>
  </w:footnote>
  <w:footnote w:id="17">
    <w:p>
      <w:pPr>
        <w:pStyle w:val="FootnoteText"/>
        <w:spacing w:after="0"/>
        <w:rPr>
          <w:rFonts w:ascii="Times New Roman" w:hAnsi="Times New Roman"/>
          <w:lang w:val="en-GB"/>
        </w:rPr>
      </w:pPr>
      <w:r>
        <w:rPr>
          <w:rStyle w:val="FootnoteReference"/>
        </w:rPr>
        <w:footnoteRef/>
      </w:r>
      <w:r>
        <w:t xml:space="preserve"> </w:t>
      </w:r>
      <w:r>
        <w:rPr>
          <w:rFonts w:ascii="Times New Roman" w:hAnsi="Times New Roman"/>
          <w:lang w:val="en-GB"/>
        </w:rPr>
        <w:t>Contracts for difference entail a variable premium in view of the market price for electricity</w:t>
      </w:r>
    </w:p>
  </w:footnote>
  <w:footnote w:id="18">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A</w:t>
      </w:r>
      <w:r>
        <w:rPr>
          <w:rFonts w:ascii="Times New Roman" w:hAnsi="Times New Roman"/>
          <w:lang w:val="en-GB"/>
        </w:rPr>
        <w:t>n</w:t>
      </w:r>
      <w:r>
        <w:rPr>
          <w:rFonts w:ascii="Times New Roman" w:hAnsi="Times New Roman"/>
        </w:rPr>
        <w:t xml:space="preserve"> agreement similar to the cooperative system of undertaking known in other European countries. This model </w:t>
      </w:r>
      <w:r>
        <w:rPr>
          <w:rFonts w:ascii="Times New Roman" w:hAnsi="Times New Roman"/>
          <w:lang w:val="en-GB"/>
        </w:rPr>
        <w:t>operates on a</w:t>
      </w:r>
      <w:r>
        <w:rPr>
          <w:rFonts w:ascii="Times New Roman" w:hAnsi="Times New Roman"/>
        </w:rPr>
        <w:t xml:space="preserve"> zero-profit</w:t>
      </w:r>
      <w:r>
        <w:rPr>
          <w:rFonts w:ascii="Times New Roman" w:hAnsi="Times New Roman"/>
          <w:lang w:val="en-GB"/>
        </w:rPr>
        <w:t xml:space="preserve"> basis</w:t>
      </w:r>
      <w:r>
        <w:rPr>
          <w:rFonts w:ascii="Times New Roman" w:hAnsi="Times New Roman"/>
        </w:rPr>
        <w:t xml:space="preserve">; shareholders receive a relative share of the electricity produced by the </w:t>
      </w:r>
      <w:r>
        <w:rPr>
          <w:rFonts w:ascii="Times New Roman" w:hAnsi="Times New Roman"/>
          <w:lang w:val="en-GB"/>
        </w:rPr>
        <w:t>nuclear power plant</w:t>
      </w:r>
      <w:r>
        <w:rPr>
          <w:rFonts w:ascii="Times New Roman" w:hAnsi="Times New Roman"/>
        </w:rPr>
        <w:t xml:space="preserve"> at cost price</w:t>
      </w:r>
    </w:p>
  </w:footnote>
  <w:footnote w:id="19">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This includes suppliers of the technology, architects, engineers, operators as well as inspectors and safety authorities</w:t>
      </w:r>
    </w:p>
  </w:footnote>
  <w:footnote w:id="20">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This means </w:t>
      </w:r>
      <w:r>
        <w:rPr>
          <w:rFonts w:ascii="Times New Roman" w:hAnsi="Times New Roman"/>
        </w:rPr>
        <w:t>releasing the site from regulatory control</w:t>
      </w:r>
      <w:r>
        <w:rPr>
          <w:rFonts w:ascii="Times New Roman" w:hAnsi="Times New Roman"/>
          <w:lang w:val="en-US"/>
        </w:rPr>
        <w:t>.</w:t>
      </w:r>
    </w:p>
  </w:footnote>
  <w:footnote w:id="21">
    <w:p>
      <w:pPr>
        <w:pStyle w:val="FootnoteText"/>
        <w:spacing w:after="0" w:line="240" w:lineRule="auto"/>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Questionnaires sent to the members of the Decommissioning Funding Group, as well as National Programmes submitted under Directive 2011/70/Euratom, where available</w:t>
      </w:r>
    </w:p>
  </w:footnote>
  <w:footnote w:id="22">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Style w:val="Strong"/>
          <w:rFonts w:ascii="Times New Roman" w:hAnsi="Times New Roman"/>
        </w:rPr>
        <w:t xml:space="preserve"> </w:t>
      </w:r>
      <w:hyperlink r:id="rId2" w:history="1">
        <w:r>
          <w:rPr>
            <w:rStyle w:val="Hyperlink"/>
            <w:rFonts w:ascii="Times New Roman" w:hAnsi="Times New Roman"/>
          </w:rPr>
          <w:t>http://ec.europa.eu/euratom/observatory_radioisotopes.html</w:t>
        </w:r>
      </w:hyperlink>
    </w:p>
  </w:footnote>
  <w:footnote w:id="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ITER</w:t>
      </w:r>
      <w:r>
        <w:rPr>
          <w:rFonts w:ascii="Times New Roman" w:hAnsi="Times New Roman"/>
        </w:rPr>
        <w:t xml:space="preserve"> is a large-scale scientific experiment that aims to demonstrate the technological and scientific feasibility of fusion energy being built in France</w:t>
      </w:r>
      <w:r>
        <w:rPr>
          <w:rFonts w:ascii="Times New Roman" w:hAnsi="Times New Roman"/>
          <w:lang w:val="en-GB"/>
        </w:rPr>
        <w:t xml:space="preserve">. It is </w:t>
      </w:r>
      <w:r>
        <w:rPr>
          <w:rFonts w:ascii="Times New Roman" w:hAnsi="Times New Roman"/>
        </w:rPr>
        <w:t xml:space="preserve">an international collaborative effort </w:t>
      </w:r>
      <w:r>
        <w:rPr>
          <w:rFonts w:ascii="Times New Roman" w:hAnsi="Times New Roman"/>
          <w:lang w:val="en-GB"/>
        </w:rPr>
        <w:t xml:space="preserve">between </w:t>
      </w:r>
      <w:r>
        <w:rPr>
          <w:rFonts w:ascii="Times New Roman" w:hAnsi="Times New Roman"/>
        </w:rPr>
        <w:t>the</w:t>
      </w:r>
      <w:r>
        <w:rPr>
          <w:rFonts w:ascii="Times New Roman" w:hAnsi="Times New Roman"/>
          <w:lang w:val="en-US"/>
        </w:rPr>
        <w:t xml:space="preserve"> Parties of the ITER Agreement:</w:t>
      </w:r>
      <w:r>
        <w:rPr>
          <w:rFonts w:ascii="Times New Roman" w:hAnsi="Times New Roman"/>
        </w:rPr>
        <w:t xml:space="preserve"> EU, China, India, Japan, </w:t>
      </w:r>
      <w:r>
        <w:rPr>
          <w:rFonts w:ascii="Times New Roman" w:hAnsi="Times New Roman"/>
          <w:lang w:val="en-GB"/>
        </w:rPr>
        <w:t xml:space="preserve">South </w:t>
      </w:r>
      <w:r>
        <w:rPr>
          <w:rFonts w:ascii="Times New Roman" w:hAnsi="Times New Roman"/>
        </w:rPr>
        <w:t>Korea, Russia and the USA.</w:t>
      </w:r>
    </w:p>
  </w:footnote>
  <w:footnote w:id="24">
    <w:p>
      <w:pPr>
        <w:pStyle w:val="FootnoteText"/>
        <w:spacing w:after="0" w:line="240" w:lineRule="auto"/>
        <w:jc w:val="both"/>
        <w:rPr>
          <w:rFonts w:ascii="Times New Roman" w:hAnsi="Times New Roman"/>
          <w:lang w:val="en-GB"/>
        </w:rPr>
      </w:pPr>
      <w:r>
        <w:rPr>
          <w:rStyle w:val="FootnoteReference"/>
        </w:rPr>
        <w:footnoteRef/>
      </w:r>
      <w:r>
        <w:t xml:space="preserve"> </w:t>
      </w:r>
      <w:r>
        <w:rPr>
          <w:rFonts w:ascii="Times New Roman" w:hAnsi="Times New Roman"/>
          <w:lang w:val="en-GB"/>
        </w:rPr>
        <w:t>COM(2015)6317.</w:t>
      </w:r>
    </w:p>
  </w:footnote>
  <w:footnote w:id="25">
    <w:p>
      <w:pPr>
        <w:autoSpaceDE w:val="0"/>
        <w:autoSpaceDN w:val="0"/>
        <w:adjustRightInd w:val="0"/>
        <w:spacing w:after="0" w:line="240" w:lineRule="auto"/>
        <w:jc w:val="both"/>
      </w:pPr>
      <w:r>
        <w:rPr>
          <w:rStyle w:val="FootnoteReference"/>
        </w:rPr>
        <w:footnoteRef/>
      </w:r>
      <w:r>
        <w:t xml:space="preserve"> </w:t>
      </w:r>
      <w:r>
        <w:rPr>
          <w:rFonts w:ascii="Times New Roman" w:eastAsia="Calibri" w:hAnsi="Times New Roman" w:cs="Times New Roman"/>
          <w:sz w:val="20"/>
          <w:szCs w:val="20"/>
        </w:rPr>
        <w:t xml:space="preserve">SET-Plan Declaration of Intent on Strategic Targets in the context of Action 10: 'Maintaining a high level of safety of nuclear reactors and associated fuel cycles during </w:t>
      </w:r>
      <w:r>
        <w:rPr>
          <w:rFonts w:ascii="Times New Roman" w:hAnsi="Times New Roman" w:cs="Times New Roman"/>
          <w:sz w:val="20"/>
          <w:szCs w:val="20"/>
        </w:rPr>
        <w:t xml:space="preserve">operation and decommissioning, while improving their efficiency' </w:t>
      </w:r>
      <w:hyperlink r:id="rId3" w:history="1">
        <w:r>
          <w:rPr>
            <w:rStyle w:val="Hyperlink"/>
            <w:rFonts w:ascii="Times New Roman" w:hAnsi="Times New Roman" w:cs="Times New Roman"/>
            <w:sz w:val="20"/>
            <w:szCs w:val="20"/>
          </w:rPr>
          <w:t>https://setis.ec.europa.eu/implementing-integrated-set-plan/nuclear-safety-ongoing-work</w:t>
        </w:r>
      </w:hyperlink>
      <w:r>
        <w:rPr>
          <w:rFonts w:ascii="Times New Roman" w:hAnsi="Times New Roman" w:cs="Times New Roman"/>
          <w:sz w:val="20"/>
          <w:szCs w:val="20"/>
        </w:rPr>
        <w:t xml:space="preserve"> </w:t>
      </w:r>
    </w:p>
  </w:footnote>
  <w:footnote w:id="26">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See details in the Staff Working Document (SWD(2016) 102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
    <w:nsid w:val="4959133F"/>
    <w:multiLevelType w:val="multilevel"/>
    <w:tmpl w:val="81C4A17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5056221"/>
    <w:multiLevelType w:val="hybridMultilevel"/>
    <w:tmpl w:val="CE648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1"/>
  </w:num>
  <w:num w:numId="3">
    <w:abstractNumId w:val="7"/>
  </w:num>
  <w:num w:numId="4">
    <w:abstractNumId w:val="2"/>
  </w:num>
  <w:num w:numId="5">
    <w:abstractNumId w:val="6"/>
  </w:num>
  <w:num w:numId="6">
    <w:abstractNumId w:val="14"/>
  </w:num>
  <w:num w:numId="7">
    <w:abstractNumId w:val="15"/>
  </w:num>
  <w:num w:numId="8">
    <w:abstractNumId w:val="4"/>
  </w:num>
  <w:num w:numId="9">
    <w:abstractNumId w:val="13"/>
  </w:num>
  <w:num w:numId="10">
    <w:abstractNumId w:val="12"/>
  </w:num>
  <w:num w:numId="11">
    <w:abstractNumId w:val="8"/>
  </w:num>
  <w:num w:numId="12">
    <w:abstractNumId w:val="10"/>
  </w:num>
  <w:num w:numId="13">
    <w:abstractNumId w:val="1"/>
  </w:num>
  <w:num w:numId="14">
    <w:abstractNumId w:val="5"/>
  </w:num>
  <w:num w:numId="15">
    <w:abstractNumId w:val="0"/>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2424A2747694E01AF6D032270992361"/>
    <w:docVar w:name="LW_CROSSREFERENCE" w:val="{SWD(2017) 158 final}"/>
    <w:docVar w:name="LW_DocType" w:val="NORMAL"/>
    <w:docVar w:name="LW_EMISSION" w:val="12.5.2017"/>
    <w:docVar w:name="LW_EMISSION_ISODATE" w:val="2017-05-12"/>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37"/>
    <w:docVar w:name="LW_REF.INTERNE" w:val="&lt;UNUSED&gt;"/>
    <w:docVar w:name="LW_SOUS.TITRE.OBJ" w:val="presented under Article 40 of the Euratom Treaty - Final (after opinion of EESC)"/>
    <w:docVar w:name="LW_SOUS.TITRE.OBJ.CP" w:val="presented under Article 40 of the Euratom Treaty - Final (after opinion of EESC)"/>
    <w:docVar w:name="LW_SUPERTITRE" w:val="&lt;UNUSED&gt;"/>
    <w:docVar w:name="LW_TITRE.OBJ.CP" w:val="Nuclear Illustrative Programme"/>
    <w:docVar w:name="LW_TYPE.DOC.CP" w:val="COMMUNICATION FROM THE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lang w:eastAsia="zh-C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lang w:val="x-none"/>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x-none"/>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lang w:eastAsia="fr-FR"/>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lang w:eastAsia="fr-FR"/>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lang w:eastAsia="fr-FR"/>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lang w:eastAsia="zh-C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lang w:val="x-none"/>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x-none"/>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lang w:eastAsia="fr-FR"/>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lang w:eastAsia="fr-FR"/>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lang w:eastAsia="fr-FR"/>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1783">
      <w:bodyDiv w:val="1"/>
      <w:marLeft w:val="0"/>
      <w:marRight w:val="0"/>
      <w:marTop w:val="0"/>
      <w:marBottom w:val="0"/>
      <w:divBdr>
        <w:top w:val="none" w:sz="0" w:space="0" w:color="auto"/>
        <w:left w:val="none" w:sz="0" w:space="0" w:color="auto"/>
        <w:bottom w:val="none" w:sz="0" w:space="0" w:color="auto"/>
        <w:right w:val="none" w:sz="0" w:space="0" w:color="auto"/>
      </w:divBdr>
    </w:div>
    <w:div w:id="140510250">
      <w:bodyDiv w:val="1"/>
      <w:marLeft w:val="0"/>
      <w:marRight w:val="0"/>
      <w:marTop w:val="0"/>
      <w:marBottom w:val="0"/>
      <w:divBdr>
        <w:top w:val="none" w:sz="0" w:space="0" w:color="auto"/>
        <w:left w:val="none" w:sz="0" w:space="0" w:color="auto"/>
        <w:bottom w:val="none" w:sz="0" w:space="0" w:color="auto"/>
        <w:right w:val="none" w:sz="0" w:space="0" w:color="auto"/>
      </w:divBdr>
    </w:div>
    <w:div w:id="426119895">
      <w:bodyDiv w:val="1"/>
      <w:marLeft w:val="0"/>
      <w:marRight w:val="0"/>
      <w:marTop w:val="0"/>
      <w:marBottom w:val="0"/>
      <w:divBdr>
        <w:top w:val="none" w:sz="0" w:space="0" w:color="auto"/>
        <w:left w:val="none" w:sz="0" w:space="0" w:color="auto"/>
        <w:bottom w:val="none" w:sz="0" w:space="0" w:color="auto"/>
        <w:right w:val="none" w:sz="0" w:space="0" w:color="auto"/>
      </w:divBdr>
    </w:div>
    <w:div w:id="1451128923">
      <w:bodyDiv w:val="1"/>
      <w:marLeft w:val="0"/>
      <w:marRight w:val="0"/>
      <w:marTop w:val="0"/>
      <w:marBottom w:val="0"/>
      <w:divBdr>
        <w:top w:val="none" w:sz="0" w:space="0" w:color="auto"/>
        <w:left w:val="none" w:sz="0" w:space="0" w:color="auto"/>
        <w:bottom w:val="none" w:sz="0" w:space="0" w:color="auto"/>
        <w:right w:val="none" w:sz="0" w:space="0" w:color="auto"/>
      </w:divBdr>
      <w:divsChild>
        <w:div w:id="413480235">
          <w:marLeft w:val="0"/>
          <w:marRight w:val="0"/>
          <w:marTop w:val="0"/>
          <w:marBottom w:val="0"/>
          <w:divBdr>
            <w:top w:val="none" w:sz="0" w:space="0" w:color="auto"/>
            <w:left w:val="none" w:sz="0" w:space="0" w:color="auto"/>
            <w:bottom w:val="none" w:sz="0" w:space="0" w:color="auto"/>
            <w:right w:val="none" w:sz="0" w:space="0" w:color="auto"/>
          </w:divBdr>
          <w:divsChild>
            <w:div w:id="815024611">
              <w:marLeft w:val="0"/>
              <w:marRight w:val="0"/>
              <w:marTop w:val="0"/>
              <w:marBottom w:val="0"/>
              <w:divBdr>
                <w:top w:val="none" w:sz="0" w:space="0" w:color="auto"/>
                <w:left w:val="none" w:sz="0" w:space="0" w:color="auto"/>
                <w:bottom w:val="none" w:sz="0" w:space="0" w:color="auto"/>
                <w:right w:val="none" w:sz="0" w:space="0" w:color="auto"/>
              </w:divBdr>
              <w:divsChild>
                <w:div w:id="397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8248">
      <w:bodyDiv w:val="1"/>
      <w:marLeft w:val="0"/>
      <w:marRight w:val="0"/>
      <w:marTop w:val="0"/>
      <w:marBottom w:val="0"/>
      <w:divBdr>
        <w:top w:val="none" w:sz="0" w:space="0" w:color="auto"/>
        <w:left w:val="none" w:sz="0" w:space="0" w:color="auto"/>
        <w:bottom w:val="none" w:sz="0" w:space="0" w:color="auto"/>
        <w:right w:val="none" w:sz="0" w:space="0" w:color="auto"/>
      </w:divBdr>
    </w:div>
    <w:div w:id="20388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setis.ec.europa.eu/implementing-integrated-set-plan/nuclear-safety-ongoing-work" TargetMode="External"/><Relationship Id="rId2" Type="http://schemas.openxmlformats.org/officeDocument/2006/relationships/hyperlink" Target="http://ec.europa.eu/euratom/observatory_radioisotopes.html" TargetMode="External"/><Relationship Id="rId1" Type="http://schemas.openxmlformats.org/officeDocument/2006/relationships/hyperlink" Target="http://ec.europa.eu/research/energy/euratom/publications/pdf/study2012_synthesis_repor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ner\Common\ENER-Dir-D&amp;E\9%20-%20CURRENT%20FILES\PINC\Staff%20Working%20Document\PINC%20Staff%20Working%20Document\Sources\Tables\Graph%20A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'Capacity Installed'!$D$22</c:f>
              <c:strCache>
                <c:ptCount val="1"/>
                <c:pt idx="0">
                  <c:v>Existing power</c:v>
                </c:pt>
              </c:strCache>
            </c:strRef>
          </c:tx>
          <c:spPr>
            <a:solidFill>
              <a:schemeClr val="bg1">
                <a:lumMod val="50000"/>
              </a:schemeClr>
            </a:solidFill>
            <a:ln>
              <a:solidFill>
                <a:schemeClr val="accent1"/>
              </a:solidFill>
            </a:ln>
          </c:spPr>
          <c:invertIfNegative val="0"/>
          <c:dPt>
            <c:idx val="3"/>
            <c:invertIfNegative val="0"/>
            <c:bubble3D val="0"/>
            <c:spPr>
              <a:solidFill>
                <a:schemeClr val="bg1">
                  <a:lumMod val="50000"/>
                </a:schemeClr>
              </a:solidFill>
              <a:ln>
                <a:solidFill>
                  <a:schemeClr val="bg1">
                    <a:lumMod val="50000"/>
                  </a:schemeClr>
                </a:solidFill>
              </a:ln>
            </c:spPr>
          </c:dPt>
          <c:cat>
            <c:numRef>
              <c:f>'Capacity Installed'!$E$20:$L$20</c:f>
              <c:numCache>
                <c:formatCode>General</c:formatCode>
                <c:ptCount val="8"/>
                <c:pt idx="0">
                  <c:v>2015</c:v>
                </c:pt>
                <c:pt idx="1">
                  <c:v>2020</c:v>
                </c:pt>
                <c:pt idx="2">
                  <c:v>2025</c:v>
                </c:pt>
                <c:pt idx="3">
                  <c:v>2030</c:v>
                </c:pt>
                <c:pt idx="4">
                  <c:v>2035</c:v>
                </c:pt>
                <c:pt idx="5">
                  <c:v>2040</c:v>
                </c:pt>
                <c:pt idx="6">
                  <c:v>2045</c:v>
                </c:pt>
                <c:pt idx="7">
                  <c:v>2050</c:v>
                </c:pt>
              </c:numCache>
            </c:numRef>
          </c:cat>
          <c:val>
            <c:numRef>
              <c:f>'Capacity Installed'!$O$22:$V$22</c:f>
              <c:numCache>
                <c:formatCode>General</c:formatCode>
                <c:ptCount val="8"/>
                <c:pt idx="0">
                  <c:v>108.136</c:v>
                </c:pt>
                <c:pt idx="1">
                  <c:v>84.897000000000006</c:v>
                </c:pt>
                <c:pt idx="2">
                  <c:v>35.122</c:v>
                </c:pt>
                <c:pt idx="3">
                  <c:v>13.967000000000001</c:v>
                </c:pt>
                <c:pt idx="4">
                  <c:v>8.8290000000000006</c:v>
                </c:pt>
                <c:pt idx="5">
                  <c:v>1.1659999999999999</c:v>
                </c:pt>
                <c:pt idx="6">
                  <c:v>0</c:v>
                </c:pt>
                <c:pt idx="7">
                  <c:v>0</c:v>
                </c:pt>
              </c:numCache>
            </c:numRef>
          </c:val>
        </c:ser>
        <c:ser>
          <c:idx val="1"/>
          <c:order val="1"/>
          <c:tx>
            <c:strRef>
              <c:f>'Capacity Installed'!$D$23</c:f>
              <c:strCache>
                <c:ptCount val="1"/>
                <c:pt idx="0">
                  <c:v>LTO</c:v>
                </c:pt>
              </c:strCache>
            </c:strRef>
          </c:tx>
          <c:spPr>
            <a:solidFill>
              <a:srgbClr val="00B0F0"/>
            </a:solidFill>
            <a:ln>
              <a:solidFill>
                <a:srgbClr val="00B0F0"/>
              </a:solidFill>
            </a:ln>
          </c:spPr>
          <c:invertIfNegative val="0"/>
          <c:cat>
            <c:numRef>
              <c:f>'Capacity Installed'!$E$20:$L$20</c:f>
              <c:numCache>
                <c:formatCode>General</c:formatCode>
                <c:ptCount val="8"/>
                <c:pt idx="0">
                  <c:v>2015</c:v>
                </c:pt>
                <c:pt idx="1">
                  <c:v>2020</c:v>
                </c:pt>
                <c:pt idx="2">
                  <c:v>2025</c:v>
                </c:pt>
                <c:pt idx="3">
                  <c:v>2030</c:v>
                </c:pt>
                <c:pt idx="4">
                  <c:v>2035</c:v>
                </c:pt>
                <c:pt idx="5">
                  <c:v>2040</c:v>
                </c:pt>
                <c:pt idx="6">
                  <c:v>2045</c:v>
                </c:pt>
                <c:pt idx="7">
                  <c:v>2050</c:v>
                </c:pt>
              </c:numCache>
            </c:numRef>
          </c:cat>
          <c:val>
            <c:numRef>
              <c:f>'Capacity Installed'!$O$23:$V$23</c:f>
              <c:numCache>
                <c:formatCode>General</c:formatCode>
                <c:ptCount val="8"/>
                <c:pt idx="0">
                  <c:v>13.06</c:v>
                </c:pt>
                <c:pt idx="1">
                  <c:v>20.167999999999999</c:v>
                </c:pt>
                <c:pt idx="2">
                  <c:v>40.567999999999998</c:v>
                </c:pt>
                <c:pt idx="3">
                  <c:v>55.597999999999999</c:v>
                </c:pt>
                <c:pt idx="4">
                  <c:v>56.500999999999998</c:v>
                </c:pt>
                <c:pt idx="5">
                  <c:v>57.137999999999998</c:v>
                </c:pt>
                <c:pt idx="6">
                  <c:v>33.967000000000013</c:v>
                </c:pt>
                <c:pt idx="7">
                  <c:v>13.462</c:v>
                </c:pt>
              </c:numCache>
            </c:numRef>
          </c:val>
        </c:ser>
        <c:ser>
          <c:idx val="2"/>
          <c:order val="2"/>
          <c:tx>
            <c:strRef>
              <c:f>'Capacity Installed'!$D$24</c:f>
              <c:strCache>
                <c:ptCount val="1"/>
                <c:pt idx="0">
                  <c:v>New nuclear capacity</c:v>
                </c:pt>
              </c:strCache>
            </c:strRef>
          </c:tx>
          <c:spPr>
            <a:solidFill>
              <a:schemeClr val="accent6"/>
            </a:solidFill>
            <a:ln>
              <a:solidFill>
                <a:schemeClr val="accent6"/>
              </a:solidFill>
            </a:ln>
          </c:spPr>
          <c:invertIfNegative val="0"/>
          <c:cat>
            <c:numRef>
              <c:f>'Capacity Installed'!$E$20:$L$20</c:f>
              <c:numCache>
                <c:formatCode>General</c:formatCode>
                <c:ptCount val="8"/>
                <c:pt idx="0">
                  <c:v>2015</c:v>
                </c:pt>
                <c:pt idx="1">
                  <c:v>2020</c:v>
                </c:pt>
                <c:pt idx="2">
                  <c:v>2025</c:v>
                </c:pt>
                <c:pt idx="3">
                  <c:v>2030</c:v>
                </c:pt>
                <c:pt idx="4">
                  <c:v>2035</c:v>
                </c:pt>
                <c:pt idx="5">
                  <c:v>2040</c:v>
                </c:pt>
                <c:pt idx="6">
                  <c:v>2045</c:v>
                </c:pt>
                <c:pt idx="7">
                  <c:v>2050</c:v>
                </c:pt>
              </c:numCache>
            </c:numRef>
          </c:cat>
          <c:val>
            <c:numRef>
              <c:f>'Capacity Installed'!$O$24:$V$24</c:f>
              <c:numCache>
                <c:formatCode>General</c:formatCode>
                <c:ptCount val="8"/>
                <c:pt idx="0">
                  <c:v>0</c:v>
                </c:pt>
                <c:pt idx="1">
                  <c:v>5.47</c:v>
                </c:pt>
                <c:pt idx="2">
                  <c:v>20.091000000000001</c:v>
                </c:pt>
                <c:pt idx="3">
                  <c:v>34.241</c:v>
                </c:pt>
                <c:pt idx="4">
                  <c:v>41.441000000000003</c:v>
                </c:pt>
                <c:pt idx="5">
                  <c:v>50.011000000000003</c:v>
                </c:pt>
                <c:pt idx="6">
                  <c:v>66.241</c:v>
                </c:pt>
                <c:pt idx="7">
                  <c:v>87.010999999999996</c:v>
                </c:pt>
              </c:numCache>
            </c:numRef>
          </c:val>
        </c:ser>
        <c:dLbls>
          <c:showLegendKey val="0"/>
          <c:showVal val="0"/>
          <c:showCatName val="0"/>
          <c:showSerName val="0"/>
          <c:showPercent val="0"/>
          <c:showBubbleSize val="0"/>
        </c:dLbls>
        <c:gapWidth val="150"/>
        <c:overlap val="100"/>
        <c:axId val="61972864"/>
        <c:axId val="61974400"/>
      </c:barChart>
      <c:catAx>
        <c:axId val="61972864"/>
        <c:scaling>
          <c:orientation val="minMax"/>
        </c:scaling>
        <c:delete val="0"/>
        <c:axPos val="b"/>
        <c:numFmt formatCode="General" sourceLinked="1"/>
        <c:majorTickMark val="out"/>
        <c:minorTickMark val="none"/>
        <c:tickLblPos val="nextTo"/>
        <c:crossAx val="61974400"/>
        <c:crosses val="autoZero"/>
        <c:auto val="1"/>
        <c:lblAlgn val="ctr"/>
        <c:lblOffset val="100"/>
        <c:noMultiLvlLbl val="0"/>
      </c:catAx>
      <c:valAx>
        <c:axId val="61974400"/>
        <c:scaling>
          <c:orientation val="minMax"/>
          <c:max val="130"/>
          <c:min val="0"/>
        </c:scaling>
        <c:delete val="0"/>
        <c:axPos val="l"/>
        <c:majorGridlines/>
        <c:numFmt formatCode="General" sourceLinked="1"/>
        <c:majorTickMark val="out"/>
        <c:minorTickMark val="none"/>
        <c:tickLblPos val="nextTo"/>
        <c:crossAx val="61972864"/>
        <c:crosses val="autoZero"/>
        <c:crossBetween val="between"/>
      </c:valAx>
    </c:plotArea>
    <c:legend>
      <c:legendPos val="b"/>
      <c:overlay val="0"/>
    </c:legend>
    <c:plotVisOnly val="1"/>
    <c:dispBlanksAs val="gap"/>
    <c:showDLblsOverMax val="0"/>
  </c:chart>
  <c:spPr>
    <a:ln>
      <a:solidFill>
        <a:schemeClr val="bg1">
          <a:lumMod val="7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678D-7927-40B8-A2E1-DE3CDFF9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4597</Words>
  <Characters>25472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2017-05-02T15:34:00Z</dcterms:created>
  <dcterms:modified xsi:type="dcterms:W3CDTF">2017-05-04T15:20:00Z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