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9113BBE37E9B48E6B476B8ACB5921FCF" style="width:450.8pt;height:402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2012/0193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на първо четене във връзка с приемането на Директива на Европейския парламент и на Съвета относно борбата с измамите, засягащи финансовите интереси на Съюза, по наказателноправен ред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Дата на предаване на предложението на Европейския парламент и на Съвета (документ COM(2012) 363 final – 2012/193 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11 юли 2012 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Не се прилага.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Комитета на регионите: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18 декември 2012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16 април 2014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25 април 2017 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pStyle w:val="Text1"/>
        <w:ind w:left="0"/>
        <w:rPr>
          <w:noProof/>
        </w:rPr>
      </w:pPr>
      <w:r>
        <w:rPr>
          <w:noProof/>
        </w:rPr>
        <w:t>Целта на проекта за директива е да се установят минимални правила за определянето на престъпленията, санкциите и давностните срокове в областта на борбата с измамите и с другите незаконни дейности, засягащи финансовите интереси на Съюза, за да се осигури ефективен принос за постигане на по-добра защита срещу престъпленията, засягащи тези финансови интереси, в съответствие с достиженията на правото на Съюза в тази област. Директивата ще повиши равнището на защита, съществуващо понастоящем въз основа на Конвенцията от 1995 г. за защита на финансовите интереси на Европейските общности (по-нататък „Конвенцията“)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която по отношение на държавите членки, обвързани от нея, ще бъде заменена от директивата.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Що се отнася до материалноправните разпоредби, съдържащи се в директивата, позицията на Съвета на първо четене отразява компромиса, постигнат при преговорите между Съвета и Европейския парламент със съдействието на Комисията. </w:t>
      </w:r>
    </w:p>
    <w:p>
      <w:pPr>
        <w:pStyle w:val="Text1"/>
        <w:ind w:left="0"/>
        <w:rPr>
          <w:noProof/>
        </w:rPr>
      </w:pPr>
      <w:r>
        <w:rPr>
          <w:noProof/>
        </w:rPr>
        <w:lastRenderedPageBreak/>
        <w:t xml:space="preserve">Позицията на Съвета на първо четене запазва изцяло целите на предложението на Комисията. В сравнение с Конвенцията, директивата ще съдържа по-ясни и по-строги правила по редица важни въпроси. Що се касае до определянето на престъпленията, директивата съдържа актуализирани определения за активна и пасивна корупция, въвежда ново престъпление — присвояване, обхващащо поведение от страна на публичен служител, надхвърлящо обикновеното измамно поведение, и съдържа актуализирано определение за публичен служител. </w:t>
      </w:r>
    </w:p>
    <w:p>
      <w:pPr>
        <w:pStyle w:val="Text1"/>
        <w:ind w:left="0"/>
        <w:rPr>
          <w:noProof/>
        </w:rPr>
      </w:pPr>
      <w:r>
        <w:rPr>
          <w:noProof/>
        </w:rPr>
        <w:t>Освен това, за разлика от първоначалното мнение на Съвета за изключване на измамите с ДДС от приложното поле на директивата, позицията на Съвета на първо четене сега включва в директивата престъплението тежка форма на измама с ДДС, като държавите членки ще трябва да инкриминират поне измамите против общата система на ДДС, когато същите са свързани с територията на две или повече държави членки и водят до вреди, чийто общ размер е не по-малко от 10 милиона евро. Още от самото начало Комисията беше на мнение, че измамите с ДДС следва да бъдат включени в приложното поле на директивата, както е понастоящем с Конвенцията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Включването в директивата поне на тежките трансгранични измами с ДДС е от голямо значение за Комисията, за да няма намаляване на равнището на защита, осигурявано от Конвенцията, и в Съюза да продължат да се прилагат минимални стандарти за случаите на измами с ДДС, като по този начин се гарантира еднаква и по-добра защита на финансовите интереси на Съюза. Комисията приема, че не всички измами с ДДС, а само тежките случаи на такива измами ще попадат в приложното поле на директивата, и отбелязва, че прагът от 10 милиона евро е предмет на клауза за преразглеждане. </w:t>
      </w:r>
    </w:p>
    <w:p>
      <w:pPr>
        <w:pStyle w:val="Text1"/>
        <w:ind w:left="0"/>
        <w:rPr>
          <w:noProof/>
        </w:rPr>
      </w:pPr>
      <w:r>
        <w:rPr>
          <w:noProof/>
        </w:rPr>
        <w:t>Що се отнася до санкциите, директивата хармонизира максималните наказателноправни санкции за физическите лица, които включват и максимално наказание от най-малко четири години лишаване от свобода, когато предвидените в директивата престъпления са свързани със значителни вреди или облаги или когато други утежняващи обстоятелства, предвидени в националното законодателство, оправдават такава санкция.</w:t>
      </w:r>
    </w:p>
    <w:p>
      <w:pPr>
        <w:pStyle w:val="Text1"/>
        <w:ind w:left="0"/>
        <w:rPr>
          <w:noProof/>
        </w:rPr>
      </w:pPr>
      <w:r>
        <w:rPr>
          <w:noProof/>
        </w:rPr>
        <w:t xml:space="preserve">Докато в Конвенцията не се споменаваше нищо по въпроса за давностните срокове, с директивата се въвежда нов, обвързващ набор от правила за тях, включващ разпоредби относно прекъсването и спирането на тези срокове, във връзка с престъпленията, засягащи бюджета на Съюза. Този набор от правила ще позволи на правоприлагащите и съдебните органи да провеждат ефективно разследванията и наказателното преследване и ефективно да постановяват присъди за въпросните престъпления и ще гарантира изпълнението на наложените санкции. </w:t>
      </w:r>
    </w:p>
    <w:p>
      <w:pPr>
        <w:pStyle w:val="Text1"/>
        <w:ind w:left="0"/>
        <w:rPr>
          <w:noProof/>
        </w:rPr>
      </w:pPr>
      <w:r>
        <w:rPr>
          <w:noProof/>
        </w:rPr>
        <w:t>Що се отнася до правното основание, предложението на Комисията почиваше на член 325, параграф 4 от ДФЕС, докато Съветът и Европейският парламент се споразумяха, че подходящото правно основание за установяването на минимални правила относно определянето на престъпленията и на санкциите, включително тези в областта на борбата с измамите, засягащи финансовите интереси на Съюза, следва да е член 83, параграфи 1 и 2 от ДФЕС. Съответно на първо четене Съветът прие проекта за директива на основание член 83, параграф 2 от ДФЕС.</w:t>
      </w:r>
    </w:p>
    <w:p>
      <w:pPr>
        <w:rPr>
          <w:noProof/>
        </w:rPr>
      </w:pPr>
      <w:r>
        <w:rPr>
          <w:noProof/>
        </w:rPr>
        <w:t xml:space="preserve">Предвид изложеното по-горе, Комисията направи следното изявление на заседанието на Съвета на 7 февруари 2017 г., когато Съветът постигна политическо споразумение </w:t>
      </w:r>
      <w:r>
        <w:rPr>
          <w:noProof/>
        </w:rPr>
        <w:lastRenderedPageBreak/>
        <w:t xml:space="preserve">по директивата, и на 25 април 2017 г., когато Съветът прие позицията си на първо четене: </w:t>
      </w:r>
    </w:p>
    <w:p>
      <w:pPr>
        <w:rPr>
          <w:noProof/>
          <w:szCs w:val="24"/>
        </w:rPr>
      </w:pPr>
      <w:r>
        <w:rPr>
          <w:noProof/>
        </w:rPr>
        <w:t>„Макар да няма възражения относно материалноправните разпоредби на Директивата, Комисията смята, че същата е трябвало да бъде приета на основание член 325 от ДФЕС и си запазва правото да образува съдебно производство пред Съда на ЕС във връзка с правното основание.“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rPr>
          <w:noProof/>
          <w:color w:val="1F497D"/>
          <w:szCs w:val="24"/>
        </w:rPr>
      </w:pPr>
      <w:r>
        <w:rPr>
          <w:noProof/>
        </w:rPr>
        <w:t>Предвид изложеното, Комисията подкрепя позицията на Съвета на първо четене, що се отнася до материалноправните разпоредби на директивата. Комисията смята обаче, че директивата е трябвало да бъде приета на основание член 325 от ДФЕС и си запазва правото да образува съдебно производство пред Съда на ЕС във връзка с правното основание.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567" w:hanging="567"/>
      </w:pPr>
      <w:r>
        <w:rPr>
          <w:rStyle w:val="FootnoteReference"/>
        </w:rPr>
        <w:footnoteRef/>
      </w:r>
      <w:r>
        <w:tab/>
        <w:t>ОВ C 316, 27.11.1995 г., стр. 48.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Това беше потвърдено от Съда на Европейския съюз в решението му от 8 септември 2015 г. по дело Taricco, C-105/14.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EA8C3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040B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8F61C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354B6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6767F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168B9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E8DB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264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5-15 12:45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113BBE37E9B48E6B476B8ACB5921FCF"/>
    <w:docVar w:name="LW_CROSSREFERENCE" w:val="&lt;UNUSED&gt;"/>
    <w:docVar w:name="LW_DocType" w:val="COM"/>
    <w:docVar w:name="LW_EMISSION" w:val="16.5.2017"/>
    <w:docVar w:name="LW_EMISSION_ISODATE" w:val="2017-05-16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93"/>
    <w:docVar w:name="LW_REF.II.NEW.CP_YEAR" w:val="2012"/>
    <w:docVar w:name="LW_REF.INST.NEW" w:val="COM"/>
    <w:docVar w:name="LW_REF.INST.NEW_ADOPTED" w:val="final"/>
    <w:docVar w:name="LW_REF.INST.NEW_TEXT" w:val="(2017) 246"/>
    <w:docVar w:name="LW_REF.INTERNE" w:val="&lt;UNUSED&gt;"/>
    <w:docVar w:name="LW_SOUS.TITRE.OBJ.CP" w:val="&lt;UNUSED&gt;"/>
    <w:docVar w:name="LW_SUPERTITRE" w:val="&lt;UNUSED&gt;"/>
    <w:docVar w:name="LW_TITRE.OBJ.CP" w:val="\u1087?\u1086?\u1079?\u1080?\u1094?\u1080?\u1103?\u1090?\u1072? \u1085?\u1072? \u1057?\u1098?\u1074?\u1077?\u1090?\u1072? \u1085?\u1072? \u1087?\u1098?\u1088?\u1074?\u1086? \u1095?\u1077?\u1090?\u1077?\u1085?\u1077? \u1074?\u1098?\u1074? \u1074?\u1088?\u1098?\u1079?\u1082?\u1072? \u1089? \u1087?\u1088?\u1080?\u1077?\u1084?\u1072?\u1085?\u1077?\u1090?\u1086? \u1085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73?\u1086?\u1088?\u1073?\u1072?\u1090?\u1072? \u1089? \u1080?\u1079?\u1084?\u1072?\u1084?\u1080?\u1090?\u1077?, \u1079?\u1072?\u1089?\u1103?\u1075?\u1072?\u1097?\u1080? \u1092?\u1080?\u1085?\u1072?\u1085?\u1089?\u1086?\u1074?\u1080?\u1090?\u1077? \u1080?\u1085?\u1090?\u1077?\u1088?\u1077?\u1089?\u1080? \u1085?\u1072? \u1057?\u1098?\u1102?\u1079?\u1072?, \u1087?\u1086? \u1085?\u1072?\u1082?\u1072?\u1079?\u1072?\u1090?\u1077?\u1083?\u1085?\u1086?\u1087?\u1088?\u1072?\u1074?\u1077?\u1085? \u1088?\u1077?\u1076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9635-BF7C-4BE1-800A-4568C293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869</Words>
  <Characters>4982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2017-05-15T09:33:00Z</dcterms:created>
  <dcterms:modified xsi:type="dcterms:W3CDTF">2017-05-15T10:45:00Z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