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7C43B2D605A4A898C98DD12D52AF083"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Някои селскостопански и промишлени продукти се произвеждат в недостатъчни количества или въобще не се произвеждат в Съюза. За да се осигури задоволително и непрекъснато снабдяване и за да се избегнат смущенията на пазара на тези продукти, с Регламент (ЕС) № 1387/2013 на Съвета бяха частично или изцяло суспендирани някои автономни мита по Общата митническа тарифа. </w:t>
      </w:r>
    </w:p>
    <w:p>
      <w:pPr>
        <w:rPr>
          <w:noProof/>
        </w:rPr>
      </w:pPr>
      <w:r>
        <w:rPr>
          <w:noProof/>
        </w:rPr>
        <w:t xml:space="preserve">Регламентът се актуализира на всеки шест месеца, за да отговаря на нуждите на промишлеността на ЕС. Подпомагана от Групата по икономически тарифни въпроси (ГИТВ), Комисията разглежда всички представени от държавите членки искания за временно суспендиране на автономни мита по Общата митническа тарифа. </w:t>
      </w:r>
    </w:p>
    <w:p>
      <w:pPr>
        <w:rPr>
          <w:noProof/>
        </w:rPr>
      </w:pPr>
      <w:r>
        <w:rPr>
          <w:noProof/>
        </w:rPr>
        <w:t xml:space="preserve">След разглеждането Комисията смята, че суспендирането на митата е обосновано за някои нови продукти, които понастоящем не са посочени в приложението към Регламента. Следва да бъдат изменени условията за описанието, класирането или изискването за специфична употреба за някои други продукти. Продуктите, за които суспендирането на тарифната квота вече не отговаря на икономическите интереси на Съюза, следва да се заличат от приложението.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Настоящото предложение не засяга държавите, които имат преференциални търговски споразумения с ЕС, държавите – кандидатки и потенциални кандидатки за преференциални споразумения (напр. Общата система за преференции, режима на Споразумението за партньорство с държавите от Африка, Карибите и Тихоокеанския басейн, споразуменията за свободна търговия).</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съобразено с политиките на ЕС в областта на селското стопанство, търговията, предприемачеството, развитието и външните отношения.</w:t>
      </w:r>
      <w:r>
        <w:t xml:space="preserve">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настоящото предложение е член 31 от Договора за функционирането на Европейския съюз (ДФЕС).</w:t>
      </w:r>
      <w:r>
        <w:t xml:space="preserve">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Предложението е от изключителната компетентност на ЕС. Следователно принципът на субсидиарността не се прилага.</w:t>
      </w:r>
      <w:r>
        <w:t xml:space="preserve"> </w:t>
      </w:r>
    </w:p>
    <w:p>
      <w:pPr>
        <w:pStyle w:val="ManualHeading2"/>
        <w:rPr>
          <w:rFonts w:eastAsia="Arial Unicode MS"/>
          <w:noProof/>
          <w:u w:color="000000"/>
          <w:bdr w:val="nil"/>
        </w:rPr>
      </w:pPr>
      <w:r>
        <w:rPr>
          <w:noProof/>
        </w:rPr>
        <w:t>•</w:t>
      </w:r>
      <w:r>
        <w:rPr>
          <w:noProof/>
        </w:rPr>
        <w:tab/>
        <w:t>Пропорционалност</w:t>
      </w:r>
    </w:p>
    <w:p>
      <w:pPr>
        <w:spacing w:before="100" w:beforeAutospacing="1" w:after="100" w:afterAutospacing="1"/>
        <w:rPr>
          <w:rFonts w:eastAsia="Times New Roman"/>
          <w:noProof/>
          <w:szCs w:val="24"/>
        </w:rPr>
      </w:pPr>
      <w:r>
        <w:rPr>
          <w:noProof/>
        </w:rPr>
        <w:t xml:space="preserve">Предложението е съобразено с принципа на пропорционалността. Предвидените мерки съответстват на принципите за опростяване на процедурите за икономическите оператори с предмет на дейност във външната търговия, определени в Съобщението на Комисията относно суспендирането на автономни мита и относно автономните тарифни квоти.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 (ДЕС). </w:t>
      </w:r>
    </w:p>
    <w:p>
      <w:pPr>
        <w:pStyle w:val="ManualHeading2"/>
        <w:rPr>
          <w:rFonts w:eastAsia="Arial Unicode MS"/>
          <w:noProof/>
          <w:u w:color="000000"/>
          <w:bdr w:val="nil"/>
        </w:rPr>
      </w:pPr>
      <w:r>
        <w:rPr>
          <w:noProof/>
        </w:rPr>
        <w:t>•</w:t>
      </w:r>
      <w:r>
        <w:rPr>
          <w:noProof/>
        </w:rPr>
        <w:tab/>
        <w:t>Избор на нормативен акт</w:t>
      </w:r>
    </w:p>
    <w:p>
      <w:pPr>
        <w:rPr>
          <w:noProof/>
        </w:rPr>
      </w:pPr>
      <w:r>
        <w:rPr>
          <w:noProof/>
        </w:rPr>
        <w:t xml:space="preserve">По силата на член 31 от ДФЕС „митата от Общата митническа тарифа се определят от Съвета, по предложение на Комисията“. По тази причина подходящият нормативен акт е регламент.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Въз основа на оценка на цялата схема на суспендиране на автономни мита, извършена през 2013 г., бе заключено, че главният мотив за съществуването на схемата остава в сила. Предприятията от ЕС, внасящи стоки по схемата, могат да икономисат значителни разходи. На свой ред тези икономии на разходи могат да създадат – в зависимост от продукта, дружеството или отрасъла – по-широки ползи, например повишение на конкурентоспособността, увеличение на ефективността на производствените методи, създаване и запазване на работни места в ЕС.</w:t>
      </w:r>
      <w:r>
        <w:t xml:space="preserve">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rFonts w:eastAsia="Calibri"/>
          <w:noProof/>
        </w:rPr>
      </w:pPr>
      <w:r>
        <w:rPr>
          <w:noProof/>
        </w:rPr>
        <w:t>ГИТВ, която се състои от делегати от всички държави членки и от Турция, оказа съдействие на Комисията за съставянето на предложението. Групата се събра три пъти, преди да одобри промените в това предложение.</w:t>
      </w:r>
    </w:p>
    <w:p>
      <w:pPr>
        <w:rPr>
          <w:noProof/>
        </w:rPr>
      </w:pPr>
      <w:r>
        <w:rPr>
          <w:noProof/>
        </w:rPr>
        <w:t xml:space="preserve">Тя внимателно оцени всички искания (нови или за изменения). Особено внимание бе обърнато на необходимостта за производителите от ЕС да не се създават вреди, а конкурентоспособността на производството на ЕС да се повишава. </w:t>
      </w:r>
    </w:p>
    <w:p>
      <w:pPr>
        <w:rPr>
          <w:noProof/>
        </w:rPr>
      </w:pPr>
      <w:r>
        <w:rPr>
          <w:noProof/>
        </w:rPr>
        <w:t xml:space="preserve">По всички посочени суспендирания беше постигнато съгласие или компромиси по време на обсъжданията в ГИТВ. Не бяха посочени потенциално значими рискове с необратими последици.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Предложеното изменение е от техническо естество и се отнася само до обхвата на суспендиранията, посочени в приложението към Регламент (ЕС) № 1387/2013 на Съвета. Поради това не беше извършена оценка на въздействието за настоящото предложение.</w:t>
      </w:r>
      <w:r>
        <w:t xml:space="preserve">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основните права.</w:t>
      </w:r>
      <w:r>
        <w:t xml:space="preserve"> </w:t>
      </w:r>
    </w:p>
    <w:p>
      <w:pPr>
        <w:pStyle w:val="ManualHeading1"/>
        <w:rPr>
          <w:noProof/>
        </w:rPr>
      </w:pPr>
      <w:r>
        <w:rPr>
          <w:noProof/>
        </w:rPr>
        <w:t>4.</w:t>
      </w:r>
      <w:r>
        <w:rPr>
          <w:noProof/>
        </w:rPr>
        <w:tab/>
        <w:t>ОТРАЖЕНИЕ ВЪРХУ БЮДЖЕТА</w:t>
      </w:r>
    </w:p>
    <w:p>
      <w:pPr>
        <w:rPr>
          <w:noProof/>
        </w:rPr>
      </w:pPr>
      <w:r>
        <w:rPr>
          <w:noProof/>
        </w:rPr>
        <w:t xml:space="preserve">Предложението няма финансово отражение върху разходите, но има финансово отражение върху приходите. Несъбраните мита възлизат общо на близо 16,4 милиона евро годишно. Въздействието върху традиционните собствени ресурси на бюджета е в размер на 13,1 милиона евро годишно (т.е. 80 % от общия размер). Отражението върху бюджета, което ще окаже настоящото предложение, е изложено с повече подробности в законодателната финансова обосновка. </w:t>
      </w:r>
    </w:p>
    <w:p>
      <w:pPr>
        <w:rPr>
          <w:noProof/>
        </w:rPr>
      </w:pPr>
      <w:r>
        <w:rPr>
          <w:noProof/>
        </w:rPr>
        <w:t>Загубата на приходи от традиционните собствени ресурси се компенсира от вноските на държавите членки въз основа на брутния национален доход (БНД).</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наблюдение, оценяване и отчитане</w:t>
      </w:r>
    </w:p>
    <w:p>
      <w:pPr>
        <w:rPr>
          <w:noProof/>
        </w:rPr>
      </w:pPr>
      <w:r>
        <w:rPr>
          <w:noProof/>
        </w:rPr>
        <w:t xml:space="preserve">Предложените мерки се управляват в рамките на ТАРИК (Интегрираната тарифа на Европейския съюз) и се прилагат от митническите администрации на държавите членки.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2017/0098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Производството в Съюза на 69 селскостопански и промишлени продукти, които към момента не са изброени в приложението към Регламент (ЕС) № 1387/2013 на Съвета</w:t>
      </w:r>
      <w:r>
        <w:rPr>
          <w:rStyle w:val="FootnoteReference0"/>
          <w:noProof/>
        </w:rPr>
        <w:footnoteReference w:id="1"/>
      </w:r>
      <w:r>
        <w:rPr>
          <w:noProof/>
        </w:rPr>
        <w:t>, е недостатъчно или не съществува. Затова в интерес на Съюза е да суспендира изцяло автономните мита по Общата митническа тарифа (ОМТ) за тези продукти.</w:t>
      </w:r>
    </w:p>
    <w:p>
      <w:pPr>
        <w:pStyle w:val="ManualConsidrant"/>
        <w:rPr>
          <w:noProof/>
        </w:rPr>
      </w:pPr>
      <w:r>
        <w:t>(2)</w:t>
      </w:r>
      <w:r>
        <w:tab/>
      </w:r>
      <w:r>
        <w:rPr>
          <w:noProof/>
        </w:rPr>
        <w:t xml:space="preserve">Необходимо е да се направят промени в условията за 71 суспендирания на автономните мита по ОМТ, включени в приложението към Регламент (ЕС) № 1387/2013, за да се отчетат техническите промени в продуктите и икономическите тенденции на пазара. Класирането на някои продукти беше променено, за да се даде възможност на промишлеността да се възползва напълно от действащите суспендирания. Освен това приложението към Регламент (ЕС) № 1387/2013 бе актуализирано поради необходимостта в някои случаи текстовете да бъдат съгласувани или направени по-ясни. Изменените условия се отнасят до промени в описанието на продуктите, класирането или изискванията за специфична употреба. Суспендиранията, за които са необходими изменения, следва да се заличат от списъка на суспендиранията в приложението към Регламент (ЕС) № 1387/2013, а изменените суспендирания следва да бъдат включени в същия списък. </w:t>
      </w:r>
    </w:p>
    <w:p>
      <w:pPr>
        <w:pStyle w:val="ManualConsidrant"/>
        <w:rPr>
          <w:noProof/>
        </w:rPr>
      </w:pPr>
      <w:r>
        <w:t>(3)</w:t>
      </w:r>
      <w:r>
        <w:tab/>
      </w:r>
      <w:r>
        <w:rPr>
          <w:noProof/>
        </w:rPr>
        <w:t xml:space="preserve">Съюзът вече няма интерес да поддържа суспендирането на автономните мита по ОМТ за 2 продукта, които понастоящем са включени в приложението към Регламент (ЕС) № 1387/2013. </w:t>
      </w:r>
    </w:p>
    <w:p>
      <w:pPr>
        <w:pStyle w:val="ManualConsidrant"/>
        <w:rPr>
          <w:noProof/>
        </w:rPr>
      </w:pPr>
      <w:r>
        <w:t>(4)</w:t>
      </w:r>
      <w:r>
        <w:tab/>
      </w:r>
      <w:r>
        <w:rPr>
          <w:noProof/>
        </w:rPr>
        <w:t>За по-голяма яснота изменените с настоящия регламент текстове следва да бъдат отбелязани със звезда.</w:t>
      </w:r>
    </w:p>
    <w:p>
      <w:pPr>
        <w:pStyle w:val="ManualConsidrant"/>
        <w:rPr>
          <w:noProof/>
        </w:rPr>
      </w:pPr>
      <w:r>
        <w:t>(5)</w:t>
      </w:r>
      <w:r>
        <w:tab/>
      </w:r>
      <w:r>
        <w:rPr>
          <w:noProof/>
        </w:rPr>
        <w:t>Поради това Регламент (ЕС) № 1387/2013 следва да бъде съответно изменен.</w:t>
      </w:r>
    </w:p>
    <w:p>
      <w:pPr>
        <w:pStyle w:val="ManualConsidrant"/>
        <w:rPr>
          <w:noProof/>
        </w:rPr>
      </w:pPr>
      <w:r>
        <w:t>(6)</w:t>
      </w:r>
      <w:r>
        <w:tab/>
      </w:r>
      <w:r>
        <w:rPr>
          <w:noProof/>
        </w:rPr>
        <w:t>За да не се допусне прекъсване на прилагането на схема за суспендиране на автономните мита и за да бъдат спазени правилата, определени в Съобщението на Комисията относно суспендирането на автономни мита и относно автономните тарифни квоти</w:t>
      </w:r>
      <w:r>
        <w:rPr>
          <w:rStyle w:val="FootnoteReference0"/>
          <w:noProof/>
        </w:rPr>
        <w:footnoteReference w:id="2"/>
      </w:r>
      <w:r>
        <w:rPr>
          <w:noProof/>
        </w:rPr>
        <w:t>, промените по настоящия регламент по отношение на суспендиранията за засегнатите продукти трябва да се прилагат от 1 юли 2017 г. Поради това настоящият регламент следва спешно да влезе в сила.</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Приложението към Регламент (ЕС) № 1387/2013 се изменя, както следва:</w:t>
      </w:r>
    </w:p>
    <w:p>
      <w:pPr>
        <w:rPr>
          <w:noProof/>
        </w:rPr>
      </w:pPr>
      <w:r>
        <w:rPr>
          <w:noProof/>
        </w:rPr>
        <w:t>1)</w:t>
      </w:r>
      <w:r>
        <w:rPr>
          <w:noProof/>
        </w:rPr>
        <w:tab/>
        <w:t>редовете за продуктите, включени в приложение I към настоящия регламент, се добавят по реда на кодовете по КН, посочени в първата колона на таблицата в приложението към Регламент (ЕС) № 1387/2013;</w:t>
      </w:r>
    </w:p>
    <w:p>
      <w:pPr>
        <w:rPr>
          <w:noProof/>
        </w:rPr>
      </w:pPr>
      <w:r>
        <w:rPr>
          <w:noProof/>
        </w:rPr>
        <w:t>2)</w:t>
      </w:r>
      <w:r>
        <w:rPr>
          <w:noProof/>
        </w:rPr>
        <w:tab/>
        <w:t>редовете за продуктите, чиито кодове по КН и по ТАРИК са посочени в приложение II към настоящия регламент, се заличават от приложението към Регламент (ЕС) № 1387/2013.</w:t>
      </w:r>
    </w:p>
    <w:p>
      <w:pPr>
        <w:pStyle w:val="Titrearticle"/>
        <w:rPr>
          <w:noProof/>
        </w:rPr>
      </w:pPr>
      <w:r>
        <w:rPr>
          <w:noProof/>
        </w:rPr>
        <w:t>Член 2</w:t>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w:t>
      </w:r>
    </w:p>
    <w:p>
      <w:pPr>
        <w:pStyle w:val="Applicationdirecte"/>
        <w:rPr>
          <w:noProof/>
        </w:rPr>
      </w:pPr>
      <w:r>
        <w:rPr>
          <w:noProof/>
        </w:rPr>
        <w:t>Той се прилага от 1 юли 2017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br/>
      </w:r>
      <w:r>
        <w:rPr>
          <w:noProof/>
        </w:rPr>
        <w:tab/>
        <w:t>За Съвета</w:t>
      </w:r>
    </w:p>
    <w:p>
      <w:pPr>
        <w:pStyle w:val="Personnequisigne"/>
        <w:rPr>
          <w:noProof/>
        </w:rPr>
      </w:pPr>
      <w:r>
        <w:rPr>
          <w:noProof/>
        </w:rPr>
        <w:tab/>
        <w:t>Председател</w:t>
      </w:r>
      <w:r>
        <w:rPr>
          <w:noProof/>
        </w:rPr>
        <w:br/>
      </w:r>
      <w:r>
        <w:rPr>
          <w:noProof/>
        </w:rPr>
        <w:br/>
      </w:r>
    </w:p>
    <w:p>
      <w:pPr>
        <w:rPr>
          <w:noProof/>
        </w:rPr>
        <w:sectPr>
          <w:pgSz w:w="11907" w:h="16839"/>
          <w:pgMar w:top="1134" w:right="1417" w:bottom="1134" w:left="1417" w:header="709" w:footer="709" w:gutter="0"/>
          <w:cols w:space="708"/>
          <w:docGrid w:linePitch="360"/>
        </w:sectPr>
      </w:pPr>
    </w:p>
    <w:p>
      <w:pPr>
        <w:pStyle w:val="Fichefinanciretitre0"/>
        <w:rPr>
          <w:noProof/>
        </w:rPr>
      </w:pPr>
      <w:r>
        <w:rPr>
          <w:noProof/>
        </w:rPr>
        <w:t xml:space="preserve">ЗАКОНОДАТЕЛНА ФИНАНСОВА ОБОСНОВКА </w:t>
      </w:r>
    </w:p>
    <w:p>
      <w:pPr>
        <w:pStyle w:val="ManualHeading1"/>
        <w:rPr>
          <w:noProof/>
        </w:rPr>
      </w:pPr>
      <w:r>
        <w:rPr>
          <w:noProof/>
        </w:rPr>
        <w:t>1. НАИМЕНОВАНИЕ НА ПРЕДЛОЖЕНИЕТО</w:t>
      </w:r>
    </w:p>
    <w:p>
      <w:pPr>
        <w:spacing w:before="100" w:beforeAutospacing="1" w:after="100" w:afterAutospacing="1"/>
        <w:rPr>
          <w:rFonts w:eastAsia="Times New Roman"/>
          <w:noProof/>
          <w:szCs w:val="24"/>
        </w:rPr>
      </w:pPr>
      <w:r>
        <w:rPr>
          <w:noProof/>
        </w:rPr>
        <w:t xml:space="preserve">Регламент на Съвета за изменение на Регламент (ЕС) № 1387/2013 за суспендиране на автономните мита по Общата митническа тарифа за определени селскостопански и промишлени продукти </w:t>
      </w:r>
    </w:p>
    <w:p>
      <w:pPr>
        <w:pStyle w:val="ManualHeading1"/>
        <w:rPr>
          <w:noProof/>
        </w:rPr>
      </w:pPr>
      <w:r>
        <w:rPr>
          <w:noProof/>
        </w:rPr>
        <w:t>2. БЮДЖЕТНИ РЕДОВЕ</w:t>
      </w:r>
    </w:p>
    <w:p>
      <w:pPr>
        <w:spacing w:before="100" w:beforeAutospacing="1" w:after="100" w:afterAutospacing="1"/>
        <w:rPr>
          <w:rFonts w:eastAsia="Times New Roman"/>
          <w:noProof/>
          <w:szCs w:val="24"/>
        </w:rPr>
      </w:pPr>
      <w:r>
        <w:rPr>
          <w:noProof/>
        </w:rPr>
        <w:t xml:space="preserve">Глава и статия: глава 12, статия 120 </w:t>
      </w:r>
    </w:p>
    <w:p>
      <w:pPr>
        <w:spacing w:before="100" w:beforeAutospacing="1" w:after="100" w:afterAutospacing="1"/>
        <w:rPr>
          <w:rFonts w:eastAsia="Times New Roman"/>
          <w:noProof/>
          <w:szCs w:val="24"/>
        </w:rPr>
      </w:pPr>
      <w:r>
        <w:rPr>
          <w:noProof/>
        </w:rPr>
        <w:t xml:space="preserve">Сума, предвидена в бюджета за 2017 г.: 20 000 500 000 EUR (бюджет 2017 г.) </w:t>
      </w:r>
    </w:p>
    <w:p>
      <w:pPr>
        <w:pStyle w:val="ManualHeading1"/>
        <w:rPr>
          <w:noProof/>
        </w:rPr>
      </w:pPr>
      <w:r>
        <w:rPr>
          <w:noProof/>
        </w:rPr>
        <w:t xml:space="preserve">3. ФИНАНСОВО ОТРАЖЕНИЕ </w:t>
      </w:r>
    </w:p>
    <w:p>
      <w:pPr>
        <w:spacing w:before="100" w:beforeAutospacing="1" w:after="100" w:afterAutospacing="1"/>
        <w:rPr>
          <w:rFonts w:eastAsia="Times New Roman"/>
          <w:noProof/>
          <w:szCs w:val="24"/>
        </w:rPr>
      </w:pPr>
      <w:r>
        <w:rPr>
          <w:rFonts w:eastAsia="Times New Roman"/>
          <w:noProof/>
          <w:szCs w:val="24"/>
        </w:rPr>
        <w:sym w:font="Wingdings" w:char="F0A8"/>
      </w:r>
      <w:r>
        <w:rPr>
          <w:noProof/>
        </w:rPr>
        <w:tab/>
        <w:t>Предложението няма финансово отражение</w:t>
      </w:r>
    </w:p>
    <w:p>
      <w:pPr>
        <w:spacing w:before="100" w:beforeAutospacing="1" w:after="100" w:afterAutospacing="1"/>
        <w:ind w:left="720" w:hanging="720"/>
        <w:rPr>
          <w:rFonts w:eastAsia="Times New Roman"/>
          <w:noProof/>
          <w:szCs w:val="24"/>
        </w:rPr>
      </w:pPr>
      <w:r>
        <w:rPr>
          <w:noProof/>
        </w:rPr>
        <w:t xml:space="preserve">X </w:t>
      </w:r>
      <w:r>
        <w:rPr>
          <w:noProof/>
        </w:rPr>
        <w:tab/>
        <w:t xml:space="preserve">Предложението няма финансово отражение върху разходите, но има такова върху приходите. Отражението е следното: </w:t>
      </w:r>
    </w:p>
    <w:p>
      <w:pPr>
        <w:spacing w:before="100" w:beforeAutospacing="1" w:after="100" w:afterAutospacing="1"/>
        <w:jc w:val="right"/>
        <w:rPr>
          <w:rFonts w:eastAsia="Times New Roman"/>
          <w:noProof/>
          <w:szCs w:val="24"/>
        </w:rPr>
      </w:pPr>
      <w:r>
        <w:rPr>
          <w:noProof/>
        </w:rPr>
        <w:t>(в милиони евро до един знак след десетичната запетая</w:t>
      </w:r>
      <w:r>
        <w:rPr>
          <w:rStyle w:val="FootnoteReference0"/>
          <w:noProof/>
        </w:rPr>
        <w:footnoteReference w:id="3"/>
      </w:r>
      <w:r>
        <w:rPr>
          <w:noProof/>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1"/>
        <w:gridCol w:w="718"/>
        <w:gridCol w:w="33"/>
        <w:gridCol w:w="45"/>
      </w:tblGrid>
      <w:tr>
        <w:trPr>
          <w:gridAfter w:val="1"/>
          <w:tblCellSpacing w:w="15" w:type="dxa"/>
        </w:trPr>
        <w:tc>
          <w:tcPr>
            <w:tcW w:w="0" w:type="auto"/>
            <w:vAlign w:val="center"/>
            <w:hideMark/>
          </w:tcPr>
          <w:p>
            <w:pPr>
              <w:spacing w:before="0" w:after="0"/>
              <w:jc w:val="left"/>
              <w:rPr>
                <w:rFonts w:eastAsia="Times New Roman"/>
                <w:noProof/>
                <w:szCs w:val="24"/>
              </w:rPr>
            </w:pPr>
          </w:p>
        </w:tc>
        <w:tc>
          <w:tcPr>
            <w:tcW w:w="0" w:type="auto"/>
            <w:gridSpan w:val="2"/>
            <w:vAlign w:val="center"/>
            <w:hideMark/>
          </w:tcPr>
          <w:p>
            <w:pPr>
              <w:spacing w:before="0" w:after="0"/>
              <w:jc w:val="left"/>
              <w:rPr>
                <w:rFonts w:eastAsia="Times New Roman"/>
                <w:noProof/>
                <w:szCs w:val="24"/>
              </w:rPr>
            </w:pPr>
          </w:p>
        </w:tc>
      </w:tr>
      <w:tr>
        <w:trPr>
          <w:tblCellSpacing w:w="15" w:type="dxa"/>
        </w:trPr>
        <w:tc>
          <w:tcPr>
            <w:tcW w:w="0" w:type="auto"/>
            <w:gridSpan w:val="2"/>
            <w:vAlign w:val="center"/>
            <w:hideMark/>
          </w:tcPr>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Бюджетен ред</w:t>
                  </w:r>
                </w:p>
              </w:tc>
              <w:tc>
                <w:tcPr>
                  <w:tcW w:w="2880" w:type="dxa"/>
                </w:tcPr>
                <w:p>
                  <w:pPr>
                    <w:spacing w:before="0" w:after="0"/>
                    <w:jc w:val="center"/>
                    <w:rPr>
                      <w:noProof/>
                      <w:snapToGrid w:val="0"/>
                    </w:rPr>
                  </w:pPr>
                  <w:r>
                    <w:rPr>
                      <w:noProof/>
                      <w:sz w:val="22"/>
                    </w:rPr>
                    <w:t>Приходи</w:t>
                  </w:r>
                  <w:r>
                    <w:rPr>
                      <w:rStyle w:val="FootnoteReference0"/>
                      <w:noProof/>
                      <w:snapToGrid w:val="0"/>
                      <w:sz w:val="22"/>
                    </w:rPr>
                    <w:footnoteReference w:id="4"/>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6-месечен срок, считано от дд/мм/гггг</w:t>
                  </w:r>
                </w:p>
              </w:tc>
              <w:tc>
                <w:tcPr>
                  <w:tcW w:w="2070" w:type="dxa"/>
                  <w:shd w:val="clear" w:color="auto" w:fill="auto"/>
                </w:tcPr>
                <w:p>
                  <w:pPr>
                    <w:spacing w:before="0" w:after="0"/>
                    <w:jc w:val="center"/>
                    <w:rPr>
                      <w:noProof/>
                      <w:snapToGrid w:val="0"/>
                    </w:rPr>
                  </w:pPr>
                  <w:r>
                    <w:rPr>
                      <w:noProof/>
                      <w:sz w:val="22"/>
                    </w:rPr>
                    <w:t>[Година: втората половина на 2017 г.]</w:t>
                  </w:r>
                </w:p>
              </w:tc>
            </w:tr>
            <w:tr>
              <w:trPr>
                <w:cantSplit/>
              </w:trPr>
              <w:tc>
                <w:tcPr>
                  <w:tcW w:w="1322" w:type="dxa"/>
                  <w:shd w:val="clear" w:color="auto" w:fill="auto"/>
                </w:tcPr>
                <w:p>
                  <w:pPr>
                    <w:spacing w:before="0" w:after="0"/>
                    <w:jc w:val="left"/>
                    <w:rPr>
                      <w:noProof/>
                    </w:rPr>
                  </w:pPr>
                  <w:r>
                    <w:rPr>
                      <w:noProof/>
                      <w:sz w:val="22"/>
                    </w:rPr>
                    <w:t xml:space="preserve">Член 120 </w:t>
                  </w:r>
                </w:p>
                <w:p>
                  <w:pPr>
                    <w:spacing w:before="0" w:after="0"/>
                    <w:jc w:val="left"/>
                    <w:rPr>
                      <w:noProof/>
                      <w:snapToGrid w:val="0"/>
                    </w:rPr>
                  </w:pPr>
                </w:p>
              </w:tc>
              <w:tc>
                <w:tcPr>
                  <w:tcW w:w="2880" w:type="dxa"/>
                </w:tcPr>
                <w:p>
                  <w:pPr>
                    <w:spacing w:before="0" w:after="0"/>
                    <w:jc w:val="left"/>
                    <w:rPr>
                      <w:i/>
                      <w:noProof/>
                      <w:snapToGrid w:val="0"/>
                    </w:rPr>
                  </w:pPr>
                  <w:r>
                    <w:rPr>
                      <w:i/>
                      <w:noProof/>
                      <w:sz w:val="22"/>
                    </w:rPr>
                    <w:t>Отражение върху собствените ресурси</w:t>
                  </w:r>
                </w:p>
              </w:tc>
              <w:tc>
                <w:tcPr>
                  <w:tcW w:w="2070" w:type="dxa"/>
                  <w:shd w:val="clear" w:color="auto" w:fill="auto"/>
                </w:tcPr>
                <w:p>
                  <w:pPr>
                    <w:spacing w:before="0" w:after="0"/>
                    <w:jc w:val="left"/>
                    <w:rPr>
                      <w:noProof/>
                      <w:snapToGrid w:val="0"/>
                    </w:rPr>
                  </w:pPr>
                  <w:r>
                    <w:rPr>
                      <w:noProof/>
                      <w:snapToGrid w:val="0"/>
                      <w:sz w:val="22"/>
                    </w:rPr>
                    <w:t xml:space="preserve">      1.</w:t>
                  </w:r>
                  <w:r>
                    <w:rPr>
                      <w:noProof/>
                      <w:snapToGrid w:val="0"/>
                      <w:sz w:val="22"/>
                      <w:lang w:val="en-US"/>
                    </w:rPr>
                    <w:t>7</w:t>
                  </w:r>
                  <w:r>
                    <w:rPr>
                      <w:noProof/>
                      <w:snapToGrid w:val="0"/>
                      <w:sz w:val="22"/>
                    </w:rPr>
                    <w:t>.2017 г.</w:t>
                  </w:r>
                </w:p>
              </w:tc>
              <w:tc>
                <w:tcPr>
                  <w:tcW w:w="2070" w:type="dxa"/>
                  <w:shd w:val="clear" w:color="auto" w:fill="auto"/>
                </w:tcPr>
                <w:p>
                  <w:pPr>
                    <w:spacing w:before="0" w:after="0"/>
                    <w:jc w:val="left"/>
                    <w:rPr>
                      <w:noProof/>
                      <w:snapToGrid w:val="0"/>
                    </w:rPr>
                  </w:pPr>
                  <w:r>
                    <w:rPr>
                      <w:noProof/>
                      <w:snapToGrid w:val="0"/>
                      <w:sz w:val="22"/>
                    </w:rPr>
                    <w:t xml:space="preserve">           -6,56</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322"/>
              <w:gridCol w:w="7078"/>
            </w:tblGrid>
            <w:tr>
              <w:trPr>
                <w:cantSplit/>
              </w:trPr>
              <w:tc>
                <w:tcPr>
                  <w:tcW w:w="8402" w:type="dxa"/>
                  <w:gridSpan w:val="2"/>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Положение след действието</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[2018 – 2021 г.]</w:t>
                  </w:r>
                </w:p>
              </w:tc>
            </w:tr>
            <w:tr>
              <w:trPr>
                <w:cantSplit/>
              </w:trPr>
              <w:tc>
                <w:tcPr>
                  <w:tcW w:w="1322"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rPr>
                    <w:t>Статия 120</w:t>
                  </w:r>
                </w:p>
              </w:tc>
              <w:tc>
                <w:tcPr>
                  <w:tcW w:w="7080"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 xml:space="preserve">- </w:t>
                  </w:r>
                  <w:r>
                    <w:rPr>
                      <w:noProof/>
                    </w:rPr>
                    <w:t>13,1</w:t>
                  </w:r>
                  <w:r>
                    <w:rPr>
                      <w:noProof/>
                      <w:sz w:val="22"/>
                    </w:rPr>
                    <w:t xml:space="preserve"> годишно</w:t>
                  </w:r>
                </w:p>
              </w:tc>
            </w:tr>
          </w:tbl>
          <w:p>
            <w:pPr>
              <w:spacing w:before="0" w:after="200" w:line="276" w:lineRule="auto"/>
              <w:jc w:val="left"/>
              <w:rPr>
                <w:rFonts w:eastAsia="Times New Roman"/>
                <w:noProof/>
                <w:szCs w:val="24"/>
              </w:rPr>
            </w:pPr>
          </w:p>
        </w:tc>
        <w:tc>
          <w:tcPr>
            <w:tcW w:w="0" w:type="auto"/>
            <w:gridSpan w:val="2"/>
            <w:vAlign w:val="center"/>
            <w:hideMark/>
          </w:tcPr>
          <w:p>
            <w:pPr>
              <w:spacing w:before="0" w:after="0"/>
              <w:jc w:val="left"/>
              <w:rPr>
                <w:rFonts w:eastAsia="Times New Roman"/>
                <w:noProof/>
                <w:szCs w:val="24"/>
              </w:rPr>
            </w:pPr>
          </w:p>
        </w:tc>
      </w:tr>
    </w:tbl>
    <w:p>
      <w:pPr>
        <w:spacing w:before="100" w:beforeAutospacing="1" w:after="100" w:afterAutospacing="1"/>
        <w:rPr>
          <w:rFonts w:eastAsia="Times New Roman"/>
          <w:noProof/>
          <w:szCs w:val="24"/>
        </w:rPr>
      </w:pPr>
      <w:r>
        <w:rPr>
          <w:noProof/>
        </w:rPr>
        <w:t xml:space="preserve">Настоящото приложение включва 69 нови продукта. Съответните несъбрани мита, изчислени въз основа на прогнозите на подалите искания държави членки за периода 2017 – 2021 г., възлизат на 9,4 милиона евро годишно. </w:t>
      </w:r>
    </w:p>
    <w:p>
      <w:pPr>
        <w:spacing w:before="100" w:beforeAutospacing="1" w:after="100" w:afterAutospacing="1"/>
        <w:rPr>
          <w:rFonts w:eastAsia="Times New Roman"/>
          <w:noProof/>
          <w:szCs w:val="24"/>
        </w:rPr>
      </w:pPr>
      <w:r>
        <w:rPr>
          <w:noProof/>
        </w:rPr>
        <w:t xml:space="preserve">Въпреки това от статистическите данни за предходните години е видно, че тази сума трябва да се увеличи, като се умножи със среден множител, изчислен на 1,8, за да се отчете вносът в други държави членки, които прилагат същите суспендирания. Това ще доведе до несъбрани мита в размер на близо 16,9 милиона евро годишно. </w:t>
      </w:r>
    </w:p>
    <w:p>
      <w:pPr>
        <w:spacing w:before="100" w:beforeAutospacing="1" w:after="100" w:afterAutospacing="1"/>
        <w:rPr>
          <w:rFonts w:eastAsia="Times New Roman"/>
          <w:noProof/>
          <w:szCs w:val="24"/>
        </w:rPr>
      </w:pPr>
      <w:r>
        <w:rPr>
          <w:noProof/>
        </w:rPr>
        <w:t>От приложението са заличени два продукта, тъй като върху тях отново са наложени мита. В резултат на това събраните мита ще нараснат с 0,5 милиона евро. И двата продукта са заличени от 1 януари 2017 г.; затова няма статистически данни и съответно нарастването е изчислено въз основа на прогнозите на държавите членки, подали искания.</w:t>
      </w:r>
    </w:p>
    <w:p>
      <w:pPr>
        <w:spacing w:before="100" w:beforeAutospacing="1" w:after="100" w:afterAutospacing="1"/>
        <w:rPr>
          <w:rFonts w:eastAsia="Times New Roman"/>
          <w:noProof/>
          <w:szCs w:val="24"/>
        </w:rPr>
      </w:pPr>
      <w:r>
        <w:rPr>
          <w:noProof/>
        </w:rPr>
        <w:t xml:space="preserve">Предвид на горепосоченото въздействието на настоящия регламент върху бюджета на ЕС под формата на загуба на приходи според разчетите ще бъде 16,4 милиона евро (16,9 - 0,5 милиона евро). Чрез умножение на тази брутна сума, включваща разходите по събирането, с множител 0,8 се получават общо 13,1 милиона евро годишно за периода от 1 юли 2017 г. до 31 декември 2021 г. </w:t>
      </w:r>
    </w:p>
    <w:p>
      <w:pPr>
        <w:pStyle w:val="ManualHeading1"/>
        <w:rPr>
          <w:noProof/>
        </w:rPr>
      </w:pPr>
      <w:r>
        <w:rPr>
          <w:noProof/>
        </w:rPr>
        <w:t xml:space="preserve">4. МЕРКИ ЗА БОРБА С ИЗМАМИТЕ </w:t>
      </w:r>
    </w:p>
    <w:p>
      <w:pPr>
        <w:spacing w:before="100" w:beforeAutospacing="1" w:after="100" w:afterAutospacing="1"/>
        <w:rPr>
          <w:rFonts w:eastAsia="Times New Roman"/>
          <w:noProof/>
          <w:szCs w:val="24"/>
        </w:rPr>
      </w:pPr>
      <w:r>
        <w:rPr>
          <w:noProof/>
        </w:rPr>
        <w:t xml:space="preserve">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Регламент (ЕС) № 1387/2013 на Съвета от 17 декември 2013 г. за суспендиране на автономните мита по Общата митническа тарифа за определени селскостопански и промишлени продукти и за отмяна на Регламент (ЕС) № 1344/2011 (ОВ L 354, 28.12.2013 г., стр. 201).</w:t>
      </w:r>
    </w:p>
  </w:footnote>
  <w:footnote w:id="2">
    <w:p>
      <w:pPr>
        <w:pStyle w:val="FootnoteText"/>
      </w:pPr>
      <w:r>
        <w:rPr>
          <w:rStyle w:val="FootnoteReference0"/>
        </w:rPr>
        <w:footnoteRef/>
      </w:r>
      <w:r>
        <w:tab/>
        <w:t>ОВ C 363, 13.12.2011 г., стр. 6.</w:t>
      </w:r>
    </w:p>
  </w:footnote>
  <w:footnote w:id="3">
    <w:p>
      <w:pPr>
        <w:pStyle w:val="FootnoteText"/>
      </w:pPr>
      <w:r>
        <w:rPr>
          <w:rStyle w:val="FootnoteReference0"/>
        </w:rPr>
        <w:footnoteRef/>
      </w:r>
      <w:r>
        <w:tab/>
        <w:t>Годишните суми следва да бъдат разчетени по формулата в раздел 5, с бележка под линия за тази цел, напр. „ориентировъчна сума въз основа на договорената формула“. За първата година годишната сума обикновено се изплаща, без да се прилага намаление или пропорционално плащане.</w:t>
      </w:r>
    </w:p>
  </w:footnote>
  <w:footnote w:id="4">
    <w:p>
      <w:pPr>
        <w:pStyle w:val="FootnoteText"/>
      </w:pPr>
      <w:r>
        <w:rPr>
          <w:rStyle w:val="FootnoteReference0"/>
        </w:rPr>
        <w:footnoteRef/>
      </w:r>
      <w:r>
        <w:tab/>
        <w:t>По отношение на традиционните собствени ресурси (мита върху селскостопански продукти, налози върху захарта, мита) посочените суми трябва да бъдат нетни, т.е. брутни суми, от които са приспаднати 20 % за разходи по събирането.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2A0A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7463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F83B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E95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5CEB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32018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92807C"/>
    <w:lvl w:ilvl="0">
      <w:start w:val="1"/>
      <w:numFmt w:val="decimal"/>
      <w:pStyle w:val="ListNumber"/>
      <w:lvlText w:val="%1."/>
      <w:lvlJc w:val="left"/>
      <w:pPr>
        <w:tabs>
          <w:tab w:val="num" w:pos="360"/>
        </w:tabs>
        <w:ind w:left="360" w:hanging="360"/>
      </w:pPr>
    </w:lvl>
  </w:abstractNum>
  <w:abstractNum w:abstractNumId="7">
    <w:nsid w:val="FFFFFF89"/>
    <w:multiLevelType w:val="singleLevel"/>
    <w:tmpl w:val="DC0445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8 17:24: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7C43B2D605A4A898C98DD12D52AF083"/>
    <w:docVar w:name="LW_CROSSREFERENCE" w:val="&lt;UNUSED&gt;"/>
    <w:docVar w:name="LW_DocType" w:val="COM"/>
    <w:docVar w:name="LW_EMISSION" w:val="22.5.2017"/>
    <w:docVar w:name="LW_EMISSION_ISODATE" w:val="2017-05-22"/>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98"/>
    <w:docVar w:name="LW_REF.II.NEW.CP_YEAR" w:val="2017"/>
    <w:docVar w:name="LW_REF.INST.NEW" w:val="COM"/>
    <w:docVar w:name="LW_REF.INST.NEW_ADOPTED" w:val="final"/>
    <w:docVar w:name="LW_REF.INST.NEW_TEXT" w:val="(2017) 245"/>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
    <w:docVar w:name="LW_TYPE.DOC.CP" w:val="\u1056?\u1045?\u1043?\u1051?\u1040?\u1052?\u1045?\u1053?\u1058? \u1053?\u1040? \u1057?\u1066?\u1042?\u1045?\u1058?\u1040?"/>
    <w:docVar w:name="Stamp" w:val="\\dossiers.dgt.cec.eu.int\dossiers\TAXUD\TAXUD-2017-00167\TAXUD-2017-00167-00-01-EN-REV-00.201703081628219249716.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Fichefinanciretitre5">
    <w:name w:val="Fiche financière titre"/>
    <w:basedOn w:val="Normal"/>
    <w:next w:val="Normal"/>
    <w:pPr>
      <w:jc w:val="center"/>
    </w:pPr>
    <w:rPr>
      <w:b/>
      <w:u w:val="single"/>
    </w:rPr>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paragraph" w:customStyle="1" w:styleId="Fichefinanciretitre9">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a">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Fichefinanciretitre5">
    <w:name w:val="Fiche financière titre"/>
    <w:basedOn w:val="Normal"/>
    <w:next w:val="Normal"/>
    <w:pPr>
      <w:jc w:val="center"/>
    </w:pPr>
    <w:rPr>
      <w:b/>
      <w:u w:val="single"/>
    </w:rPr>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paragraph" w:customStyle="1" w:styleId="Fichefinanciretitre9">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a">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0215">
      <w:bodyDiv w:val="1"/>
      <w:marLeft w:val="0"/>
      <w:marRight w:val="0"/>
      <w:marTop w:val="0"/>
      <w:marBottom w:val="0"/>
      <w:divBdr>
        <w:top w:val="none" w:sz="0" w:space="0" w:color="auto"/>
        <w:left w:val="none" w:sz="0" w:space="0" w:color="auto"/>
        <w:bottom w:val="none" w:sz="0" w:space="0" w:color="auto"/>
        <w:right w:val="none" w:sz="0" w:space="0" w:color="auto"/>
      </w:divBdr>
    </w:div>
    <w:div w:id="318505533">
      <w:bodyDiv w:val="1"/>
      <w:marLeft w:val="0"/>
      <w:marRight w:val="0"/>
      <w:marTop w:val="0"/>
      <w:marBottom w:val="0"/>
      <w:divBdr>
        <w:top w:val="none" w:sz="0" w:space="0" w:color="auto"/>
        <w:left w:val="none" w:sz="0" w:space="0" w:color="auto"/>
        <w:bottom w:val="none" w:sz="0" w:space="0" w:color="auto"/>
        <w:right w:val="none" w:sz="0" w:space="0" w:color="auto"/>
      </w:divBdr>
    </w:div>
    <w:div w:id="573973016">
      <w:bodyDiv w:val="1"/>
      <w:marLeft w:val="0"/>
      <w:marRight w:val="0"/>
      <w:marTop w:val="0"/>
      <w:marBottom w:val="0"/>
      <w:divBdr>
        <w:top w:val="none" w:sz="0" w:space="0" w:color="auto"/>
        <w:left w:val="none" w:sz="0" w:space="0" w:color="auto"/>
        <w:bottom w:val="none" w:sz="0" w:space="0" w:color="auto"/>
        <w:right w:val="none" w:sz="0" w:space="0" w:color="auto"/>
      </w:divBdr>
    </w:div>
    <w:div w:id="586615849">
      <w:bodyDiv w:val="1"/>
      <w:marLeft w:val="0"/>
      <w:marRight w:val="0"/>
      <w:marTop w:val="0"/>
      <w:marBottom w:val="0"/>
      <w:divBdr>
        <w:top w:val="none" w:sz="0" w:space="0" w:color="auto"/>
        <w:left w:val="none" w:sz="0" w:space="0" w:color="auto"/>
        <w:bottom w:val="none" w:sz="0" w:space="0" w:color="auto"/>
        <w:right w:val="none" w:sz="0" w:space="0" w:color="auto"/>
      </w:divBdr>
    </w:div>
    <w:div w:id="752774012">
      <w:bodyDiv w:val="1"/>
      <w:marLeft w:val="0"/>
      <w:marRight w:val="0"/>
      <w:marTop w:val="0"/>
      <w:marBottom w:val="0"/>
      <w:divBdr>
        <w:top w:val="none" w:sz="0" w:space="0" w:color="auto"/>
        <w:left w:val="none" w:sz="0" w:space="0" w:color="auto"/>
        <w:bottom w:val="none" w:sz="0" w:space="0" w:color="auto"/>
        <w:right w:val="none" w:sz="0" w:space="0" w:color="auto"/>
      </w:divBdr>
    </w:div>
    <w:div w:id="775948631">
      <w:bodyDiv w:val="1"/>
      <w:marLeft w:val="0"/>
      <w:marRight w:val="0"/>
      <w:marTop w:val="0"/>
      <w:marBottom w:val="0"/>
      <w:divBdr>
        <w:top w:val="none" w:sz="0" w:space="0" w:color="auto"/>
        <w:left w:val="none" w:sz="0" w:space="0" w:color="auto"/>
        <w:bottom w:val="none" w:sz="0" w:space="0" w:color="auto"/>
        <w:right w:val="none" w:sz="0" w:space="0" w:color="auto"/>
      </w:divBdr>
      <w:divsChild>
        <w:div w:id="1096247728">
          <w:marLeft w:val="0"/>
          <w:marRight w:val="0"/>
          <w:marTop w:val="0"/>
          <w:marBottom w:val="0"/>
          <w:divBdr>
            <w:top w:val="none" w:sz="0" w:space="0" w:color="auto"/>
            <w:left w:val="none" w:sz="0" w:space="0" w:color="auto"/>
            <w:bottom w:val="none" w:sz="0" w:space="0" w:color="auto"/>
            <w:right w:val="none" w:sz="0" w:space="0" w:color="auto"/>
          </w:divBdr>
        </w:div>
        <w:div w:id="546651555">
          <w:marLeft w:val="0"/>
          <w:marRight w:val="0"/>
          <w:marTop w:val="0"/>
          <w:marBottom w:val="0"/>
          <w:divBdr>
            <w:top w:val="none" w:sz="0" w:space="0" w:color="auto"/>
            <w:left w:val="none" w:sz="0" w:space="0" w:color="auto"/>
            <w:bottom w:val="none" w:sz="0" w:space="0" w:color="auto"/>
            <w:right w:val="none" w:sz="0" w:space="0" w:color="auto"/>
          </w:divBdr>
        </w:div>
      </w:divsChild>
    </w:div>
    <w:div w:id="811796090">
      <w:bodyDiv w:val="1"/>
      <w:marLeft w:val="0"/>
      <w:marRight w:val="0"/>
      <w:marTop w:val="0"/>
      <w:marBottom w:val="0"/>
      <w:divBdr>
        <w:top w:val="none" w:sz="0" w:space="0" w:color="auto"/>
        <w:left w:val="none" w:sz="0" w:space="0" w:color="auto"/>
        <w:bottom w:val="none" w:sz="0" w:space="0" w:color="auto"/>
        <w:right w:val="none" w:sz="0" w:space="0" w:color="auto"/>
      </w:divBdr>
    </w:div>
    <w:div w:id="939411627">
      <w:bodyDiv w:val="1"/>
      <w:marLeft w:val="0"/>
      <w:marRight w:val="0"/>
      <w:marTop w:val="0"/>
      <w:marBottom w:val="0"/>
      <w:divBdr>
        <w:top w:val="none" w:sz="0" w:space="0" w:color="auto"/>
        <w:left w:val="none" w:sz="0" w:space="0" w:color="auto"/>
        <w:bottom w:val="none" w:sz="0" w:space="0" w:color="auto"/>
        <w:right w:val="none" w:sz="0" w:space="0" w:color="auto"/>
      </w:divBdr>
    </w:div>
    <w:div w:id="943464670">
      <w:bodyDiv w:val="1"/>
      <w:marLeft w:val="0"/>
      <w:marRight w:val="0"/>
      <w:marTop w:val="0"/>
      <w:marBottom w:val="0"/>
      <w:divBdr>
        <w:top w:val="none" w:sz="0" w:space="0" w:color="auto"/>
        <w:left w:val="none" w:sz="0" w:space="0" w:color="auto"/>
        <w:bottom w:val="none" w:sz="0" w:space="0" w:color="auto"/>
        <w:right w:val="none" w:sz="0" w:space="0" w:color="auto"/>
      </w:divBdr>
    </w:div>
    <w:div w:id="1002850315">
      <w:bodyDiv w:val="1"/>
      <w:marLeft w:val="0"/>
      <w:marRight w:val="0"/>
      <w:marTop w:val="0"/>
      <w:marBottom w:val="0"/>
      <w:divBdr>
        <w:top w:val="none" w:sz="0" w:space="0" w:color="auto"/>
        <w:left w:val="none" w:sz="0" w:space="0" w:color="auto"/>
        <w:bottom w:val="none" w:sz="0" w:space="0" w:color="auto"/>
        <w:right w:val="none" w:sz="0" w:space="0" w:color="auto"/>
      </w:divBdr>
    </w:div>
    <w:div w:id="1058942227">
      <w:bodyDiv w:val="1"/>
      <w:marLeft w:val="0"/>
      <w:marRight w:val="0"/>
      <w:marTop w:val="0"/>
      <w:marBottom w:val="0"/>
      <w:divBdr>
        <w:top w:val="none" w:sz="0" w:space="0" w:color="auto"/>
        <w:left w:val="none" w:sz="0" w:space="0" w:color="auto"/>
        <w:bottom w:val="none" w:sz="0" w:space="0" w:color="auto"/>
        <w:right w:val="none" w:sz="0" w:space="0" w:color="auto"/>
      </w:divBdr>
    </w:div>
    <w:div w:id="1072434582">
      <w:bodyDiv w:val="1"/>
      <w:marLeft w:val="0"/>
      <w:marRight w:val="0"/>
      <w:marTop w:val="0"/>
      <w:marBottom w:val="0"/>
      <w:divBdr>
        <w:top w:val="none" w:sz="0" w:space="0" w:color="auto"/>
        <w:left w:val="none" w:sz="0" w:space="0" w:color="auto"/>
        <w:bottom w:val="none" w:sz="0" w:space="0" w:color="auto"/>
        <w:right w:val="none" w:sz="0" w:space="0" w:color="auto"/>
      </w:divBdr>
      <w:divsChild>
        <w:div w:id="1714499735">
          <w:marLeft w:val="0"/>
          <w:marRight w:val="0"/>
          <w:marTop w:val="0"/>
          <w:marBottom w:val="0"/>
          <w:divBdr>
            <w:top w:val="none" w:sz="0" w:space="0" w:color="auto"/>
            <w:left w:val="none" w:sz="0" w:space="0" w:color="auto"/>
            <w:bottom w:val="none" w:sz="0" w:space="0" w:color="auto"/>
            <w:right w:val="none" w:sz="0" w:space="0" w:color="auto"/>
          </w:divBdr>
        </w:div>
        <w:div w:id="457794325">
          <w:marLeft w:val="0"/>
          <w:marRight w:val="0"/>
          <w:marTop w:val="0"/>
          <w:marBottom w:val="0"/>
          <w:divBdr>
            <w:top w:val="none" w:sz="0" w:space="0" w:color="auto"/>
            <w:left w:val="none" w:sz="0" w:space="0" w:color="auto"/>
            <w:bottom w:val="none" w:sz="0" w:space="0" w:color="auto"/>
            <w:right w:val="none" w:sz="0" w:space="0" w:color="auto"/>
          </w:divBdr>
        </w:div>
      </w:divsChild>
    </w:div>
    <w:div w:id="1092580208">
      <w:bodyDiv w:val="1"/>
      <w:marLeft w:val="0"/>
      <w:marRight w:val="0"/>
      <w:marTop w:val="0"/>
      <w:marBottom w:val="0"/>
      <w:divBdr>
        <w:top w:val="none" w:sz="0" w:space="0" w:color="auto"/>
        <w:left w:val="none" w:sz="0" w:space="0" w:color="auto"/>
        <w:bottom w:val="none" w:sz="0" w:space="0" w:color="auto"/>
        <w:right w:val="none" w:sz="0" w:space="0" w:color="auto"/>
      </w:divBdr>
    </w:div>
    <w:div w:id="1237784039">
      <w:bodyDiv w:val="1"/>
      <w:marLeft w:val="0"/>
      <w:marRight w:val="0"/>
      <w:marTop w:val="0"/>
      <w:marBottom w:val="0"/>
      <w:divBdr>
        <w:top w:val="none" w:sz="0" w:space="0" w:color="auto"/>
        <w:left w:val="none" w:sz="0" w:space="0" w:color="auto"/>
        <w:bottom w:val="none" w:sz="0" w:space="0" w:color="auto"/>
        <w:right w:val="none" w:sz="0" w:space="0" w:color="auto"/>
      </w:divBdr>
    </w:div>
    <w:div w:id="1280185553">
      <w:bodyDiv w:val="1"/>
      <w:marLeft w:val="0"/>
      <w:marRight w:val="0"/>
      <w:marTop w:val="0"/>
      <w:marBottom w:val="0"/>
      <w:divBdr>
        <w:top w:val="none" w:sz="0" w:space="0" w:color="auto"/>
        <w:left w:val="none" w:sz="0" w:space="0" w:color="auto"/>
        <w:bottom w:val="none" w:sz="0" w:space="0" w:color="auto"/>
        <w:right w:val="none" w:sz="0" w:space="0" w:color="auto"/>
      </w:divBdr>
    </w:div>
    <w:div w:id="1368263679">
      <w:bodyDiv w:val="1"/>
      <w:marLeft w:val="0"/>
      <w:marRight w:val="0"/>
      <w:marTop w:val="0"/>
      <w:marBottom w:val="0"/>
      <w:divBdr>
        <w:top w:val="none" w:sz="0" w:space="0" w:color="auto"/>
        <w:left w:val="none" w:sz="0" w:space="0" w:color="auto"/>
        <w:bottom w:val="none" w:sz="0" w:space="0" w:color="auto"/>
        <w:right w:val="none" w:sz="0" w:space="0" w:color="auto"/>
      </w:divBdr>
      <w:divsChild>
        <w:div w:id="1422752398">
          <w:marLeft w:val="0"/>
          <w:marRight w:val="0"/>
          <w:marTop w:val="0"/>
          <w:marBottom w:val="0"/>
          <w:divBdr>
            <w:top w:val="none" w:sz="0" w:space="0" w:color="auto"/>
            <w:left w:val="none" w:sz="0" w:space="0" w:color="auto"/>
            <w:bottom w:val="none" w:sz="0" w:space="0" w:color="auto"/>
            <w:right w:val="none" w:sz="0" w:space="0" w:color="auto"/>
          </w:divBdr>
        </w:div>
        <w:div w:id="939878149">
          <w:marLeft w:val="0"/>
          <w:marRight w:val="0"/>
          <w:marTop w:val="0"/>
          <w:marBottom w:val="0"/>
          <w:divBdr>
            <w:top w:val="none" w:sz="0" w:space="0" w:color="auto"/>
            <w:left w:val="none" w:sz="0" w:space="0" w:color="auto"/>
            <w:bottom w:val="none" w:sz="0" w:space="0" w:color="auto"/>
            <w:right w:val="none" w:sz="0" w:space="0" w:color="auto"/>
          </w:divBdr>
        </w:div>
      </w:divsChild>
    </w:div>
    <w:div w:id="1406874853">
      <w:bodyDiv w:val="1"/>
      <w:marLeft w:val="0"/>
      <w:marRight w:val="0"/>
      <w:marTop w:val="0"/>
      <w:marBottom w:val="0"/>
      <w:divBdr>
        <w:top w:val="none" w:sz="0" w:space="0" w:color="auto"/>
        <w:left w:val="none" w:sz="0" w:space="0" w:color="auto"/>
        <w:bottom w:val="none" w:sz="0" w:space="0" w:color="auto"/>
        <w:right w:val="none" w:sz="0" w:space="0" w:color="auto"/>
      </w:divBdr>
    </w:div>
    <w:div w:id="1409691205">
      <w:bodyDiv w:val="1"/>
      <w:marLeft w:val="0"/>
      <w:marRight w:val="0"/>
      <w:marTop w:val="0"/>
      <w:marBottom w:val="0"/>
      <w:divBdr>
        <w:top w:val="none" w:sz="0" w:space="0" w:color="auto"/>
        <w:left w:val="none" w:sz="0" w:space="0" w:color="auto"/>
        <w:bottom w:val="none" w:sz="0" w:space="0" w:color="auto"/>
        <w:right w:val="none" w:sz="0" w:space="0" w:color="auto"/>
      </w:divBdr>
    </w:div>
    <w:div w:id="1729918751">
      <w:bodyDiv w:val="1"/>
      <w:marLeft w:val="0"/>
      <w:marRight w:val="0"/>
      <w:marTop w:val="0"/>
      <w:marBottom w:val="0"/>
      <w:divBdr>
        <w:top w:val="none" w:sz="0" w:space="0" w:color="auto"/>
        <w:left w:val="none" w:sz="0" w:space="0" w:color="auto"/>
        <w:bottom w:val="none" w:sz="0" w:space="0" w:color="auto"/>
        <w:right w:val="none" w:sz="0" w:space="0" w:color="auto"/>
      </w:divBdr>
    </w:div>
    <w:div w:id="18363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AE81-2B6C-4B30-A99C-C8D20234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1610</Words>
  <Characters>9436</Characters>
  <Application>Microsoft Office Word</Application>
  <DocSecurity>0</DocSecurity>
  <Lines>219</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2017-05-17T08:28:00Z</dcterms:created>
  <dcterms:modified xsi:type="dcterms:W3CDTF">2017-05-18T15:24:00Z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