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DFFE21434045DA84DD816124EED603" style="width:450pt;height:46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0"/>
        <w:rPr>
          <w:noProof/>
          <w:sz w:val="2"/>
        </w:rPr>
      </w:pPr>
      <w:bookmarkStart w:id="1" w:name="_GoBack"/>
      <w:bookmarkEnd w:id="1"/>
    </w:p>
    <w:tbl>
      <w:tblPr>
        <w:tblW w:w="1018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after="0"/>
              <w:jc w:val="center"/>
              <w:rPr>
                <w:rFonts w:ascii="Tahoma" w:hAnsi="Tahoma" w:cs="Tahoma"/>
                <w:b/>
                <w:noProof/>
              </w:rPr>
            </w:pP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rFonts w:ascii="Tahoma" w:hAnsi="Tahoma"/>
                <w:b/>
                <w:noProof/>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cPr>
          <w:p>
            <w:pPr>
              <w:spacing w:after="0"/>
              <w:rPr>
                <w:rFonts w:ascii="Tahoma" w:hAnsi="Tahoma" w:cs="Tahoma"/>
                <w:noProof/>
                <w:sz w:val="20"/>
              </w:rPr>
            </w:pPr>
            <w:r>
              <w:rPr>
                <w:rFonts w:ascii="Tahoma" w:hAnsi="Tahoma"/>
                <w:noProof/>
                <w:color w:val="FFFFFF"/>
                <w:sz w:val="20"/>
              </w:rPr>
              <w:t>Analyse d'impact de modifications éventuelles du règlement (UE) nº 648/2012 du Parlement européen et du Conseil du 4 juillet 2012 sur les produits dérivés de gré à gré, les contreparties centrales et les référentiels centraux</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A. Nécessité d’une action</w:t>
            </w:r>
          </w:p>
        </w:tc>
      </w:tr>
      <w:tr>
        <w:tc>
          <w:tcPr>
            <w:tcW w:w="10188" w:type="dxa"/>
            <w:tcBorders>
              <w:bottom w:val="single" w:sz="4" w:space="0" w:color="auto"/>
            </w:tcBorders>
            <w:shd w:val="clear" w:color="auto" w:fill="E0E0E0"/>
          </w:tcPr>
          <w:p>
            <w:pPr>
              <w:spacing w:after="0"/>
              <w:rPr>
                <w:rFonts w:ascii="Tahoma" w:hAnsi="Tahoma" w:cs="Tahoma"/>
                <w:noProof/>
                <w:sz w:val="20"/>
              </w:rPr>
            </w:pPr>
            <w:r>
              <w:rPr>
                <w:rFonts w:ascii="Tahoma" w:hAnsi="Tahoma"/>
                <w:b/>
                <w:noProof/>
                <w:sz w:val="20"/>
              </w:rPr>
              <w:t xml:space="preserve">Pourquoi? Quel est le problème abordé? </w:t>
            </w:r>
          </w:p>
        </w:tc>
      </w:tr>
      <w:tr>
        <w:tc>
          <w:tcPr>
            <w:tcW w:w="10188" w:type="dxa"/>
            <w:tcBorders>
              <w:bottom w:val="single" w:sz="4" w:space="0" w:color="auto"/>
            </w:tcBorders>
            <w:shd w:val="clear" w:color="auto" w:fill="auto"/>
          </w:tcPr>
          <w:p>
            <w:pPr>
              <w:spacing w:after="120"/>
              <w:rPr>
                <w:rFonts w:ascii="Arial" w:hAnsi="Arial" w:cs="Arial"/>
                <w:noProof/>
                <w:sz w:val="20"/>
                <w:highlight w:val="yellow"/>
              </w:rPr>
            </w:pPr>
            <w:r>
              <w:rPr>
                <w:rFonts w:ascii="Arial" w:hAnsi="Arial"/>
                <w:noProof/>
                <w:sz w:val="20"/>
              </w:rPr>
              <w:t>Le règlement (UE) nº 648/2012 du Parlement européen et du Conseil du 4 juillet 2012 sur les produits dérivés de gré à gré, les contreparties centrales et les référentiels centraux (ci-après le «règlement EMIR») a été adopté pour donner suite à l’engagement, pris en septembre 2009 par les dirigeants du G20, de mettre en œuvre à l’échelle mondiale certaines exigences relatives aux contrats dérivés de gré à gré. L’objectif du règlement EMIR est de réduire le risque systémique en augmentant la transparence du marché des dérivés de gré à gré, et de réduire le risque de crédit de la contrepartie et le risque opérationnel associé aux dérivés de gré à gré. Certaines des exigences instaurées à cette fin sont entrées en application, tandis que d’autres ne sont pas encore en vigueur. Le suivi du marché par la Commission et les contributions reçues de la part des parties prenantes et des organes et autorités de l’UE ont montré que les objectifs généraux du règlement EMIR jouissaient d'un large soutien mais qu’un certain nombre de problèmes empêchaient qu’ils soient atteints de la manière la plus efficace et la plus efficiente. Ces problèmes concernent notamment i) les coûts disproportionnés de mise en conformité, qui l’emportent dans de nombreux cas sur les bénéfices prudentiels, ii) le manque de transparence des positions et expositions sur les produits dérivés de gré à gré</w:t>
            </w:r>
            <w:r>
              <w:rPr>
                <w:noProof/>
              </w:rPr>
              <w:t xml:space="preserve"> </w:t>
            </w:r>
            <w:r>
              <w:rPr>
                <w:rFonts w:ascii="Arial" w:hAnsi="Arial"/>
                <w:noProof/>
                <w:sz w:val="20"/>
              </w:rPr>
              <w:t>et iii) l’accès insuffisant de certaines contreparties à la compensation.</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 xml:space="preserve">Quel objectif cette initiative devrait-elle atteindre?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Les options envisagées visent, tout en maintenant le cadre établi par le règlement EMIR, à rendre l’application de ce dernier plus effective et efficiente en rendant les règles plus proportionnées, en augmentant la transparence des positions et expositions sur produits dérivés de gré à gré et en réduisant les obstacles empêchant l’accès à la compensation. À cette fin, un certain nombre d'ajustements ciblés des dispositions du règlement EMIR sont envisagés et évalués à l'aune de l’objectif ultime de sauvegarde de la stabilité financière qu’il poursuit.</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Le règlement EMIR est obligatoire dans tous ses éléments et directement applicable dans tout État membre. Les ajustements ciblés de ses dispositions existantes qui sont envisagés par la présente initiative ne peuvent être effectués qu’au niveau de l’UE sur la base de l’article 114 du traité sur le fonctionnement de l’Union européenne.  </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B. Les solutions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Quelles sont les options législatives et non législatives qui ont été envisagées?</w:t>
            </w:r>
            <w:r>
              <w:rPr>
                <w:rFonts w:ascii="Tahoma" w:hAnsi="Tahoma"/>
                <w:noProof/>
                <w:sz w:val="20"/>
              </w:rPr>
              <w:t xml:space="preserve"> </w:t>
            </w:r>
            <w:r>
              <w:rPr>
                <w:rFonts w:ascii="Tahoma" w:hAnsi="Tahoma"/>
                <w:b/>
                <w:noProof/>
                <w:sz w:val="20"/>
              </w:rPr>
              <w:t xml:space="preserve">Y a-t-il une option privilégiée? Pourquoi?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L’initiative consiste en un réexamen du règlement EMIR existant. Les options envisagées concernent par conséquent des ajustements ciblés de certaines dispositions (législatives). Pour parvenir aux objectifs souhaités, différentes options stratégiques privilégiées ont été recensées: </w:t>
            </w:r>
          </w:p>
          <w:p>
            <w:pPr>
              <w:pStyle w:val="ListBullet"/>
              <w:numPr>
                <w:ilvl w:val="0"/>
                <w:numId w:val="91"/>
              </w:numPr>
              <w:spacing w:after="0"/>
              <w:rPr>
                <w:rFonts w:ascii="Arial" w:hAnsi="Arial" w:cs="Arial"/>
                <w:noProof/>
                <w:sz w:val="20"/>
              </w:rPr>
            </w:pPr>
            <w:r>
              <w:rPr>
                <w:rFonts w:ascii="Arial" w:hAnsi="Arial"/>
                <w:noProof/>
                <w:sz w:val="20"/>
              </w:rPr>
              <w:t>prévoir une nouvelle exemption provisoire de l’obligation de compensation pour les dispositifs de régime de retraite;</w:t>
            </w:r>
          </w:p>
          <w:p>
            <w:pPr>
              <w:numPr>
                <w:ilvl w:val="0"/>
                <w:numId w:val="91"/>
              </w:numPr>
              <w:spacing w:after="0"/>
              <w:rPr>
                <w:rFonts w:ascii="Arial" w:hAnsi="Arial" w:cs="Arial"/>
                <w:noProof/>
                <w:sz w:val="20"/>
              </w:rPr>
            </w:pPr>
            <w:r>
              <w:rPr>
                <w:rFonts w:ascii="Arial" w:hAnsi="Arial"/>
                <w:noProof/>
                <w:sz w:val="20"/>
              </w:rPr>
              <w:t xml:space="preserve">réduire le champ d’application de l’obligation de compensation pour les contreparties non financières; </w:t>
            </w:r>
          </w:p>
          <w:p>
            <w:pPr>
              <w:numPr>
                <w:ilvl w:val="0"/>
                <w:numId w:val="91"/>
              </w:numPr>
              <w:spacing w:after="0"/>
              <w:rPr>
                <w:rFonts w:ascii="Arial" w:hAnsi="Arial" w:cs="Arial"/>
                <w:noProof/>
                <w:sz w:val="20"/>
              </w:rPr>
            </w:pPr>
            <w:r>
              <w:rPr>
                <w:rFonts w:ascii="Arial" w:hAnsi="Arial"/>
                <w:noProof/>
                <w:sz w:val="20"/>
              </w:rPr>
              <w:t>retirer les très petites contreparties financières du champ d’application de l’obligation de compensation;</w:t>
            </w:r>
          </w:p>
          <w:p>
            <w:pPr>
              <w:numPr>
                <w:ilvl w:val="0"/>
                <w:numId w:val="91"/>
              </w:numPr>
              <w:spacing w:after="0"/>
              <w:rPr>
                <w:rFonts w:ascii="Arial" w:hAnsi="Arial" w:cs="Arial"/>
                <w:noProof/>
                <w:sz w:val="20"/>
              </w:rPr>
            </w:pPr>
            <w:r>
              <w:rPr>
                <w:rFonts w:ascii="Arial" w:hAnsi="Arial"/>
                <w:noProof/>
                <w:sz w:val="20"/>
              </w:rPr>
              <w:t>supprimer l’obligation de déclaration rétroactive («backloading»);</w:t>
            </w:r>
          </w:p>
          <w:p>
            <w:pPr>
              <w:numPr>
                <w:ilvl w:val="0"/>
                <w:numId w:val="91"/>
              </w:numPr>
              <w:spacing w:after="0"/>
              <w:rPr>
                <w:rFonts w:ascii="Arial" w:hAnsi="Arial" w:cs="Arial"/>
                <w:noProof/>
                <w:sz w:val="20"/>
              </w:rPr>
            </w:pPr>
            <w:r>
              <w:rPr>
                <w:rFonts w:ascii="Arial" w:hAnsi="Arial"/>
                <w:noProof/>
                <w:sz w:val="20"/>
              </w:rPr>
              <w:t>exempter les contreparties non financières de l’obligation de déclarer les transactions intragroupe;</w:t>
            </w:r>
          </w:p>
          <w:p>
            <w:pPr>
              <w:numPr>
                <w:ilvl w:val="0"/>
                <w:numId w:val="91"/>
              </w:numPr>
              <w:spacing w:after="0"/>
              <w:rPr>
                <w:rFonts w:ascii="Arial" w:hAnsi="Arial" w:cs="Arial"/>
                <w:noProof/>
                <w:sz w:val="20"/>
              </w:rPr>
            </w:pPr>
            <w:r>
              <w:rPr>
                <w:rFonts w:ascii="Arial" w:hAnsi="Arial"/>
                <w:noProof/>
                <w:sz w:val="20"/>
              </w:rPr>
              <w:t>pour les transactions sur les dérivés négociés en bourse, instaurer une déclaration unilatérale par les contreparties centrales;</w:t>
            </w:r>
          </w:p>
          <w:p>
            <w:pPr>
              <w:numPr>
                <w:ilvl w:val="0"/>
                <w:numId w:val="91"/>
              </w:numPr>
              <w:spacing w:after="0"/>
              <w:rPr>
                <w:rFonts w:ascii="Arial" w:hAnsi="Arial" w:cs="Arial"/>
                <w:noProof/>
                <w:sz w:val="20"/>
              </w:rPr>
            </w:pPr>
            <w:r>
              <w:rPr>
                <w:rFonts w:ascii="Arial" w:hAnsi="Arial"/>
                <w:noProof/>
                <w:sz w:val="20"/>
              </w:rPr>
              <w:t>pour les transactions qui ne portent pas sur des dérivés négociés en bourse, prévoir que la déclaration de transactions entre une petite contrepartie non financière et une contrepartie financière incombe à cette dernière;</w:t>
            </w:r>
          </w:p>
          <w:p>
            <w:pPr>
              <w:numPr>
                <w:ilvl w:val="0"/>
                <w:numId w:val="91"/>
              </w:numPr>
              <w:spacing w:after="0"/>
              <w:rPr>
                <w:rFonts w:ascii="Arial" w:hAnsi="Arial" w:cs="Arial"/>
                <w:noProof/>
                <w:sz w:val="20"/>
              </w:rPr>
            </w:pPr>
            <w:r>
              <w:rPr>
                <w:rFonts w:ascii="Arial" w:hAnsi="Arial"/>
                <w:noProof/>
                <w:sz w:val="20"/>
              </w:rPr>
              <w:t>harmoniser davantage les règles et procédures de déclaration et charger les référentiels centraux de veiller à la qualité des données;</w:t>
            </w:r>
          </w:p>
          <w:p>
            <w:pPr>
              <w:numPr>
                <w:ilvl w:val="0"/>
                <w:numId w:val="91"/>
              </w:numPr>
              <w:spacing w:after="0"/>
              <w:rPr>
                <w:rFonts w:ascii="Arial" w:hAnsi="Arial" w:cs="Arial"/>
                <w:noProof/>
                <w:sz w:val="20"/>
              </w:rPr>
            </w:pPr>
            <w:r>
              <w:rPr>
                <w:rFonts w:ascii="Arial" w:hAnsi="Arial"/>
                <w:noProof/>
                <w:sz w:val="20"/>
              </w:rPr>
              <w:t xml:space="preserve">relever le plafond du montant de base des amendes infligées en cas de non-respect par les référentiels centraux des exigences d’EMIR; </w:t>
            </w:r>
          </w:p>
          <w:p>
            <w:pPr>
              <w:numPr>
                <w:ilvl w:val="0"/>
                <w:numId w:val="91"/>
              </w:numPr>
              <w:spacing w:after="0"/>
              <w:rPr>
                <w:rFonts w:ascii="Arial" w:hAnsi="Arial" w:cs="Arial"/>
                <w:noProof/>
                <w:sz w:val="20"/>
              </w:rPr>
            </w:pPr>
            <w:r>
              <w:rPr>
                <w:rFonts w:ascii="Arial" w:hAnsi="Arial"/>
                <w:noProof/>
                <w:sz w:val="20"/>
              </w:rPr>
              <w:t>clarifier l’interaction entre les outils de gestion des défaillances d’EMIR et les législations nationales en matière d'insolvabilité et introduire dans le règlement EMIR le principe de conditions commerciales équitables, raisonnables et non discriminatoires (conditions dites «FRAND») pour les services de compensation.</w:t>
            </w:r>
          </w:p>
        </w:tc>
      </w:tr>
      <w:tr>
        <w:tc>
          <w:tcPr>
            <w:tcW w:w="10188" w:type="dxa"/>
            <w:shd w:val="clear" w:color="auto" w:fill="CCCCCC"/>
          </w:tcPr>
          <w:p>
            <w:pPr>
              <w:spacing w:after="0"/>
              <w:rPr>
                <w:rFonts w:ascii="Tahoma" w:hAnsi="Tahoma" w:cs="Tahoma"/>
                <w:noProof/>
                <w:sz w:val="20"/>
              </w:rPr>
            </w:pPr>
            <w:r>
              <w:rPr>
                <w:rFonts w:ascii="Tahoma" w:hAnsi="Tahoma"/>
                <w:b/>
                <w:noProof/>
                <w:sz w:val="20"/>
              </w:rPr>
              <w:t xml:space="preserve">Qui soutient quelle option? </w:t>
            </w:r>
          </w:p>
        </w:tc>
      </w:tr>
      <w:tr>
        <w:tc>
          <w:tcPr>
            <w:tcW w:w="10188" w:type="dxa"/>
            <w:shd w:val="clear" w:color="auto" w:fill="auto"/>
          </w:tcPr>
          <w:p>
            <w:pPr>
              <w:spacing w:after="0"/>
              <w:rPr>
                <w:rFonts w:ascii="Arial" w:hAnsi="Arial" w:cs="Arial"/>
                <w:noProof/>
                <w:sz w:val="20"/>
              </w:rPr>
            </w:pPr>
            <w:r>
              <w:rPr>
                <w:rFonts w:ascii="Arial" w:hAnsi="Arial"/>
                <w:noProof/>
                <w:sz w:val="20"/>
              </w:rPr>
              <w:t xml:space="preserve">Deux consultations publiques organisées par la Commission ont permis de recueillir les observations des parties prenantes sur le fonctionnement du règlement EMIR. Ces consultations posaient un certain nombre de questions spécifiques mais n'évoquaient pas d'options stratégiques concrètes susceptibles d’être envisagées. Tous les groupes de parties prenantes étaient très favorables à un renforcement de la proportionnalité des règles. La déclaration des transactions a suscité beaucoup de commentaires. Les répondants, principalement des entreprises et des associations professionnelles, ont demandé à ce que les exigences de déclaration soient abaissées pour les contreparties non financières. Un grand nombre de répondants au sein de différentes catégories de parties prenantes ont également estimé que la déclaration bilatérale devrait être remplacée par une déclaration unilatérale; cette option a été évaluée mais rejetée dans la présente analyse d'impact. Les répondants ont également évoqué la nécessité d’instaurer des exemptions des obligations de compensation et des exigences de marge pour les contreparties qui ne revêtent pas une importance systémique. </w:t>
            </w:r>
          </w:p>
          <w:p>
            <w:pPr>
              <w:spacing w:after="0"/>
              <w:rPr>
                <w:rFonts w:ascii="Arial" w:hAnsi="Arial" w:cs="Arial"/>
                <w:noProof/>
                <w:sz w:val="20"/>
                <w:highlight w:val="yellow"/>
              </w:rPr>
            </w:pPr>
            <w:r>
              <w:rPr>
                <w:rFonts w:ascii="Arial" w:hAnsi="Arial"/>
                <w:noProof/>
                <w:sz w:val="20"/>
              </w:rPr>
              <w:t>Les discussions menées avec les experts des États membres à un stade ultérieur ont porté sur les différentes options stratégiques envisagées. La majorité des experts des États membres étaient favorables aux options privilégiées retenues dans la présente analyste d'impact.</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C. Incidences de l’option privilégiée</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Quels sont les avantages</w:t>
            </w:r>
            <w:r>
              <w:rPr>
                <w:rFonts w:ascii="Tahoma" w:hAnsi="Tahoma"/>
                <w:noProof/>
                <w:sz w:val="20"/>
              </w:rPr>
              <w:t xml:space="preserve"> </w:t>
            </w:r>
            <w:r>
              <w:rPr>
                <w:rFonts w:ascii="Tahoma" w:hAnsi="Tahoma"/>
                <w:b/>
                <w:noProof/>
                <w:sz w:val="20"/>
              </w:rPr>
              <w:t>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Premièrement, les modifications proposées réduiront les coûts de mise en conformité et les contraintes imposés aux participants du marché, sans effets négatifs sur la stabilité financière. La plus grande proportionnalité de l’application des règles de compensation profitera aux contreparties non financières, car les mesures envisagées garantiront des conditions plus équitables, le relèvement du seuil faisant que seules les plus grandes entreprises non financières seront soumises aux obligations de compensation. La redéfinition de ce qui constitue une petite contrepartie financière devant être soumise à l’obligation de compensation permettra d’alléger les contraintes pesant sur les (très) petites contreparties financières pour qui la compensation centrale n’est économiquement pas faisable.</w:t>
            </w:r>
            <w:r>
              <w:rPr>
                <w:noProof/>
              </w:rPr>
              <w:t xml:space="preserve"> </w:t>
            </w:r>
            <w:r>
              <w:rPr>
                <w:rFonts w:ascii="Arial" w:hAnsi="Arial"/>
                <w:noProof/>
                <w:sz w:val="20"/>
              </w:rPr>
              <w:t xml:space="preserve">Les dispositifs de régime de retraite bénéficieront d'une nouvelle exemption provisoire de l’obligation de compensation, étant donné qu’aucune solution technique viable de compensation n'a encore été trouvée à ce jour. Toutes les contreparties bénéficieront d'un allégement de certaines exigences déclaratives, notamment de la suppression de l’obligation de déclaration rétroactive («backloading»). Deuxièmement, la plus grande transparence des positions et expositions sur dérivés de gré à gré permettra aux autorités de détecter plus précocement tout problème éventuel et de prendre rapidement des mesures pour parer aux risques, ce qui sera bénéfique pour la résilience des marchés financiers. Troisièmement, l’amélioration de l’accès à la compensation permettra à un plus grand nombre de participants du marché de gérer et couvrir leurs risques et contribuera, en réduisant la probabilité de chocs soudains et d'interruptions d’activité, à assurer aux entreprises des conditions plus propices au développement de leur activité et à accroître la sécurité de l’emploi pour leurs salariés.  </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Dans l’ensemble, aucun coût social ou économique significatif ne devrait être engendré. La simplification et la plus grande proportionnalité envisagées des règles en matière de déclaration permettront de réaliser les objectifs d’EMIR tout en réduisant considérablement la charge administrative globale que supportent les contreparties soumises aux obligations de déclaration au titre d’EMIR. Lorsqu’il est envisagé de transférer l’obligation de déclaration, c'est vers les entités les mieux armées pour s'en acquitter et compte tenu des économies d'échelle qui sont en jeu, les coûts totaux concernés devraient globalement diminuer. La poursuite de l’harmonisation des règles et procédures de déclaration risque tout au plus d’engendrer quelques coûts administratifs supplémentaires limités pendant les premiers temps de la mise en œuvre, mais elle devrait, à moyen terme, conduire à une plus grande efficience et à une réduction de la charge globale. De même, l’obligation de respecter des conditions commerciales équitables, raisonnables et non discriminatoires (FRAND) dans le cadre des services de compensation, qui sera bénéfique pour de nombreuses contreparties, ne devrait engendrer que peu de coûts administratifs supplémentaires. </w:t>
            </w:r>
          </w:p>
          <w:p>
            <w:pPr>
              <w:spacing w:after="0"/>
              <w:rPr>
                <w:rFonts w:ascii="Arial" w:hAnsi="Arial" w:cs="Arial"/>
                <w:noProof/>
                <w:sz w:val="20"/>
              </w:rPr>
            </w:pPr>
            <w:r>
              <w:rPr>
                <w:rFonts w:ascii="Arial" w:hAnsi="Arial"/>
                <w:noProof/>
                <w:sz w:val="20"/>
              </w:rPr>
              <w:t>L’effet combiné de toutes les options privilégiées est une réduction sensible des coûts. L'estimation des économies potentielles, calculées uniquement aux fins de la présente analyse d’impact et en prenant en considération toutes les hypothèses sous-jacentes décrites à l'annexe 8, se situe</w:t>
            </w:r>
            <w:r>
              <w:rPr>
                <w:noProof/>
              </w:rPr>
              <w:t xml:space="preserve"> </w:t>
            </w:r>
            <w:r>
              <w:rPr>
                <w:rFonts w:ascii="Arial" w:hAnsi="Arial" w:cs="Arial"/>
                <w:noProof/>
                <w:sz w:val="20"/>
              </w:rPr>
              <w:t xml:space="preserve">entre 2,3 milliards d’EUR et 6,9 milliards d’EUR pour les coûts fixes (non récurrents) et entre 1,1 milliard d’EUR et 2,66 milliards d’EUR pour les coûts opérationnels. La fiabilité de ces estimations des réductions de coûts se heurte à différentes limites. Premièrement, ces estimations ne sont valables que pour l'instant présent. Les exigences qui s'appliqueront à un stade ultérieur, comme les exigences de marge dont l’entrée en application est progressive, n’ont pas été prises en compte dans le calcul. Deuxièmement, les calculs reposent sur une quantité restreinte de données publiquement disponibles et de données empiriques du marché, qui ne rendent peut-être pas compte avec exactitude de la diversité et de la spécificité des contreparties concernées. Troisièmement, les calculs reposent sur l’hypothèse que les réductions de coûts seront entièrement répercutées sur les utilisateurs finaux. Quatrièmement, les ajustements de coûts minimes résultant, par exemple, de l’instauration de conditions commerciales FRAND (impact attendu sur les membres compensateurs) et des mesures visant à accroître la qualité des données (impact attendu sur les référentiels centraux) n’ont pas été inclus dans ce calcul. </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after="0"/>
              <w:rPr>
                <w:rFonts w:ascii="Arial" w:hAnsi="Arial" w:cs="Arial"/>
                <w:i/>
                <w:noProof/>
                <w:sz w:val="20"/>
              </w:rPr>
            </w:pPr>
            <w:r>
              <w:rPr>
                <w:rFonts w:ascii="Arial" w:hAnsi="Arial"/>
                <w:noProof/>
                <w:sz w:val="20"/>
              </w:rPr>
              <w:t xml:space="preserve">Les entreprises, les PME et les micro-entreprises bénéficieront en particulier des options qui visent à i) réduire les exigences réglementaires dans les cas où des coûts de mise en conformité disproportionnés semblent l’emporter sur les bénéfices prudentiels et ii) améliorer l’accès à la compensation. Les contreparties non financières bénéficieront de l'ajustement du champ d'application de l’obligation de compensation. La simplification des exigences déclaratives profitera à toutes les contreparties, y compris les PME. Enfin, l'introduction de nouveaux principes FRAND permettra à de nombreuses contreparties d'avoir plus aisément accès à la compensation. </w:t>
            </w:r>
          </w:p>
        </w:tc>
      </w:tr>
      <w:tr>
        <w:tc>
          <w:tcPr>
            <w:tcW w:w="10188" w:type="dxa"/>
            <w:tcBorders>
              <w:bottom w:val="single" w:sz="4" w:space="0" w:color="auto"/>
            </w:tcBorders>
            <w:shd w:val="clear" w:color="auto" w:fill="E6E6E6"/>
          </w:tcPr>
          <w:p>
            <w:pPr>
              <w:spacing w:after="0"/>
              <w:rPr>
                <w:rFonts w:ascii="Tahoma" w:hAnsi="Tahoma" w:cs="Tahoma"/>
                <w:b/>
                <w:i/>
                <w:noProof/>
                <w:sz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noProof/>
              </w:rPr>
              <w:t xml:space="preserve"> </w:t>
            </w:r>
          </w:p>
        </w:tc>
      </w:tr>
      <w:tr>
        <w:tc>
          <w:tcPr>
            <w:tcW w:w="10188" w:type="dxa"/>
            <w:shd w:val="clear" w:color="auto" w:fill="auto"/>
          </w:tcPr>
          <w:p>
            <w:pPr>
              <w:spacing w:after="0"/>
              <w:rPr>
                <w:rFonts w:ascii="Arial" w:hAnsi="Arial" w:cs="Arial"/>
                <w:noProof/>
                <w:sz w:val="20"/>
              </w:rPr>
            </w:pPr>
            <w:r>
              <w:rPr>
                <w:rFonts w:ascii="Arial" w:hAnsi="Arial"/>
                <w:noProof/>
                <w:sz w:val="20"/>
              </w:rPr>
              <w:t>Non. Les modifications envisagées ne devraient pas entraîner de coûts notables pour les budgets nationaux et les administrations nationales.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Y aura-t-il d’autres incidences notables?</w:t>
            </w:r>
            <w:r>
              <w:rPr>
                <w:rFonts w:ascii="Tahoma" w:hAnsi="Tahoma"/>
                <w:noProof/>
                <w:sz w:val="20"/>
              </w:rPr>
              <w:t xml:space="preserve"> </w:t>
            </w:r>
            <w:r>
              <w:rPr>
                <w:rFonts w:ascii="Tahoma" w:hAnsi="Tahoma"/>
                <w:noProof/>
                <w:sz w:val="20"/>
                <w:u w:val="single"/>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Non. </w:t>
            </w:r>
          </w:p>
        </w:tc>
      </w:tr>
      <w:tr>
        <w:tc>
          <w:tcPr>
            <w:tcW w:w="10188" w:type="dxa"/>
            <w:tcBorders>
              <w:bottom w:val="single" w:sz="4" w:space="0" w:color="auto"/>
            </w:tcBorders>
            <w:shd w:val="clear" w:color="auto" w:fill="C0C0C0"/>
          </w:tcPr>
          <w:p>
            <w:pPr>
              <w:spacing w:after="0"/>
              <w:jc w:val="center"/>
              <w:rPr>
                <w:rFonts w:ascii="Tahoma" w:hAnsi="Tahoma" w:cs="Tahoma"/>
                <w:b/>
                <w:noProof/>
              </w:rPr>
            </w:pPr>
            <w:r>
              <w:rPr>
                <w:rFonts w:ascii="Tahoma" w:hAnsi="Tahoma"/>
                <w:b/>
                <w:noProof/>
              </w:rPr>
              <w:t>D. Suivi</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 xml:space="preserve">Quand la législation sera-t-elle réexaminée? </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b/>
                <w:noProof/>
                <w:sz w:val="20"/>
              </w:rPr>
            </w:pPr>
            <w:r>
              <w:rPr>
                <w:rFonts w:ascii="Arial" w:hAnsi="Arial"/>
                <w:noProof/>
                <w:sz w:val="20"/>
              </w:rPr>
              <w:t>Les exigences du règlement EMIR n’étant pas toutes entrées en application en même temps et certaines d’entre elles n'étant pas encore en vigueur, il conviendrait d'effectuer une évaluation du règlement dans son entièreté, en mettant l’accent sur l’efficience et l’efficacité avec lesquelles il atteint ses objectifs initiaux. Cette évaluation devrait porter également sur les ajustements ciblés envisagés dans la présente initiative. Elle devrait avoir lieu au moins trois ans après l'application de ces derniers. Dans certains cas, notamment en ce qui concerne les dispositifs de régime de retraite, il importe de suivre en permanence les progrès accomplis dans le cadre de l’élaboration de solutions de compensation.</w:t>
            </w:r>
          </w:p>
        </w:tc>
      </w:tr>
    </w:tbl>
    <w:p>
      <w:pPr>
        <w:rPr>
          <w:noProof/>
        </w:rPr>
      </w:pPr>
      <w:bookmarkStart w:id="2" w:name="_Toc425860951"/>
      <w:bookmarkStart w:id="3" w:name="_Toc425861051"/>
      <w:bookmarkStart w:id="4" w:name="_Toc425861121"/>
      <w:bookmarkStart w:id="5" w:name="_Toc425869896"/>
      <w:bookmarkStart w:id="6" w:name="_Toc425860952"/>
      <w:bookmarkStart w:id="7" w:name="_Toc425861052"/>
      <w:bookmarkStart w:id="8" w:name="_Toc425861122"/>
      <w:bookmarkStart w:id="9" w:name="_Toc425869897"/>
      <w:bookmarkStart w:id="10" w:name="_Toc401848614"/>
      <w:bookmarkStart w:id="11" w:name="_Toc402183499"/>
      <w:bookmarkStart w:id="12" w:name="_Toc411439303"/>
      <w:bookmarkStart w:id="13" w:name="_Toc412736413"/>
      <w:bookmarkStart w:id="14" w:name="_Toc413053046"/>
      <w:bookmarkStart w:id="15" w:name="_Toc413138174"/>
      <w:bookmarkStart w:id="16" w:name="_Toc413139238"/>
      <w:bookmarkStart w:id="17" w:name="_Toc413139459"/>
      <w:bookmarkStart w:id="18" w:name="_Toc413139764"/>
      <w:bookmarkStart w:id="19" w:name="_Toc414268562"/>
      <w:bookmarkStart w:id="20" w:name="_Toc414453413"/>
      <w:bookmarkStart w:id="21" w:name="_Toc414466884"/>
      <w:bookmarkStart w:id="22" w:name="_Toc415131680"/>
      <w:bookmarkStart w:id="23" w:name="_Toc415654190"/>
      <w:bookmarkStart w:id="24" w:name="_Toc416265125"/>
      <w:bookmarkStart w:id="25" w:name="_Toc416265394"/>
      <w:bookmarkStart w:id="26" w:name="_Toc401848620"/>
      <w:bookmarkStart w:id="27" w:name="_Toc402183505"/>
      <w:bookmarkStart w:id="28" w:name="_Toc411439309"/>
      <w:bookmarkStart w:id="29" w:name="_Toc412736419"/>
      <w:bookmarkStart w:id="30" w:name="_Toc413053052"/>
      <w:bookmarkStart w:id="31" w:name="_Toc413138180"/>
      <w:bookmarkStart w:id="32" w:name="_Toc413139244"/>
      <w:bookmarkStart w:id="33" w:name="_Toc413139465"/>
      <w:bookmarkStart w:id="34" w:name="_Toc413139770"/>
      <w:bookmarkStart w:id="35" w:name="_Toc414268568"/>
      <w:bookmarkStart w:id="36" w:name="_Toc414453419"/>
      <w:bookmarkStart w:id="37" w:name="_Toc414466890"/>
      <w:bookmarkStart w:id="38" w:name="_Toc415131686"/>
      <w:bookmarkStart w:id="39" w:name="_Toc415654196"/>
      <w:bookmarkStart w:id="40" w:name="_Toc416265131"/>
      <w:bookmarkStart w:id="41" w:name="_Toc416265400"/>
      <w:bookmarkStart w:id="42" w:name="_Toc425860962"/>
      <w:bookmarkStart w:id="43" w:name="_Toc425861062"/>
      <w:bookmarkStart w:id="44" w:name="_Toc425861132"/>
      <w:bookmarkStart w:id="45" w:name="_Toc425869907"/>
      <w:bookmarkStart w:id="46" w:name="_Toc425860966"/>
      <w:bookmarkStart w:id="47" w:name="_Toc425861066"/>
      <w:bookmarkStart w:id="48" w:name="_Toc425861136"/>
      <w:bookmarkStart w:id="49" w:name="_Toc425869911"/>
      <w:bookmarkStart w:id="50" w:name="_Toc365634732"/>
      <w:bookmarkStart w:id="51" w:name="_Toc365637929"/>
      <w:bookmarkStart w:id="52" w:name="_Toc365638021"/>
      <w:bookmarkStart w:id="53" w:name="_Toc365638124"/>
      <w:bookmarkStart w:id="54" w:name="_Toc365638215"/>
      <w:bookmarkStart w:id="55" w:name="_Toc365638306"/>
      <w:bookmarkStart w:id="56" w:name="_Toc365634733"/>
      <w:bookmarkStart w:id="57" w:name="_Toc365637930"/>
      <w:bookmarkStart w:id="58" w:name="_Toc365638022"/>
      <w:bookmarkStart w:id="59" w:name="_Toc365638125"/>
      <w:bookmarkStart w:id="60" w:name="_Toc365638216"/>
      <w:bookmarkStart w:id="61" w:name="_Toc365638307"/>
      <w:bookmarkStart w:id="62" w:name="_Toc365634734"/>
      <w:bookmarkStart w:id="63" w:name="_Toc365637931"/>
      <w:bookmarkStart w:id="64" w:name="_Toc365638023"/>
      <w:bookmarkStart w:id="65" w:name="_Toc365638126"/>
      <w:bookmarkStart w:id="66" w:name="_Toc365638217"/>
      <w:bookmarkStart w:id="67" w:name="_Toc365638308"/>
      <w:bookmarkStart w:id="68" w:name="_Toc365634738"/>
      <w:bookmarkStart w:id="69" w:name="_Toc365637935"/>
      <w:bookmarkStart w:id="70" w:name="_Toc365638027"/>
      <w:bookmarkStart w:id="71" w:name="_Toc365638130"/>
      <w:bookmarkStart w:id="72" w:name="_Toc365638221"/>
      <w:bookmarkStart w:id="73" w:name="_Toc365638312"/>
      <w:bookmarkStart w:id="74" w:name="_Toc365634740"/>
      <w:bookmarkStart w:id="75" w:name="_Toc365637937"/>
      <w:bookmarkStart w:id="76" w:name="_Toc365638029"/>
      <w:bookmarkStart w:id="77" w:name="_Toc365638132"/>
      <w:bookmarkStart w:id="78" w:name="_Toc365638223"/>
      <w:bookmarkStart w:id="79" w:name="_Toc365638314"/>
      <w:bookmarkStart w:id="80" w:name="_Toc365634741"/>
      <w:bookmarkStart w:id="81" w:name="_Toc365637938"/>
      <w:bookmarkStart w:id="82" w:name="_Toc365638030"/>
      <w:bookmarkStart w:id="83" w:name="_Toc365638133"/>
      <w:bookmarkStart w:id="84" w:name="_Toc365638224"/>
      <w:bookmarkStart w:id="85" w:name="_Toc365638315"/>
      <w:bookmarkStart w:id="86" w:name="_Toc365634742"/>
      <w:bookmarkStart w:id="87" w:name="_Toc365637939"/>
      <w:bookmarkStart w:id="88" w:name="_Toc365638031"/>
      <w:bookmarkStart w:id="89" w:name="_Toc365638134"/>
      <w:bookmarkStart w:id="90" w:name="_Toc365638225"/>
      <w:bookmarkStart w:id="91" w:name="_Toc365638316"/>
      <w:bookmarkStart w:id="92" w:name="_Toc365634748"/>
      <w:bookmarkStart w:id="93" w:name="_Toc365637945"/>
      <w:bookmarkStart w:id="94" w:name="_Toc365638037"/>
      <w:bookmarkStart w:id="95" w:name="_Toc365638140"/>
      <w:bookmarkStart w:id="96" w:name="_Toc365638231"/>
      <w:bookmarkStart w:id="97" w:name="_Toc365638322"/>
      <w:bookmarkStart w:id="98" w:name="_Toc365634749"/>
      <w:bookmarkStart w:id="99" w:name="_Toc365637946"/>
      <w:bookmarkStart w:id="100" w:name="_Toc365638038"/>
      <w:bookmarkStart w:id="101" w:name="_Toc365638141"/>
      <w:bookmarkStart w:id="102" w:name="_Toc365638232"/>
      <w:bookmarkStart w:id="103" w:name="_Toc365638323"/>
      <w:bookmarkStart w:id="104" w:name="_Toc365634754"/>
      <w:bookmarkStart w:id="105" w:name="_Toc365637951"/>
      <w:bookmarkStart w:id="106" w:name="_Toc365638043"/>
      <w:bookmarkStart w:id="107" w:name="_Toc365638146"/>
      <w:bookmarkStart w:id="108" w:name="_Toc365638237"/>
      <w:bookmarkStart w:id="109" w:name="_Toc365638328"/>
      <w:bookmarkStart w:id="110" w:name="_Toc365634757"/>
      <w:bookmarkStart w:id="111" w:name="_Toc365637954"/>
      <w:bookmarkStart w:id="112" w:name="_Toc365638046"/>
      <w:bookmarkStart w:id="113" w:name="_Toc365638149"/>
      <w:bookmarkStart w:id="114" w:name="_Toc365638240"/>
      <w:bookmarkStart w:id="115" w:name="_Toc365638331"/>
      <w:bookmarkStart w:id="116" w:name="_Toc365629685"/>
      <w:bookmarkStart w:id="117" w:name="_Toc365634758"/>
      <w:bookmarkStart w:id="118" w:name="_Toc365637955"/>
      <w:bookmarkStart w:id="119" w:name="_Toc365638047"/>
      <w:bookmarkStart w:id="120" w:name="_Toc365638150"/>
      <w:bookmarkStart w:id="121" w:name="_Toc365638241"/>
      <w:bookmarkStart w:id="122" w:name="_Toc365638332"/>
      <w:bookmarkStart w:id="123" w:name="_Toc365629688"/>
      <w:bookmarkStart w:id="124" w:name="_Toc365634761"/>
      <w:bookmarkStart w:id="125" w:name="_Toc365637958"/>
      <w:bookmarkStart w:id="126" w:name="_Toc365638050"/>
      <w:bookmarkStart w:id="127" w:name="_Toc365638153"/>
      <w:bookmarkStart w:id="128" w:name="_Toc365638244"/>
      <w:bookmarkStart w:id="129" w:name="_Toc365638335"/>
      <w:bookmarkStart w:id="130" w:name="_Toc365629689"/>
      <w:bookmarkStart w:id="131" w:name="_Toc365634762"/>
      <w:bookmarkStart w:id="132" w:name="_Toc365637959"/>
      <w:bookmarkStart w:id="133" w:name="_Toc365638051"/>
      <w:bookmarkStart w:id="134" w:name="_Toc365638154"/>
      <w:bookmarkStart w:id="135" w:name="_Toc365638245"/>
      <w:bookmarkStart w:id="136" w:name="_Toc365638336"/>
      <w:bookmarkStart w:id="137" w:name="_Toc365629690"/>
      <w:bookmarkStart w:id="138" w:name="_Toc365634763"/>
      <w:bookmarkStart w:id="139" w:name="_Toc365637960"/>
      <w:bookmarkStart w:id="140" w:name="_Toc365638052"/>
      <w:bookmarkStart w:id="141" w:name="_Toc365638155"/>
      <w:bookmarkStart w:id="142" w:name="_Toc365638246"/>
      <w:bookmarkStart w:id="143" w:name="_Toc365638337"/>
      <w:bookmarkStart w:id="144" w:name="_Toc365629691"/>
      <w:bookmarkStart w:id="145" w:name="_Toc365634764"/>
      <w:bookmarkStart w:id="146" w:name="_Toc365637961"/>
      <w:bookmarkStart w:id="147" w:name="_Toc365638053"/>
      <w:bookmarkStart w:id="148" w:name="_Toc365638156"/>
      <w:bookmarkStart w:id="149" w:name="_Toc365638247"/>
      <w:bookmarkStart w:id="150" w:name="_Toc365638338"/>
      <w:bookmarkStart w:id="151" w:name="_Toc365629692"/>
      <w:bookmarkStart w:id="152" w:name="_Toc365634765"/>
      <w:bookmarkStart w:id="153" w:name="_Toc365637962"/>
      <w:bookmarkStart w:id="154" w:name="_Toc365638054"/>
      <w:bookmarkStart w:id="155" w:name="_Toc365638157"/>
      <w:bookmarkStart w:id="156" w:name="_Toc365638248"/>
      <w:bookmarkStart w:id="157" w:name="_Toc365638339"/>
      <w:bookmarkStart w:id="158" w:name="_Toc365629698"/>
      <w:bookmarkStart w:id="159" w:name="_Toc365634771"/>
      <w:bookmarkStart w:id="160" w:name="_Toc365637968"/>
      <w:bookmarkStart w:id="161" w:name="_Toc365638060"/>
      <w:bookmarkStart w:id="162" w:name="_Toc365638163"/>
      <w:bookmarkStart w:id="163" w:name="_Toc365638254"/>
      <w:bookmarkStart w:id="164" w:name="_Toc365638345"/>
      <w:bookmarkStart w:id="165" w:name="_Toc365629699"/>
      <w:bookmarkStart w:id="166" w:name="_Toc365634772"/>
      <w:bookmarkStart w:id="167" w:name="_Toc365637969"/>
      <w:bookmarkStart w:id="168" w:name="_Toc365638061"/>
      <w:bookmarkStart w:id="169" w:name="_Toc365638164"/>
      <w:bookmarkStart w:id="170" w:name="_Toc365638255"/>
      <w:bookmarkStart w:id="171" w:name="_Toc365638346"/>
      <w:bookmarkStart w:id="172" w:name="_Toc365629709"/>
      <w:bookmarkStart w:id="173" w:name="_Toc365634782"/>
      <w:bookmarkStart w:id="174" w:name="_Toc365637979"/>
      <w:bookmarkStart w:id="175" w:name="_Toc365638071"/>
      <w:bookmarkStart w:id="176" w:name="_Toc365638174"/>
      <w:bookmarkStart w:id="177" w:name="_Toc365638265"/>
      <w:bookmarkStart w:id="178" w:name="_Toc365638356"/>
      <w:bookmarkStart w:id="179" w:name="_Toc393878190"/>
      <w:bookmarkStart w:id="180" w:name="_Toc396322098"/>
      <w:bookmarkStart w:id="181" w:name="_Toc396322309"/>
      <w:bookmarkStart w:id="182" w:name="_Toc396409130"/>
      <w:bookmarkStart w:id="183" w:name="_Toc396409355"/>
      <w:bookmarkStart w:id="184" w:name="_Toc396484040"/>
      <w:bookmarkStart w:id="185" w:name="_Toc400121137"/>
      <w:bookmarkStart w:id="186" w:name="_Toc401848630"/>
      <w:bookmarkStart w:id="187" w:name="_Toc402183516"/>
      <w:bookmarkStart w:id="188" w:name="_Toc411439316"/>
      <w:bookmarkStart w:id="189" w:name="_Toc412736426"/>
      <w:bookmarkStart w:id="190" w:name="_Toc413053059"/>
      <w:bookmarkStart w:id="191" w:name="_Toc413138187"/>
      <w:bookmarkStart w:id="192" w:name="_Toc413139251"/>
      <w:bookmarkStart w:id="193" w:name="_Toc413139472"/>
      <w:bookmarkStart w:id="194" w:name="_Toc413139777"/>
      <w:bookmarkStart w:id="195" w:name="_Toc414268575"/>
      <w:bookmarkStart w:id="196" w:name="_Toc414453426"/>
      <w:bookmarkStart w:id="197" w:name="_Toc414466897"/>
      <w:bookmarkStart w:id="198" w:name="_Toc415131693"/>
      <w:bookmarkStart w:id="199" w:name="_Toc415654203"/>
      <w:bookmarkStart w:id="200" w:name="_Toc416265138"/>
      <w:bookmarkStart w:id="201" w:name="_Toc416265407"/>
      <w:bookmarkStart w:id="202" w:name="_Toc393878202"/>
      <w:bookmarkStart w:id="203" w:name="_Toc396322109"/>
      <w:bookmarkStart w:id="204" w:name="_Toc396322320"/>
      <w:bookmarkStart w:id="205" w:name="_Toc396409141"/>
      <w:bookmarkStart w:id="206" w:name="_Toc396409366"/>
      <w:bookmarkStart w:id="207" w:name="_Toc396484051"/>
      <w:bookmarkStart w:id="208" w:name="_Toc400121148"/>
      <w:bookmarkStart w:id="209" w:name="_Toc401848641"/>
      <w:bookmarkStart w:id="210" w:name="_Toc402183527"/>
      <w:bookmarkStart w:id="211" w:name="_Toc411439326"/>
      <w:bookmarkStart w:id="212" w:name="_Toc412736436"/>
      <w:bookmarkStart w:id="213" w:name="_Toc413053069"/>
      <w:bookmarkStart w:id="214" w:name="_Toc413138197"/>
      <w:bookmarkStart w:id="215" w:name="_Toc413139261"/>
      <w:bookmarkStart w:id="216" w:name="_Toc413139482"/>
      <w:bookmarkStart w:id="217" w:name="_Toc413139787"/>
      <w:bookmarkStart w:id="218" w:name="_Toc414268589"/>
      <w:bookmarkStart w:id="219" w:name="_Toc414453440"/>
      <w:bookmarkStart w:id="220" w:name="_Toc414466911"/>
      <w:bookmarkStart w:id="221" w:name="_Toc415131707"/>
      <w:bookmarkStart w:id="222" w:name="_Toc415654217"/>
      <w:bookmarkStart w:id="223" w:name="_Toc416265152"/>
      <w:bookmarkStart w:id="224" w:name="_Toc416265421"/>
      <w:bookmarkStart w:id="225" w:name="_Toc425860981"/>
      <w:bookmarkStart w:id="226" w:name="_Toc425861081"/>
      <w:bookmarkStart w:id="227" w:name="_Toc425861151"/>
      <w:bookmarkStart w:id="228" w:name="_Toc425869926"/>
      <w:bookmarkStart w:id="229" w:name="_Toc425860984"/>
      <w:bookmarkStart w:id="230" w:name="_Toc425861084"/>
      <w:bookmarkStart w:id="231" w:name="_Toc425861154"/>
      <w:bookmarkStart w:id="232" w:name="_Toc4258699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0674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D72132"/>
    <w:multiLevelType w:val="hybridMultilevel"/>
    <w:tmpl w:val="FD0417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49094C"/>
    <w:multiLevelType w:val="hybridMultilevel"/>
    <w:tmpl w:val="C7A69FB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1648C0"/>
    <w:multiLevelType w:val="hybridMultilevel"/>
    <w:tmpl w:val="727A40EE"/>
    <w:lvl w:ilvl="0" w:tplc="492A33A0">
      <w:start w:val="1"/>
      <w:numFmt w:val="decimal"/>
      <w:lvlText w:val="%1."/>
      <w:lvlJc w:val="left"/>
      <w:pPr>
        <w:ind w:left="360" w:hanging="360"/>
      </w:pPr>
    </w:lvl>
    <w:lvl w:ilvl="1" w:tplc="38FA3DF4">
      <w:start w:val="1"/>
      <w:numFmt w:val="decimal"/>
      <w:lvlText w:val="%2)"/>
      <w:lvlJc w:val="left"/>
      <w:pPr>
        <w:ind w:left="1080" w:hanging="360"/>
      </w:pPr>
      <w:rPr>
        <w:rFonts w:hint="default"/>
      </w:rPr>
    </w:lvl>
    <w:lvl w:ilvl="2" w:tplc="078A8612">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55841EF"/>
    <w:multiLevelType w:val="hybridMultilevel"/>
    <w:tmpl w:val="57F0039E"/>
    <w:lvl w:ilvl="0" w:tplc="7D4099A8">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05900B49"/>
    <w:multiLevelType w:val="hybridMultilevel"/>
    <w:tmpl w:val="540A6EA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7C7126"/>
    <w:multiLevelType w:val="hybridMultilevel"/>
    <w:tmpl w:val="24145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A01F5C"/>
    <w:multiLevelType w:val="hybridMultilevel"/>
    <w:tmpl w:val="9042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580DF7"/>
    <w:multiLevelType w:val="hybridMultilevel"/>
    <w:tmpl w:val="BD4CC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B10491"/>
    <w:multiLevelType w:val="multilevel"/>
    <w:tmpl w:val="0809001F"/>
    <w:name w:val="0,109167"/>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29041EA"/>
    <w:multiLevelType w:val="hybridMultilevel"/>
    <w:tmpl w:val="2656171A"/>
    <w:lvl w:ilvl="0" w:tplc="AEF68F90">
      <w:start w:val="1"/>
      <w:numFmt w:val="bullet"/>
      <w:pStyle w:val="Bullet"/>
      <w:lvlText w:val=""/>
      <w:lvlJc w:val="left"/>
      <w:pPr>
        <w:tabs>
          <w:tab w:val="num" w:pos="1134"/>
        </w:tabs>
        <w:ind w:left="1134" w:hanging="283"/>
      </w:pPr>
      <w:rPr>
        <w:rFonts w:ascii="Symbol" w:hAnsi="Symbol" w:hint="default"/>
        <w:sz w:val="22"/>
      </w:rPr>
    </w:lvl>
    <w:lvl w:ilvl="1" w:tplc="04090003">
      <w:start w:val="1"/>
      <w:numFmt w:val="bullet"/>
      <w:pStyle w:val="IndentedHeading2"/>
      <w:lvlText w:val="o"/>
      <w:lvlJc w:val="left"/>
      <w:pPr>
        <w:tabs>
          <w:tab w:val="num" w:pos="2007"/>
        </w:tabs>
        <w:ind w:left="2007" w:hanging="360"/>
      </w:pPr>
      <w:rPr>
        <w:rFonts w:ascii="Courier New" w:hAnsi="Courier New" w:cs="Times New Roman" w:hint="default"/>
      </w:rPr>
    </w:lvl>
    <w:lvl w:ilvl="2" w:tplc="04090005">
      <w:start w:val="1"/>
      <w:numFmt w:val="bullet"/>
      <w:pStyle w:val="IndentedHeading3"/>
      <w:lvlText w:val=""/>
      <w:lvlJc w:val="left"/>
      <w:pPr>
        <w:tabs>
          <w:tab w:val="num" w:pos="2727"/>
        </w:tabs>
        <w:ind w:left="2727" w:hanging="360"/>
      </w:pPr>
      <w:rPr>
        <w:rFonts w:ascii="Wingdings" w:hAnsi="Wingdings" w:hint="default"/>
      </w:rPr>
    </w:lvl>
    <w:lvl w:ilvl="3" w:tplc="04090001">
      <w:start w:val="1"/>
      <w:numFmt w:val="bullet"/>
      <w:pStyle w:val="IndentedHeading4"/>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547533"/>
    <w:multiLevelType w:val="hybridMultilevel"/>
    <w:tmpl w:val="F05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F3197E"/>
    <w:multiLevelType w:val="hybridMultilevel"/>
    <w:tmpl w:val="6B5870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F734306"/>
    <w:multiLevelType w:val="multilevel"/>
    <w:tmpl w:val="20D27972"/>
    <w:lvl w:ilvl="0">
      <w:start w:val="1"/>
      <w:numFmt w:val="decimal"/>
      <w:pStyle w:val="Heading1"/>
      <w:lvlText w:val="%1."/>
      <w:lvlJc w:val="left"/>
      <w:pPr>
        <w:tabs>
          <w:tab w:val="num" w:pos="480"/>
        </w:tabs>
        <w:ind w:left="480" w:hanging="480"/>
      </w:pPr>
      <w:rPr>
        <w:rFonts w:ascii="Times New Roman Bold" w:hAnsi="Times New Roman Bold" w:hint="default"/>
        <w:b/>
        <w:i w:val="0"/>
        <w:sz w:val="24"/>
      </w:r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pStyle w:val="Heading3"/>
      <w:lvlText w:val=""/>
      <w:lvlJc w:val="left"/>
      <w:pPr>
        <w:tabs>
          <w:tab w:val="num" w:pos="360"/>
        </w:tabs>
        <w:ind w:left="0" w:firstLine="0"/>
      </w:pPr>
      <w:rPr>
        <w:rFonts w:hint="default"/>
      </w:rPr>
    </w:lvl>
    <w:lvl w:ilvl="3">
      <w:numFmt w:val="none"/>
      <w:pStyle w:val="Heading4"/>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FC46615"/>
    <w:multiLevelType w:val="hybridMultilevel"/>
    <w:tmpl w:val="478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A50438"/>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F50111"/>
    <w:multiLevelType w:val="hybridMultilevel"/>
    <w:tmpl w:val="7A06CBF2"/>
    <w:lvl w:ilvl="0" w:tplc="0809000F">
      <w:start w:val="1"/>
      <w:numFmt w:val="decimal"/>
      <w:lvlText w:val="%1."/>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nsid w:val="21FA2835"/>
    <w:multiLevelType w:val="hybridMultilevel"/>
    <w:tmpl w:val="6CEAAE8C"/>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nsid w:val="22DD3599"/>
    <w:multiLevelType w:val="multilevel"/>
    <w:tmpl w:val="4EAA5BA6"/>
    <w:lvl w:ilvl="0">
      <w:numFmt w:val="decimal"/>
      <w:pStyle w:val="ListNumber"/>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0D6688"/>
    <w:multiLevelType w:val="hybridMultilevel"/>
    <w:tmpl w:val="5F3E5A7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nsid w:val="282C4A6E"/>
    <w:multiLevelType w:val="hybridMultilevel"/>
    <w:tmpl w:val="31BE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F76E7A"/>
    <w:multiLevelType w:val="singleLevel"/>
    <w:tmpl w:val="C74C5A32"/>
    <w:lvl w:ilvl="0">
      <w:numFmt w:val="decimal"/>
      <w:pStyle w:val="Bullet1"/>
      <w:lvlText w:val=""/>
      <w:lvlJc w:val="left"/>
    </w:lvl>
  </w:abstractNum>
  <w:abstractNum w:abstractNumId="24">
    <w:nsid w:val="2B75631B"/>
    <w:multiLevelType w:val="singleLevel"/>
    <w:tmpl w:val="A4DC141A"/>
    <w:lvl w:ilvl="0">
      <w:numFmt w:val="decimal"/>
      <w:pStyle w:val="ListBullet1"/>
      <w:lvlText w:val=""/>
      <w:lvlJc w:val="left"/>
    </w:lvl>
  </w:abstractNum>
  <w:abstractNum w:abstractNumId="25">
    <w:nsid w:val="2CAB4527"/>
    <w:multiLevelType w:val="multilevel"/>
    <w:tmpl w:val="26C24C12"/>
    <w:lvl w:ilvl="0">
      <w:numFmt w:val="decimal"/>
      <w:pStyle w:val="ListNumber3"/>
      <w:lvlText w:val=""/>
      <w:lvlJc w:val="left"/>
    </w:lvl>
    <w:lvl w:ilvl="1">
      <w:numFmt w:val="decimal"/>
      <w:pStyle w:val="ListNumber3Level2"/>
      <w:lvlText w:val=""/>
      <w:lvlJc w:val="left"/>
    </w:lvl>
    <w:lvl w:ilvl="2">
      <w:numFmt w:val="decimal"/>
      <w:pStyle w:val="ListNumber3Level3"/>
      <w:lvlText w:val=""/>
      <w:lvlJc w:val="left"/>
    </w:lvl>
    <w:lvl w:ilvl="3">
      <w:numFmt w:val="decimal"/>
      <w:pStyle w:val="ListNumber3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D84BD9"/>
    <w:multiLevelType w:val="hybridMultilevel"/>
    <w:tmpl w:val="0C9C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7567BD"/>
    <w:multiLevelType w:val="hybridMultilevel"/>
    <w:tmpl w:val="F236C958"/>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9F7BBE"/>
    <w:multiLevelType w:val="hybridMultilevel"/>
    <w:tmpl w:val="027A660A"/>
    <w:lvl w:ilvl="0" w:tplc="217E480C">
      <w:start w:val="1"/>
      <w:numFmt w:val="bullet"/>
      <w:lvlText w:val="•"/>
      <w:lvlJc w:val="left"/>
      <w:pPr>
        <w:tabs>
          <w:tab w:val="num" w:pos="720"/>
        </w:tabs>
        <w:ind w:left="720" w:hanging="360"/>
      </w:pPr>
      <w:rPr>
        <w:rFonts w:ascii="Times New Roman" w:hAnsi="Times New Roman" w:hint="default"/>
      </w:rPr>
    </w:lvl>
    <w:lvl w:ilvl="1" w:tplc="61124670" w:tentative="1">
      <w:start w:val="1"/>
      <w:numFmt w:val="bullet"/>
      <w:lvlText w:val="•"/>
      <w:lvlJc w:val="left"/>
      <w:pPr>
        <w:tabs>
          <w:tab w:val="num" w:pos="1440"/>
        </w:tabs>
        <w:ind w:left="1440" w:hanging="360"/>
      </w:pPr>
      <w:rPr>
        <w:rFonts w:ascii="Times New Roman" w:hAnsi="Times New Roman" w:hint="default"/>
      </w:rPr>
    </w:lvl>
    <w:lvl w:ilvl="2" w:tplc="AE66FFA4" w:tentative="1">
      <w:start w:val="1"/>
      <w:numFmt w:val="bullet"/>
      <w:lvlText w:val="•"/>
      <w:lvlJc w:val="left"/>
      <w:pPr>
        <w:tabs>
          <w:tab w:val="num" w:pos="2160"/>
        </w:tabs>
        <w:ind w:left="2160" w:hanging="360"/>
      </w:pPr>
      <w:rPr>
        <w:rFonts w:ascii="Times New Roman" w:hAnsi="Times New Roman" w:hint="default"/>
      </w:rPr>
    </w:lvl>
    <w:lvl w:ilvl="3" w:tplc="0382E67C" w:tentative="1">
      <w:start w:val="1"/>
      <w:numFmt w:val="bullet"/>
      <w:lvlText w:val="•"/>
      <w:lvlJc w:val="left"/>
      <w:pPr>
        <w:tabs>
          <w:tab w:val="num" w:pos="2880"/>
        </w:tabs>
        <w:ind w:left="2880" w:hanging="360"/>
      </w:pPr>
      <w:rPr>
        <w:rFonts w:ascii="Times New Roman" w:hAnsi="Times New Roman" w:hint="default"/>
      </w:rPr>
    </w:lvl>
    <w:lvl w:ilvl="4" w:tplc="CBBEDCD2" w:tentative="1">
      <w:start w:val="1"/>
      <w:numFmt w:val="bullet"/>
      <w:lvlText w:val="•"/>
      <w:lvlJc w:val="left"/>
      <w:pPr>
        <w:tabs>
          <w:tab w:val="num" w:pos="3600"/>
        </w:tabs>
        <w:ind w:left="3600" w:hanging="360"/>
      </w:pPr>
      <w:rPr>
        <w:rFonts w:ascii="Times New Roman" w:hAnsi="Times New Roman" w:hint="default"/>
      </w:rPr>
    </w:lvl>
    <w:lvl w:ilvl="5" w:tplc="1BE2FBEA" w:tentative="1">
      <w:start w:val="1"/>
      <w:numFmt w:val="bullet"/>
      <w:lvlText w:val="•"/>
      <w:lvlJc w:val="left"/>
      <w:pPr>
        <w:tabs>
          <w:tab w:val="num" w:pos="4320"/>
        </w:tabs>
        <w:ind w:left="4320" w:hanging="360"/>
      </w:pPr>
      <w:rPr>
        <w:rFonts w:ascii="Times New Roman" w:hAnsi="Times New Roman" w:hint="default"/>
      </w:rPr>
    </w:lvl>
    <w:lvl w:ilvl="6" w:tplc="EDBE42C0" w:tentative="1">
      <w:start w:val="1"/>
      <w:numFmt w:val="bullet"/>
      <w:lvlText w:val="•"/>
      <w:lvlJc w:val="left"/>
      <w:pPr>
        <w:tabs>
          <w:tab w:val="num" w:pos="5040"/>
        </w:tabs>
        <w:ind w:left="5040" w:hanging="360"/>
      </w:pPr>
      <w:rPr>
        <w:rFonts w:ascii="Times New Roman" w:hAnsi="Times New Roman" w:hint="default"/>
      </w:rPr>
    </w:lvl>
    <w:lvl w:ilvl="7" w:tplc="0DDE61CE" w:tentative="1">
      <w:start w:val="1"/>
      <w:numFmt w:val="bullet"/>
      <w:lvlText w:val="•"/>
      <w:lvlJc w:val="left"/>
      <w:pPr>
        <w:tabs>
          <w:tab w:val="num" w:pos="5760"/>
        </w:tabs>
        <w:ind w:left="5760" w:hanging="360"/>
      </w:pPr>
      <w:rPr>
        <w:rFonts w:ascii="Times New Roman" w:hAnsi="Times New Roman" w:hint="default"/>
      </w:rPr>
    </w:lvl>
    <w:lvl w:ilvl="8" w:tplc="A7A4B36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2897D54"/>
    <w:multiLevelType w:val="hybridMultilevel"/>
    <w:tmpl w:val="BB5C5C7E"/>
    <w:lvl w:ilvl="0" w:tplc="0809000F">
      <w:numFmt w:val="decimal"/>
      <w:lvlText w:val=""/>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293F3F"/>
    <w:multiLevelType w:val="singleLevel"/>
    <w:tmpl w:val="B074E4EC"/>
    <w:lvl w:ilvl="0">
      <w:numFmt w:val="decimal"/>
      <w:pStyle w:val="ListDash"/>
      <w:lvlText w:val=""/>
      <w:lvlJc w:val="left"/>
    </w:lvl>
  </w:abstractNum>
  <w:abstractNum w:abstractNumId="32">
    <w:nsid w:val="343E59FC"/>
    <w:multiLevelType w:val="hybridMultilevel"/>
    <w:tmpl w:val="CFFC80F8"/>
    <w:lvl w:ilvl="0" w:tplc="BE44C856">
      <w:start w:val="1"/>
      <w:numFmt w:val="lowerRoman"/>
      <w:lvlText w:val="(%1)"/>
      <w:lvlJc w:val="left"/>
      <w:pPr>
        <w:ind w:left="1353"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33">
    <w:nsid w:val="358B6119"/>
    <w:multiLevelType w:val="multilevel"/>
    <w:tmpl w:val="A8BA546C"/>
    <w:lvl w:ilvl="0">
      <w:numFmt w:val="decimal"/>
      <w:pStyle w:val="ListNumber1"/>
      <w:lvlText w:val=""/>
      <w:lvlJc w:val="left"/>
    </w:lvl>
    <w:lvl w:ilvl="1">
      <w:numFmt w:val="decimal"/>
      <w:pStyle w:val="ListNumber1Level2"/>
      <w:lvlText w:val=""/>
      <w:lvlJc w:val="left"/>
    </w:lvl>
    <w:lvl w:ilvl="2">
      <w:numFmt w:val="decimal"/>
      <w:pStyle w:val="ListNumber1Level3"/>
      <w:lvlText w:val=""/>
      <w:lvlJc w:val="left"/>
    </w:lvl>
    <w:lvl w:ilvl="3">
      <w:numFmt w:val="decimal"/>
      <w:pStyle w:val="ListNumber1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8C6F57"/>
    <w:multiLevelType w:val="multilevel"/>
    <w:tmpl w:val="9822F168"/>
    <w:lvl w:ilvl="0">
      <w:start w:val="1"/>
      <w:numFmt w:val="decimal"/>
      <w:lvlText w:val="%1."/>
      <w:lvlJc w:val="left"/>
      <w:pPr>
        <w:tabs>
          <w:tab w:val="num" w:pos="851"/>
        </w:tabs>
        <w:ind w:left="851" w:hanging="851"/>
      </w:pPr>
      <w:rPr>
        <w:rFonts w:ascii="Times New Roman Bold" w:hAnsi="Times New Roman Bold" w:cs="Courier" w:hint="default"/>
        <w:b/>
        <w:bCs w:val="0"/>
        <w:i w:val="0"/>
        <w:caps w:val="0"/>
        <w:strike w:val="0"/>
        <w:dstrike w:val="0"/>
        <w:vanish w:val="0"/>
        <w:webHidden w:val="0"/>
        <w:color w:val="000000"/>
        <w:spacing w:val="0"/>
        <w:kern w:val="0"/>
        <w:position w:val="0"/>
        <w:sz w:val="24"/>
        <w:szCs w:val="24"/>
        <w:u w:val="none"/>
        <w:effect w:val="none"/>
        <w:vertAlign w:val="baseline"/>
        <w:specVanish w:val="0"/>
      </w:rPr>
    </w:lvl>
    <w:lvl w:ilvl="1">
      <w:start w:val="1"/>
      <w:numFmt w:val="decimal"/>
      <w:lvlText w:val="%1.%2"/>
      <w:lvlJc w:val="left"/>
      <w:pPr>
        <w:tabs>
          <w:tab w:val="num" w:pos="851"/>
        </w:tabs>
        <w:ind w:left="851" w:hanging="851"/>
      </w:pPr>
      <w:rPr>
        <w:rFonts w:ascii="Times New Roman Bold" w:hAnsi="Times New Roman Bold" w:cs="Courier" w:hint="default"/>
        <w:b/>
        <w:i w:val="0"/>
        <w:color w:val="auto"/>
        <w:sz w:val="24"/>
      </w:rPr>
    </w:lvl>
    <w:lvl w:ilvl="2">
      <w:start w:val="1"/>
      <w:numFmt w:val="decimal"/>
      <w:lvlText w:val="%1.%2.%3"/>
      <w:lvlJc w:val="left"/>
      <w:pPr>
        <w:tabs>
          <w:tab w:val="num" w:pos="851"/>
        </w:tabs>
        <w:ind w:left="851" w:hanging="851"/>
      </w:pPr>
      <w:rPr>
        <w:rFonts w:ascii="Times New Roman Bold" w:hAnsi="Times New Roman Bold" w:cs="Courier" w:hint="default"/>
        <w:b/>
        <w:i/>
        <w:sz w:val="24"/>
      </w:rPr>
    </w:lvl>
    <w:lvl w:ilvl="3">
      <w:start w:val="1"/>
      <w:numFmt w:val="decimal"/>
      <w:lvlText w:val="%1.%2.%3.%4"/>
      <w:lvlJc w:val="left"/>
      <w:pPr>
        <w:tabs>
          <w:tab w:val="num" w:pos="851"/>
        </w:tabs>
        <w:ind w:left="851" w:hanging="851"/>
      </w:pPr>
      <w:rPr>
        <w:rFonts w:ascii="Courier" w:hAnsi="Courier" w:cs="Courier" w:hint="default"/>
        <w:b w:val="0"/>
        <w:i/>
        <w:sz w:val="24"/>
      </w:rPr>
    </w:lvl>
    <w:lvl w:ilvl="4">
      <w:start w:val="1"/>
      <w:numFmt w:val="decimal"/>
      <w:lvlText w:val="%1.%2.%3.%4.%5"/>
      <w:lvlJc w:val="left"/>
      <w:pPr>
        <w:tabs>
          <w:tab w:val="num" w:pos="1008"/>
        </w:tabs>
        <w:ind w:left="1008" w:hanging="1008"/>
      </w:pPr>
      <w:rPr>
        <w:rFonts w:cs="Courier"/>
      </w:rPr>
    </w:lvl>
    <w:lvl w:ilvl="5">
      <w:start w:val="1"/>
      <w:numFmt w:val="decimal"/>
      <w:lvlText w:val="%1.%2.%3.%4.%5.%6"/>
      <w:lvlJc w:val="left"/>
      <w:pPr>
        <w:tabs>
          <w:tab w:val="num" w:pos="1152"/>
        </w:tabs>
        <w:ind w:left="1152" w:hanging="1152"/>
      </w:pPr>
      <w:rPr>
        <w:rFonts w:cs="Courier"/>
      </w:rPr>
    </w:lvl>
    <w:lvl w:ilvl="6">
      <w:start w:val="1"/>
      <w:numFmt w:val="decimal"/>
      <w:lvlText w:val="%1.%2.%3.%4.%5.%6.%7"/>
      <w:lvlJc w:val="left"/>
      <w:pPr>
        <w:tabs>
          <w:tab w:val="num" w:pos="1296"/>
        </w:tabs>
        <w:ind w:left="1296" w:hanging="1296"/>
      </w:pPr>
      <w:rPr>
        <w:rFonts w:cs="Courier"/>
      </w:rPr>
    </w:lvl>
    <w:lvl w:ilvl="7">
      <w:start w:val="1"/>
      <w:numFmt w:val="decimal"/>
      <w:lvlText w:val="%1.%2.%3.%4.%5.%6.%7.%8"/>
      <w:lvlJc w:val="left"/>
      <w:pPr>
        <w:tabs>
          <w:tab w:val="num" w:pos="1440"/>
        </w:tabs>
        <w:ind w:left="1440" w:hanging="1440"/>
      </w:pPr>
      <w:rPr>
        <w:rFonts w:cs="Courier"/>
      </w:rPr>
    </w:lvl>
    <w:lvl w:ilvl="8">
      <w:start w:val="1"/>
      <w:numFmt w:val="decimal"/>
      <w:lvlText w:val="%1.%2.%3.%4.%5.%6.%7.%8.%9"/>
      <w:lvlJc w:val="left"/>
      <w:pPr>
        <w:tabs>
          <w:tab w:val="num" w:pos="1584"/>
        </w:tabs>
        <w:ind w:left="1584" w:hanging="1584"/>
      </w:pPr>
      <w:rPr>
        <w:rFonts w:cs="Courier"/>
      </w:rPr>
    </w:lvl>
  </w:abstractNum>
  <w:abstractNum w:abstractNumId="35">
    <w:nsid w:val="3AFB6DC8"/>
    <w:multiLevelType w:val="singleLevel"/>
    <w:tmpl w:val="D97CFDF8"/>
    <w:lvl w:ilvl="0">
      <w:numFmt w:val="decimal"/>
      <w:pStyle w:val="ListBullet2"/>
      <w:lvlText w:val=""/>
      <w:lvlJc w:val="left"/>
    </w:lvl>
  </w:abstractNum>
  <w:abstractNum w:abstractNumId="36">
    <w:nsid w:val="3B4F780D"/>
    <w:multiLevelType w:val="multilevel"/>
    <w:tmpl w:val="B10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F00E18"/>
    <w:multiLevelType w:val="singleLevel"/>
    <w:tmpl w:val="4E1A982C"/>
    <w:lvl w:ilvl="0">
      <w:numFmt w:val="decimal"/>
      <w:pStyle w:val="ListBullet"/>
      <w:lvlText w:val=""/>
      <w:lvlJc w:val="left"/>
    </w:lvl>
  </w:abstractNum>
  <w:abstractNum w:abstractNumId="38">
    <w:nsid w:val="46113D4F"/>
    <w:multiLevelType w:val="singleLevel"/>
    <w:tmpl w:val="A3323CB8"/>
    <w:lvl w:ilvl="0">
      <w:numFmt w:val="decimal"/>
      <w:pStyle w:val="ListDash3"/>
      <w:lvlText w:val=""/>
      <w:lvlJc w:val="left"/>
    </w:lvl>
  </w:abstractNum>
  <w:abstractNum w:abstractNumId="39">
    <w:nsid w:val="46CC47E1"/>
    <w:multiLevelType w:val="hybridMultilevel"/>
    <w:tmpl w:val="A01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96207CF"/>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BD76B2"/>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593082"/>
    <w:multiLevelType w:val="singleLevel"/>
    <w:tmpl w:val="EDE069AC"/>
    <w:name w:val="Bullet 1"/>
    <w:lvl w:ilvl="0">
      <w:numFmt w:val="decimal"/>
      <w:pStyle w:val="Bullet0"/>
      <w:lvlText w:val=""/>
      <w:lvlJc w:val="left"/>
    </w:lvl>
  </w:abstractNum>
  <w:abstractNum w:abstractNumId="43">
    <w:nsid w:val="54D10AB0"/>
    <w:multiLevelType w:val="singleLevel"/>
    <w:tmpl w:val="5B50620E"/>
    <w:lvl w:ilvl="0">
      <w:numFmt w:val="decimal"/>
      <w:pStyle w:val="ListDash4"/>
      <w:lvlText w:val=""/>
      <w:lvlJc w:val="left"/>
    </w:lvl>
  </w:abstractNum>
  <w:abstractNum w:abstractNumId="44">
    <w:nsid w:val="55BF3D2E"/>
    <w:multiLevelType w:val="hybridMultilevel"/>
    <w:tmpl w:val="8A66D5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576B6C27"/>
    <w:multiLevelType w:val="hybridMultilevel"/>
    <w:tmpl w:val="D68EA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94B6127"/>
    <w:multiLevelType w:val="hybridMultilevel"/>
    <w:tmpl w:val="DD44205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7">
    <w:nsid w:val="5B2C6F90"/>
    <w:multiLevelType w:val="hybridMultilevel"/>
    <w:tmpl w:val="591ACF9E"/>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0D6286"/>
    <w:multiLevelType w:val="singleLevel"/>
    <w:tmpl w:val="B0567122"/>
    <w:lvl w:ilvl="0">
      <w:numFmt w:val="decimal"/>
      <w:pStyle w:val="ListDash2"/>
      <w:lvlText w:val=""/>
      <w:lvlJc w:val="left"/>
    </w:lvl>
  </w:abstractNum>
  <w:abstractNum w:abstractNumId="49">
    <w:nsid w:val="6057433F"/>
    <w:multiLevelType w:val="singleLevel"/>
    <w:tmpl w:val="3D5ECD48"/>
    <w:lvl w:ilvl="0">
      <w:numFmt w:val="decimal"/>
      <w:pStyle w:val="ListDash1"/>
      <w:lvlText w:val=""/>
      <w:lvlJc w:val="left"/>
    </w:lvl>
  </w:abstractNum>
  <w:abstractNum w:abstractNumId="50">
    <w:nsid w:val="620F2440"/>
    <w:multiLevelType w:val="singleLevel"/>
    <w:tmpl w:val="6860A420"/>
    <w:lvl w:ilvl="0">
      <w:numFmt w:val="decimal"/>
      <w:pStyle w:val="ListBullet3"/>
      <w:lvlText w:val=""/>
      <w:lvlJc w:val="left"/>
    </w:lvl>
  </w:abstractNum>
  <w:abstractNum w:abstractNumId="51">
    <w:nsid w:val="64987A49"/>
    <w:multiLevelType w:val="hybridMultilevel"/>
    <w:tmpl w:val="1E2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DF118C0"/>
    <w:multiLevelType w:val="singleLevel"/>
    <w:tmpl w:val="B90C8B88"/>
    <w:lvl w:ilvl="0">
      <w:numFmt w:val="decimal"/>
      <w:pStyle w:val="ListBullet4"/>
      <w:lvlText w:val=""/>
      <w:lvlJc w:val="left"/>
    </w:lvl>
  </w:abstractNum>
  <w:abstractNum w:abstractNumId="53">
    <w:nsid w:val="706B072C"/>
    <w:multiLevelType w:val="hybridMultilevel"/>
    <w:tmpl w:val="B7BC1D9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4">
    <w:nsid w:val="712144E3"/>
    <w:multiLevelType w:val="hybridMultilevel"/>
    <w:tmpl w:val="0FDE0F4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5">
    <w:nsid w:val="722304D7"/>
    <w:multiLevelType w:val="multilevel"/>
    <w:tmpl w:val="9DE2758E"/>
    <w:lvl w:ilvl="0">
      <w:numFmt w:val="decimal"/>
      <w:pStyle w:val="ListNumber4"/>
      <w:lvlText w:val=""/>
      <w:lvlJc w:val="left"/>
    </w:lvl>
    <w:lvl w:ilvl="1">
      <w:numFmt w:val="decimal"/>
      <w:pStyle w:val="ListNumber4Level2"/>
      <w:lvlText w:val=""/>
      <w:lvlJc w:val="left"/>
    </w:lvl>
    <w:lvl w:ilvl="2">
      <w:numFmt w:val="decimal"/>
      <w:pStyle w:val="ListNumber4Level3"/>
      <w:lvlText w:val=""/>
      <w:lvlJc w:val="left"/>
    </w:lvl>
    <w:lvl w:ilvl="3">
      <w:numFmt w:val="decimal"/>
      <w:pStyle w:val="ListNumber4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362880"/>
    <w:multiLevelType w:val="hybridMultilevel"/>
    <w:tmpl w:val="D0D0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6783A2A"/>
    <w:multiLevelType w:val="hybridMultilevel"/>
    <w:tmpl w:val="3B44074E"/>
    <w:lvl w:ilvl="0" w:tplc="08090019">
      <w:start w:val="1"/>
      <w:numFmt w:val="lowerLetter"/>
      <w:lvlText w:val="%1."/>
      <w:lvlJc w:val="left"/>
      <w:pPr>
        <w:ind w:left="786"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58">
    <w:nsid w:val="76C40A01"/>
    <w:multiLevelType w:val="hybridMultilevel"/>
    <w:tmpl w:val="0CAC6F2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9">
    <w:nsid w:val="7CB20CD3"/>
    <w:multiLevelType w:val="hybridMultilevel"/>
    <w:tmpl w:val="8518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37"/>
  </w:num>
  <w:num w:numId="5">
    <w:abstractNumId w:val="24"/>
  </w:num>
  <w:num w:numId="6">
    <w:abstractNumId w:val="35"/>
  </w:num>
  <w:num w:numId="7">
    <w:abstractNumId w:val="50"/>
  </w:num>
  <w:num w:numId="8">
    <w:abstractNumId w:val="52"/>
  </w:num>
  <w:num w:numId="9">
    <w:abstractNumId w:val="31"/>
  </w:num>
  <w:num w:numId="10">
    <w:abstractNumId w:val="49"/>
  </w:num>
  <w:num w:numId="11">
    <w:abstractNumId w:val="48"/>
  </w:num>
  <w:num w:numId="12">
    <w:abstractNumId w:val="38"/>
  </w:num>
  <w:num w:numId="13">
    <w:abstractNumId w:val="43"/>
  </w:num>
  <w:num w:numId="14">
    <w:abstractNumId w:val="20"/>
  </w:num>
  <w:num w:numId="15">
    <w:abstractNumId w:val="33"/>
  </w:num>
  <w:num w:numId="16">
    <w:abstractNumId w:val="12"/>
  </w:num>
  <w:num w:numId="17">
    <w:abstractNumId w:val="25"/>
  </w:num>
  <w:num w:numId="18">
    <w:abstractNumId w:val="55"/>
  </w:num>
  <w:num w:numId="19">
    <w:abstractNumId w:val="23"/>
  </w:num>
  <w:num w:numId="20">
    <w:abstractNumId w:val="10"/>
  </w:num>
  <w:num w:numId="21">
    <w:abstractNumId w:val="42"/>
  </w:num>
  <w:num w:numId="22">
    <w:abstractNumId w:val="58"/>
  </w:num>
  <w:num w:numId="23">
    <w:abstractNumId w:val="17"/>
  </w:num>
  <w:num w:numId="24">
    <w:abstractNumId w:val="17"/>
  </w:num>
  <w:num w:numId="25">
    <w:abstractNumId w:val="41"/>
  </w:num>
  <w:num w:numId="26">
    <w:abstractNumId w:val="15"/>
  </w:num>
  <w:num w:numId="27">
    <w:abstractNumId w:val="53"/>
  </w:num>
  <w:num w:numId="28">
    <w:abstractNumId w:val="18"/>
  </w:num>
  <w:num w:numId="29">
    <w:abstractNumId w:val="4"/>
  </w:num>
  <w:num w:numId="30">
    <w:abstractNumId w:val="40"/>
  </w:num>
  <w:num w:numId="31">
    <w:abstractNumId w:val="2"/>
  </w:num>
  <w:num w:numId="32">
    <w:abstractNumId w:val="9"/>
  </w:num>
  <w:num w:numId="33">
    <w:abstractNumId w:val="21"/>
  </w:num>
  <w:num w:numId="34">
    <w:abstractNumId w:val="19"/>
  </w:num>
  <w:num w:numId="35">
    <w:abstractNumId w:val="59"/>
  </w:num>
  <w:num w:numId="36">
    <w:abstractNumId w:val="29"/>
  </w:num>
  <w:num w:numId="37">
    <w:abstractNumId w:val="15"/>
  </w:num>
  <w:num w:numId="38">
    <w:abstractNumId w:val="8"/>
  </w:num>
  <w:num w:numId="39">
    <w:abstractNumId w:val="27"/>
  </w:num>
  <w:num w:numId="40">
    <w:abstractNumId w:val="13"/>
  </w:num>
  <w:num w:numId="41">
    <w:abstractNumId w:val="7"/>
  </w:num>
  <w:num w:numId="42">
    <w:abstractNumId w:val="1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0"/>
  </w:num>
  <w:num w:numId="48">
    <w:abstractNumId w:val="15"/>
  </w:num>
  <w:num w:numId="49">
    <w:abstractNumId w:val="28"/>
  </w:num>
  <w:num w:numId="50">
    <w:abstractNumId w:val="47"/>
  </w:num>
  <w:num w:numId="51">
    <w:abstractNumId w:val="3"/>
  </w:num>
  <w:num w:numId="52">
    <w:abstractNumId w:val="46"/>
  </w:num>
  <w:num w:numId="53">
    <w:abstractNumId w:val="54"/>
  </w:num>
  <w:num w:numId="54">
    <w:abstractNumId w:val="6"/>
  </w:num>
  <w:num w:numId="55">
    <w:abstractNumId w:val="15"/>
  </w:num>
  <w:num w:numId="56">
    <w:abstractNumId w:val="16"/>
  </w:num>
  <w:num w:numId="57">
    <w:abstractNumId w:val="11"/>
  </w:num>
  <w:num w:numId="58">
    <w:abstractNumId w:val="51"/>
  </w:num>
  <w:num w:numId="59">
    <w:abstractNumId w:val="57"/>
  </w:num>
  <w:num w:numId="60">
    <w:abstractNumId w:val="56"/>
  </w:num>
  <w:num w:numId="61">
    <w:abstractNumId w:val="36"/>
  </w:num>
  <w:num w:numId="62">
    <w:abstractNumId w:val="44"/>
  </w:num>
  <w:num w:numId="6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5"/>
  </w:num>
  <w:num w:numId="65">
    <w:abstractNumId w:val="15"/>
    <w:lvlOverride w:ilvl="0">
      <w:startOverride w:val="8"/>
    </w:lvlOverride>
    <w:lvlOverride w:ilvl="1">
      <w:startOverride w:val="1"/>
    </w:lvlOverride>
    <w:lvlOverride w:ilvl="2"/>
    <w:lvlOverride w:ilvl="3"/>
    <w:lvlOverride w:ilvl="4"/>
    <w:lvlOverride w:ilvl="5"/>
    <w:lvlOverride w:ilvl="6"/>
    <w:lvlOverride w:ilvl="7"/>
    <w:lvlOverride w:ilvl="8"/>
  </w:num>
  <w:num w:numId="66">
    <w:abstractNumId w:val="15"/>
  </w:num>
  <w:num w:numId="67">
    <w:abstractNumId w:val="4"/>
  </w:num>
  <w:num w:numId="68">
    <w:abstractNumId w:val="4"/>
  </w:num>
  <w:num w:numId="69">
    <w:abstractNumId w:val="4"/>
  </w:num>
  <w:num w:numId="70">
    <w:abstractNumId w:val="15"/>
  </w:num>
  <w:num w:numId="71">
    <w:abstractNumId w:val="4"/>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4"/>
  </w:num>
  <w:num w:numId="82">
    <w:abstractNumId w:val="15"/>
  </w:num>
  <w:num w:numId="83">
    <w:abstractNumId w:val="26"/>
  </w:num>
  <w:num w:numId="84">
    <w:abstractNumId w:val="26"/>
  </w:num>
  <w:num w:numId="85">
    <w:abstractNumId w:val="26"/>
  </w:num>
  <w:num w:numId="8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7">
    <w:abstractNumId w:val="20"/>
  </w:num>
  <w:num w:numId="88">
    <w:abstractNumId w:val="20"/>
  </w:num>
  <w:num w:numId="89">
    <w:abstractNumId w:val="14"/>
  </w:num>
  <w:num w:numId="90">
    <w:abstractNumId w:val="39"/>
  </w:num>
  <w:num w:numId="91">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00DFFE21434045DA84DD816124EED603"/>
    <w:docVar w:name="LW_CROSSREFERENCE" w:val="{COM(2017) 208 final}_x000b_{SWD(2017) 148 final}"/>
    <w:docVar w:name="LW_DocType" w:val="REP"/>
    <w:docVar w:name="LW_EMISSION" w:val="4.5.2017"/>
    <w:docVar w:name="LW_EMISSION_ISODATE" w:val="2017-05-04"/>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modifiant le règlement (UE) nº 648/2012 en ce qui concerne l'obligation de compensation, la sups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_x000b_"/>
    <w:docVar w:name="LW_PART_NBR" w:val="1"/>
    <w:docVar w:name="LW_PART_NBR_TOTAL" w:val="1"/>
    <w:docVar w:name="LW_REF.INST.NEW" w:val="SWD"/>
    <w:docVar w:name="LW_REF.INST.NEW_ADOPTED" w:val="final"/>
    <w:docVar w:name="LW_REF.INST.NEW_TEXT" w:val="(2017) 149"/>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64"/>
      </w:numPr>
      <w:spacing w:before="240"/>
      <w:outlineLvl w:val="0"/>
    </w:pPr>
    <w:rPr>
      <w:b/>
      <w:smallCaps/>
    </w:rPr>
  </w:style>
  <w:style w:type="paragraph" w:styleId="Heading2">
    <w:name w:val="heading 2"/>
    <w:basedOn w:val="Normal"/>
    <w:next w:val="Text2"/>
    <w:link w:val="Heading2Char"/>
    <w:qFormat/>
    <w:pPr>
      <w:keepNext/>
      <w:numPr>
        <w:ilvl w:val="1"/>
        <w:numId w:val="64"/>
      </w:numPr>
      <w:spacing w:line="276" w:lineRule="auto"/>
      <w:outlineLvl w:val="1"/>
    </w:pPr>
    <w:rPr>
      <w:b/>
      <w:bCs/>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rPr>
      <w:sz w:val="24"/>
      <w:lang w:eastAsia="fr-FR"/>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rPr>
  </w:style>
  <w:style w:type="paragraph" w:customStyle="1" w:styleId="Rfrenceinstitutionelle">
    <w:name w:val="Référence institutionelle"/>
    <w:basedOn w:val="Normal"/>
    <w:next w:val="Normal"/>
    <w:pPr>
      <w:ind w:left="5103"/>
      <w:jc w:val="left"/>
    </w:pPr>
    <w:rPr>
      <w:szCs w:val="24"/>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fr-FR"/>
    </w:rPr>
  </w:style>
  <w:style w:type="character" w:styleId="FollowedHyperlink">
    <w:name w:val="FollowedHyperlink"/>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fr-FR"/>
    </w:rPr>
  </w:style>
  <w:style w:type="character" w:customStyle="1" w:styleId="CommentSubjectChar">
    <w:name w:val="Comment Subject Char"/>
    <w:link w:val="CommentSubject"/>
    <w:uiPriority w:val="99"/>
    <w:semiHidden/>
    <w:rPr>
      <w:b/>
      <w:bCs/>
      <w:lang w:eastAsia="fr-FR"/>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character" w:customStyle="1" w:styleId="Heading1Char">
    <w:name w:val="Heading 1 Char"/>
    <w:link w:val="Heading1"/>
    <w:rPr>
      <w:b/>
      <w:smallCaps/>
      <w:sz w:val="24"/>
      <w:lang w:val="fr-FR"/>
    </w:rPr>
  </w:style>
  <w:style w:type="paragraph" w:customStyle="1" w:styleId="ColorfulList-Accent11">
    <w:name w:val="Colorful List - Accent 11"/>
    <w:basedOn w:val="CommentText"/>
    <w:qFormat/>
    <w:pPr>
      <w:spacing w:before="120" w:after="120"/>
    </w:pPr>
    <w:rPr>
      <w:sz w:val="24"/>
      <w:szCs w:val="24"/>
    </w:rPr>
  </w:style>
  <w:style w:type="character" w:customStyle="1" w:styleId="Heading2Char">
    <w:name w:val="Heading 2 Char"/>
    <w:link w:val="Heading2"/>
    <w:rPr>
      <w:b/>
      <w:bCs/>
      <w:sz w:val="24"/>
      <w:lang w:val="fr-FR" w:eastAsia="fr-FR"/>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style>
  <w:style w:type="paragraph" w:styleId="Revision">
    <w:name w:val="Revision"/>
    <w:hidden/>
    <w:uiPriority w:val="99"/>
    <w:semiHidden/>
    <w:rPr>
      <w:sz w:val="24"/>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64"/>
      </w:numPr>
      <w:spacing w:before="240"/>
      <w:outlineLvl w:val="0"/>
    </w:pPr>
    <w:rPr>
      <w:b/>
      <w:smallCaps/>
    </w:rPr>
  </w:style>
  <w:style w:type="paragraph" w:styleId="Heading2">
    <w:name w:val="heading 2"/>
    <w:basedOn w:val="Normal"/>
    <w:next w:val="Text2"/>
    <w:link w:val="Heading2Char"/>
    <w:qFormat/>
    <w:pPr>
      <w:keepNext/>
      <w:numPr>
        <w:ilvl w:val="1"/>
        <w:numId w:val="64"/>
      </w:numPr>
      <w:spacing w:line="276" w:lineRule="auto"/>
      <w:outlineLvl w:val="1"/>
    </w:pPr>
    <w:rPr>
      <w:b/>
      <w:bCs/>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rPr>
      <w:sz w:val="24"/>
      <w:lang w:eastAsia="fr-FR"/>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rPr>
  </w:style>
  <w:style w:type="paragraph" w:customStyle="1" w:styleId="Rfrenceinstitutionelle">
    <w:name w:val="Référence institutionelle"/>
    <w:basedOn w:val="Normal"/>
    <w:next w:val="Normal"/>
    <w:pPr>
      <w:ind w:left="5103"/>
      <w:jc w:val="left"/>
    </w:pPr>
    <w:rPr>
      <w:szCs w:val="24"/>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fr-FR"/>
    </w:rPr>
  </w:style>
  <w:style w:type="character" w:styleId="FollowedHyperlink">
    <w:name w:val="FollowedHyperlink"/>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fr-FR"/>
    </w:rPr>
  </w:style>
  <w:style w:type="character" w:customStyle="1" w:styleId="CommentSubjectChar">
    <w:name w:val="Comment Subject Char"/>
    <w:link w:val="CommentSubject"/>
    <w:uiPriority w:val="99"/>
    <w:semiHidden/>
    <w:rPr>
      <w:b/>
      <w:bCs/>
      <w:lang w:eastAsia="fr-FR"/>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character" w:customStyle="1" w:styleId="Heading1Char">
    <w:name w:val="Heading 1 Char"/>
    <w:link w:val="Heading1"/>
    <w:rPr>
      <w:b/>
      <w:smallCaps/>
      <w:sz w:val="24"/>
      <w:lang w:val="fr-FR"/>
    </w:rPr>
  </w:style>
  <w:style w:type="paragraph" w:customStyle="1" w:styleId="ColorfulList-Accent11">
    <w:name w:val="Colorful List - Accent 11"/>
    <w:basedOn w:val="CommentText"/>
    <w:qFormat/>
    <w:pPr>
      <w:spacing w:before="120" w:after="120"/>
    </w:pPr>
    <w:rPr>
      <w:sz w:val="24"/>
      <w:szCs w:val="24"/>
    </w:rPr>
  </w:style>
  <w:style w:type="character" w:customStyle="1" w:styleId="Heading2Char">
    <w:name w:val="Heading 2 Char"/>
    <w:link w:val="Heading2"/>
    <w:rPr>
      <w:b/>
      <w:bCs/>
      <w:sz w:val="24"/>
      <w:lang w:val="fr-FR" w:eastAsia="fr-FR"/>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style>
  <w:style w:type="paragraph" w:styleId="Revision">
    <w:name w:val="Revision"/>
    <w:hidden/>
    <w:uiPriority w:val="99"/>
    <w:semiHidden/>
    <w:rPr>
      <w:sz w:val="24"/>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210">
      <w:bodyDiv w:val="1"/>
      <w:marLeft w:val="0"/>
      <w:marRight w:val="0"/>
      <w:marTop w:val="0"/>
      <w:marBottom w:val="0"/>
      <w:divBdr>
        <w:top w:val="none" w:sz="0" w:space="0" w:color="auto"/>
        <w:left w:val="none" w:sz="0" w:space="0" w:color="auto"/>
        <w:bottom w:val="none" w:sz="0" w:space="0" w:color="auto"/>
        <w:right w:val="none" w:sz="0" w:space="0" w:color="auto"/>
      </w:divBdr>
    </w:div>
    <w:div w:id="92017296">
      <w:bodyDiv w:val="1"/>
      <w:marLeft w:val="0"/>
      <w:marRight w:val="0"/>
      <w:marTop w:val="0"/>
      <w:marBottom w:val="0"/>
      <w:divBdr>
        <w:top w:val="none" w:sz="0" w:space="0" w:color="auto"/>
        <w:left w:val="none" w:sz="0" w:space="0" w:color="auto"/>
        <w:bottom w:val="none" w:sz="0" w:space="0" w:color="auto"/>
        <w:right w:val="none" w:sz="0" w:space="0" w:color="auto"/>
      </w:divBdr>
    </w:div>
    <w:div w:id="443888823">
      <w:bodyDiv w:val="1"/>
      <w:marLeft w:val="0"/>
      <w:marRight w:val="0"/>
      <w:marTop w:val="0"/>
      <w:marBottom w:val="0"/>
      <w:divBdr>
        <w:top w:val="none" w:sz="0" w:space="0" w:color="auto"/>
        <w:left w:val="none" w:sz="0" w:space="0" w:color="auto"/>
        <w:bottom w:val="none" w:sz="0" w:space="0" w:color="auto"/>
        <w:right w:val="none" w:sz="0" w:space="0" w:color="auto"/>
      </w:divBdr>
    </w:div>
    <w:div w:id="637304363">
      <w:bodyDiv w:val="1"/>
      <w:marLeft w:val="0"/>
      <w:marRight w:val="0"/>
      <w:marTop w:val="0"/>
      <w:marBottom w:val="0"/>
      <w:divBdr>
        <w:top w:val="none" w:sz="0" w:space="0" w:color="auto"/>
        <w:left w:val="none" w:sz="0" w:space="0" w:color="auto"/>
        <w:bottom w:val="none" w:sz="0" w:space="0" w:color="auto"/>
        <w:right w:val="none" w:sz="0" w:space="0" w:color="auto"/>
      </w:divBdr>
    </w:div>
    <w:div w:id="654577874">
      <w:bodyDiv w:val="1"/>
      <w:marLeft w:val="0"/>
      <w:marRight w:val="0"/>
      <w:marTop w:val="0"/>
      <w:marBottom w:val="0"/>
      <w:divBdr>
        <w:top w:val="none" w:sz="0" w:space="0" w:color="auto"/>
        <w:left w:val="none" w:sz="0" w:space="0" w:color="auto"/>
        <w:bottom w:val="none" w:sz="0" w:space="0" w:color="auto"/>
        <w:right w:val="none" w:sz="0" w:space="0" w:color="auto"/>
      </w:divBdr>
    </w:div>
    <w:div w:id="655300944">
      <w:bodyDiv w:val="1"/>
      <w:marLeft w:val="0"/>
      <w:marRight w:val="0"/>
      <w:marTop w:val="0"/>
      <w:marBottom w:val="0"/>
      <w:divBdr>
        <w:top w:val="none" w:sz="0" w:space="0" w:color="auto"/>
        <w:left w:val="none" w:sz="0" w:space="0" w:color="auto"/>
        <w:bottom w:val="none" w:sz="0" w:space="0" w:color="auto"/>
        <w:right w:val="none" w:sz="0" w:space="0" w:color="auto"/>
      </w:divBdr>
    </w:div>
    <w:div w:id="677191716">
      <w:bodyDiv w:val="1"/>
      <w:marLeft w:val="1134"/>
      <w:marRight w:val="1134"/>
      <w:marTop w:val="0"/>
      <w:marBottom w:val="0"/>
      <w:divBdr>
        <w:top w:val="none" w:sz="0" w:space="0" w:color="auto"/>
        <w:left w:val="none" w:sz="0" w:space="0" w:color="auto"/>
        <w:bottom w:val="none" w:sz="0" w:space="0" w:color="auto"/>
        <w:right w:val="none" w:sz="0" w:space="0" w:color="auto"/>
      </w:divBdr>
      <w:divsChild>
        <w:div w:id="1068573432">
          <w:marLeft w:val="0"/>
          <w:marRight w:val="0"/>
          <w:marTop w:val="0"/>
          <w:marBottom w:val="0"/>
          <w:divBdr>
            <w:top w:val="none" w:sz="0" w:space="0" w:color="auto"/>
            <w:left w:val="none" w:sz="0" w:space="0" w:color="auto"/>
            <w:bottom w:val="none" w:sz="0" w:space="0" w:color="auto"/>
            <w:right w:val="none" w:sz="0" w:space="0" w:color="auto"/>
          </w:divBdr>
          <w:divsChild>
            <w:div w:id="1836610406">
              <w:marLeft w:val="2700"/>
              <w:marRight w:val="2250"/>
              <w:marTop w:val="600"/>
              <w:marBottom w:val="0"/>
              <w:divBdr>
                <w:top w:val="none" w:sz="0" w:space="0" w:color="auto"/>
                <w:left w:val="none" w:sz="0" w:space="0" w:color="auto"/>
                <w:bottom w:val="none" w:sz="0" w:space="0" w:color="auto"/>
                <w:right w:val="none" w:sz="0" w:space="0" w:color="auto"/>
              </w:divBdr>
              <w:divsChild>
                <w:div w:id="1306622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18041160">
      <w:bodyDiv w:val="1"/>
      <w:marLeft w:val="0"/>
      <w:marRight w:val="0"/>
      <w:marTop w:val="0"/>
      <w:marBottom w:val="0"/>
      <w:divBdr>
        <w:top w:val="none" w:sz="0" w:space="0" w:color="auto"/>
        <w:left w:val="none" w:sz="0" w:space="0" w:color="auto"/>
        <w:bottom w:val="none" w:sz="0" w:space="0" w:color="auto"/>
        <w:right w:val="none" w:sz="0" w:space="0" w:color="auto"/>
      </w:divBdr>
      <w:divsChild>
        <w:div w:id="1256597685">
          <w:marLeft w:val="547"/>
          <w:marRight w:val="0"/>
          <w:marTop w:val="86"/>
          <w:marBottom w:val="0"/>
          <w:divBdr>
            <w:top w:val="none" w:sz="0" w:space="0" w:color="auto"/>
            <w:left w:val="none" w:sz="0" w:space="0" w:color="auto"/>
            <w:bottom w:val="none" w:sz="0" w:space="0" w:color="auto"/>
            <w:right w:val="none" w:sz="0" w:space="0" w:color="auto"/>
          </w:divBdr>
        </w:div>
        <w:div w:id="2089227261">
          <w:marLeft w:val="547"/>
          <w:marRight w:val="0"/>
          <w:marTop w:val="86"/>
          <w:marBottom w:val="0"/>
          <w:divBdr>
            <w:top w:val="none" w:sz="0" w:space="0" w:color="auto"/>
            <w:left w:val="none" w:sz="0" w:space="0" w:color="auto"/>
            <w:bottom w:val="none" w:sz="0" w:space="0" w:color="auto"/>
            <w:right w:val="none" w:sz="0" w:space="0" w:color="auto"/>
          </w:divBdr>
        </w:div>
      </w:divsChild>
    </w:div>
    <w:div w:id="1018773427">
      <w:bodyDiv w:val="1"/>
      <w:marLeft w:val="0"/>
      <w:marRight w:val="0"/>
      <w:marTop w:val="0"/>
      <w:marBottom w:val="0"/>
      <w:divBdr>
        <w:top w:val="none" w:sz="0" w:space="0" w:color="auto"/>
        <w:left w:val="none" w:sz="0" w:space="0" w:color="auto"/>
        <w:bottom w:val="none" w:sz="0" w:space="0" w:color="auto"/>
        <w:right w:val="none" w:sz="0" w:space="0" w:color="auto"/>
      </w:divBdr>
    </w:div>
    <w:div w:id="1031877622">
      <w:bodyDiv w:val="1"/>
      <w:marLeft w:val="0"/>
      <w:marRight w:val="0"/>
      <w:marTop w:val="0"/>
      <w:marBottom w:val="0"/>
      <w:divBdr>
        <w:top w:val="none" w:sz="0" w:space="0" w:color="auto"/>
        <w:left w:val="none" w:sz="0" w:space="0" w:color="auto"/>
        <w:bottom w:val="none" w:sz="0" w:space="0" w:color="auto"/>
        <w:right w:val="none" w:sz="0" w:space="0" w:color="auto"/>
      </w:divBdr>
    </w:div>
    <w:div w:id="1033119742">
      <w:bodyDiv w:val="1"/>
      <w:marLeft w:val="0"/>
      <w:marRight w:val="0"/>
      <w:marTop w:val="0"/>
      <w:marBottom w:val="0"/>
      <w:divBdr>
        <w:top w:val="none" w:sz="0" w:space="0" w:color="auto"/>
        <w:left w:val="none" w:sz="0" w:space="0" w:color="auto"/>
        <w:bottom w:val="none" w:sz="0" w:space="0" w:color="auto"/>
        <w:right w:val="none" w:sz="0" w:space="0" w:color="auto"/>
      </w:divBdr>
    </w:div>
    <w:div w:id="1064329025">
      <w:bodyDiv w:val="1"/>
      <w:marLeft w:val="0"/>
      <w:marRight w:val="0"/>
      <w:marTop w:val="0"/>
      <w:marBottom w:val="0"/>
      <w:divBdr>
        <w:top w:val="none" w:sz="0" w:space="0" w:color="auto"/>
        <w:left w:val="none" w:sz="0" w:space="0" w:color="auto"/>
        <w:bottom w:val="none" w:sz="0" w:space="0" w:color="auto"/>
        <w:right w:val="none" w:sz="0" w:space="0" w:color="auto"/>
      </w:divBdr>
    </w:div>
    <w:div w:id="1076123918">
      <w:bodyDiv w:val="1"/>
      <w:marLeft w:val="0"/>
      <w:marRight w:val="0"/>
      <w:marTop w:val="0"/>
      <w:marBottom w:val="0"/>
      <w:divBdr>
        <w:top w:val="none" w:sz="0" w:space="0" w:color="auto"/>
        <w:left w:val="none" w:sz="0" w:space="0" w:color="auto"/>
        <w:bottom w:val="none" w:sz="0" w:space="0" w:color="auto"/>
        <w:right w:val="none" w:sz="0" w:space="0" w:color="auto"/>
      </w:divBdr>
    </w:div>
    <w:div w:id="1113131218">
      <w:bodyDiv w:val="1"/>
      <w:marLeft w:val="1134"/>
      <w:marRight w:val="1134"/>
      <w:marTop w:val="0"/>
      <w:marBottom w:val="0"/>
      <w:divBdr>
        <w:top w:val="none" w:sz="0" w:space="0" w:color="auto"/>
        <w:left w:val="none" w:sz="0" w:space="0" w:color="auto"/>
        <w:bottom w:val="none" w:sz="0" w:space="0" w:color="auto"/>
        <w:right w:val="none" w:sz="0" w:space="0" w:color="auto"/>
      </w:divBdr>
      <w:divsChild>
        <w:div w:id="1920677383">
          <w:marLeft w:val="0"/>
          <w:marRight w:val="0"/>
          <w:marTop w:val="0"/>
          <w:marBottom w:val="0"/>
          <w:divBdr>
            <w:top w:val="none" w:sz="0" w:space="0" w:color="auto"/>
            <w:left w:val="none" w:sz="0" w:space="0" w:color="auto"/>
            <w:bottom w:val="none" w:sz="0" w:space="0" w:color="auto"/>
            <w:right w:val="none" w:sz="0" w:space="0" w:color="auto"/>
          </w:divBdr>
          <w:divsChild>
            <w:div w:id="540290721">
              <w:marLeft w:val="2700"/>
              <w:marRight w:val="2250"/>
              <w:marTop w:val="600"/>
              <w:marBottom w:val="0"/>
              <w:divBdr>
                <w:top w:val="none" w:sz="0" w:space="0" w:color="auto"/>
                <w:left w:val="none" w:sz="0" w:space="0" w:color="auto"/>
                <w:bottom w:val="none" w:sz="0" w:space="0" w:color="auto"/>
                <w:right w:val="none" w:sz="0" w:space="0" w:color="auto"/>
              </w:divBdr>
              <w:divsChild>
                <w:div w:id="42677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9616526">
      <w:bodyDiv w:val="1"/>
      <w:marLeft w:val="0"/>
      <w:marRight w:val="0"/>
      <w:marTop w:val="0"/>
      <w:marBottom w:val="0"/>
      <w:divBdr>
        <w:top w:val="none" w:sz="0" w:space="0" w:color="auto"/>
        <w:left w:val="none" w:sz="0" w:space="0" w:color="auto"/>
        <w:bottom w:val="none" w:sz="0" w:space="0" w:color="auto"/>
        <w:right w:val="none" w:sz="0" w:space="0" w:color="auto"/>
      </w:divBdr>
    </w:div>
    <w:div w:id="1164583892">
      <w:bodyDiv w:val="1"/>
      <w:marLeft w:val="0"/>
      <w:marRight w:val="0"/>
      <w:marTop w:val="0"/>
      <w:marBottom w:val="0"/>
      <w:divBdr>
        <w:top w:val="none" w:sz="0" w:space="0" w:color="auto"/>
        <w:left w:val="none" w:sz="0" w:space="0" w:color="auto"/>
        <w:bottom w:val="none" w:sz="0" w:space="0" w:color="auto"/>
        <w:right w:val="none" w:sz="0" w:space="0" w:color="auto"/>
      </w:divBdr>
    </w:div>
    <w:div w:id="1211460841">
      <w:bodyDiv w:val="1"/>
      <w:marLeft w:val="0"/>
      <w:marRight w:val="0"/>
      <w:marTop w:val="0"/>
      <w:marBottom w:val="0"/>
      <w:divBdr>
        <w:top w:val="none" w:sz="0" w:space="0" w:color="auto"/>
        <w:left w:val="none" w:sz="0" w:space="0" w:color="auto"/>
        <w:bottom w:val="none" w:sz="0" w:space="0" w:color="auto"/>
        <w:right w:val="none" w:sz="0" w:space="0" w:color="auto"/>
      </w:divBdr>
    </w:div>
    <w:div w:id="1246572626">
      <w:bodyDiv w:val="1"/>
      <w:marLeft w:val="0"/>
      <w:marRight w:val="0"/>
      <w:marTop w:val="0"/>
      <w:marBottom w:val="0"/>
      <w:divBdr>
        <w:top w:val="none" w:sz="0" w:space="0" w:color="auto"/>
        <w:left w:val="none" w:sz="0" w:space="0" w:color="auto"/>
        <w:bottom w:val="none" w:sz="0" w:space="0" w:color="auto"/>
        <w:right w:val="none" w:sz="0" w:space="0" w:color="auto"/>
      </w:divBdr>
    </w:div>
    <w:div w:id="1267814202">
      <w:bodyDiv w:val="1"/>
      <w:marLeft w:val="1134"/>
      <w:marRight w:val="1134"/>
      <w:marTop w:val="0"/>
      <w:marBottom w:val="0"/>
      <w:divBdr>
        <w:top w:val="none" w:sz="0" w:space="0" w:color="auto"/>
        <w:left w:val="none" w:sz="0" w:space="0" w:color="auto"/>
        <w:bottom w:val="none" w:sz="0" w:space="0" w:color="auto"/>
        <w:right w:val="none" w:sz="0" w:space="0" w:color="auto"/>
      </w:divBdr>
      <w:divsChild>
        <w:div w:id="1020820287">
          <w:marLeft w:val="0"/>
          <w:marRight w:val="0"/>
          <w:marTop w:val="0"/>
          <w:marBottom w:val="0"/>
          <w:divBdr>
            <w:top w:val="none" w:sz="0" w:space="0" w:color="auto"/>
            <w:left w:val="none" w:sz="0" w:space="0" w:color="auto"/>
            <w:bottom w:val="none" w:sz="0" w:space="0" w:color="auto"/>
            <w:right w:val="none" w:sz="0" w:space="0" w:color="auto"/>
          </w:divBdr>
          <w:divsChild>
            <w:div w:id="625355831">
              <w:marLeft w:val="2700"/>
              <w:marRight w:val="2250"/>
              <w:marTop w:val="600"/>
              <w:marBottom w:val="0"/>
              <w:divBdr>
                <w:top w:val="none" w:sz="0" w:space="0" w:color="auto"/>
                <w:left w:val="none" w:sz="0" w:space="0" w:color="auto"/>
                <w:bottom w:val="none" w:sz="0" w:space="0" w:color="auto"/>
                <w:right w:val="none" w:sz="0" w:space="0" w:color="auto"/>
              </w:divBdr>
              <w:divsChild>
                <w:div w:id="878665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1282363">
      <w:bodyDiv w:val="1"/>
      <w:marLeft w:val="0"/>
      <w:marRight w:val="0"/>
      <w:marTop w:val="0"/>
      <w:marBottom w:val="0"/>
      <w:divBdr>
        <w:top w:val="none" w:sz="0" w:space="0" w:color="auto"/>
        <w:left w:val="none" w:sz="0" w:space="0" w:color="auto"/>
        <w:bottom w:val="none" w:sz="0" w:space="0" w:color="auto"/>
        <w:right w:val="none" w:sz="0" w:space="0" w:color="auto"/>
      </w:divBdr>
    </w:div>
    <w:div w:id="1296989924">
      <w:bodyDiv w:val="1"/>
      <w:marLeft w:val="0"/>
      <w:marRight w:val="0"/>
      <w:marTop w:val="0"/>
      <w:marBottom w:val="0"/>
      <w:divBdr>
        <w:top w:val="none" w:sz="0" w:space="0" w:color="auto"/>
        <w:left w:val="none" w:sz="0" w:space="0" w:color="auto"/>
        <w:bottom w:val="none" w:sz="0" w:space="0" w:color="auto"/>
        <w:right w:val="none" w:sz="0" w:space="0" w:color="auto"/>
      </w:divBdr>
    </w:div>
    <w:div w:id="1537155038">
      <w:bodyDiv w:val="1"/>
      <w:marLeft w:val="0"/>
      <w:marRight w:val="0"/>
      <w:marTop w:val="0"/>
      <w:marBottom w:val="0"/>
      <w:divBdr>
        <w:top w:val="none" w:sz="0" w:space="0" w:color="auto"/>
        <w:left w:val="none" w:sz="0" w:space="0" w:color="auto"/>
        <w:bottom w:val="none" w:sz="0" w:space="0" w:color="auto"/>
        <w:right w:val="none" w:sz="0" w:space="0" w:color="auto"/>
      </w:divBdr>
    </w:div>
    <w:div w:id="1686244330">
      <w:bodyDiv w:val="1"/>
      <w:marLeft w:val="0"/>
      <w:marRight w:val="0"/>
      <w:marTop w:val="0"/>
      <w:marBottom w:val="0"/>
      <w:divBdr>
        <w:top w:val="none" w:sz="0" w:space="0" w:color="auto"/>
        <w:left w:val="none" w:sz="0" w:space="0" w:color="auto"/>
        <w:bottom w:val="none" w:sz="0" w:space="0" w:color="auto"/>
        <w:right w:val="none" w:sz="0" w:space="0" w:color="auto"/>
      </w:divBdr>
    </w:div>
    <w:div w:id="1709528369">
      <w:bodyDiv w:val="1"/>
      <w:marLeft w:val="0"/>
      <w:marRight w:val="0"/>
      <w:marTop w:val="0"/>
      <w:marBottom w:val="0"/>
      <w:divBdr>
        <w:top w:val="none" w:sz="0" w:space="0" w:color="auto"/>
        <w:left w:val="none" w:sz="0" w:space="0" w:color="auto"/>
        <w:bottom w:val="none" w:sz="0" w:space="0" w:color="auto"/>
        <w:right w:val="none" w:sz="0" w:space="0" w:color="auto"/>
      </w:divBdr>
    </w:div>
    <w:div w:id="1767261610">
      <w:bodyDiv w:val="1"/>
      <w:marLeft w:val="0"/>
      <w:marRight w:val="0"/>
      <w:marTop w:val="0"/>
      <w:marBottom w:val="0"/>
      <w:divBdr>
        <w:top w:val="none" w:sz="0" w:space="0" w:color="auto"/>
        <w:left w:val="none" w:sz="0" w:space="0" w:color="auto"/>
        <w:bottom w:val="none" w:sz="0" w:space="0" w:color="auto"/>
        <w:right w:val="none" w:sz="0" w:space="0" w:color="auto"/>
      </w:divBdr>
    </w:div>
    <w:div w:id="1801410804">
      <w:bodyDiv w:val="1"/>
      <w:marLeft w:val="0"/>
      <w:marRight w:val="0"/>
      <w:marTop w:val="0"/>
      <w:marBottom w:val="0"/>
      <w:divBdr>
        <w:top w:val="none" w:sz="0" w:space="0" w:color="auto"/>
        <w:left w:val="none" w:sz="0" w:space="0" w:color="auto"/>
        <w:bottom w:val="none" w:sz="0" w:space="0" w:color="auto"/>
        <w:right w:val="none" w:sz="0" w:space="0" w:color="auto"/>
      </w:divBdr>
    </w:div>
    <w:div w:id="1856915198">
      <w:bodyDiv w:val="1"/>
      <w:marLeft w:val="0"/>
      <w:marRight w:val="0"/>
      <w:marTop w:val="0"/>
      <w:marBottom w:val="0"/>
      <w:divBdr>
        <w:top w:val="none" w:sz="0" w:space="0" w:color="auto"/>
        <w:left w:val="none" w:sz="0" w:space="0" w:color="auto"/>
        <w:bottom w:val="none" w:sz="0" w:space="0" w:color="auto"/>
        <w:right w:val="none" w:sz="0" w:space="0" w:color="auto"/>
      </w:divBdr>
    </w:div>
    <w:div w:id="1923754512">
      <w:bodyDiv w:val="1"/>
      <w:marLeft w:val="0"/>
      <w:marRight w:val="0"/>
      <w:marTop w:val="0"/>
      <w:marBottom w:val="0"/>
      <w:divBdr>
        <w:top w:val="none" w:sz="0" w:space="0" w:color="auto"/>
        <w:left w:val="none" w:sz="0" w:space="0" w:color="auto"/>
        <w:bottom w:val="none" w:sz="0" w:space="0" w:color="auto"/>
        <w:right w:val="none" w:sz="0" w:space="0" w:color="auto"/>
      </w:divBdr>
    </w:div>
    <w:div w:id="1971323417">
      <w:bodyDiv w:val="1"/>
      <w:marLeft w:val="0"/>
      <w:marRight w:val="0"/>
      <w:marTop w:val="0"/>
      <w:marBottom w:val="0"/>
      <w:divBdr>
        <w:top w:val="none" w:sz="0" w:space="0" w:color="auto"/>
        <w:left w:val="none" w:sz="0" w:space="0" w:color="auto"/>
        <w:bottom w:val="none" w:sz="0" w:space="0" w:color="auto"/>
        <w:right w:val="none" w:sz="0" w:space="0" w:color="auto"/>
      </w:divBdr>
    </w:div>
    <w:div w:id="1979067369">
      <w:bodyDiv w:val="1"/>
      <w:marLeft w:val="0"/>
      <w:marRight w:val="0"/>
      <w:marTop w:val="0"/>
      <w:marBottom w:val="0"/>
      <w:divBdr>
        <w:top w:val="none" w:sz="0" w:space="0" w:color="auto"/>
        <w:left w:val="none" w:sz="0" w:space="0" w:color="auto"/>
        <w:bottom w:val="none" w:sz="0" w:space="0" w:color="auto"/>
        <w:right w:val="none" w:sz="0" w:space="0" w:color="auto"/>
      </w:divBdr>
    </w:div>
    <w:div w:id="2087993385">
      <w:bodyDiv w:val="1"/>
      <w:marLeft w:val="0"/>
      <w:marRight w:val="0"/>
      <w:marTop w:val="0"/>
      <w:marBottom w:val="0"/>
      <w:divBdr>
        <w:top w:val="none" w:sz="0" w:space="0" w:color="auto"/>
        <w:left w:val="none" w:sz="0" w:space="0" w:color="auto"/>
        <w:bottom w:val="none" w:sz="0" w:space="0" w:color="auto"/>
        <w:right w:val="none" w:sz="0" w:space="0" w:color="auto"/>
      </w:divBdr>
      <w:divsChild>
        <w:div w:id="163131326">
          <w:marLeft w:val="547"/>
          <w:marRight w:val="0"/>
          <w:marTop w:val="86"/>
          <w:marBottom w:val="0"/>
          <w:divBdr>
            <w:top w:val="none" w:sz="0" w:space="0" w:color="auto"/>
            <w:left w:val="none" w:sz="0" w:space="0" w:color="auto"/>
            <w:bottom w:val="none" w:sz="0" w:space="0" w:color="auto"/>
            <w:right w:val="none" w:sz="0" w:space="0" w:color="auto"/>
          </w:divBdr>
        </w:div>
        <w:div w:id="2002855411">
          <w:marLeft w:val="547"/>
          <w:marRight w:val="0"/>
          <w:marTop w:val="86"/>
          <w:marBottom w:val="0"/>
          <w:divBdr>
            <w:top w:val="none" w:sz="0" w:space="0" w:color="auto"/>
            <w:left w:val="none" w:sz="0" w:space="0" w:color="auto"/>
            <w:bottom w:val="none" w:sz="0" w:space="0" w:color="auto"/>
            <w:right w:val="none" w:sz="0" w:space="0" w:color="auto"/>
          </w:divBdr>
        </w:div>
      </w:divsChild>
    </w:div>
    <w:div w:id="210456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5E40-A0B3-4421-8F70-525C8F46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37</TotalTime>
  <Pages>4</Pages>
  <Words>1842</Words>
  <Characters>11071</Characters>
  <Application>Microsoft Office Word</Application>
  <DocSecurity>0</DocSecurity>
  <PresentationFormat>Microsoft Word 14.0</PresentationFormat>
  <Lines>145</Lines>
  <Paragraphs>46</Paragraphs>
  <ScaleCrop>false</ScaleCrop>
  <HeadingPairs>
    <vt:vector size="2" baseType="variant">
      <vt:variant>
        <vt:lpstr>Title</vt:lpstr>
      </vt:variant>
      <vt:variant>
        <vt:i4>1</vt:i4>
      </vt:variant>
    </vt:vector>
  </HeadingPairs>
  <TitlesOfParts>
    <vt:vector size="1" baseType="lpstr">
      <vt:lpstr>28082015 Impact Assessment for CCP recovery and resolution proposal</vt:lpstr>
    </vt:vector>
  </TitlesOfParts>
  <Manager/>
  <Company/>
  <LinksUpToDate>false</LinksUpToDate>
  <CharactersWithSpaces>12867</CharactersWithSpaces>
  <SharedDoc>false</SharedDoc>
  <HLinks>
    <vt:vector size="606" baseType="variant">
      <vt:variant>
        <vt:i4>1900559</vt:i4>
      </vt:variant>
      <vt:variant>
        <vt:i4>264</vt:i4>
      </vt:variant>
      <vt:variant>
        <vt:i4>0</vt:i4>
      </vt:variant>
      <vt:variant>
        <vt:i4>5</vt:i4>
      </vt:variant>
      <vt:variant>
        <vt:lpwstr>http://www.bis.org/press/p140901.htm</vt:lpwstr>
      </vt:variant>
      <vt:variant>
        <vt:lpwstr/>
      </vt:variant>
      <vt:variant>
        <vt:i4>1179697</vt:i4>
      </vt:variant>
      <vt:variant>
        <vt:i4>248</vt:i4>
      </vt:variant>
      <vt:variant>
        <vt:i4>0</vt:i4>
      </vt:variant>
      <vt:variant>
        <vt:i4>5</vt:i4>
      </vt:variant>
      <vt:variant>
        <vt:lpwstr/>
      </vt:variant>
      <vt:variant>
        <vt:lpwstr>_Toc412736457</vt:lpwstr>
      </vt:variant>
      <vt:variant>
        <vt:i4>1179697</vt:i4>
      </vt:variant>
      <vt:variant>
        <vt:i4>242</vt:i4>
      </vt:variant>
      <vt:variant>
        <vt:i4>0</vt:i4>
      </vt:variant>
      <vt:variant>
        <vt:i4>5</vt:i4>
      </vt:variant>
      <vt:variant>
        <vt:lpwstr/>
      </vt:variant>
      <vt:variant>
        <vt:lpwstr>_Toc412736456</vt:lpwstr>
      </vt:variant>
      <vt:variant>
        <vt:i4>1179697</vt:i4>
      </vt:variant>
      <vt:variant>
        <vt:i4>236</vt:i4>
      </vt:variant>
      <vt:variant>
        <vt:i4>0</vt:i4>
      </vt:variant>
      <vt:variant>
        <vt:i4>5</vt:i4>
      </vt:variant>
      <vt:variant>
        <vt:lpwstr/>
      </vt:variant>
      <vt:variant>
        <vt:lpwstr>_Toc412736455</vt:lpwstr>
      </vt:variant>
      <vt:variant>
        <vt:i4>1179697</vt:i4>
      </vt:variant>
      <vt:variant>
        <vt:i4>230</vt:i4>
      </vt:variant>
      <vt:variant>
        <vt:i4>0</vt:i4>
      </vt:variant>
      <vt:variant>
        <vt:i4>5</vt:i4>
      </vt:variant>
      <vt:variant>
        <vt:lpwstr/>
      </vt:variant>
      <vt:variant>
        <vt:lpwstr>_Toc412736454</vt:lpwstr>
      </vt:variant>
      <vt:variant>
        <vt:i4>1179697</vt:i4>
      </vt:variant>
      <vt:variant>
        <vt:i4>224</vt:i4>
      </vt:variant>
      <vt:variant>
        <vt:i4>0</vt:i4>
      </vt:variant>
      <vt:variant>
        <vt:i4>5</vt:i4>
      </vt:variant>
      <vt:variant>
        <vt:lpwstr/>
      </vt:variant>
      <vt:variant>
        <vt:lpwstr>_Toc412736453</vt:lpwstr>
      </vt:variant>
      <vt:variant>
        <vt:i4>1179697</vt:i4>
      </vt:variant>
      <vt:variant>
        <vt:i4>218</vt:i4>
      </vt:variant>
      <vt:variant>
        <vt:i4>0</vt:i4>
      </vt:variant>
      <vt:variant>
        <vt:i4>5</vt:i4>
      </vt:variant>
      <vt:variant>
        <vt:lpwstr/>
      </vt:variant>
      <vt:variant>
        <vt:lpwstr>_Toc412736452</vt:lpwstr>
      </vt:variant>
      <vt:variant>
        <vt:i4>1179697</vt:i4>
      </vt:variant>
      <vt:variant>
        <vt:i4>212</vt:i4>
      </vt:variant>
      <vt:variant>
        <vt:i4>0</vt:i4>
      </vt:variant>
      <vt:variant>
        <vt:i4>5</vt:i4>
      </vt:variant>
      <vt:variant>
        <vt:lpwstr/>
      </vt:variant>
      <vt:variant>
        <vt:lpwstr>_Toc412736451</vt:lpwstr>
      </vt:variant>
      <vt:variant>
        <vt:i4>1179697</vt:i4>
      </vt:variant>
      <vt:variant>
        <vt:i4>206</vt:i4>
      </vt:variant>
      <vt:variant>
        <vt:i4>0</vt:i4>
      </vt:variant>
      <vt:variant>
        <vt:i4>5</vt:i4>
      </vt:variant>
      <vt:variant>
        <vt:lpwstr/>
      </vt:variant>
      <vt:variant>
        <vt:lpwstr>_Toc412736450</vt:lpwstr>
      </vt:variant>
      <vt:variant>
        <vt:i4>1245233</vt:i4>
      </vt:variant>
      <vt:variant>
        <vt:i4>200</vt:i4>
      </vt:variant>
      <vt:variant>
        <vt:i4>0</vt:i4>
      </vt:variant>
      <vt:variant>
        <vt:i4>5</vt:i4>
      </vt:variant>
      <vt:variant>
        <vt:lpwstr/>
      </vt:variant>
      <vt:variant>
        <vt:lpwstr>_Toc412736449</vt:lpwstr>
      </vt:variant>
      <vt:variant>
        <vt:i4>1245233</vt:i4>
      </vt:variant>
      <vt:variant>
        <vt:i4>194</vt:i4>
      </vt:variant>
      <vt:variant>
        <vt:i4>0</vt:i4>
      </vt:variant>
      <vt:variant>
        <vt:i4>5</vt:i4>
      </vt:variant>
      <vt:variant>
        <vt:lpwstr/>
      </vt:variant>
      <vt:variant>
        <vt:lpwstr>_Toc412736448</vt:lpwstr>
      </vt:variant>
      <vt:variant>
        <vt:i4>1245233</vt:i4>
      </vt:variant>
      <vt:variant>
        <vt:i4>188</vt:i4>
      </vt:variant>
      <vt:variant>
        <vt:i4>0</vt:i4>
      </vt:variant>
      <vt:variant>
        <vt:i4>5</vt:i4>
      </vt:variant>
      <vt:variant>
        <vt:lpwstr/>
      </vt:variant>
      <vt:variant>
        <vt:lpwstr>_Toc412736447</vt:lpwstr>
      </vt:variant>
      <vt:variant>
        <vt:i4>1245233</vt:i4>
      </vt:variant>
      <vt:variant>
        <vt:i4>182</vt:i4>
      </vt:variant>
      <vt:variant>
        <vt:i4>0</vt:i4>
      </vt:variant>
      <vt:variant>
        <vt:i4>5</vt:i4>
      </vt:variant>
      <vt:variant>
        <vt:lpwstr/>
      </vt:variant>
      <vt:variant>
        <vt:lpwstr>_Toc412736446</vt:lpwstr>
      </vt:variant>
      <vt:variant>
        <vt:i4>1245233</vt:i4>
      </vt:variant>
      <vt:variant>
        <vt:i4>176</vt:i4>
      </vt:variant>
      <vt:variant>
        <vt:i4>0</vt:i4>
      </vt:variant>
      <vt:variant>
        <vt:i4>5</vt:i4>
      </vt:variant>
      <vt:variant>
        <vt:lpwstr/>
      </vt:variant>
      <vt:variant>
        <vt:lpwstr>_Toc412736445</vt:lpwstr>
      </vt:variant>
      <vt:variant>
        <vt:i4>1245233</vt:i4>
      </vt:variant>
      <vt:variant>
        <vt:i4>170</vt:i4>
      </vt:variant>
      <vt:variant>
        <vt:i4>0</vt:i4>
      </vt:variant>
      <vt:variant>
        <vt:i4>5</vt:i4>
      </vt:variant>
      <vt:variant>
        <vt:lpwstr/>
      </vt:variant>
      <vt:variant>
        <vt:lpwstr>_Toc412736444</vt:lpwstr>
      </vt:variant>
      <vt:variant>
        <vt:i4>1245233</vt:i4>
      </vt:variant>
      <vt:variant>
        <vt:i4>164</vt:i4>
      </vt:variant>
      <vt:variant>
        <vt:i4>0</vt:i4>
      </vt:variant>
      <vt:variant>
        <vt:i4>5</vt:i4>
      </vt:variant>
      <vt:variant>
        <vt:lpwstr/>
      </vt:variant>
      <vt:variant>
        <vt:lpwstr>_Toc412736443</vt:lpwstr>
      </vt:variant>
      <vt:variant>
        <vt:i4>1245233</vt:i4>
      </vt:variant>
      <vt:variant>
        <vt:i4>158</vt:i4>
      </vt:variant>
      <vt:variant>
        <vt:i4>0</vt:i4>
      </vt:variant>
      <vt:variant>
        <vt:i4>5</vt:i4>
      </vt:variant>
      <vt:variant>
        <vt:lpwstr/>
      </vt:variant>
      <vt:variant>
        <vt:lpwstr>_Toc412736442</vt:lpwstr>
      </vt:variant>
      <vt:variant>
        <vt:i4>1245233</vt:i4>
      </vt:variant>
      <vt:variant>
        <vt:i4>152</vt:i4>
      </vt:variant>
      <vt:variant>
        <vt:i4>0</vt:i4>
      </vt:variant>
      <vt:variant>
        <vt:i4>5</vt:i4>
      </vt:variant>
      <vt:variant>
        <vt:lpwstr/>
      </vt:variant>
      <vt:variant>
        <vt:lpwstr>_Toc412736441</vt:lpwstr>
      </vt:variant>
      <vt:variant>
        <vt:i4>1245233</vt:i4>
      </vt:variant>
      <vt:variant>
        <vt:i4>146</vt:i4>
      </vt:variant>
      <vt:variant>
        <vt:i4>0</vt:i4>
      </vt:variant>
      <vt:variant>
        <vt:i4>5</vt:i4>
      </vt:variant>
      <vt:variant>
        <vt:lpwstr/>
      </vt:variant>
      <vt:variant>
        <vt:lpwstr>_Toc412736440</vt:lpwstr>
      </vt:variant>
      <vt:variant>
        <vt:i4>1310769</vt:i4>
      </vt:variant>
      <vt:variant>
        <vt:i4>140</vt:i4>
      </vt:variant>
      <vt:variant>
        <vt:i4>0</vt:i4>
      </vt:variant>
      <vt:variant>
        <vt:i4>5</vt:i4>
      </vt:variant>
      <vt:variant>
        <vt:lpwstr/>
      </vt:variant>
      <vt:variant>
        <vt:lpwstr>_Toc412736439</vt:lpwstr>
      </vt:variant>
      <vt:variant>
        <vt:i4>1310769</vt:i4>
      </vt:variant>
      <vt:variant>
        <vt:i4>134</vt:i4>
      </vt:variant>
      <vt:variant>
        <vt:i4>0</vt:i4>
      </vt:variant>
      <vt:variant>
        <vt:i4>5</vt:i4>
      </vt:variant>
      <vt:variant>
        <vt:lpwstr/>
      </vt:variant>
      <vt:variant>
        <vt:lpwstr>_Toc412736438</vt:lpwstr>
      </vt:variant>
      <vt:variant>
        <vt:i4>1310769</vt:i4>
      </vt:variant>
      <vt:variant>
        <vt:i4>128</vt:i4>
      </vt:variant>
      <vt:variant>
        <vt:i4>0</vt:i4>
      </vt:variant>
      <vt:variant>
        <vt:i4>5</vt:i4>
      </vt:variant>
      <vt:variant>
        <vt:lpwstr/>
      </vt:variant>
      <vt:variant>
        <vt:lpwstr>_Toc412736437</vt:lpwstr>
      </vt:variant>
      <vt:variant>
        <vt:i4>1310769</vt:i4>
      </vt:variant>
      <vt:variant>
        <vt:i4>122</vt:i4>
      </vt:variant>
      <vt:variant>
        <vt:i4>0</vt:i4>
      </vt:variant>
      <vt:variant>
        <vt:i4>5</vt:i4>
      </vt:variant>
      <vt:variant>
        <vt:lpwstr/>
      </vt:variant>
      <vt:variant>
        <vt:lpwstr>_Toc412736435</vt:lpwstr>
      </vt:variant>
      <vt:variant>
        <vt:i4>1310769</vt:i4>
      </vt:variant>
      <vt:variant>
        <vt:i4>116</vt:i4>
      </vt:variant>
      <vt:variant>
        <vt:i4>0</vt:i4>
      </vt:variant>
      <vt:variant>
        <vt:i4>5</vt:i4>
      </vt:variant>
      <vt:variant>
        <vt:lpwstr/>
      </vt:variant>
      <vt:variant>
        <vt:lpwstr>_Toc412736434</vt:lpwstr>
      </vt:variant>
      <vt:variant>
        <vt:i4>1310769</vt:i4>
      </vt:variant>
      <vt:variant>
        <vt:i4>110</vt:i4>
      </vt:variant>
      <vt:variant>
        <vt:i4>0</vt:i4>
      </vt:variant>
      <vt:variant>
        <vt:i4>5</vt:i4>
      </vt:variant>
      <vt:variant>
        <vt:lpwstr/>
      </vt:variant>
      <vt:variant>
        <vt:lpwstr>_Toc412736433</vt:lpwstr>
      </vt:variant>
      <vt:variant>
        <vt:i4>1310769</vt:i4>
      </vt:variant>
      <vt:variant>
        <vt:i4>104</vt:i4>
      </vt:variant>
      <vt:variant>
        <vt:i4>0</vt:i4>
      </vt:variant>
      <vt:variant>
        <vt:i4>5</vt:i4>
      </vt:variant>
      <vt:variant>
        <vt:lpwstr/>
      </vt:variant>
      <vt:variant>
        <vt:lpwstr>_Toc412736432</vt:lpwstr>
      </vt:variant>
      <vt:variant>
        <vt:i4>1310769</vt:i4>
      </vt:variant>
      <vt:variant>
        <vt:i4>98</vt:i4>
      </vt:variant>
      <vt:variant>
        <vt:i4>0</vt:i4>
      </vt:variant>
      <vt:variant>
        <vt:i4>5</vt:i4>
      </vt:variant>
      <vt:variant>
        <vt:lpwstr/>
      </vt:variant>
      <vt:variant>
        <vt:lpwstr>_Toc412736431</vt:lpwstr>
      </vt:variant>
      <vt:variant>
        <vt:i4>1310769</vt:i4>
      </vt:variant>
      <vt:variant>
        <vt:i4>92</vt:i4>
      </vt:variant>
      <vt:variant>
        <vt:i4>0</vt:i4>
      </vt:variant>
      <vt:variant>
        <vt:i4>5</vt:i4>
      </vt:variant>
      <vt:variant>
        <vt:lpwstr/>
      </vt:variant>
      <vt:variant>
        <vt:lpwstr>_Toc412736430</vt:lpwstr>
      </vt:variant>
      <vt:variant>
        <vt:i4>1376305</vt:i4>
      </vt:variant>
      <vt:variant>
        <vt:i4>86</vt:i4>
      </vt:variant>
      <vt:variant>
        <vt:i4>0</vt:i4>
      </vt:variant>
      <vt:variant>
        <vt:i4>5</vt:i4>
      </vt:variant>
      <vt:variant>
        <vt:lpwstr/>
      </vt:variant>
      <vt:variant>
        <vt:lpwstr>_Toc412736429</vt:lpwstr>
      </vt:variant>
      <vt:variant>
        <vt:i4>1376305</vt:i4>
      </vt:variant>
      <vt:variant>
        <vt:i4>80</vt:i4>
      </vt:variant>
      <vt:variant>
        <vt:i4>0</vt:i4>
      </vt:variant>
      <vt:variant>
        <vt:i4>5</vt:i4>
      </vt:variant>
      <vt:variant>
        <vt:lpwstr/>
      </vt:variant>
      <vt:variant>
        <vt:lpwstr>_Toc412736425</vt:lpwstr>
      </vt:variant>
      <vt:variant>
        <vt:i4>1376305</vt:i4>
      </vt:variant>
      <vt:variant>
        <vt:i4>74</vt:i4>
      </vt:variant>
      <vt:variant>
        <vt:i4>0</vt:i4>
      </vt:variant>
      <vt:variant>
        <vt:i4>5</vt:i4>
      </vt:variant>
      <vt:variant>
        <vt:lpwstr/>
      </vt:variant>
      <vt:variant>
        <vt:lpwstr>_Toc412736424</vt:lpwstr>
      </vt:variant>
      <vt:variant>
        <vt:i4>1376305</vt:i4>
      </vt:variant>
      <vt:variant>
        <vt:i4>68</vt:i4>
      </vt:variant>
      <vt:variant>
        <vt:i4>0</vt:i4>
      </vt:variant>
      <vt:variant>
        <vt:i4>5</vt:i4>
      </vt:variant>
      <vt:variant>
        <vt:lpwstr/>
      </vt:variant>
      <vt:variant>
        <vt:lpwstr>_Toc412736423</vt:lpwstr>
      </vt:variant>
      <vt:variant>
        <vt:i4>1376305</vt:i4>
      </vt:variant>
      <vt:variant>
        <vt:i4>62</vt:i4>
      </vt:variant>
      <vt:variant>
        <vt:i4>0</vt:i4>
      </vt:variant>
      <vt:variant>
        <vt:i4>5</vt:i4>
      </vt:variant>
      <vt:variant>
        <vt:lpwstr/>
      </vt:variant>
      <vt:variant>
        <vt:lpwstr>_Toc412736422</vt:lpwstr>
      </vt:variant>
      <vt:variant>
        <vt:i4>1376305</vt:i4>
      </vt:variant>
      <vt:variant>
        <vt:i4>56</vt:i4>
      </vt:variant>
      <vt:variant>
        <vt:i4>0</vt:i4>
      </vt:variant>
      <vt:variant>
        <vt:i4>5</vt:i4>
      </vt:variant>
      <vt:variant>
        <vt:lpwstr/>
      </vt:variant>
      <vt:variant>
        <vt:lpwstr>_Toc412736421</vt:lpwstr>
      </vt:variant>
      <vt:variant>
        <vt:i4>1376305</vt:i4>
      </vt:variant>
      <vt:variant>
        <vt:i4>50</vt:i4>
      </vt:variant>
      <vt:variant>
        <vt:i4>0</vt:i4>
      </vt:variant>
      <vt:variant>
        <vt:i4>5</vt:i4>
      </vt:variant>
      <vt:variant>
        <vt:lpwstr/>
      </vt:variant>
      <vt:variant>
        <vt:lpwstr>_Toc412736420</vt:lpwstr>
      </vt:variant>
      <vt:variant>
        <vt:i4>1441841</vt:i4>
      </vt:variant>
      <vt:variant>
        <vt:i4>44</vt:i4>
      </vt:variant>
      <vt:variant>
        <vt:i4>0</vt:i4>
      </vt:variant>
      <vt:variant>
        <vt:i4>5</vt:i4>
      </vt:variant>
      <vt:variant>
        <vt:lpwstr/>
      </vt:variant>
      <vt:variant>
        <vt:lpwstr>_Toc412736418</vt:lpwstr>
      </vt:variant>
      <vt:variant>
        <vt:i4>1441841</vt:i4>
      </vt:variant>
      <vt:variant>
        <vt:i4>38</vt:i4>
      </vt:variant>
      <vt:variant>
        <vt:i4>0</vt:i4>
      </vt:variant>
      <vt:variant>
        <vt:i4>5</vt:i4>
      </vt:variant>
      <vt:variant>
        <vt:lpwstr/>
      </vt:variant>
      <vt:variant>
        <vt:lpwstr>_Toc412736417</vt:lpwstr>
      </vt:variant>
      <vt:variant>
        <vt:i4>1441841</vt:i4>
      </vt:variant>
      <vt:variant>
        <vt:i4>32</vt:i4>
      </vt:variant>
      <vt:variant>
        <vt:i4>0</vt:i4>
      </vt:variant>
      <vt:variant>
        <vt:i4>5</vt:i4>
      </vt:variant>
      <vt:variant>
        <vt:lpwstr/>
      </vt:variant>
      <vt:variant>
        <vt:lpwstr>_Toc412736416</vt:lpwstr>
      </vt:variant>
      <vt:variant>
        <vt:i4>1441841</vt:i4>
      </vt:variant>
      <vt:variant>
        <vt:i4>26</vt:i4>
      </vt:variant>
      <vt:variant>
        <vt:i4>0</vt:i4>
      </vt:variant>
      <vt:variant>
        <vt:i4>5</vt:i4>
      </vt:variant>
      <vt:variant>
        <vt:lpwstr/>
      </vt:variant>
      <vt:variant>
        <vt:lpwstr>_Toc412736415</vt:lpwstr>
      </vt:variant>
      <vt:variant>
        <vt:i4>1441841</vt:i4>
      </vt:variant>
      <vt:variant>
        <vt:i4>20</vt:i4>
      </vt:variant>
      <vt:variant>
        <vt:i4>0</vt:i4>
      </vt:variant>
      <vt:variant>
        <vt:i4>5</vt:i4>
      </vt:variant>
      <vt:variant>
        <vt:lpwstr/>
      </vt:variant>
      <vt:variant>
        <vt:lpwstr>_Toc412736414</vt:lpwstr>
      </vt:variant>
      <vt:variant>
        <vt:i4>1441841</vt:i4>
      </vt:variant>
      <vt:variant>
        <vt:i4>14</vt:i4>
      </vt:variant>
      <vt:variant>
        <vt:i4>0</vt:i4>
      </vt:variant>
      <vt:variant>
        <vt:i4>5</vt:i4>
      </vt:variant>
      <vt:variant>
        <vt:lpwstr/>
      </vt:variant>
      <vt:variant>
        <vt:lpwstr>_Toc412736412</vt:lpwstr>
      </vt:variant>
      <vt:variant>
        <vt:i4>1441841</vt:i4>
      </vt:variant>
      <vt:variant>
        <vt:i4>8</vt:i4>
      </vt:variant>
      <vt:variant>
        <vt:i4>0</vt:i4>
      </vt:variant>
      <vt:variant>
        <vt:i4>5</vt:i4>
      </vt:variant>
      <vt:variant>
        <vt:lpwstr/>
      </vt:variant>
      <vt:variant>
        <vt:lpwstr>_Toc412736411</vt:lpwstr>
      </vt:variant>
      <vt:variant>
        <vt:i4>1441841</vt:i4>
      </vt:variant>
      <vt:variant>
        <vt:i4>2</vt:i4>
      </vt:variant>
      <vt:variant>
        <vt:i4>0</vt:i4>
      </vt:variant>
      <vt:variant>
        <vt:i4>5</vt:i4>
      </vt:variant>
      <vt:variant>
        <vt:lpwstr/>
      </vt:variant>
      <vt:variant>
        <vt:lpwstr>_Toc412736410</vt:lpwstr>
      </vt:variant>
      <vt:variant>
        <vt:i4>8061028</vt:i4>
      </vt:variant>
      <vt:variant>
        <vt:i4>195</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524318</vt:i4>
      </vt:variant>
      <vt:variant>
        <vt:i4>192</vt:i4>
      </vt:variant>
      <vt:variant>
        <vt:i4>0</vt:i4>
      </vt:variant>
      <vt:variant>
        <vt:i4>5</vt:i4>
      </vt:variant>
      <vt:variant>
        <vt:lpwstr>http://ec.europa.eu/internal_market/consultations/2012/nonbanks_en.htm</vt:lpwstr>
      </vt:variant>
      <vt:variant>
        <vt:lpwstr/>
      </vt:variant>
      <vt:variant>
        <vt:i4>5111819</vt:i4>
      </vt:variant>
      <vt:variant>
        <vt:i4>189</vt:i4>
      </vt:variant>
      <vt:variant>
        <vt:i4>0</vt:i4>
      </vt:variant>
      <vt:variant>
        <vt:i4>5</vt:i4>
      </vt:variant>
      <vt:variant>
        <vt:lpwstr>http://www2.isda.org/attachment/NTc5Nw==/CCP_loss_allocation_waterfall_0807.pdf</vt:lpwstr>
      </vt:variant>
      <vt:variant>
        <vt:lpwstr/>
      </vt:variant>
      <vt:variant>
        <vt:i4>5111819</vt:i4>
      </vt:variant>
      <vt:variant>
        <vt:i4>186</vt:i4>
      </vt:variant>
      <vt:variant>
        <vt:i4>0</vt:i4>
      </vt:variant>
      <vt:variant>
        <vt:i4>5</vt:i4>
      </vt:variant>
      <vt:variant>
        <vt:lpwstr>http://www2.isda.org/attachment/NTc5Nw==/CCP_loss_allocation_waterfall_0807.pdf</vt:lpwstr>
      </vt:variant>
      <vt:variant>
        <vt:lpwstr/>
      </vt:variant>
      <vt:variant>
        <vt:i4>4587545</vt:i4>
      </vt:variant>
      <vt:variant>
        <vt:i4>183</vt:i4>
      </vt:variant>
      <vt:variant>
        <vt:i4>0</vt:i4>
      </vt:variant>
      <vt:variant>
        <vt:i4>5</vt:i4>
      </vt:variant>
      <vt:variant>
        <vt:lpwstr>http://www.financialstabilityboard.org/publications/c_131025_1.htm</vt:lpwstr>
      </vt:variant>
      <vt:variant>
        <vt:lpwstr/>
      </vt:variant>
      <vt:variant>
        <vt:i4>4653075</vt:i4>
      </vt:variant>
      <vt:variant>
        <vt:i4>180</vt:i4>
      </vt:variant>
      <vt:variant>
        <vt:i4>0</vt:i4>
      </vt:variant>
      <vt:variant>
        <vt:i4>5</vt:i4>
      </vt:variant>
      <vt:variant>
        <vt:lpwstr>http://www.imf.org/external/pubs/ft/gfsr/2010/01/</vt:lpwstr>
      </vt:variant>
      <vt:variant>
        <vt:lpwstr/>
      </vt:variant>
      <vt:variant>
        <vt:i4>327800</vt:i4>
      </vt:variant>
      <vt:variant>
        <vt:i4>177</vt:i4>
      </vt:variant>
      <vt:variant>
        <vt:i4>0</vt:i4>
      </vt:variant>
      <vt:variant>
        <vt:i4>5</vt:i4>
      </vt:variant>
      <vt:variant>
        <vt:lpwstr>http://www.bankofengland.co.uk/publications/Pages/fsr/fs_paper19.aspx</vt:lpwstr>
      </vt:variant>
      <vt:variant>
        <vt:lpwstr/>
      </vt:variant>
      <vt:variant>
        <vt:i4>1835009</vt:i4>
      </vt:variant>
      <vt:variant>
        <vt:i4>174</vt:i4>
      </vt:variant>
      <vt:variant>
        <vt:i4>0</vt:i4>
      </vt:variant>
      <vt:variant>
        <vt:i4>5</vt:i4>
      </vt:variant>
      <vt:variant>
        <vt:lpwstr>http://ec.europa.eu/internal_market/securities/isd/mifid2/index_en.htm</vt:lpwstr>
      </vt:variant>
      <vt:variant>
        <vt:lpwstr/>
      </vt:variant>
      <vt:variant>
        <vt:i4>3997759</vt:i4>
      </vt:variant>
      <vt:variant>
        <vt:i4>171</vt:i4>
      </vt:variant>
      <vt:variant>
        <vt:i4>0</vt:i4>
      </vt:variant>
      <vt:variant>
        <vt:i4>5</vt:i4>
      </vt:variant>
      <vt:variant>
        <vt:lpwstr>http://ec.europa.eu/internal_market/finances/docs/general/20140515-erfra-working-document_en.pdf</vt:lpwstr>
      </vt:variant>
      <vt:variant>
        <vt:lpwstr/>
      </vt:variant>
      <vt:variant>
        <vt:i4>7078014</vt:i4>
      </vt:variant>
      <vt:variant>
        <vt:i4>168</vt:i4>
      </vt:variant>
      <vt:variant>
        <vt:i4>0</vt:i4>
      </vt:variant>
      <vt:variant>
        <vt:i4>5</vt:i4>
      </vt:variant>
      <vt:variant>
        <vt:lpwstr>http://www.ecb.europa.eu/press/key/date/2014/html/sp140917.en.html</vt:lpwstr>
      </vt:variant>
      <vt:variant>
        <vt:lpwstr/>
      </vt:variant>
      <vt:variant>
        <vt:i4>4063268</vt:i4>
      </vt:variant>
      <vt:variant>
        <vt:i4>165</vt:i4>
      </vt:variant>
      <vt:variant>
        <vt:i4>0</vt:i4>
      </vt:variant>
      <vt:variant>
        <vt:i4>5</vt:i4>
      </vt:variant>
      <vt:variant>
        <vt:lpwstr>http://www.bankofengland.co.uk/publications/Documents/fsr/2013/fsrfull1306.pdf</vt:lpwstr>
      </vt:variant>
      <vt:variant>
        <vt:lpwstr/>
      </vt:variant>
      <vt:variant>
        <vt:i4>7995489</vt:i4>
      </vt:variant>
      <vt:variant>
        <vt:i4>162</vt:i4>
      </vt:variant>
      <vt:variant>
        <vt:i4>0</vt:i4>
      </vt:variant>
      <vt:variant>
        <vt:i4>5</vt:i4>
      </vt:variant>
      <vt:variant>
        <vt:lpwstr>http://www2.isda.org/functional-areas/research/studies/</vt:lpwstr>
      </vt:variant>
      <vt:variant>
        <vt:lpwstr/>
      </vt:variant>
      <vt:variant>
        <vt:i4>4587605</vt:i4>
      </vt:variant>
      <vt:variant>
        <vt:i4>159</vt:i4>
      </vt:variant>
      <vt:variant>
        <vt:i4>0</vt:i4>
      </vt:variant>
      <vt:variant>
        <vt:i4>5</vt:i4>
      </vt:variant>
      <vt:variant>
        <vt:lpwstr>http://www.bis.org/statistics/dt1920a.pdf</vt:lpwstr>
      </vt:variant>
      <vt:variant>
        <vt:lpwstr/>
      </vt:variant>
      <vt:variant>
        <vt:i4>3276901</vt:i4>
      </vt:variant>
      <vt:variant>
        <vt:i4>156</vt:i4>
      </vt:variant>
      <vt:variant>
        <vt:i4>0</vt:i4>
      </vt:variant>
      <vt:variant>
        <vt:i4>5</vt:i4>
      </vt:variant>
      <vt:variant>
        <vt:lpwstr>http://www.bis.org/</vt:lpwstr>
      </vt:variant>
      <vt:variant>
        <vt:lpwstr/>
      </vt:variant>
      <vt:variant>
        <vt:i4>7602285</vt:i4>
      </vt:variant>
      <vt:variant>
        <vt:i4>153</vt:i4>
      </vt:variant>
      <vt:variant>
        <vt:i4>0</vt:i4>
      </vt:variant>
      <vt:variant>
        <vt:i4>5</vt:i4>
      </vt:variant>
      <vt:variant>
        <vt:lpwstr>http://www.treasury.gov/initiatives/Documents/Finalruledisclaimer7-18-2011.pdf</vt:lpwstr>
      </vt:variant>
      <vt:variant>
        <vt:lpwstr/>
      </vt:variant>
      <vt:variant>
        <vt:i4>7995495</vt:i4>
      </vt:variant>
      <vt:variant>
        <vt:i4>150</vt:i4>
      </vt:variant>
      <vt:variant>
        <vt:i4>0</vt:i4>
      </vt:variant>
      <vt:variant>
        <vt:i4>5</vt:i4>
      </vt:variant>
      <vt:variant>
        <vt:lpwstr>http://www.federalreserve.gov/newsevents/press/bcreg/bcreg20130403a.pdf</vt:lpwstr>
      </vt:variant>
      <vt:variant>
        <vt:lpwstr/>
      </vt:variant>
      <vt:variant>
        <vt:i4>852062</vt:i4>
      </vt:variant>
      <vt:variant>
        <vt:i4>147</vt:i4>
      </vt:variant>
      <vt:variant>
        <vt:i4>0</vt:i4>
      </vt:variant>
      <vt:variant>
        <vt:i4>5</vt:i4>
      </vt:variant>
      <vt:variant>
        <vt:lpwstr>http://www.treasury.gov/initiatives/fsoc/Documents/Nonbank Designations - Final Rule and Guidance.pdf</vt:lpwstr>
      </vt:variant>
      <vt:variant>
        <vt:lpwstr/>
      </vt:variant>
      <vt:variant>
        <vt:i4>6619169</vt:i4>
      </vt:variant>
      <vt:variant>
        <vt:i4>123</vt:i4>
      </vt:variant>
      <vt:variant>
        <vt:i4>0</vt:i4>
      </vt:variant>
      <vt:variant>
        <vt:i4>5</vt:i4>
      </vt:variant>
      <vt:variant>
        <vt:lpwstr>http://www.bis.org/publ/bcbs200.pdf</vt:lpwstr>
      </vt:variant>
      <vt:variant>
        <vt:lpwstr/>
      </vt:variant>
      <vt:variant>
        <vt:i4>3670046</vt:i4>
      </vt:variant>
      <vt:variant>
        <vt:i4>120</vt:i4>
      </vt:variant>
      <vt:variant>
        <vt:i4>0</vt:i4>
      </vt:variant>
      <vt:variant>
        <vt:i4>5</vt:i4>
      </vt:variant>
      <vt:variant>
        <vt:lpwstr>http://www.financialstabilityboard.org/publications/r_130411a.pdf</vt:lpwstr>
      </vt:variant>
      <vt:variant>
        <vt:lpwstr/>
      </vt:variant>
      <vt:variant>
        <vt:i4>4915209</vt:i4>
      </vt:variant>
      <vt:variant>
        <vt:i4>117</vt:i4>
      </vt:variant>
      <vt:variant>
        <vt:i4>0</vt:i4>
      </vt:variant>
      <vt:variant>
        <vt:i4>5</vt:i4>
      </vt:variant>
      <vt:variant>
        <vt:lpwstr>http://www.bis.org/publ/cpss101a.pdf</vt:lpwstr>
      </vt:variant>
      <vt:variant>
        <vt:lpwstr/>
      </vt:variant>
      <vt:variant>
        <vt:i4>7078015</vt:i4>
      </vt:variant>
      <vt:variant>
        <vt:i4>114</vt:i4>
      </vt:variant>
      <vt:variant>
        <vt:i4>0</vt:i4>
      </vt:variant>
      <vt:variant>
        <vt:i4>5</vt:i4>
      </vt:variant>
      <vt:variant>
        <vt:lpwstr>http://www.financialstabilityboard.org/wp-content/uploads/FSB-Chair-letter-to-G20-February-2015.pdf</vt:lpwstr>
      </vt:variant>
      <vt:variant>
        <vt:lpwstr/>
      </vt:variant>
      <vt:variant>
        <vt:i4>1704015</vt:i4>
      </vt:variant>
      <vt:variant>
        <vt:i4>111</vt:i4>
      </vt:variant>
      <vt:variant>
        <vt:i4>0</vt:i4>
      </vt:variant>
      <vt:variant>
        <vt:i4>5</vt:i4>
      </vt:variant>
      <vt:variant>
        <vt:lpwstr>http://www.cmegroup.com/education/files/balancing-ccp-and-member-contributions-with-exposures.pdf</vt:lpwstr>
      </vt:variant>
      <vt:variant>
        <vt:lpwstr/>
      </vt:variant>
      <vt:variant>
        <vt:i4>2686999</vt:i4>
      </vt:variant>
      <vt:variant>
        <vt:i4>108</vt:i4>
      </vt:variant>
      <vt:variant>
        <vt:i4>0</vt:i4>
      </vt:variant>
      <vt:variant>
        <vt:i4>5</vt:i4>
      </vt:variant>
      <vt:variant>
        <vt:lpwstr>http://secure-area.lchclearnet.com/images/CCP_Risk_Management_Recovery_-_Resolution.pdf</vt:lpwstr>
      </vt:variant>
      <vt:variant>
        <vt:lpwstr/>
      </vt:variant>
      <vt:variant>
        <vt:i4>2359338</vt:i4>
      </vt:variant>
      <vt:variant>
        <vt:i4>105</vt:i4>
      </vt:variant>
      <vt:variant>
        <vt:i4>0</vt:i4>
      </vt:variant>
      <vt:variant>
        <vt:i4>5</vt:i4>
      </vt:variant>
      <vt:variant>
        <vt:lpwstr>http://www.financialstabilityboard.org/wp-content/uploads/TLAC-Condoc-6-Nov-2014-FINAL.pdf</vt:lpwstr>
      </vt:variant>
      <vt:variant>
        <vt:lpwstr/>
      </vt:variant>
      <vt:variant>
        <vt:i4>1441822</vt:i4>
      </vt:variant>
      <vt:variant>
        <vt:i4>102</vt:i4>
      </vt:variant>
      <vt:variant>
        <vt:i4>0</vt:i4>
      </vt:variant>
      <vt:variant>
        <vt:i4>5</vt:i4>
      </vt:variant>
      <vt:variant>
        <vt:lpwstr>http://www.bis.org/cpmi/publ/d121.pdf</vt:lpwstr>
      </vt:variant>
      <vt:variant>
        <vt:lpwstr/>
      </vt:variant>
      <vt:variant>
        <vt:i4>327729</vt:i4>
      </vt:variant>
      <vt:variant>
        <vt:i4>99</vt:i4>
      </vt:variant>
      <vt:variant>
        <vt:i4>0</vt:i4>
      </vt:variant>
      <vt:variant>
        <vt:i4>5</vt:i4>
      </vt:variant>
      <vt:variant>
        <vt:lpwstr>http://www.financialstabilityboard.org/wp-content/uploads/r_141015.pdf</vt:lpwstr>
      </vt:variant>
      <vt:variant>
        <vt:lpwstr/>
      </vt:variant>
      <vt:variant>
        <vt:i4>4915209</vt:i4>
      </vt:variant>
      <vt:variant>
        <vt:i4>96</vt:i4>
      </vt:variant>
      <vt:variant>
        <vt:i4>0</vt:i4>
      </vt:variant>
      <vt:variant>
        <vt:i4>5</vt:i4>
      </vt:variant>
      <vt:variant>
        <vt:lpwstr>http://www.bis.org/publ/cpss101a.pdf</vt:lpwstr>
      </vt:variant>
      <vt:variant>
        <vt:lpwstr/>
      </vt:variant>
      <vt:variant>
        <vt:i4>5111899</vt:i4>
      </vt:variant>
      <vt:variant>
        <vt:i4>93</vt:i4>
      </vt:variant>
      <vt:variant>
        <vt:i4>0</vt:i4>
      </vt:variant>
      <vt:variant>
        <vt:i4>5</vt:i4>
      </vt:variant>
      <vt:variant>
        <vt:lpwstr>https://www.eba.europa.eu/documents/10180/751477/EBA-CP-2014-16++%28CP+on+draft+RTS+on+Content+Res++Plans+and+Assessment+of+Resolvability%29.docx.pdf</vt:lpwstr>
      </vt:variant>
      <vt:variant>
        <vt:lpwstr/>
      </vt:variant>
      <vt:variant>
        <vt:i4>3997759</vt:i4>
      </vt:variant>
      <vt:variant>
        <vt:i4>90</vt:i4>
      </vt:variant>
      <vt:variant>
        <vt:i4>0</vt:i4>
      </vt:variant>
      <vt:variant>
        <vt:i4>5</vt:i4>
      </vt:variant>
      <vt:variant>
        <vt:lpwstr>http://ec.europa.eu/internal_market/finances/docs/general/20140515-erfra-working-document_en.pdf</vt:lpwstr>
      </vt:variant>
      <vt:variant>
        <vt:lpwstr/>
      </vt:variant>
      <vt:variant>
        <vt:i4>6225953</vt:i4>
      </vt:variant>
      <vt:variant>
        <vt:i4>84</vt:i4>
      </vt:variant>
      <vt:variant>
        <vt:i4>0</vt:i4>
      </vt:variant>
      <vt:variant>
        <vt:i4>5</vt:i4>
      </vt:variant>
      <vt:variant>
        <vt:lpwstr>http://www.ecb.europa.eu/press/key/date/2014/html/sp140519_1.en.html</vt:lpwstr>
      </vt:variant>
      <vt:variant>
        <vt:lpwstr/>
      </vt:variant>
      <vt:variant>
        <vt:i4>7995433</vt:i4>
      </vt:variant>
      <vt:variant>
        <vt:i4>81</vt:i4>
      </vt:variant>
      <vt:variant>
        <vt:i4>0</vt:i4>
      </vt:variant>
      <vt:variant>
        <vt:i4>5</vt:i4>
      </vt:variant>
      <vt:variant>
        <vt:lpwstr>http://www.bankofengland.co.uk/publications/Documents/fmi/fmiap1403.pdf</vt:lpwstr>
      </vt:variant>
      <vt:variant>
        <vt:lpwstr/>
      </vt:variant>
      <vt:variant>
        <vt:i4>2687085</vt:i4>
      </vt:variant>
      <vt:variant>
        <vt:i4>78</vt:i4>
      </vt:variant>
      <vt:variant>
        <vt:i4>0</vt:i4>
      </vt:variant>
      <vt:variant>
        <vt:i4>5</vt:i4>
      </vt:variant>
      <vt:variant>
        <vt:lpwstr>http://www.bankofengland.co.uk/financialstability/Documents/fmi/fmisupervision.pdf</vt:lpwstr>
      </vt:variant>
      <vt:variant>
        <vt:lpwstr/>
      </vt:variant>
      <vt:variant>
        <vt:i4>7471145</vt:i4>
      </vt:variant>
      <vt:variant>
        <vt:i4>75</vt:i4>
      </vt:variant>
      <vt:variant>
        <vt:i4>0</vt:i4>
      </vt:variant>
      <vt:variant>
        <vt:i4>5</vt:i4>
      </vt:variant>
      <vt:variant>
        <vt:lpwstr>http://ec.europa.eu/internal_market/bank/docs/crisis-management/2012_eu_framework/impact_assessment_final_en.pdf</vt:lpwstr>
      </vt:variant>
      <vt:variant>
        <vt:lpwstr/>
      </vt:variant>
      <vt:variant>
        <vt:i4>3997759</vt:i4>
      </vt:variant>
      <vt:variant>
        <vt:i4>72</vt:i4>
      </vt:variant>
      <vt:variant>
        <vt:i4>0</vt:i4>
      </vt:variant>
      <vt:variant>
        <vt:i4>5</vt:i4>
      </vt:variant>
      <vt:variant>
        <vt:lpwstr>http://ec.europa.eu/internal_market/finances/docs/general/20140515-erfra-working-document_en.pdf</vt:lpwstr>
      </vt:variant>
      <vt:variant>
        <vt:lpwstr/>
      </vt:variant>
      <vt:variant>
        <vt:i4>2883620</vt:i4>
      </vt:variant>
      <vt:variant>
        <vt:i4>69</vt:i4>
      </vt:variant>
      <vt:variant>
        <vt:i4>0</vt:i4>
      </vt:variant>
      <vt:variant>
        <vt:i4>5</vt:i4>
      </vt:variant>
      <vt:variant>
        <vt:lpwstr>http://www.jpmorganchase.com/corporate/About-JPMC/document/resolution-plan-ccps.pdf?M=22b2d037-ca48-42e1-a49e-53a5e0667db4</vt:lpwstr>
      </vt:variant>
      <vt:variant>
        <vt:lpwstr/>
      </vt:variant>
      <vt:variant>
        <vt:i4>3997759</vt:i4>
      </vt:variant>
      <vt:variant>
        <vt:i4>66</vt:i4>
      </vt:variant>
      <vt:variant>
        <vt:i4>0</vt:i4>
      </vt:variant>
      <vt:variant>
        <vt:i4>5</vt:i4>
      </vt:variant>
      <vt:variant>
        <vt:lpwstr>http://ec.europa.eu/internal_market/finances/docs/general/20140515-erfra-working-document_en.pdf</vt:lpwstr>
      </vt:variant>
      <vt:variant>
        <vt:lpwstr/>
      </vt:variant>
      <vt:variant>
        <vt:i4>8061028</vt:i4>
      </vt:variant>
      <vt:variant>
        <vt:i4>63</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3997759</vt:i4>
      </vt:variant>
      <vt:variant>
        <vt:i4>60</vt:i4>
      </vt:variant>
      <vt:variant>
        <vt:i4>0</vt:i4>
      </vt:variant>
      <vt:variant>
        <vt:i4>5</vt:i4>
      </vt:variant>
      <vt:variant>
        <vt:lpwstr>http://ec.europa.eu/internal_market/finances/docs/general/20140515-erfra-working-document_en.pdf</vt:lpwstr>
      </vt:variant>
      <vt:variant>
        <vt:lpwstr/>
      </vt:variant>
      <vt:variant>
        <vt:i4>4915209</vt:i4>
      </vt:variant>
      <vt:variant>
        <vt:i4>57</vt:i4>
      </vt:variant>
      <vt:variant>
        <vt:i4>0</vt:i4>
      </vt:variant>
      <vt:variant>
        <vt:i4>5</vt:i4>
      </vt:variant>
      <vt:variant>
        <vt:lpwstr>http://www.bis.org/publ/cpss101a.pdf</vt:lpwstr>
      </vt:variant>
      <vt:variant>
        <vt:lpwstr/>
      </vt:variant>
      <vt:variant>
        <vt:i4>2949239</vt:i4>
      </vt:variant>
      <vt:variant>
        <vt:i4>54</vt:i4>
      </vt:variant>
      <vt:variant>
        <vt:i4>0</vt:i4>
      </vt:variant>
      <vt:variant>
        <vt:i4>5</vt:i4>
      </vt:variant>
      <vt:variant>
        <vt:lpwstr>http://www.bankofcanada.ca/wp-content/uploads/2012/11/wp2012-35.pdf</vt:lpwstr>
      </vt:variant>
      <vt:variant>
        <vt:lpwstr/>
      </vt:variant>
      <vt:variant>
        <vt:i4>2621488</vt:i4>
      </vt:variant>
      <vt:variant>
        <vt:i4>51</vt:i4>
      </vt:variant>
      <vt:variant>
        <vt:i4>0</vt:i4>
      </vt:variant>
      <vt:variant>
        <vt:i4>5</vt:i4>
      </vt:variant>
      <vt:variant>
        <vt:lpwstr>http://www.bis.org/publ/cpss92.pdf</vt:lpwstr>
      </vt:variant>
      <vt:variant>
        <vt:lpwstr/>
      </vt:variant>
      <vt:variant>
        <vt:i4>8257586</vt:i4>
      </vt:variant>
      <vt:variant>
        <vt:i4>48</vt:i4>
      </vt:variant>
      <vt:variant>
        <vt:i4>0</vt:i4>
      </vt:variant>
      <vt:variant>
        <vt:i4>5</vt:i4>
      </vt:variant>
      <vt:variant>
        <vt:lpwstr>http://sdw.ecb.europa.eu/reports.do?node=1000001583</vt:lpwstr>
      </vt:variant>
      <vt:variant>
        <vt:lpwstr/>
      </vt:variant>
      <vt:variant>
        <vt:i4>7143539</vt:i4>
      </vt:variant>
      <vt:variant>
        <vt:i4>45</vt:i4>
      </vt:variant>
      <vt:variant>
        <vt:i4>0</vt:i4>
      </vt:variant>
      <vt:variant>
        <vt:i4>5</vt:i4>
      </vt:variant>
      <vt:variant>
        <vt:lpwstr>http://mifiddatabase.esma.europa.eu/Index.aspx?sectionlinks_id=24&amp;language=0&amp;pageName=CENTRAL_COUNTERPARTIES_Display&amp;subsection_id=0</vt:lpwstr>
      </vt:variant>
      <vt:variant>
        <vt:lpwstr/>
      </vt:variant>
      <vt:variant>
        <vt:i4>68</vt:i4>
      </vt:variant>
      <vt:variant>
        <vt:i4>42</vt:i4>
      </vt:variant>
      <vt:variant>
        <vt:i4>0</vt:i4>
      </vt:variant>
      <vt:variant>
        <vt:i4>5</vt:i4>
      </vt:variant>
      <vt:variant>
        <vt:lpwstr>http://www.chicagofed.org/digital_assets/publications/economic_perspectives/2006/ep_4qtr2006_part2_bliss_steigerwald.pdf</vt:lpwstr>
      </vt:variant>
      <vt:variant>
        <vt:lpwstr/>
      </vt:variant>
      <vt:variant>
        <vt:i4>6160500</vt:i4>
      </vt:variant>
      <vt:variant>
        <vt:i4>39</vt:i4>
      </vt:variant>
      <vt:variant>
        <vt:i4>0</vt:i4>
      </vt:variant>
      <vt:variant>
        <vt:i4>5</vt:i4>
      </vt:variant>
      <vt:variant>
        <vt:lpwstr>https://www.financialstabilityboard.org/publications/c_131121.htm</vt:lpwstr>
      </vt:variant>
      <vt:variant>
        <vt:lpwstr/>
      </vt:variant>
      <vt:variant>
        <vt:i4>589838</vt:i4>
      </vt:variant>
      <vt:variant>
        <vt:i4>36</vt:i4>
      </vt:variant>
      <vt:variant>
        <vt:i4>0</vt:i4>
      </vt:variant>
      <vt:variant>
        <vt:i4>5</vt:i4>
      </vt:variant>
      <vt:variant>
        <vt:lpwstr>http://www.bis.org/publ/cpss109/comments.htm</vt:lpwstr>
      </vt:variant>
      <vt:variant>
        <vt:lpwstr/>
      </vt:variant>
      <vt:variant>
        <vt:i4>2490431</vt:i4>
      </vt:variant>
      <vt:variant>
        <vt:i4>33</vt:i4>
      </vt:variant>
      <vt:variant>
        <vt:i4>0</vt:i4>
      </vt:variant>
      <vt:variant>
        <vt:i4>5</vt:i4>
      </vt:variant>
      <vt:variant>
        <vt:lpwstr>http://ec.europa.eu/internal_market/consultations/2012/nonbanks/consultation-document_en.pdf</vt:lpwstr>
      </vt:variant>
      <vt:variant>
        <vt:lpwstr/>
      </vt:variant>
      <vt:variant>
        <vt:i4>917539</vt:i4>
      </vt:variant>
      <vt:variant>
        <vt:i4>30</vt:i4>
      </vt:variant>
      <vt:variant>
        <vt:i4>0</vt:i4>
      </vt:variant>
      <vt:variant>
        <vt:i4>5</vt:i4>
      </vt:variant>
      <vt:variant>
        <vt:lpwstr>http://ec.europa.eu/atwork/key-documents/index_en.htm</vt:lpwstr>
      </vt:variant>
      <vt:variant>
        <vt:lpwstr/>
      </vt:variant>
      <vt:variant>
        <vt:i4>5505088</vt:i4>
      </vt:variant>
      <vt:variant>
        <vt:i4>27</vt:i4>
      </vt:variant>
      <vt:variant>
        <vt:i4>0</vt:i4>
      </vt:variant>
      <vt:variant>
        <vt:i4>5</vt:i4>
      </vt:variant>
      <vt:variant>
        <vt:lpwstr>http://www.europarl.europa.eu/sides/getDoc.do?pubRef=-//EP//TEXT+TA+P7-TA-2013-0533+0+DOC+XML+V0//EN</vt:lpwstr>
      </vt:variant>
      <vt:variant>
        <vt:lpwstr/>
      </vt:variant>
      <vt:variant>
        <vt:i4>327729</vt:i4>
      </vt:variant>
      <vt:variant>
        <vt:i4>24</vt:i4>
      </vt:variant>
      <vt:variant>
        <vt:i4>0</vt:i4>
      </vt:variant>
      <vt:variant>
        <vt:i4>5</vt:i4>
      </vt:variant>
      <vt:variant>
        <vt:lpwstr>http://www.financialstabilityboard.org/wp-content/uploads/r_141015.pdf</vt:lpwstr>
      </vt:variant>
      <vt:variant>
        <vt:lpwstr/>
      </vt:variant>
      <vt:variant>
        <vt:i4>1441822</vt:i4>
      </vt:variant>
      <vt:variant>
        <vt:i4>21</vt:i4>
      </vt:variant>
      <vt:variant>
        <vt:i4>0</vt:i4>
      </vt:variant>
      <vt:variant>
        <vt:i4>5</vt:i4>
      </vt:variant>
      <vt:variant>
        <vt:lpwstr>http://www.bis.org/cpmi/publ/d121.pdf</vt:lpwstr>
      </vt:variant>
      <vt:variant>
        <vt:lpwstr/>
      </vt:variant>
      <vt:variant>
        <vt:i4>327729</vt:i4>
      </vt:variant>
      <vt:variant>
        <vt:i4>18</vt:i4>
      </vt:variant>
      <vt:variant>
        <vt:i4>0</vt:i4>
      </vt:variant>
      <vt:variant>
        <vt:i4>5</vt:i4>
      </vt:variant>
      <vt:variant>
        <vt:lpwstr>http://www.financialstabilityboard.org/wp-content/uploads/r_141015.pdf</vt:lpwstr>
      </vt:variant>
      <vt:variant>
        <vt:lpwstr/>
      </vt:variant>
      <vt:variant>
        <vt:i4>327718</vt:i4>
      </vt:variant>
      <vt:variant>
        <vt:i4>15</vt:i4>
      </vt:variant>
      <vt:variant>
        <vt:i4>0</vt:i4>
      </vt:variant>
      <vt:variant>
        <vt:i4>5</vt:i4>
      </vt:variant>
      <vt:variant>
        <vt:lpwstr>http://www.financialstabilityboard.org/publications/r_111104cc.pdf</vt:lpwstr>
      </vt:variant>
      <vt:variant>
        <vt:lpwstr/>
      </vt:variant>
      <vt:variant>
        <vt:i4>3080288</vt:i4>
      </vt:variant>
      <vt:variant>
        <vt:i4>12</vt:i4>
      </vt:variant>
      <vt:variant>
        <vt:i4>0</vt:i4>
      </vt:variant>
      <vt:variant>
        <vt:i4>5</vt:i4>
      </vt:variant>
      <vt:variant>
        <vt:lpwstr>http://ec.europa.eu/internal_market/finances/banking-union/index_en.htm</vt:lpwstr>
      </vt:variant>
      <vt:variant>
        <vt:lpwstr/>
      </vt:variant>
      <vt:variant>
        <vt:i4>327730</vt:i4>
      </vt:variant>
      <vt:variant>
        <vt:i4>9</vt:i4>
      </vt:variant>
      <vt:variant>
        <vt:i4>0</vt:i4>
      </vt:variant>
      <vt:variant>
        <vt:i4>5</vt:i4>
      </vt:variant>
      <vt:variant>
        <vt:lpwstr>http://ec.europa.eu/internal_market/bank/crisis_management/index_en.htm</vt:lpwstr>
      </vt:variant>
      <vt:variant>
        <vt:lpwstr/>
      </vt:variant>
      <vt:variant>
        <vt:i4>2490431</vt:i4>
      </vt:variant>
      <vt:variant>
        <vt:i4>6</vt:i4>
      </vt:variant>
      <vt:variant>
        <vt:i4>0</vt:i4>
      </vt:variant>
      <vt:variant>
        <vt:i4>5</vt:i4>
      </vt:variant>
      <vt:variant>
        <vt:lpwstr>http://ec.europa.eu/internal_market/consultations/2012/nonbanks/consultation-document_en.pdf</vt:lpwstr>
      </vt:variant>
      <vt:variant>
        <vt:lpwstr/>
      </vt:variant>
      <vt:variant>
        <vt:i4>2621494</vt:i4>
      </vt:variant>
      <vt:variant>
        <vt:i4>3</vt:i4>
      </vt:variant>
      <vt:variant>
        <vt:i4>0</vt:i4>
      </vt:variant>
      <vt:variant>
        <vt:i4>5</vt:i4>
      </vt:variant>
      <vt:variant>
        <vt:lpwstr>http://eur-lex.europa.eu/legal-content/EN/TXT/;ELX_SESSIONID=2hCkTyTNGyHG1hNnQmvLry3rTZt5TTSkrM1LLv12RFZ9hNy9lbl7!-1897320616?uri=uriserv:OJ.L_.2014.173.01.0190.01.ENG</vt:lpwstr>
      </vt:variant>
      <vt:variant>
        <vt:lpwstr/>
      </vt:variant>
      <vt:variant>
        <vt:i4>7078015</vt:i4>
      </vt:variant>
      <vt:variant>
        <vt:i4>0</vt:i4>
      </vt:variant>
      <vt:variant>
        <vt:i4>0</vt:i4>
      </vt:variant>
      <vt:variant>
        <vt:i4>5</vt:i4>
      </vt:variant>
      <vt:variant>
        <vt:lpwstr>http://www.financialstabilityboard.org/wp-content/uploads/FSB-Chair-letter-to-G20-February-2015.pdf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28082015 Impact Assessment for CCP recovery and resolution proposal</dc:title>
  <dc:creator/>
  <cp:keywords>EL4</cp:keywords>
  <cp:lastModifiedBy>DIGIT/A3</cp:lastModifiedBy>
  <cp:revision>19</cp:revision>
  <cp:lastPrinted>2017-02-17T12:17:00Z</cp:lastPrinted>
  <dcterms:created xsi:type="dcterms:W3CDTF">2017-04-20T16:08:00Z</dcterms:created>
  <dcterms:modified xsi:type="dcterms:W3CDTF">2017-05-22T15:32:00Z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GG</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lassification">
    <vt:lpwstr> </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