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4F" w:rsidRDefault="00E56938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D2CD43735B94C01BF57ABD9FB15C1CC" style="width:450.4pt;height:452.1pt">
            <v:imagedata r:id="rId8" o:title=""/>
          </v:shape>
        </w:pict>
      </w:r>
    </w:p>
    <w:p w:rsidR="0084164F" w:rsidRDefault="0084164F">
      <w:pPr>
        <w:rPr>
          <w:noProof/>
        </w:rPr>
        <w:sectPr w:rsidR="0084164F">
          <w:footerReference w:type="default" r:id="rId9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84164F" w:rsidRDefault="00E56938">
      <w:pPr>
        <w:pStyle w:val="Typedudocument"/>
        <w:rPr>
          <w:noProof/>
        </w:rPr>
      </w:pPr>
      <w:r>
        <w:rPr>
          <w:noProof/>
        </w:rPr>
        <w:lastRenderedPageBreak/>
        <w:t>ANNEXE</w:t>
      </w:r>
    </w:p>
    <w:p w:rsidR="0084164F" w:rsidRDefault="00E56938">
      <w:pPr>
        <w:rPr>
          <w:noProof/>
        </w:rPr>
      </w:pPr>
      <w:bookmarkStart w:id="0" w:name="_GoBack"/>
      <w:bookmarkEnd w:id="0"/>
      <w:r>
        <w:rPr>
          <w:noProof/>
        </w:rPr>
        <w:t>L'annexe I est modifiée comme suit:</w:t>
      </w:r>
    </w:p>
    <w:p w:rsidR="0084164F" w:rsidRDefault="0084164F">
      <w:pPr>
        <w:rPr>
          <w:noProof/>
        </w:rPr>
      </w:pPr>
    </w:p>
    <w:p w:rsidR="0084164F" w:rsidRDefault="00E56938">
      <w:pPr>
        <w:pStyle w:val="Point0number"/>
        <w:numPr>
          <w:ilvl w:val="0"/>
          <w:numId w:val="9"/>
        </w:numPr>
        <w:rPr>
          <w:noProof/>
        </w:rPr>
      </w:pPr>
      <w:r>
        <w:rPr>
          <w:noProof/>
        </w:rPr>
        <w:t>dans la section I, les points i), j) et k) suivants sont ajoutés:</w:t>
      </w:r>
    </w:p>
    <w:p w:rsidR="0084164F" w:rsidRDefault="00E56938">
      <w:pPr>
        <w:rPr>
          <w:noProof/>
        </w:rPr>
      </w:pPr>
      <w:r>
        <w:rPr>
          <w:noProof/>
        </w:rPr>
        <w:t>«i)</w:t>
      </w:r>
      <w:r>
        <w:rPr>
          <w:noProof/>
        </w:rPr>
        <w:tab/>
        <w:t>un référentiel cen</w:t>
      </w:r>
      <w:r>
        <w:rPr>
          <w:noProof/>
        </w:rPr>
        <w:t>tral enfreint l'article 78, paragraphe 9, point a), en n’établissant pas de procédures adéquates pour le rapprochement des données entre les référentiels centraux;</w:t>
      </w:r>
    </w:p>
    <w:p w:rsidR="0084164F" w:rsidRDefault="00E56938">
      <w:pPr>
        <w:rPr>
          <w:noProof/>
        </w:rPr>
      </w:pPr>
      <w:r>
        <w:rPr>
          <w:noProof/>
        </w:rPr>
        <w:t>j)</w:t>
      </w:r>
      <w:r>
        <w:rPr>
          <w:noProof/>
        </w:rPr>
        <w:tab/>
        <w:t>un référentiel central enfreint l'article 78, paragraphe 9, point b), en n’établissant pa</w:t>
      </w:r>
      <w:r>
        <w:rPr>
          <w:noProof/>
        </w:rPr>
        <w:t>s de procédures adéquates pour garantir l’exhaustivité et l’exactitude des données déclarées;</w:t>
      </w:r>
    </w:p>
    <w:p w:rsidR="0084164F" w:rsidRDefault="00E56938">
      <w:pPr>
        <w:rPr>
          <w:noProof/>
        </w:rPr>
      </w:pPr>
      <w:r>
        <w:rPr>
          <w:noProof/>
        </w:rPr>
        <w:t>k)</w:t>
      </w:r>
      <w:r>
        <w:rPr>
          <w:noProof/>
        </w:rPr>
        <w:tab/>
        <w:t>un référentiel central enfreint l'article 78, paragraphe 9, point c) en n’établissant pas de politiques adéquates pour transférer de façon ordonnée les données</w:t>
      </w:r>
      <w:r>
        <w:rPr>
          <w:noProof/>
        </w:rPr>
        <w:t xml:space="preserve"> à d’autres référentiels centraux lorsque les contreparties et les contreparties centrales visées à l’article 9 le demandent ou lorsque cela est nécessaire pour toute autre raison.»;</w:t>
      </w:r>
    </w:p>
    <w:p w:rsidR="0084164F" w:rsidRDefault="00E56938">
      <w:pPr>
        <w:pStyle w:val="Point0number"/>
        <w:rPr>
          <w:noProof/>
        </w:rPr>
      </w:pPr>
      <w:r>
        <w:rPr>
          <w:noProof/>
        </w:rPr>
        <w:t>dans la section IV, le point d) suivant est inséré:</w:t>
      </w:r>
    </w:p>
    <w:p w:rsidR="0084164F" w:rsidRDefault="00E56938">
      <w:pPr>
        <w:rPr>
          <w:noProof/>
        </w:rPr>
      </w:pPr>
      <w:r>
        <w:rPr>
          <w:noProof/>
        </w:rPr>
        <w:t>«d)</w:t>
      </w:r>
      <w:r>
        <w:rPr>
          <w:noProof/>
        </w:rPr>
        <w:tab/>
        <w:t xml:space="preserve">un référentiel </w:t>
      </w:r>
      <w:r>
        <w:rPr>
          <w:noProof/>
        </w:rPr>
        <w:t>central enfreint l'article 55, paragraphe 4, en n’informant pas l’AEMF en temps utile de modifications importantes des conditions de son enregistrement.</w:t>
      </w:r>
    </w:p>
    <w:p w:rsidR="0084164F" w:rsidRDefault="0084164F">
      <w:pPr>
        <w:rPr>
          <w:noProof/>
        </w:rPr>
      </w:pPr>
    </w:p>
    <w:sectPr w:rsidR="0084164F">
      <w:footerReference w:type="default" r:id="rId10"/>
      <w:footerReference w:type="first" r:id="rId11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64F" w:rsidRDefault="00E56938">
      <w:pPr>
        <w:spacing w:before="0" w:after="0"/>
      </w:pPr>
      <w:r>
        <w:separator/>
      </w:r>
    </w:p>
  </w:endnote>
  <w:endnote w:type="continuationSeparator" w:id="0">
    <w:p w:rsidR="0084164F" w:rsidRDefault="00E569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64F" w:rsidRDefault="00E56938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proofErr w:type="spellStart"/>
    <w:r>
      <w:rPr>
        <w:rFonts w:ascii="Arial" w:hAnsi="Arial" w:cs="Arial"/>
        <w:b/>
        <w:sz w:val="48"/>
      </w:rPr>
      <w:t>FR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64F" w:rsidRDefault="00E56938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64F" w:rsidRDefault="008416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64F" w:rsidRDefault="00E56938">
      <w:pPr>
        <w:spacing w:before="0" w:after="0"/>
      </w:pPr>
      <w:r>
        <w:separator/>
      </w:r>
    </w:p>
  </w:footnote>
  <w:footnote w:type="continuationSeparator" w:id="0">
    <w:p w:rsidR="0084164F" w:rsidRDefault="00E5693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C88B4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01A68B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2132EC5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9C12E6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C821B3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95898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6205F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E6143E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5-22 17:50:5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.CP" w:val="à la proposition de 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2D2CD43735B94C01BF57ABD9FB15C1CC"/>
    <w:docVar w:name="LW_CROSSREFERENCE" w:val="{SWD(2017) 148 final}_x000b_{SWD(2017) 149 final}"/>
    <w:docVar w:name="LW_DocType" w:val="ANNEX"/>
    <w:docVar w:name="LW_EMISSION" w:val="4.5.2017"/>
    <w:docVar w:name="LW_EMISSION_ISODATE" w:val="2017-05-04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modifiant le règlement (UE) nº 648/2012 en ce qui concerne l\u8217?obligation de compensation, la suspension de l\u8217?obligation de compensation, les obligations de déclaration, les techniques d\u8217?atténuation des risques pour les contrats dérivés de gré à gré non compensés par une contrepartie centrale, l\u8217?enregistrement et la surveillance des référentiels centraux et les exigences applicables aux référentiels centraux"/>
    <w:docVar w:name="LW_PART_NBR" w:val="1"/>
    <w:docVar w:name="LW_PART_NBR_TOTAL" w:val="1"/>
    <w:docVar w:name="LW_REF.INST.NEW" w:val="COM"/>
    <w:docVar w:name="LW_REF.INST.NEW_ADOPTED" w:val="final"/>
    <w:docVar w:name="LW_REF.INST.NEW_TEXT" w:val="(2017) 208"/>
    <w:docVar w:name="LW_REF.INTERNE" w:val="&lt;UNUSED&gt;"/>
    <w:docVar w:name="LW_SUPERTITRE" w:val="&lt;UNUSED&gt;"/>
    <w:docVar w:name="LW_TITRE.OBJ.CP" w:val="&lt;UNUSED&gt;"/>
    <w:docVar w:name="LW_TYPE.DOC.CP" w:val="ANNEXE"/>
    <w:docVar w:name="LW_TYPEACTEPRINCIPAL.CP" w:val="RÈGLEMENT DU PARLEMENT EUROPÉEN ET DU CONSEIL"/>
  </w:docVars>
  <w:rsids>
    <w:rsidRoot w:val="0084164F"/>
    <w:rsid w:val="0084164F"/>
    <w:rsid w:val="00E5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BEB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2</Pages>
  <Words>126</Words>
  <Characters>929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DUBUSSE Christine (MARKT)</dc:creator>
  <cp:lastModifiedBy>LAGES CARVALHO Patrick (SG)</cp:lastModifiedBy>
  <cp:revision>9</cp:revision>
  <dcterms:created xsi:type="dcterms:W3CDTF">2017-05-22T09:56:00Z</dcterms:created>
  <dcterms:modified xsi:type="dcterms:W3CDTF">2017-05-22T15:58:00Z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