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625A50172F4D959D974348BD18AD99" style="width:450.45pt;height:476.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0"/>
        <w:rPr>
          <w:noProof/>
          <w:sz w:val="2"/>
        </w:rPr>
      </w:pPr>
      <w:bookmarkStart w:id="1" w:name="_GoBack"/>
      <w:bookmarkEnd w:id="1"/>
    </w:p>
    <w:tbl>
      <w:tblPr>
        <w:tblW w:w="1018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after="0"/>
              <w:jc w:val="center"/>
              <w:rPr>
                <w:rFonts w:ascii="Tahoma" w:hAnsi="Tahoma" w:cs="Tahoma"/>
                <w:b/>
                <w:noProof/>
              </w:rPr>
            </w:pP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rFonts w:ascii="Tahoma" w:hAnsi="Tahoma"/>
                <w:b/>
                <w:noProof/>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cPr>
          <w:p>
            <w:pPr>
              <w:spacing w:after="0"/>
              <w:rPr>
                <w:rFonts w:ascii="Tahoma" w:hAnsi="Tahoma" w:cs="Tahoma"/>
                <w:noProof/>
                <w:sz w:val="20"/>
              </w:rPr>
            </w:pPr>
            <w:r>
              <w:rPr>
                <w:rFonts w:ascii="Tahoma" w:hAnsi="Tahoma"/>
                <w:noProof/>
                <w:color w:val="FFFFFF"/>
                <w:sz w:val="20"/>
              </w:rPr>
              <w:t>Оценка на въздействието на евентуалните изменения на Регламент (ЕС) № 648/2012 на Европейския парламент и на Съвета от 4 юли 2012 г. относно извънборсовите деривати, централните контрагенти и регистрите на трансакции</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A. Необходимост от действия</w:t>
            </w:r>
          </w:p>
        </w:tc>
      </w:tr>
      <w:tr>
        <w:tc>
          <w:tcPr>
            <w:tcW w:w="10188" w:type="dxa"/>
            <w:tcBorders>
              <w:bottom w:val="single" w:sz="4" w:space="0" w:color="auto"/>
            </w:tcBorders>
            <w:shd w:val="clear" w:color="auto" w:fill="E0E0E0"/>
          </w:tcPr>
          <w:p>
            <w:pPr>
              <w:spacing w:after="0"/>
              <w:rPr>
                <w:rFonts w:ascii="Tahoma" w:hAnsi="Tahoma" w:cs="Tahoma"/>
                <w:noProof/>
                <w:sz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spacing w:after="120"/>
              <w:rPr>
                <w:rFonts w:ascii="Arial" w:hAnsi="Arial" w:cs="Arial"/>
                <w:noProof/>
                <w:sz w:val="20"/>
                <w:highlight w:val="yellow"/>
              </w:rPr>
            </w:pPr>
            <w:r>
              <w:rPr>
                <w:rFonts w:ascii="Arial" w:hAnsi="Arial"/>
                <w:noProof/>
                <w:sz w:val="20"/>
              </w:rPr>
              <w:t>Регламент (ЕС) № 648/2012 на Европейския парламент и на Съвета от 4 юли 2012 г. относно извънборсовите деривати, централните контрагенти и регистрите на трансакции бе приет в отговор на поетия през септември 2009 г. ангажимент на ръководителите на страните от Г-20 за въвеждането в световен мащаб на определени изисквания по отношение на договорите за извънборсови деривати. Целта на Регламента за европейската пазарна инфраструктура е намаляване на системния риск чрез увеличаване на прозрачността на пазара на извънборсови деривати и намаляване на свързаните с пазара на извънборсови деривати операционен и кредитен риск от контрагента. Някои от въведените във връзка с това изисквания вече се прилагат, докато други все още не са в сила. Извършваният от Комисията мониторинг на пазара и мненията, получени от заинтересовани страни и от европейски и други органи, показаха широката подкрепа за общите цели на Регламента за европейската пазарна инфраструктура, но разкриха и редица проблеми, възпрепятстващи тяхното постигане по възможно най-ефективния и ефикасен начин. Това засяга най-вече i) непропорционалните разходи за привеждане в съответствие, които понякога надхвърлят пруденциалните ползи, ii) недостатъчната прозрачност на позициите и експозициите в извънборсови деривати</w:t>
            </w:r>
            <w:r>
              <w:rPr>
                <w:noProof/>
              </w:rPr>
              <w:t xml:space="preserve"> </w:t>
            </w:r>
            <w:r>
              <w:rPr>
                <w:rFonts w:ascii="Arial" w:hAnsi="Arial"/>
                <w:noProof/>
                <w:sz w:val="20"/>
              </w:rPr>
              <w:t>, както и iii) ограничения достъп на някои контрагенти до клиринг.</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Като запазват установената с Регламента за европейската пазарна инфраструктура нормативна уредба, предвидените варианти имат за цел да направят неговото прилагане по-ефективно и по-ефикасно чрез увеличаване на пропорционалността на правилата, подобряване на прозрачността на позициите и експозициите в извънборсови деривати и намаляване на пречките за достъпа до клиринг. Във връзка с това бяха разгледани редица целенасочени корекции на Регламента за европейската пазарна инфраструктура, оценени спрямо неговата основна цел за запазване на финансовата стабилност.</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Регламентът за европейската пазарна инфраструктура е задължителен в своята цялост и се прилага пряко във всички държави членки. Предвидените чрез настоящата инициатива целенасочени корекции на съществуващите разпоредби на Регламента за европейската пазарна инфраструктура могат да бъдат извършени единствено на равнище ЕС въз основа на член 114 от Договора за функционирането на Европейския съюз.  </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Б. Решения</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Какви законодателни и незаконодателни варианти на политиката са разгледани?</w:t>
            </w:r>
            <w:r>
              <w:rPr>
                <w:rFonts w:ascii="Tahoma" w:hAnsi="Tahoma"/>
                <w:noProof/>
                <w:sz w:val="20"/>
              </w:rPr>
              <w:t xml:space="preserve"> </w:t>
            </w:r>
            <w:r>
              <w:rPr>
                <w:rFonts w:ascii="Tahoma" w:hAnsi="Tahoma"/>
                <w:b/>
                <w:noProof/>
                <w:sz w:val="20"/>
              </w:rPr>
              <w:t xml:space="preserve">Има ли предпочитан вариант? Защо?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Инициативата се състои от преглед на съществуващия Регламент за европейската пазарна инфраструктура. Поради това разгледаните варианти са свързани с целенасочени корекции на определени (законодателни) разпоредби. За постигане на желаните цели бяха установени редица предпочитани варианти на политиката: </w:t>
            </w:r>
          </w:p>
          <w:p>
            <w:pPr>
              <w:pStyle w:val="ListBullet"/>
              <w:numPr>
                <w:ilvl w:val="0"/>
                <w:numId w:val="91"/>
              </w:numPr>
              <w:spacing w:after="0"/>
              <w:rPr>
                <w:rFonts w:ascii="Arial" w:hAnsi="Arial" w:cs="Arial"/>
                <w:noProof/>
                <w:sz w:val="20"/>
              </w:rPr>
            </w:pPr>
            <w:r>
              <w:rPr>
                <w:rFonts w:ascii="Arial" w:hAnsi="Arial"/>
                <w:noProof/>
                <w:sz w:val="20"/>
              </w:rPr>
              <w:t>да се предвиди ново преходно освобождаване на пенсионните планове от задължението за клиринг;</w:t>
            </w:r>
          </w:p>
          <w:p>
            <w:pPr>
              <w:numPr>
                <w:ilvl w:val="0"/>
                <w:numId w:val="91"/>
              </w:numPr>
              <w:spacing w:after="0"/>
              <w:rPr>
                <w:rFonts w:ascii="Arial" w:hAnsi="Arial" w:cs="Arial"/>
                <w:noProof/>
                <w:sz w:val="20"/>
              </w:rPr>
            </w:pPr>
            <w:r>
              <w:rPr>
                <w:rFonts w:ascii="Arial" w:hAnsi="Arial"/>
                <w:noProof/>
                <w:sz w:val="20"/>
              </w:rPr>
              <w:t xml:space="preserve">да се намали обхватът на задължението за клиринг за нефинансови контрагенти (НФК); </w:t>
            </w:r>
          </w:p>
          <w:p>
            <w:pPr>
              <w:numPr>
                <w:ilvl w:val="0"/>
                <w:numId w:val="91"/>
              </w:numPr>
              <w:spacing w:after="0"/>
              <w:rPr>
                <w:rFonts w:ascii="Arial" w:hAnsi="Arial" w:cs="Arial"/>
                <w:noProof/>
                <w:sz w:val="20"/>
              </w:rPr>
            </w:pPr>
            <w:r>
              <w:rPr>
                <w:rFonts w:ascii="Arial" w:hAnsi="Arial"/>
                <w:noProof/>
                <w:sz w:val="20"/>
              </w:rPr>
              <w:t>да се извадят най-малките финансови контрагенти от обхвата на задължението за клиринг;</w:t>
            </w:r>
          </w:p>
          <w:p>
            <w:pPr>
              <w:numPr>
                <w:ilvl w:val="0"/>
                <w:numId w:val="91"/>
              </w:numPr>
              <w:spacing w:after="0"/>
              <w:rPr>
                <w:rFonts w:ascii="Arial" w:hAnsi="Arial" w:cs="Arial"/>
                <w:noProof/>
                <w:sz w:val="20"/>
              </w:rPr>
            </w:pPr>
            <w:r>
              <w:rPr>
                <w:rFonts w:ascii="Arial" w:hAnsi="Arial"/>
                <w:noProof/>
                <w:sz w:val="20"/>
              </w:rPr>
              <w:t>да се премахне задължението за отчитане на данни за минали периоди;</w:t>
            </w:r>
          </w:p>
          <w:p>
            <w:pPr>
              <w:numPr>
                <w:ilvl w:val="0"/>
                <w:numId w:val="91"/>
              </w:numPr>
              <w:spacing w:after="0"/>
              <w:rPr>
                <w:rFonts w:ascii="Arial" w:hAnsi="Arial" w:cs="Arial"/>
                <w:noProof/>
                <w:sz w:val="20"/>
              </w:rPr>
            </w:pPr>
            <w:r>
              <w:rPr>
                <w:rFonts w:ascii="Arial" w:hAnsi="Arial"/>
                <w:noProof/>
                <w:sz w:val="20"/>
              </w:rPr>
              <w:t>да се освободят НФК от задължението за отчитане на вътрешногруповите трансакции;</w:t>
            </w:r>
          </w:p>
          <w:p>
            <w:pPr>
              <w:numPr>
                <w:ilvl w:val="0"/>
                <w:numId w:val="91"/>
              </w:numPr>
              <w:spacing w:after="0"/>
              <w:rPr>
                <w:rFonts w:ascii="Arial" w:hAnsi="Arial" w:cs="Arial"/>
                <w:noProof/>
                <w:sz w:val="20"/>
              </w:rPr>
            </w:pPr>
            <w:r>
              <w:rPr>
                <w:rFonts w:ascii="Arial" w:hAnsi="Arial"/>
                <w:noProof/>
                <w:sz w:val="20"/>
              </w:rPr>
              <w:t>да се въведе едностранно отчитане на трансакциите с борсово търгувани деривати, извършвано от централните контрагенти;</w:t>
            </w:r>
          </w:p>
          <w:p>
            <w:pPr>
              <w:numPr>
                <w:ilvl w:val="0"/>
                <w:numId w:val="91"/>
              </w:numPr>
              <w:spacing w:after="0"/>
              <w:rPr>
                <w:rFonts w:ascii="Arial" w:hAnsi="Arial" w:cs="Arial"/>
                <w:noProof/>
                <w:sz w:val="20"/>
              </w:rPr>
            </w:pPr>
            <w:r>
              <w:rPr>
                <w:rFonts w:ascii="Arial" w:hAnsi="Arial"/>
                <w:noProof/>
                <w:sz w:val="20"/>
              </w:rPr>
              <w:t>да се предвиди отчитането на трансакциите, които не са с извънборсови деривати, да се извършва от финансовия контрагент, когато другата страна по сделката е малък НФК;</w:t>
            </w:r>
          </w:p>
          <w:p>
            <w:pPr>
              <w:numPr>
                <w:ilvl w:val="0"/>
                <w:numId w:val="91"/>
              </w:numPr>
              <w:spacing w:after="0"/>
              <w:rPr>
                <w:rFonts w:ascii="Arial" w:hAnsi="Arial" w:cs="Arial"/>
                <w:noProof/>
                <w:sz w:val="20"/>
              </w:rPr>
            </w:pPr>
            <w:r>
              <w:rPr>
                <w:rFonts w:ascii="Arial" w:hAnsi="Arial"/>
                <w:noProof/>
                <w:sz w:val="20"/>
              </w:rPr>
              <w:t>да се хармонизират допълнително правилата и процедурите, както и да бъде изискано от регистрите на трансакции да гарантират качеството на данните;</w:t>
            </w:r>
          </w:p>
          <w:p>
            <w:pPr>
              <w:numPr>
                <w:ilvl w:val="0"/>
                <w:numId w:val="91"/>
              </w:numPr>
              <w:spacing w:after="0"/>
              <w:rPr>
                <w:rFonts w:ascii="Arial" w:hAnsi="Arial" w:cs="Arial"/>
                <w:noProof/>
                <w:sz w:val="20"/>
              </w:rPr>
            </w:pPr>
            <w:r>
              <w:rPr>
                <w:rFonts w:ascii="Arial" w:hAnsi="Arial"/>
                <w:noProof/>
                <w:sz w:val="20"/>
              </w:rPr>
              <w:t xml:space="preserve">да се увеличат горните граници на основните размери на глобите за извършваните от регистрите на трансакции нарушения на изискванията на Регламента за европейската пазарна инфраструктура; </w:t>
            </w:r>
          </w:p>
          <w:p>
            <w:pPr>
              <w:numPr>
                <w:ilvl w:val="0"/>
                <w:numId w:val="91"/>
              </w:numPr>
              <w:spacing w:after="0"/>
              <w:rPr>
                <w:rFonts w:ascii="Arial" w:hAnsi="Arial" w:cs="Arial"/>
                <w:noProof/>
                <w:sz w:val="20"/>
              </w:rPr>
            </w:pPr>
            <w:r>
              <w:rPr>
                <w:rFonts w:ascii="Arial" w:hAnsi="Arial"/>
                <w:noProof/>
                <w:sz w:val="20"/>
              </w:rPr>
              <w:t>да се изясни взаимодействието между инструментите за управление на неизпълнението по Регламента за европейската пазарна инфраструктура и националните закони в областта на несъстоятелността и да бъде въведен принципът за предоставяне на клирингови услуги при справедливи, приемливи и недискриминационни търговски условия (т.нар. принцип FRAND).</w:t>
            </w:r>
          </w:p>
        </w:tc>
      </w:tr>
      <w:tr>
        <w:tc>
          <w:tcPr>
            <w:tcW w:w="10188" w:type="dxa"/>
            <w:shd w:val="clear" w:color="auto" w:fill="CCCCCC"/>
          </w:tcPr>
          <w:p>
            <w:pPr>
              <w:spacing w:after="0"/>
              <w:rPr>
                <w:rFonts w:ascii="Tahoma" w:hAnsi="Tahoma" w:cs="Tahoma"/>
                <w:noProof/>
                <w:sz w:val="20"/>
              </w:rPr>
            </w:pPr>
            <w:r>
              <w:rPr>
                <w:rFonts w:ascii="Tahoma" w:hAnsi="Tahoma"/>
                <w:b/>
                <w:noProof/>
                <w:sz w:val="20"/>
              </w:rPr>
              <w:t xml:space="preserve">Кой подкрепя отделните варианти? </w:t>
            </w:r>
          </w:p>
        </w:tc>
      </w:tr>
      <w:tr>
        <w:tc>
          <w:tcPr>
            <w:tcW w:w="10188" w:type="dxa"/>
            <w:shd w:val="clear" w:color="auto" w:fill="auto"/>
          </w:tcPr>
          <w:p>
            <w:pPr>
              <w:spacing w:after="0"/>
              <w:rPr>
                <w:rFonts w:ascii="Arial" w:hAnsi="Arial" w:cs="Arial"/>
                <w:noProof/>
                <w:sz w:val="20"/>
              </w:rPr>
            </w:pPr>
            <w:r>
              <w:rPr>
                <w:rFonts w:ascii="Arial" w:hAnsi="Arial"/>
                <w:noProof/>
                <w:sz w:val="20"/>
              </w:rPr>
              <w:t xml:space="preserve">В рамките на две обществени консултации на Комисията бяха получени мнения на заинтересованите страни относно функционирането на Регламента за европейската пазарна инфраструктура. В хода на консултациите бяха повдигнати редица въпроси, но не бяха определени конкретни варианти на политиката, които евентуално да бъдат разгледани. Увеличаването на пропорционалността на правилата срещна широка подкрепа от всички групи заинтересовани страни. Отчитането на сделките бе обект на голямо внимание. Участниците в консултацията — главно предприятия и браншови организации, поискаха облекчаване на изискванията за отчетност за нефинансови контрагенти. Голям брой участници от различни категории заинтересовани страни също считат, че двустранното отчитане следва да бъде заменено с едностранно. Този вариант бе оценен, но отхвърлен в настоящата оценка на въздействието. Участниците посочиха също необходимостта да се въведат изключения от изискванията за клиринг и за допълнителни обезпечения за контрагенти, които не са от системно значение. </w:t>
            </w:r>
          </w:p>
          <w:p>
            <w:pPr>
              <w:spacing w:after="0"/>
              <w:rPr>
                <w:rFonts w:ascii="Arial" w:hAnsi="Arial" w:cs="Arial"/>
                <w:noProof/>
                <w:sz w:val="20"/>
                <w:highlight w:val="yellow"/>
              </w:rPr>
            </w:pPr>
            <w:r>
              <w:rPr>
                <w:rFonts w:ascii="Arial" w:hAnsi="Arial"/>
                <w:noProof/>
                <w:sz w:val="20"/>
              </w:rPr>
              <w:t>В рамките на дискусиите, проведени на по-късен етап с участието на експерти от държавите членки, бяха разгледани конкретните варианти на политиката. Мнозинството от експертите на държавите членки подкрепи предпочетените в настоящата оценка на въздействието варианти.</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В. Въздействие на предпочитаните варианти</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Какви са ползите от предпочитания вариант (ако има такъв; в противен случай — от основните варианти)?</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На първо място, предложените промени ще намалят разходите за привеждане в съответствие и административната тежест, налагани на участниците на пазара, без да имат неблагоприятни последствия за финансовата стабилност. По-голяма пропорционалност при прилагането на правилата за клиринг ще бъде от полза за НФК, тъй като предвидените мерки ще подобрят условията на конкуренция, тъй като при по-високите прагове изискванията за клиринг ще обхванат само най-големите НФК. Адаптирането на правилата за определяне на МФК, подлежащи на задължителен клиринг, ще намали тежестта за най-малките от тях, за които централният клиринг не е икономически осъществим.</w:t>
            </w:r>
            <w:r>
              <w:rPr>
                <w:noProof/>
              </w:rPr>
              <w:t xml:space="preserve"> </w:t>
            </w:r>
            <w:r>
              <w:rPr>
                <w:rFonts w:ascii="Arial" w:hAnsi="Arial"/>
                <w:noProof/>
                <w:sz w:val="20"/>
              </w:rPr>
              <w:t xml:space="preserve">Пенсионните планове ще ползват ново преходно освобождаване от задължението за клиринг, тъй като все още не са разработени работещи технически решения за извършването на клиринг. Всички контрагенти ще се ползват от облекчаване на някои изисквания за отчитане, като например премахването на задължението за отчитане на данни за минали периоди. Второ, по-голямата прозрачност на позициите и експозициите в извънборсови деривати ще позволи на органите да разкриват потенциалните проблеми на по-ранен етап и да предприемат своевременни действия за отстраняване на рисковете за устойчивостта на финансовите пазари. Трето, подобреният достъп до клиринг ще позволи на други участници на пазара да управляват и хеджират своите рискове и ще намали несигурността във връзка с техните бизнес перспективи и работните места на техните служители чрез намаляване на вероятността за възникване на внезапни сътресения и сривове в дейността.  </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Като цяло възникналите в резултат социални и икономически разходи не би следвало да са съществени. Предвиденото опростяване и по-голяма пропорционалност на правилата за отчетност ще позволи постигането на целите на Регламента за европейската пазарна инфраструктура, като същевременно значително ще се намали общата административна тежест, носена от контрагентите, подлежащи на изискванията за отчетност по регламента. При разглеждания вариант за прехвърляне на отговорността за задължително отчитане, образуванията, които в бъдеще следва да поемат това задължение, ще са по-добре подготвени за тази задача, а съответните общи съвкупни разходи ще намалеят вследствие на икономии от мащаба. По-нататъшното хармонизиране на правилата и процедурите за отчитане може да доведа най-много до ограничени допълнителни административни разходи в началните етапи на прилагането, но в средносрочен план следва да повиши ефективността и намали цялостната тежест. Аналогично се очаква изискването за предоставяне на услуги по клиринг, от които да се ползват широк кръг контрагенти при справедливи, приемливи и недискриминационни търговски условия, да доведе единствено до ограничени допълнителни административни разходи. </w:t>
            </w:r>
          </w:p>
          <w:p>
            <w:pPr>
              <w:spacing w:after="0"/>
              <w:rPr>
                <w:rFonts w:ascii="Arial" w:hAnsi="Arial" w:cs="Arial"/>
                <w:noProof/>
                <w:sz w:val="20"/>
              </w:rPr>
            </w:pPr>
            <w:r>
              <w:rPr>
                <w:rFonts w:ascii="Arial" w:hAnsi="Arial"/>
                <w:noProof/>
                <w:sz w:val="20"/>
              </w:rPr>
              <w:t xml:space="preserve">Комбинираният ефект от всички предпочитани варианти се изразява в значително намаление на разходите. Според прогнозните оценки потенциалните икономии, изчислени единствено за целите на настоящата оценка на въздействието и при отчитане на всички ключови допускания, описани в приложение 8, варират от 2,3 млрд. евро до 6,9 млрд. евро при фиксираните (еднократни) разходи и от 1,1 млрд. евро до 2,66 млрд. евро при оперативните разходи. Редица фактори влияят върху надеждността на прогнозираните намаления на разходите. Първо, тези оценки са валидни само към настоящия момент. В изчисленията не са взети предвид изискванията, които ще се прилагат на по-късен етап, като например поетапното прилагане на изискванията за допълнително обезпечение. Второ, изчисленията се основават на ограничено количество публично достъпна информация и неофициални пазарни данни, които може да не отразяват правилно разнообразието и спецификата на участващите контрагенти. Трето, изчисленията се основават на допускането, че намаляването на разходите ще бъде прехвърлено изцяло на крайните потребители. Четвърто, в това изчисление не са включени възникналите в резултат минимални разходи за приспособяване, например от въвеждане на изискванията за предоставяне на услуги при справедливи, приемливи и недискриминационни търговски условия (очаквано въздействие върху клиринговите членове) и от мерките за повишаване на качеството на данните (очакваното въздействие върху РТ). </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after="0"/>
              <w:rPr>
                <w:rFonts w:ascii="Arial" w:hAnsi="Arial" w:cs="Arial"/>
                <w:i/>
                <w:noProof/>
                <w:sz w:val="20"/>
              </w:rPr>
            </w:pPr>
            <w:r>
              <w:rPr>
                <w:rFonts w:ascii="Arial" w:hAnsi="Arial"/>
                <w:noProof/>
                <w:sz w:val="20"/>
              </w:rPr>
              <w:t xml:space="preserve">Най-полезни за предприятията, МСП и микропредприятията ще бъдат вариантите, насочени към: i) намаляване на регулаторните изисквания в случаите, когато непропорционалните разходи за привеждане в съответствие вероятно надхвърлят пруденциалните ползи и ii) подобряване на достъпа до клиринг. Нефинансовите контрагенти ще се ползват от промяната на обхвата на задължението за клиринг. Опростяването на изискванията за отчетност ще бъде от полза за всички контрагенти, включително МСП. Накрая, въвеждането на нови принципи за предоставяне на услуги при справедливи, приемливи и недискриминационни търговски условия ще облекчи достъпа до клиринг за множество контрагенти. </w:t>
            </w:r>
          </w:p>
        </w:tc>
      </w:tr>
      <w:tr>
        <w:tc>
          <w:tcPr>
            <w:tcW w:w="10188" w:type="dxa"/>
            <w:tcBorders>
              <w:bottom w:val="single" w:sz="4" w:space="0" w:color="auto"/>
            </w:tcBorders>
            <w:shd w:val="clear" w:color="auto" w:fill="E6E6E6"/>
          </w:tcPr>
          <w:p>
            <w:pPr>
              <w:spacing w:after="0"/>
              <w:rPr>
                <w:rFonts w:ascii="Tahoma" w:hAnsi="Tahoma" w:cs="Tahoma"/>
                <w:b/>
                <w:i/>
                <w:noProof/>
                <w:sz w:val="20"/>
              </w:rPr>
            </w:pPr>
            <w:r>
              <w:rPr>
                <w:rFonts w:ascii="Tahoma" w:hAnsi="Tahoma"/>
                <w:b/>
                <w:noProof/>
                <w:sz w:val="20"/>
              </w:rPr>
              <w:t>Ще има ли значително въздействие върху националните бюджети и администрации?</w:t>
            </w:r>
          </w:p>
        </w:tc>
      </w:tr>
      <w:tr>
        <w:tc>
          <w:tcPr>
            <w:tcW w:w="10188" w:type="dxa"/>
            <w:shd w:val="clear" w:color="auto" w:fill="auto"/>
          </w:tcPr>
          <w:p>
            <w:pPr>
              <w:spacing w:after="0"/>
              <w:rPr>
                <w:rFonts w:ascii="Arial" w:hAnsi="Arial" w:cs="Arial"/>
                <w:noProof/>
                <w:sz w:val="20"/>
              </w:rPr>
            </w:pPr>
            <w:r>
              <w:rPr>
                <w:rFonts w:ascii="Arial" w:hAnsi="Arial"/>
                <w:noProof/>
                <w:sz w:val="20"/>
              </w:rPr>
              <w:t>Не. Разгледаните изменения не следва да доведат до съществени разходи за националните бюджети и администрации.</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Ще има ли друго значително въздействие?</w:t>
            </w:r>
            <w:r>
              <w:rPr>
                <w:rFonts w:ascii="Tahoma" w:hAnsi="Tahoma"/>
                <w:noProof/>
                <w:sz w:val="20"/>
              </w:rPr>
              <w:t xml:space="preserve"> </w:t>
            </w:r>
            <w:r>
              <w:rPr>
                <w:rFonts w:ascii="Tahoma" w:hAnsi="Tahoma"/>
                <w:noProof/>
                <w:sz w:val="20"/>
                <w:u w:val="single"/>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Не.  </w:t>
            </w:r>
          </w:p>
        </w:tc>
      </w:tr>
      <w:tr>
        <w:tc>
          <w:tcPr>
            <w:tcW w:w="10188" w:type="dxa"/>
            <w:tcBorders>
              <w:bottom w:val="single" w:sz="4" w:space="0" w:color="auto"/>
            </w:tcBorders>
            <w:shd w:val="clear" w:color="auto" w:fill="C0C0C0"/>
          </w:tcPr>
          <w:p>
            <w:pPr>
              <w:spacing w:after="0"/>
              <w:jc w:val="center"/>
              <w:rPr>
                <w:rFonts w:ascii="Tahoma" w:hAnsi="Tahoma" w:cs="Tahoma"/>
                <w:b/>
                <w:noProof/>
              </w:rPr>
            </w:pPr>
            <w:r>
              <w:rPr>
                <w:rFonts w:ascii="Tahoma" w:hAnsi="Tahoma"/>
                <w:b/>
                <w:noProof/>
              </w:rPr>
              <w:t>Г. Последващи действия</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 xml:space="preserve">Кога ще се извърши преглед на политиката? </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b/>
                <w:noProof/>
                <w:sz w:val="20"/>
              </w:rPr>
            </w:pPr>
            <w:r>
              <w:rPr>
                <w:rFonts w:ascii="Arial" w:hAnsi="Arial"/>
                <w:noProof/>
                <w:sz w:val="20"/>
              </w:rPr>
              <w:t>Като се има предвид, че изискванията на Регламента за европейската пазарна инфраструктура започнаха да се прилагат в различни моменти във времето и някои от тях все още не са в сила, следва да се извърши оценка на регламента в неговата цялост, като се обърне специално внимание на неговата ефективност и ефикасност за постигането на първоначалните му цели. Тази оценка следва да включва целевите изменения, разгледани в настоящата инициатива, и да се извърши най-малко 3 години след прилагането на тези изменения. В някои случаи, по-специално за пенсионните планове, е важно да се следи на текуща основа напредъкът за постигане на решения, осигуряващи на пенсионните планове достъп до клиринг.</w:t>
            </w:r>
          </w:p>
        </w:tc>
      </w:tr>
    </w:tbl>
    <w:p>
      <w:pPr>
        <w:rPr>
          <w:noProof/>
        </w:rPr>
      </w:pPr>
      <w:bookmarkStart w:id="2" w:name="_Toc425860951"/>
      <w:bookmarkStart w:id="3" w:name="_Toc425861051"/>
      <w:bookmarkStart w:id="4" w:name="_Toc425861121"/>
      <w:bookmarkStart w:id="5" w:name="_Toc425869896"/>
      <w:bookmarkStart w:id="6" w:name="_Toc425860952"/>
      <w:bookmarkStart w:id="7" w:name="_Toc425861052"/>
      <w:bookmarkStart w:id="8" w:name="_Toc425861122"/>
      <w:bookmarkStart w:id="9" w:name="_Toc425869897"/>
      <w:bookmarkStart w:id="10" w:name="_Toc401848614"/>
      <w:bookmarkStart w:id="11" w:name="_Toc402183499"/>
      <w:bookmarkStart w:id="12" w:name="_Toc411439303"/>
      <w:bookmarkStart w:id="13" w:name="_Toc412736413"/>
      <w:bookmarkStart w:id="14" w:name="_Toc413053046"/>
      <w:bookmarkStart w:id="15" w:name="_Toc413138174"/>
      <w:bookmarkStart w:id="16" w:name="_Toc413139238"/>
      <w:bookmarkStart w:id="17" w:name="_Toc413139459"/>
      <w:bookmarkStart w:id="18" w:name="_Toc413139764"/>
      <w:bookmarkStart w:id="19" w:name="_Toc414268562"/>
      <w:bookmarkStart w:id="20" w:name="_Toc414453413"/>
      <w:bookmarkStart w:id="21" w:name="_Toc414466884"/>
      <w:bookmarkStart w:id="22" w:name="_Toc415131680"/>
      <w:bookmarkStart w:id="23" w:name="_Toc415654190"/>
      <w:bookmarkStart w:id="24" w:name="_Toc416265125"/>
      <w:bookmarkStart w:id="25" w:name="_Toc416265394"/>
      <w:bookmarkStart w:id="26" w:name="_Toc401848620"/>
      <w:bookmarkStart w:id="27" w:name="_Toc402183505"/>
      <w:bookmarkStart w:id="28" w:name="_Toc411439309"/>
      <w:bookmarkStart w:id="29" w:name="_Toc412736419"/>
      <w:bookmarkStart w:id="30" w:name="_Toc413053052"/>
      <w:bookmarkStart w:id="31" w:name="_Toc413138180"/>
      <w:bookmarkStart w:id="32" w:name="_Toc413139244"/>
      <w:bookmarkStart w:id="33" w:name="_Toc413139465"/>
      <w:bookmarkStart w:id="34" w:name="_Toc413139770"/>
      <w:bookmarkStart w:id="35" w:name="_Toc414268568"/>
      <w:bookmarkStart w:id="36" w:name="_Toc414453419"/>
      <w:bookmarkStart w:id="37" w:name="_Toc414466890"/>
      <w:bookmarkStart w:id="38" w:name="_Toc415131686"/>
      <w:bookmarkStart w:id="39" w:name="_Toc415654196"/>
      <w:bookmarkStart w:id="40" w:name="_Toc416265131"/>
      <w:bookmarkStart w:id="41" w:name="_Toc416265400"/>
      <w:bookmarkStart w:id="42" w:name="_Toc425860962"/>
      <w:bookmarkStart w:id="43" w:name="_Toc425861062"/>
      <w:bookmarkStart w:id="44" w:name="_Toc425861132"/>
      <w:bookmarkStart w:id="45" w:name="_Toc425869907"/>
      <w:bookmarkStart w:id="46" w:name="_Toc425860966"/>
      <w:bookmarkStart w:id="47" w:name="_Toc425861066"/>
      <w:bookmarkStart w:id="48" w:name="_Toc425861136"/>
      <w:bookmarkStart w:id="49" w:name="_Toc425869911"/>
      <w:bookmarkStart w:id="50" w:name="_Toc365634732"/>
      <w:bookmarkStart w:id="51" w:name="_Toc365637929"/>
      <w:bookmarkStart w:id="52" w:name="_Toc365638021"/>
      <w:bookmarkStart w:id="53" w:name="_Toc365638124"/>
      <w:bookmarkStart w:id="54" w:name="_Toc365638215"/>
      <w:bookmarkStart w:id="55" w:name="_Toc365638306"/>
      <w:bookmarkStart w:id="56" w:name="_Toc365634733"/>
      <w:bookmarkStart w:id="57" w:name="_Toc365637930"/>
      <w:bookmarkStart w:id="58" w:name="_Toc365638022"/>
      <w:bookmarkStart w:id="59" w:name="_Toc365638125"/>
      <w:bookmarkStart w:id="60" w:name="_Toc365638216"/>
      <w:bookmarkStart w:id="61" w:name="_Toc365638307"/>
      <w:bookmarkStart w:id="62" w:name="_Toc365634734"/>
      <w:bookmarkStart w:id="63" w:name="_Toc365637931"/>
      <w:bookmarkStart w:id="64" w:name="_Toc365638023"/>
      <w:bookmarkStart w:id="65" w:name="_Toc365638126"/>
      <w:bookmarkStart w:id="66" w:name="_Toc365638217"/>
      <w:bookmarkStart w:id="67" w:name="_Toc365638308"/>
      <w:bookmarkStart w:id="68" w:name="_Toc365634738"/>
      <w:bookmarkStart w:id="69" w:name="_Toc365637935"/>
      <w:bookmarkStart w:id="70" w:name="_Toc365638027"/>
      <w:bookmarkStart w:id="71" w:name="_Toc365638130"/>
      <w:bookmarkStart w:id="72" w:name="_Toc365638221"/>
      <w:bookmarkStart w:id="73" w:name="_Toc365638312"/>
      <w:bookmarkStart w:id="74" w:name="_Toc365634740"/>
      <w:bookmarkStart w:id="75" w:name="_Toc365637937"/>
      <w:bookmarkStart w:id="76" w:name="_Toc365638029"/>
      <w:bookmarkStart w:id="77" w:name="_Toc365638132"/>
      <w:bookmarkStart w:id="78" w:name="_Toc365638223"/>
      <w:bookmarkStart w:id="79" w:name="_Toc365638314"/>
      <w:bookmarkStart w:id="80" w:name="_Toc365634741"/>
      <w:bookmarkStart w:id="81" w:name="_Toc365637938"/>
      <w:bookmarkStart w:id="82" w:name="_Toc365638030"/>
      <w:bookmarkStart w:id="83" w:name="_Toc365638133"/>
      <w:bookmarkStart w:id="84" w:name="_Toc365638224"/>
      <w:bookmarkStart w:id="85" w:name="_Toc365638315"/>
      <w:bookmarkStart w:id="86" w:name="_Toc365634742"/>
      <w:bookmarkStart w:id="87" w:name="_Toc365637939"/>
      <w:bookmarkStart w:id="88" w:name="_Toc365638031"/>
      <w:bookmarkStart w:id="89" w:name="_Toc365638134"/>
      <w:bookmarkStart w:id="90" w:name="_Toc365638225"/>
      <w:bookmarkStart w:id="91" w:name="_Toc365638316"/>
      <w:bookmarkStart w:id="92" w:name="_Toc365634748"/>
      <w:bookmarkStart w:id="93" w:name="_Toc365637945"/>
      <w:bookmarkStart w:id="94" w:name="_Toc365638037"/>
      <w:bookmarkStart w:id="95" w:name="_Toc365638140"/>
      <w:bookmarkStart w:id="96" w:name="_Toc365638231"/>
      <w:bookmarkStart w:id="97" w:name="_Toc365638322"/>
      <w:bookmarkStart w:id="98" w:name="_Toc365634749"/>
      <w:bookmarkStart w:id="99" w:name="_Toc365637946"/>
      <w:bookmarkStart w:id="100" w:name="_Toc365638038"/>
      <w:bookmarkStart w:id="101" w:name="_Toc365638141"/>
      <w:bookmarkStart w:id="102" w:name="_Toc365638232"/>
      <w:bookmarkStart w:id="103" w:name="_Toc365638323"/>
      <w:bookmarkStart w:id="104" w:name="_Toc365634754"/>
      <w:bookmarkStart w:id="105" w:name="_Toc365637951"/>
      <w:bookmarkStart w:id="106" w:name="_Toc365638043"/>
      <w:bookmarkStart w:id="107" w:name="_Toc365638146"/>
      <w:bookmarkStart w:id="108" w:name="_Toc365638237"/>
      <w:bookmarkStart w:id="109" w:name="_Toc365638328"/>
      <w:bookmarkStart w:id="110" w:name="_Toc365634757"/>
      <w:bookmarkStart w:id="111" w:name="_Toc365637954"/>
      <w:bookmarkStart w:id="112" w:name="_Toc365638046"/>
      <w:bookmarkStart w:id="113" w:name="_Toc365638149"/>
      <w:bookmarkStart w:id="114" w:name="_Toc365638240"/>
      <w:bookmarkStart w:id="115" w:name="_Toc365638331"/>
      <w:bookmarkStart w:id="116" w:name="_Toc365629685"/>
      <w:bookmarkStart w:id="117" w:name="_Toc365634758"/>
      <w:bookmarkStart w:id="118" w:name="_Toc365637955"/>
      <w:bookmarkStart w:id="119" w:name="_Toc365638047"/>
      <w:bookmarkStart w:id="120" w:name="_Toc365638150"/>
      <w:bookmarkStart w:id="121" w:name="_Toc365638241"/>
      <w:bookmarkStart w:id="122" w:name="_Toc365638332"/>
      <w:bookmarkStart w:id="123" w:name="_Toc365629688"/>
      <w:bookmarkStart w:id="124" w:name="_Toc365634761"/>
      <w:bookmarkStart w:id="125" w:name="_Toc365637958"/>
      <w:bookmarkStart w:id="126" w:name="_Toc365638050"/>
      <w:bookmarkStart w:id="127" w:name="_Toc365638153"/>
      <w:bookmarkStart w:id="128" w:name="_Toc365638244"/>
      <w:bookmarkStart w:id="129" w:name="_Toc365638335"/>
      <w:bookmarkStart w:id="130" w:name="_Toc365629689"/>
      <w:bookmarkStart w:id="131" w:name="_Toc365634762"/>
      <w:bookmarkStart w:id="132" w:name="_Toc365637959"/>
      <w:bookmarkStart w:id="133" w:name="_Toc365638051"/>
      <w:bookmarkStart w:id="134" w:name="_Toc365638154"/>
      <w:bookmarkStart w:id="135" w:name="_Toc365638245"/>
      <w:bookmarkStart w:id="136" w:name="_Toc365638336"/>
      <w:bookmarkStart w:id="137" w:name="_Toc365629690"/>
      <w:bookmarkStart w:id="138" w:name="_Toc365634763"/>
      <w:bookmarkStart w:id="139" w:name="_Toc365637960"/>
      <w:bookmarkStart w:id="140" w:name="_Toc365638052"/>
      <w:bookmarkStart w:id="141" w:name="_Toc365638155"/>
      <w:bookmarkStart w:id="142" w:name="_Toc365638246"/>
      <w:bookmarkStart w:id="143" w:name="_Toc365638337"/>
      <w:bookmarkStart w:id="144" w:name="_Toc365629691"/>
      <w:bookmarkStart w:id="145" w:name="_Toc365634764"/>
      <w:bookmarkStart w:id="146" w:name="_Toc365637961"/>
      <w:bookmarkStart w:id="147" w:name="_Toc365638053"/>
      <w:bookmarkStart w:id="148" w:name="_Toc365638156"/>
      <w:bookmarkStart w:id="149" w:name="_Toc365638247"/>
      <w:bookmarkStart w:id="150" w:name="_Toc365638338"/>
      <w:bookmarkStart w:id="151" w:name="_Toc365629692"/>
      <w:bookmarkStart w:id="152" w:name="_Toc365634765"/>
      <w:bookmarkStart w:id="153" w:name="_Toc365637962"/>
      <w:bookmarkStart w:id="154" w:name="_Toc365638054"/>
      <w:bookmarkStart w:id="155" w:name="_Toc365638157"/>
      <w:bookmarkStart w:id="156" w:name="_Toc365638248"/>
      <w:bookmarkStart w:id="157" w:name="_Toc365638339"/>
      <w:bookmarkStart w:id="158" w:name="_Toc365629698"/>
      <w:bookmarkStart w:id="159" w:name="_Toc365634771"/>
      <w:bookmarkStart w:id="160" w:name="_Toc365637968"/>
      <w:bookmarkStart w:id="161" w:name="_Toc365638060"/>
      <w:bookmarkStart w:id="162" w:name="_Toc365638163"/>
      <w:bookmarkStart w:id="163" w:name="_Toc365638254"/>
      <w:bookmarkStart w:id="164" w:name="_Toc365638345"/>
      <w:bookmarkStart w:id="165" w:name="_Toc365629699"/>
      <w:bookmarkStart w:id="166" w:name="_Toc365634772"/>
      <w:bookmarkStart w:id="167" w:name="_Toc365637969"/>
      <w:bookmarkStart w:id="168" w:name="_Toc365638061"/>
      <w:bookmarkStart w:id="169" w:name="_Toc365638164"/>
      <w:bookmarkStart w:id="170" w:name="_Toc365638255"/>
      <w:bookmarkStart w:id="171" w:name="_Toc365638346"/>
      <w:bookmarkStart w:id="172" w:name="_Toc365629709"/>
      <w:bookmarkStart w:id="173" w:name="_Toc365634782"/>
      <w:bookmarkStart w:id="174" w:name="_Toc365637979"/>
      <w:bookmarkStart w:id="175" w:name="_Toc365638071"/>
      <w:bookmarkStart w:id="176" w:name="_Toc365638174"/>
      <w:bookmarkStart w:id="177" w:name="_Toc365638265"/>
      <w:bookmarkStart w:id="178" w:name="_Toc365638356"/>
      <w:bookmarkStart w:id="179" w:name="_Toc393878190"/>
      <w:bookmarkStart w:id="180" w:name="_Toc396322098"/>
      <w:bookmarkStart w:id="181" w:name="_Toc396322309"/>
      <w:bookmarkStart w:id="182" w:name="_Toc396409130"/>
      <w:bookmarkStart w:id="183" w:name="_Toc396409355"/>
      <w:bookmarkStart w:id="184" w:name="_Toc396484040"/>
      <w:bookmarkStart w:id="185" w:name="_Toc400121137"/>
      <w:bookmarkStart w:id="186" w:name="_Toc401848630"/>
      <w:bookmarkStart w:id="187" w:name="_Toc402183516"/>
      <w:bookmarkStart w:id="188" w:name="_Toc411439316"/>
      <w:bookmarkStart w:id="189" w:name="_Toc412736426"/>
      <w:bookmarkStart w:id="190" w:name="_Toc413053059"/>
      <w:bookmarkStart w:id="191" w:name="_Toc413138187"/>
      <w:bookmarkStart w:id="192" w:name="_Toc413139251"/>
      <w:bookmarkStart w:id="193" w:name="_Toc413139472"/>
      <w:bookmarkStart w:id="194" w:name="_Toc413139777"/>
      <w:bookmarkStart w:id="195" w:name="_Toc414268575"/>
      <w:bookmarkStart w:id="196" w:name="_Toc414453426"/>
      <w:bookmarkStart w:id="197" w:name="_Toc414466897"/>
      <w:bookmarkStart w:id="198" w:name="_Toc415131693"/>
      <w:bookmarkStart w:id="199" w:name="_Toc415654203"/>
      <w:bookmarkStart w:id="200" w:name="_Toc416265138"/>
      <w:bookmarkStart w:id="201" w:name="_Toc416265407"/>
      <w:bookmarkStart w:id="202" w:name="_Toc393878202"/>
      <w:bookmarkStart w:id="203" w:name="_Toc396322109"/>
      <w:bookmarkStart w:id="204" w:name="_Toc396322320"/>
      <w:bookmarkStart w:id="205" w:name="_Toc396409141"/>
      <w:bookmarkStart w:id="206" w:name="_Toc396409366"/>
      <w:bookmarkStart w:id="207" w:name="_Toc396484051"/>
      <w:bookmarkStart w:id="208" w:name="_Toc400121148"/>
      <w:bookmarkStart w:id="209" w:name="_Toc401848641"/>
      <w:bookmarkStart w:id="210" w:name="_Toc402183527"/>
      <w:bookmarkStart w:id="211" w:name="_Toc411439326"/>
      <w:bookmarkStart w:id="212" w:name="_Toc412736436"/>
      <w:bookmarkStart w:id="213" w:name="_Toc413053069"/>
      <w:bookmarkStart w:id="214" w:name="_Toc413138197"/>
      <w:bookmarkStart w:id="215" w:name="_Toc413139261"/>
      <w:bookmarkStart w:id="216" w:name="_Toc413139482"/>
      <w:bookmarkStart w:id="217" w:name="_Toc413139787"/>
      <w:bookmarkStart w:id="218" w:name="_Toc414268589"/>
      <w:bookmarkStart w:id="219" w:name="_Toc414453440"/>
      <w:bookmarkStart w:id="220" w:name="_Toc414466911"/>
      <w:bookmarkStart w:id="221" w:name="_Toc415131707"/>
      <w:bookmarkStart w:id="222" w:name="_Toc415654217"/>
      <w:bookmarkStart w:id="223" w:name="_Toc416265152"/>
      <w:bookmarkStart w:id="224" w:name="_Toc416265421"/>
      <w:bookmarkStart w:id="225" w:name="_Toc425860981"/>
      <w:bookmarkStart w:id="226" w:name="_Toc425861081"/>
      <w:bookmarkStart w:id="227" w:name="_Toc425861151"/>
      <w:bookmarkStart w:id="228" w:name="_Toc425869926"/>
      <w:bookmarkStart w:id="229" w:name="_Toc425860984"/>
      <w:bookmarkStart w:id="230" w:name="_Toc425861084"/>
      <w:bookmarkStart w:id="231" w:name="_Toc425861154"/>
      <w:bookmarkStart w:id="232" w:name="_Toc4258699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0674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D72132"/>
    <w:multiLevelType w:val="hybridMultilevel"/>
    <w:tmpl w:val="FD0417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49094C"/>
    <w:multiLevelType w:val="hybridMultilevel"/>
    <w:tmpl w:val="C7A69FB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1648C0"/>
    <w:multiLevelType w:val="hybridMultilevel"/>
    <w:tmpl w:val="727A40EE"/>
    <w:lvl w:ilvl="0" w:tplc="492A33A0">
      <w:start w:val="1"/>
      <w:numFmt w:val="decimal"/>
      <w:lvlText w:val="%1."/>
      <w:lvlJc w:val="left"/>
      <w:pPr>
        <w:ind w:left="360" w:hanging="360"/>
      </w:pPr>
    </w:lvl>
    <w:lvl w:ilvl="1" w:tplc="38FA3DF4">
      <w:start w:val="1"/>
      <w:numFmt w:val="decimal"/>
      <w:lvlText w:val="%2)"/>
      <w:lvlJc w:val="left"/>
      <w:pPr>
        <w:ind w:left="1080" w:hanging="360"/>
      </w:pPr>
      <w:rPr>
        <w:rFonts w:hint="default"/>
      </w:rPr>
    </w:lvl>
    <w:lvl w:ilvl="2" w:tplc="078A8612">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55841EF"/>
    <w:multiLevelType w:val="hybridMultilevel"/>
    <w:tmpl w:val="57F0039E"/>
    <w:lvl w:ilvl="0" w:tplc="7D4099A8">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05900B49"/>
    <w:multiLevelType w:val="hybridMultilevel"/>
    <w:tmpl w:val="540A6EA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7C7126"/>
    <w:multiLevelType w:val="hybridMultilevel"/>
    <w:tmpl w:val="24145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A01F5C"/>
    <w:multiLevelType w:val="hybridMultilevel"/>
    <w:tmpl w:val="9042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580DF7"/>
    <w:multiLevelType w:val="hybridMultilevel"/>
    <w:tmpl w:val="BD4CC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B10491"/>
    <w:multiLevelType w:val="multilevel"/>
    <w:tmpl w:val="0809001F"/>
    <w:name w:val="0,109167"/>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29041EA"/>
    <w:multiLevelType w:val="hybridMultilevel"/>
    <w:tmpl w:val="2656171A"/>
    <w:lvl w:ilvl="0" w:tplc="AEF68F90">
      <w:start w:val="1"/>
      <w:numFmt w:val="bullet"/>
      <w:pStyle w:val="Bullet"/>
      <w:lvlText w:val=""/>
      <w:lvlJc w:val="left"/>
      <w:pPr>
        <w:tabs>
          <w:tab w:val="num" w:pos="1134"/>
        </w:tabs>
        <w:ind w:left="1134" w:hanging="283"/>
      </w:pPr>
      <w:rPr>
        <w:rFonts w:ascii="Symbol" w:hAnsi="Symbol" w:hint="default"/>
        <w:sz w:val="22"/>
      </w:rPr>
    </w:lvl>
    <w:lvl w:ilvl="1" w:tplc="04090003">
      <w:start w:val="1"/>
      <w:numFmt w:val="bullet"/>
      <w:pStyle w:val="IndentedHeading2"/>
      <w:lvlText w:val="o"/>
      <w:lvlJc w:val="left"/>
      <w:pPr>
        <w:tabs>
          <w:tab w:val="num" w:pos="2007"/>
        </w:tabs>
        <w:ind w:left="2007" w:hanging="360"/>
      </w:pPr>
      <w:rPr>
        <w:rFonts w:ascii="Courier New" w:hAnsi="Courier New" w:cs="Times New Roman" w:hint="default"/>
      </w:rPr>
    </w:lvl>
    <w:lvl w:ilvl="2" w:tplc="04090005">
      <w:start w:val="1"/>
      <w:numFmt w:val="bullet"/>
      <w:pStyle w:val="IndentedHeading3"/>
      <w:lvlText w:val=""/>
      <w:lvlJc w:val="left"/>
      <w:pPr>
        <w:tabs>
          <w:tab w:val="num" w:pos="2727"/>
        </w:tabs>
        <w:ind w:left="2727" w:hanging="360"/>
      </w:pPr>
      <w:rPr>
        <w:rFonts w:ascii="Wingdings" w:hAnsi="Wingdings" w:hint="default"/>
      </w:rPr>
    </w:lvl>
    <w:lvl w:ilvl="3" w:tplc="04090001">
      <w:start w:val="1"/>
      <w:numFmt w:val="bullet"/>
      <w:pStyle w:val="IndentedHeading4"/>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547533"/>
    <w:multiLevelType w:val="hybridMultilevel"/>
    <w:tmpl w:val="F05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F3197E"/>
    <w:multiLevelType w:val="hybridMultilevel"/>
    <w:tmpl w:val="6B5870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F734306"/>
    <w:multiLevelType w:val="multilevel"/>
    <w:tmpl w:val="20D27972"/>
    <w:lvl w:ilvl="0">
      <w:start w:val="1"/>
      <w:numFmt w:val="decimal"/>
      <w:pStyle w:val="Heading1"/>
      <w:lvlText w:val="%1."/>
      <w:lvlJc w:val="left"/>
      <w:pPr>
        <w:tabs>
          <w:tab w:val="num" w:pos="480"/>
        </w:tabs>
        <w:ind w:left="480" w:hanging="480"/>
      </w:pPr>
      <w:rPr>
        <w:rFonts w:ascii="Times New Roman Bold" w:hAnsi="Times New Roman Bold" w:hint="default"/>
        <w:b/>
        <w:i w:val="0"/>
        <w:sz w:val="24"/>
      </w:r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pStyle w:val="Heading3"/>
      <w:lvlText w:val=""/>
      <w:lvlJc w:val="left"/>
      <w:pPr>
        <w:tabs>
          <w:tab w:val="num" w:pos="360"/>
        </w:tabs>
        <w:ind w:left="0" w:firstLine="0"/>
      </w:pPr>
      <w:rPr>
        <w:rFonts w:hint="default"/>
      </w:rPr>
    </w:lvl>
    <w:lvl w:ilvl="3">
      <w:numFmt w:val="none"/>
      <w:pStyle w:val="Heading4"/>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FC46615"/>
    <w:multiLevelType w:val="hybridMultilevel"/>
    <w:tmpl w:val="478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A50438"/>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F50111"/>
    <w:multiLevelType w:val="hybridMultilevel"/>
    <w:tmpl w:val="7A06CBF2"/>
    <w:lvl w:ilvl="0" w:tplc="0809000F">
      <w:start w:val="1"/>
      <w:numFmt w:val="decimal"/>
      <w:lvlText w:val="%1."/>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nsid w:val="21FA2835"/>
    <w:multiLevelType w:val="hybridMultilevel"/>
    <w:tmpl w:val="6CEAAE8C"/>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nsid w:val="22DD3599"/>
    <w:multiLevelType w:val="multilevel"/>
    <w:tmpl w:val="4EAA5BA6"/>
    <w:lvl w:ilvl="0">
      <w:numFmt w:val="decimal"/>
      <w:pStyle w:val="ListNumber"/>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0D6688"/>
    <w:multiLevelType w:val="hybridMultilevel"/>
    <w:tmpl w:val="5F3E5A7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nsid w:val="282C4A6E"/>
    <w:multiLevelType w:val="hybridMultilevel"/>
    <w:tmpl w:val="31BE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F76E7A"/>
    <w:multiLevelType w:val="singleLevel"/>
    <w:tmpl w:val="C74C5A32"/>
    <w:lvl w:ilvl="0">
      <w:numFmt w:val="decimal"/>
      <w:pStyle w:val="Bullet1"/>
      <w:lvlText w:val=""/>
      <w:lvlJc w:val="left"/>
    </w:lvl>
  </w:abstractNum>
  <w:abstractNum w:abstractNumId="24">
    <w:nsid w:val="2B75631B"/>
    <w:multiLevelType w:val="singleLevel"/>
    <w:tmpl w:val="A4DC141A"/>
    <w:lvl w:ilvl="0">
      <w:numFmt w:val="decimal"/>
      <w:pStyle w:val="ListBullet1"/>
      <w:lvlText w:val=""/>
      <w:lvlJc w:val="left"/>
    </w:lvl>
  </w:abstractNum>
  <w:abstractNum w:abstractNumId="25">
    <w:nsid w:val="2CAB4527"/>
    <w:multiLevelType w:val="multilevel"/>
    <w:tmpl w:val="26C24C12"/>
    <w:lvl w:ilvl="0">
      <w:numFmt w:val="decimal"/>
      <w:pStyle w:val="ListNumber3"/>
      <w:lvlText w:val=""/>
      <w:lvlJc w:val="left"/>
    </w:lvl>
    <w:lvl w:ilvl="1">
      <w:numFmt w:val="decimal"/>
      <w:pStyle w:val="ListNumber3Level2"/>
      <w:lvlText w:val=""/>
      <w:lvlJc w:val="left"/>
    </w:lvl>
    <w:lvl w:ilvl="2">
      <w:numFmt w:val="decimal"/>
      <w:pStyle w:val="ListNumber3Level3"/>
      <w:lvlText w:val=""/>
      <w:lvlJc w:val="left"/>
    </w:lvl>
    <w:lvl w:ilvl="3">
      <w:numFmt w:val="decimal"/>
      <w:pStyle w:val="ListNumber3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D84BD9"/>
    <w:multiLevelType w:val="hybridMultilevel"/>
    <w:tmpl w:val="0C9C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7567BD"/>
    <w:multiLevelType w:val="hybridMultilevel"/>
    <w:tmpl w:val="F236C958"/>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9F7BBE"/>
    <w:multiLevelType w:val="hybridMultilevel"/>
    <w:tmpl w:val="027A660A"/>
    <w:lvl w:ilvl="0" w:tplc="217E480C">
      <w:start w:val="1"/>
      <w:numFmt w:val="bullet"/>
      <w:lvlText w:val="•"/>
      <w:lvlJc w:val="left"/>
      <w:pPr>
        <w:tabs>
          <w:tab w:val="num" w:pos="720"/>
        </w:tabs>
        <w:ind w:left="720" w:hanging="360"/>
      </w:pPr>
      <w:rPr>
        <w:rFonts w:ascii="Times New Roman" w:hAnsi="Times New Roman" w:hint="default"/>
      </w:rPr>
    </w:lvl>
    <w:lvl w:ilvl="1" w:tplc="61124670" w:tentative="1">
      <w:start w:val="1"/>
      <w:numFmt w:val="bullet"/>
      <w:lvlText w:val="•"/>
      <w:lvlJc w:val="left"/>
      <w:pPr>
        <w:tabs>
          <w:tab w:val="num" w:pos="1440"/>
        </w:tabs>
        <w:ind w:left="1440" w:hanging="360"/>
      </w:pPr>
      <w:rPr>
        <w:rFonts w:ascii="Times New Roman" w:hAnsi="Times New Roman" w:hint="default"/>
      </w:rPr>
    </w:lvl>
    <w:lvl w:ilvl="2" w:tplc="AE66FFA4" w:tentative="1">
      <w:start w:val="1"/>
      <w:numFmt w:val="bullet"/>
      <w:lvlText w:val="•"/>
      <w:lvlJc w:val="left"/>
      <w:pPr>
        <w:tabs>
          <w:tab w:val="num" w:pos="2160"/>
        </w:tabs>
        <w:ind w:left="2160" w:hanging="360"/>
      </w:pPr>
      <w:rPr>
        <w:rFonts w:ascii="Times New Roman" w:hAnsi="Times New Roman" w:hint="default"/>
      </w:rPr>
    </w:lvl>
    <w:lvl w:ilvl="3" w:tplc="0382E67C" w:tentative="1">
      <w:start w:val="1"/>
      <w:numFmt w:val="bullet"/>
      <w:lvlText w:val="•"/>
      <w:lvlJc w:val="left"/>
      <w:pPr>
        <w:tabs>
          <w:tab w:val="num" w:pos="2880"/>
        </w:tabs>
        <w:ind w:left="2880" w:hanging="360"/>
      </w:pPr>
      <w:rPr>
        <w:rFonts w:ascii="Times New Roman" w:hAnsi="Times New Roman" w:hint="default"/>
      </w:rPr>
    </w:lvl>
    <w:lvl w:ilvl="4" w:tplc="CBBEDCD2" w:tentative="1">
      <w:start w:val="1"/>
      <w:numFmt w:val="bullet"/>
      <w:lvlText w:val="•"/>
      <w:lvlJc w:val="left"/>
      <w:pPr>
        <w:tabs>
          <w:tab w:val="num" w:pos="3600"/>
        </w:tabs>
        <w:ind w:left="3600" w:hanging="360"/>
      </w:pPr>
      <w:rPr>
        <w:rFonts w:ascii="Times New Roman" w:hAnsi="Times New Roman" w:hint="default"/>
      </w:rPr>
    </w:lvl>
    <w:lvl w:ilvl="5" w:tplc="1BE2FBEA" w:tentative="1">
      <w:start w:val="1"/>
      <w:numFmt w:val="bullet"/>
      <w:lvlText w:val="•"/>
      <w:lvlJc w:val="left"/>
      <w:pPr>
        <w:tabs>
          <w:tab w:val="num" w:pos="4320"/>
        </w:tabs>
        <w:ind w:left="4320" w:hanging="360"/>
      </w:pPr>
      <w:rPr>
        <w:rFonts w:ascii="Times New Roman" w:hAnsi="Times New Roman" w:hint="default"/>
      </w:rPr>
    </w:lvl>
    <w:lvl w:ilvl="6" w:tplc="EDBE42C0" w:tentative="1">
      <w:start w:val="1"/>
      <w:numFmt w:val="bullet"/>
      <w:lvlText w:val="•"/>
      <w:lvlJc w:val="left"/>
      <w:pPr>
        <w:tabs>
          <w:tab w:val="num" w:pos="5040"/>
        </w:tabs>
        <w:ind w:left="5040" w:hanging="360"/>
      </w:pPr>
      <w:rPr>
        <w:rFonts w:ascii="Times New Roman" w:hAnsi="Times New Roman" w:hint="default"/>
      </w:rPr>
    </w:lvl>
    <w:lvl w:ilvl="7" w:tplc="0DDE61CE" w:tentative="1">
      <w:start w:val="1"/>
      <w:numFmt w:val="bullet"/>
      <w:lvlText w:val="•"/>
      <w:lvlJc w:val="left"/>
      <w:pPr>
        <w:tabs>
          <w:tab w:val="num" w:pos="5760"/>
        </w:tabs>
        <w:ind w:left="5760" w:hanging="360"/>
      </w:pPr>
      <w:rPr>
        <w:rFonts w:ascii="Times New Roman" w:hAnsi="Times New Roman" w:hint="default"/>
      </w:rPr>
    </w:lvl>
    <w:lvl w:ilvl="8" w:tplc="A7A4B36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2897D54"/>
    <w:multiLevelType w:val="hybridMultilevel"/>
    <w:tmpl w:val="BB5C5C7E"/>
    <w:lvl w:ilvl="0" w:tplc="0809000F">
      <w:numFmt w:val="decimal"/>
      <w:lvlText w:val=""/>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293F3F"/>
    <w:multiLevelType w:val="singleLevel"/>
    <w:tmpl w:val="B074E4EC"/>
    <w:lvl w:ilvl="0">
      <w:numFmt w:val="decimal"/>
      <w:pStyle w:val="ListDash"/>
      <w:lvlText w:val=""/>
      <w:lvlJc w:val="left"/>
    </w:lvl>
  </w:abstractNum>
  <w:abstractNum w:abstractNumId="32">
    <w:nsid w:val="343E59FC"/>
    <w:multiLevelType w:val="hybridMultilevel"/>
    <w:tmpl w:val="CFFC80F8"/>
    <w:lvl w:ilvl="0" w:tplc="BE44C856">
      <w:start w:val="1"/>
      <w:numFmt w:val="lowerRoman"/>
      <w:lvlText w:val="(%1)"/>
      <w:lvlJc w:val="left"/>
      <w:pPr>
        <w:ind w:left="1353"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33">
    <w:nsid w:val="358B6119"/>
    <w:multiLevelType w:val="multilevel"/>
    <w:tmpl w:val="A8BA546C"/>
    <w:lvl w:ilvl="0">
      <w:numFmt w:val="decimal"/>
      <w:pStyle w:val="ListNumber1"/>
      <w:lvlText w:val=""/>
      <w:lvlJc w:val="left"/>
    </w:lvl>
    <w:lvl w:ilvl="1">
      <w:numFmt w:val="decimal"/>
      <w:pStyle w:val="ListNumber1Level2"/>
      <w:lvlText w:val=""/>
      <w:lvlJc w:val="left"/>
    </w:lvl>
    <w:lvl w:ilvl="2">
      <w:numFmt w:val="decimal"/>
      <w:pStyle w:val="ListNumber1Level3"/>
      <w:lvlText w:val=""/>
      <w:lvlJc w:val="left"/>
    </w:lvl>
    <w:lvl w:ilvl="3">
      <w:numFmt w:val="decimal"/>
      <w:pStyle w:val="ListNumber1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8C6F57"/>
    <w:multiLevelType w:val="multilevel"/>
    <w:tmpl w:val="9822F168"/>
    <w:lvl w:ilvl="0">
      <w:start w:val="1"/>
      <w:numFmt w:val="decimal"/>
      <w:lvlText w:val="%1."/>
      <w:lvlJc w:val="left"/>
      <w:pPr>
        <w:tabs>
          <w:tab w:val="num" w:pos="851"/>
        </w:tabs>
        <w:ind w:left="851" w:hanging="851"/>
      </w:pPr>
      <w:rPr>
        <w:rFonts w:ascii="Times New Roman Bold" w:hAnsi="Times New Roman Bold" w:cs="Courier" w:hint="default"/>
        <w:b/>
        <w:bCs w:val="0"/>
        <w:i w:val="0"/>
        <w:caps w:val="0"/>
        <w:strike w:val="0"/>
        <w:dstrike w:val="0"/>
        <w:vanish w:val="0"/>
        <w:webHidden w:val="0"/>
        <w:color w:val="000000"/>
        <w:spacing w:val="0"/>
        <w:kern w:val="0"/>
        <w:position w:val="0"/>
        <w:sz w:val="24"/>
        <w:szCs w:val="24"/>
        <w:u w:val="none"/>
        <w:effect w:val="none"/>
        <w:vertAlign w:val="baseline"/>
        <w:specVanish w:val="0"/>
      </w:rPr>
    </w:lvl>
    <w:lvl w:ilvl="1">
      <w:start w:val="1"/>
      <w:numFmt w:val="decimal"/>
      <w:lvlText w:val="%1.%2"/>
      <w:lvlJc w:val="left"/>
      <w:pPr>
        <w:tabs>
          <w:tab w:val="num" w:pos="851"/>
        </w:tabs>
        <w:ind w:left="851" w:hanging="851"/>
      </w:pPr>
      <w:rPr>
        <w:rFonts w:ascii="Times New Roman Bold" w:hAnsi="Times New Roman Bold" w:cs="Courier" w:hint="default"/>
        <w:b/>
        <w:i w:val="0"/>
        <w:color w:val="auto"/>
        <w:sz w:val="24"/>
      </w:rPr>
    </w:lvl>
    <w:lvl w:ilvl="2">
      <w:start w:val="1"/>
      <w:numFmt w:val="decimal"/>
      <w:lvlText w:val="%1.%2.%3"/>
      <w:lvlJc w:val="left"/>
      <w:pPr>
        <w:tabs>
          <w:tab w:val="num" w:pos="851"/>
        </w:tabs>
        <w:ind w:left="851" w:hanging="851"/>
      </w:pPr>
      <w:rPr>
        <w:rFonts w:ascii="Times New Roman Bold" w:hAnsi="Times New Roman Bold" w:cs="Courier" w:hint="default"/>
        <w:b/>
        <w:i/>
        <w:sz w:val="24"/>
      </w:rPr>
    </w:lvl>
    <w:lvl w:ilvl="3">
      <w:start w:val="1"/>
      <w:numFmt w:val="decimal"/>
      <w:lvlText w:val="%1.%2.%3.%4"/>
      <w:lvlJc w:val="left"/>
      <w:pPr>
        <w:tabs>
          <w:tab w:val="num" w:pos="851"/>
        </w:tabs>
        <w:ind w:left="851" w:hanging="851"/>
      </w:pPr>
      <w:rPr>
        <w:rFonts w:ascii="Courier" w:hAnsi="Courier" w:cs="Courier" w:hint="default"/>
        <w:b w:val="0"/>
        <w:i/>
        <w:sz w:val="24"/>
      </w:rPr>
    </w:lvl>
    <w:lvl w:ilvl="4">
      <w:start w:val="1"/>
      <w:numFmt w:val="decimal"/>
      <w:lvlText w:val="%1.%2.%3.%4.%5"/>
      <w:lvlJc w:val="left"/>
      <w:pPr>
        <w:tabs>
          <w:tab w:val="num" w:pos="1008"/>
        </w:tabs>
        <w:ind w:left="1008" w:hanging="1008"/>
      </w:pPr>
      <w:rPr>
        <w:rFonts w:cs="Courier"/>
      </w:rPr>
    </w:lvl>
    <w:lvl w:ilvl="5">
      <w:start w:val="1"/>
      <w:numFmt w:val="decimal"/>
      <w:lvlText w:val="%1.%2.%3.%4.%5.%6"/>
      <w:lvlJc w:val="left"/>
      <w:pPr>
        <w:tabs>
          <w:tab w:val="num" w:pos="1152"/>
        </w:tabs>
        <w:ind w:left="1152" w:hanging="1152"/>
      </w:pPr>
      <w:rPr>
        <w:rFonts w:cs="Courier"/>
      </w:rPr>
    </w:lvl>
    <w:lvl w:ilvl="6">
      <w:start w:val="1"/>
      <w:numFmt w:val="decimal"/>
      <w:lvlText w:val="%1.%2.%3.%4.%5.%6.%7"/>
      <w:lvlJc w:val="left"/>
      <w:pPr>
        <w:tabs>
          <w:tab w:val="num" w:pos="1296"/>
        </w:tabs>
        <w:ind w:left="1296" w:hanging="1296"/>
      </w:pPr>
      <w:rPr>
        <w:rFonts w:cs="Courier"/>
      </w:rPr>
    </w:lvl>
    <w:lvl w:ilvl="7">
      <w:start w:val="1"/>
      <w:numFmt w:val="decimal"/>
      <w:lvlText w:val="%1.%2.%3.%4.%5.%6.%7.%8"/>
      <w:lvlJc w:val="left"/>
      <w:pPr>
        <w:tabs>
          <w:tab w:val="num" w:pos="1440"/>
        </w:tabs>
        <w:ind w:left="1440" w:hanging="1440"/>
      </w:pPr>
      <w:rPr>
        <w:rFonts w:cs="Courier"/>
      </w:rPr>
    </w:lvl>
    <w:lvl w:ilvl="8">
      <w:start w:val="1"/>
      <w:numFmt w:val="decimal"/>
      <w:lvlText w:val="%1.%2.%3.%4.%5.%6.%7.%8.%9"/>
      <w:lvlJc w:val="left"/>
      <w:pPr>
        <w:tabs>
          <w:tab w:val="num" w:pos="1584"/>
        </w:tabs>
        <w:ind w:left="1584" w:hanging="1584"/>
      </w:pPr>
      <w:rPr>
        <w:rFonts w:cs="Courier"/>
      </w:rPr>
    </w:lvl>
  </w:abstractNum>
  <w:abstractNum w:abstractNumId="35">
    <w:nsid w:val="3AFB6DC8"/>
    <w:multiLevelType w:val="singleLevel"/>
    <w:tmpl w:val="D97CFDF8"/>
    <w:lvl w:ilvl="0">
      <w:numFmt w:val="decimal"/>
      <w:pStyle w:val="ListBullet2"/>
      <w:lvlText w:val=""/>
      <w:lvlJc w:val="left"/>
    </w:lvl>
  </w:abstractNum>
  <w:abstractNum w:abstractNumId="36">
    <w:nsid w:val="3B4F780D"/>
    <w:multiLevelType w:val="multilevel"/>
    <w:tmpl w:val="B10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F00E18"/>
    <w:multiLevelType w:val="singleLevel"/>
    <w:tmpl w:val="4E1A982C"/>
    <w:lvl w:ilvl="0">
      <w:numFmt w:val="decimal"/>
      <w:pStyle w:val="ListBullet"/>
      <w:lvlText w:val=""/>
      <w:lvlJc w:val="left"/>
    </w:lvl>
  </w:abstractNum>
  <w:abstractNum w:abstractNumId="38">
    <w:nsid w:val="46113D4F"/>
    <w:multiLevelType w:val="singleLevel"/>
    <w:tmpl w:val="A3323CB8"/>
    <w:lvl w:ilvl="0">
      <w:numFmt w:val="decimal"/>
      <w:pStyle w:val="ListDash3"/>
      <w:lvlText w:val=""/>
      <w:lvlJc w:val="left"/>
    </w:lvl>
  </w:abstractNum>
  <w:abstractNum w:abstractNumId="39">
    <w:nsid w:val="46CC47E1"/>
    <w:multiLevelType w:val="hybridMultilevel"/>
    <w:tmpl w:val="A01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96207CF"/>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BD76B2"/>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593082"/>
    <w:multiLevelType w:val="singleLevel"/>
    <w:tmpl w:val="EDE069AC"/>
    <w:name w:val="Bullet 1"/>
    <w:lvl w:ilvl="0">
      <w:numFmt w:val="decimal"/>
      <w:pStyle w:val="Bullet0"/>
      <w:lvlText w:val=""/>
      <w:lvlJc w:val="left"/>
    </w:lvl>
  </w:abstractNum>
  <w:abstractNum w:abstractNumId="43">
    <w:nsid w:val="54D10AB0"/>
    <w:multiLevelType w:val="singleLevel"/>
    <w:tmpl w:val="5B50620E"/>
    <w:lvl w:ilvl="0">
      <w:numFmt w:val="decimal"/>
      <w:pStyle w:val="ListDash4"/>
      <w:lvlText w:val=""/>
      <w:lvlJc w:val="left"/>
    </w:lvl>
  </w:abstractNum>
  <w:abstractNum w:abstractNumId="44">
    <w:nsid w:val="55BF3D2E"/>
    <w:multiLevelType w:val="hybridMultilevel"/>
    <w:tmpl w:val="8A66D5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576B6C27"/>
    <w:multiLevelType w:val="hybridMultilevel"/>
    <w:tmpl w:val="D68EA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94B6127"/>
    <w:multiLevelType w:val="hybridMultilevel"/>
    <w:tmpl w:val="DD44205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7">
    <w:nsid w:val="5B2C6F90"/>
    <w:multiLevelType w:val="hybridMultilevel"/>
    <w:tmpl w:val="591ACF9E"/>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0D6286"/>
    <w:multiLevelType w:val="singleLevel"/>
    <w:tmpl w:val="B0567122"/>
    <w:lvl w:ilvl="0">
      <w:numFmt w:val="decimal"/>
      <w:pStyle w:val="ListDash2"/>
      <w:lvlText w:val=""/>
      <w:lvlJc w:val="left"/>
    </w:lvl>
  </w:abstractNum>
  <w:abstractNum w:abstractNumId="49">
    <w:nsid w:val="6057433F"/>
    <w:multiLevelType w:val="singleLevel"/>
    <w:tmpl w:val="3D5ECD48"/>
    <w:lvl w:ilvl="0">
      <w:numFmt w:val="decimal"/>
      <w:pStyle w:val="ListDash1"/>
      <w:lvlText w:val=""/>
      <w:lvlJc w:val="left"/>
    </w:lvl>
  </w:abstractNum>
  <w:abstractNum w:abstractNumId="50">
    <w:nsid w:val="620F2440"/>
    <w:multiLevelType w:val="singleLevel"/>
    <w:tmpl w:val="6860A420"/>
    <w:lvl w:ilvl="0">
      <w:numFmt w:val="decimal"/>
      <w:pStyle w:val="ListBullet3"/>
      <w:lvlText w:val=""/>
      <w:lvlJc w:val="left"/>
    </w:lvl>
  </w:abstractNum>
  <w:abstractNum w:abstractNumId="51">
    <w:nsid w:val="64987A49"/>
    <w:multiLevelType w:val="hybridMultilevel"/>
    <w:tmpl w:val="1E2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DF118C0"/>
    <w:multiLevelType w:val="singleLevel"/>
    <w:tmpl w:val="B90C8B88"/>
    <w:lvl w:ilvl="0">
      <w:numFmt w:val="decimal"/>
      <w:pStyle w:val="ListBullet4"/>
      <w:lvlText w:val=""/>
      <w:lvlJc w:val="left"/>
    </w:lvl>
  </w:abstractNum>
  <w:abstractNum w:abstractNumId="53">
    <w:nsid w:val="706B072C"/>
    <w:multiLevelType w:val="hybridMultilevel"/>
    <w:tmpl w:val="B7BC1D9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4">
    <w:nsid w:val="712144E3"/>
    <w:multiLevelType w:val="hybridMultilevel"/>
    <w:tmpl w:val="0FDE0F4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5">
    <w:nsid w:val="722304D7"/>
    <w:multiLevelType w:val="multilevel"/>
    <w:tmpl w:val="9DE2758E"/>
    <w:lvl w:ilvl="0">
      <w:numFmt w:val="decimal"/>
      <w:pStyle w:val="ListNumber4"/>
      <w:lvlText w:val=""/>
      <w:lvlJc w:val="left"/>
    </w:lvl>
    <w:lvl w:ilvl="1">
      <w:numFmt w:val="decimal"/>
      <w:pStyle w:val="ListNumber4Level2"/>
      <w:lvlText w:val=""/>
      <w:lvlJc w:val="left"/>
    </w:lvl>
    <w:lvl w:ilvl="2">
      <w:numFmt w:val="decimal"/>
      <w:pStyle w:val="ListNumber4Level3"/>
      <w:lvlText w:val=""/>
      <w:lvlJc w:val="left"/>
    </w:lvl>
    <w:lvl w:ilvl="3">
      <w:numFmt w:val="decimal"/>
      <w:pStyle w:val="ListNumber4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362880"/>
    <w:multiLevelType w:val="hybridMultilevel"/>
    <w:tmpl w:val="D0D0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6783A2A"/>
    <w:multiLevelType w:val="hybridMultilevel"/>
    <w:tmpl w:val="3B44074E"/>
    <w:lvl w:ilvl="0" w:tplc="08090019">
      <w:start w:val="1"/>
      <w:numFmt w:val="lowerLetter"/>
      <w:lvlText w:val="%1."/>
      <w:lvlJc w:val="left"/>
      <w:pPr>
        <w:ind w:left="786"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58">
    <w:nsid w:val="76C40A01"/>
    <w:multiLevelType w:val="hybridMultilevel"/>
    <w:tmpl w:val="0CAC6F2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9">
    <w:nsid w:val="7CB20CD3"/>
    <w:multiLevelType w:val="hybridMultilevel"/>
    <w:tmpl w:val="8518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37"/>
  </w:num>
  <w:num w:numId="5">
    <w:abstractNumId w:val="24"/>
  </w:num>
  <w:num w:numId="6">
    <w:abstractNumId w:val="35"/>
  </w:num>
  <w:num w:numId="7">
    <w:abstractNumId w:val="50"/>
  </w:num>
  <w:num w:numId="8">
    <w:abstractNumId w:val="52"/>
  </w:num>
  <w:num w:numId="9">
    <w:abstractNumId w:val="31"/>
  </w:num>
  <w:num w:numId="10">
    <w:abstractNumId w:val="49"/>
  </w:num>
  <w:num w:numId="11">
    <w:abstractNumId w:val="48"/>
  </w:num>
  <w:num w:numId="12">
    <w:abstractNumId w:val="38"/>
  </w:num>
  <w:num w:numId="13">
    <w:abstractNumId w:val="43"/>
  </w:num>
  <w:num w:numId="14">
    <w:abstractNumId w:val="20"/>
  </w:num>
  <w:num w:numId="15">
    <w:abstractNumId w:val="33"/>
  </w:num>
  <w:num w:numId="16">
    <w:abstractNumId w:val="12"/>
  </w:num>
  <w:num w:numId="17">
    <w:abstractNumId w:val="25"/>
  </w:num>
  <w:num w:numId="18">
    <w:abstractNumId w:val="55"/>
  </w:num>
  <w:num w:numId="19">
    <w:abstractNumId w:val="23"/>
  </w:num>
  <w:num w:numId="20">
    <w:abstractNumId w:val="10"/>
  </w:num>
  <w:num w:numId="21">
    <w:abstractNumId w:val="42"/>
  </w:num>
  <w:num w:numId="22">
    <w:abstractNumId w:val="58"/>
  </w:num>
  <w:num w:numId="23">
    <w:abstractNumId w:val="17"/>
  </w:num>
  <w:num w:numId="24">
    <w:abstractNumId w:val="17"/>
  </w:num>
  <w:num w:numId="25">
    <w:abstractNumId w:val="41"/>
  </w:num>
  <w:num w:numId="26">
    <w:abstractNumId w:val="15"/>
  </w:num>
  <w:num w:numId="27">
    <w:abstractNumId w:val="53"/>
  </w:num>
  <w:num w:numId="28">
    <w:abstractNumId w:val="18"/>
  </w:num>
  <w:num w:numId="29">
    <w:abstractNumId w:val="4"/>
  </w:num>
  <w:num w:numId="30">
    <w:abstractNumId w:val="40"/>
  </w:num>
  <w:num w:numId="31">
    <w:abstractNumId w:val="2"/>
  </w:num>
  <w:num w:numId="32">
    <w:abstractNumId w:val="9"/>
  </w:num>
  <w:num w:numId="33">
    <w:abstractNumId w:val="21"/>
  </w:num>
  <w:num w:numId="34">
    <w:abstractNumId w:val="19"/>
  </w:num>
  <w:num w:numId="35">
    <w:abstractNumId w:val="59"/>
  </w:num>
  <w:num w:numId="36">
    <w:abstractNumId w:val="29"/>
  </w:num>
  <w:num w:numId="37">
    <w:abstractNumId w:val="15"/>
  </w:num>
  <w:num w:numId="38">
    <w:abstractNumId w:val="8"/>
  </w:num>
  <w:num w:numId="39">
    <w:abstractNumId w:val="27"/>
  </w:num>
  <w:num w:numId="40">
    <w:abstractNumId w:val="13"/>
  </w:num>
  <w:num w:numId="41">
    <w:abstractNumId w:val="7"/>
  </w:num>
  <w:num w:numId="42">
    <w:abstractNumId w:val="1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0"/>
  </w:num>
  <w:num w:numId="48">
    <w:abstractNumId w:val="15"/>
  </w:num>
  <w:num w:numId="49">
    <w:abstractNumId w:val="28"/>
  </w:num>
  <w:num w:numId="50">
    <w:abstractNumId w:val="47"/>
  </w:num>
  <w:num w:numId="51">
    <w:abstractNumId w:val="3"/>
  </w:num>
  <w:num w:numId="52">
    <w:abstractNumId w:val="46"/>
  </w:num>
  <w:num w:numId="53">
    <w:abstractNumId w:val="54"/>
  </w:num>
  <w:num w:numId="54">
    <w:abstractNumId w:val="6"/>
  </w:num>
  <w:num w:numId="55">
    <w:abstractNumId w:val="15"/>
  </w:num>
  <w:num w:numId="56">
    <w:abstractNumId w:val="16"/>
  </w:num>
  <w:num w:numId="57">
    <w:abstractNumId w:val="11"/>
  </w:num>
  <w:num w:numId="58">
    <w:abstractNumId w:val="51"/>
  </w:num>
  <w:num w:numId="59">
    <w:abstractNumId w:val="57"/>
  </w:num>
  <w:num w:numId="60">
    <w:abstractNumId w:val="56"/>
  </w:num>
  <w:num w:numId="61">
    <w:abstractNumId w:val="36"/>
  </w:num>
  <w:num w:numId="62">
    <w:abstractNumId w:val="44"/>
  </w:num>
  <w:num w:numId="6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5"/>
  </w:num>
  <w:num w:numId="65">
    <w:abstractNumId w:val="15"/>
    <w:lvlOverride w:ilvl="0">
      <w:startOverride w:val="8"/>
    </w:lvlOverride>
    <w:lvlOverride w:ilvl="1">
      <w:startOverride w:val="1"/>
    </w:lvlOverride>
    <w:lvlOverride w:ilvl="2"/>
    <w:lvlOverride w:ilvl="3"/>
    <w:lvlOverride w:ilvl="4"/>
    <w:lvlOverride w:ilvl="5"/>
    <w:lvlOverride w:ilvl="6"/>
    <w:lvlOverride w:ilvl="7"/>
    <w:lvlOverride w:ilvl="8"/>
  </w:num>
  <w:num w:numId="66">
    <w:abstractNumId w:val="15"/>
  </w:num>
  <w:num w:numId="67">
    <w:abstractNumId w:val="4"/>
  </w:num>
  <w:num w:numId="68">
    <w:abstractNumId w:val="4"/>
  </w:num>
  <w:num w:numId="69">
    <w:abstractNumId w:val="4"/>
  </w:num>
  <w:num w:numId="70">
    <w:abstractNumId w:val="15"/>
  </w:num>
  <w:num w:numId="71">
    <w:abstractNumId w:val="4"/>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4"/>
  </w:num>
  <w:num w:numId="82">
    <w:abstractNumId w:val="15"/>
  </w:num>
  <w:num w:numId="83">
    <w:abstractNumId w:val="26"/>
  </w:num>
  <w:num w:numId="84">
    <w:abstractNumId w:val="26"/>
  </w:num>
  <w:num w:numId="85">
    <w:abstractNumId w:val="26"/>
  </w:num>
  <w:num w:numId="8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7">
    <w:abstractNumId w:val="20"/>
  </w:num>
  <w:num w:numId="88">
    <w:abstractNumId w:val="20"/>
  </w:num>
  <w:num w:numId="89">
    <w:abstractNumId w:val="14"/>
  </w:num>
  <w:num w:numId="90">
    <w:abstractNumId w:val="39"/>
  </w:num>
  <w:num w:numId="91">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FE625A50172F4D959D974348BD18AD99"/>
    <w:docVar w:name="LW_CROSSREFERENCE" w:val="{COM(2017) 208 final}_x000b_{SWD(2017) 148 final}"/>
    <w:docVar w:name="LW_DATE.ADOPT.CP_ISODATE" w:val="&lt;EMPTY&gt;"/>
    <w:docVar w:name="LW_DocType" w:val="REP"/>
    <w:docVar w:name="LW_EMISSION" w:val="4.5.2017"/>
    <w:docVar w:name="LW_EMISSION_ISODATE" w:val="2017-05-04"/>
    <w:docVar w:name="LW_EMISSION_LOCATION" w:val="BRX"/>
    <w:docVar w:name="LW_EMISSION_PREFIX" w:val="Брюксел, "/>
    <w:docVar w:name="LW_EMISSION_SUFFIX" w:val=" \u1075?."/>
    <w:docVar w:name="LW_ID_DOCTYPE_NONLW" w:val="CP-027"/>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u8470? 648/2012 \u1087?\u1086? \u1086?\u1090?\u1085?\u1086?\u1096?\u1077?\u1085?\u1080?\u1077? \u1085?\u1072? \u1079?\u1072?\u1076?\u1098?\u1083?\u1078?\u1077?\u1085?\u1080?\u1077?\u1090?\u1086? \u1079?\u1072? \u1082?\u1083?\u1080?\u1088?\u1080?\u1085?\u1075?, \u1087?\u1088?\u1077?\u1082?\u1088?\u1072?\u1090?\u1103?\u1074?\u1072?\u1085?\u1077?\u1090?\u1086? \u1085?\u1072? \u1079?\u1072?\u1076?\u1098?\u1083?\u1078?\u1077?\u1085?\u1080?\u1077?\u1090?\u1086? \u1079?\u1072? \u1082?\u1083?\u1080?\u1088?\u1080?\u1085?\u1075?, \u1080?\u1079?\u1080?\u1089?\u1082?\u1074?\u1072?\u1085?\u1080?\u1103?\u1090?\u1072? \u1079?\u1072? \u1086?\u1090?\u1095?\u1077?\u1090?\u1085?\u1086?\u1089?\u1090?, \u1090?\u1077?\u1093?\u1085?\u1080?\u1082?\u1080?\u1090?\u1077? \u1079?\u1072? \u1085?\u1072?\u1084?\u1072?\u1083?\u1103?\u1074?\u1072?\u1085?\u1077? \u1085?\u1072? \u1088?\u1080?\u1089?\u1082?\u1072? \u1079?\u1072? \u1076?\u1086?\u1075?\u1086?\u1074?\u1086?\u1088?\u1080?\u1090?\u1077? \u1079?\u1072? \u1080?\u1079?\u1074?\u1098?\u1085?\u1073?\u1086?\u1088?\u1089?\u1086?\u1074?\u1080? \u1076?\u1077?\u1088?\u1080?\u1074?\u1072?\u1090?\u1080?, \u1082?\u1086?\u1080?\u1090?\u1086? \u1085?\u1077? \u1089?\u1072? \u1087?\u1088?\u1077?\u1084?\u1080?\u1085?\u1072?\u1083?\u1080? \u1082?\u1083?\u1080?\u1088?\u1080?\u1085?\u1075? \u1095?\u1088?\u1077?\u1079? \u1062?\u1050?, \u1088?\u1077?\u1075?\u1080?\u1089?\u1090?\u1088?\u1072?\u1094?\u1080?\u1103?\u1090?\u1072? \u1080? \u1085?\u1072?\u1076?\u1079?\u1086?\u1088?\u1072? \u1085?\u1072? \u1088?\u1077?\u1075?\u1080?\u1089?\u1090?\u1088?\u1080?\u1090?\u1077? \u1085?\u1072? \u1090?\u1088?\u1072?\u1085?\u1089?\u1072?\u1082?\u1094?\u1080?\u1080?, \u1082?\u1072?\u1082?\u1090?\u1086? \u1080? \u1080?\u1079?\u1080?\u1089?\u1082?\u1074?\u1072?\u1085?\u1080?\u1103?\u1090?\u1072? \u1079?\u1072? \u1088?\u1077?\u1075?\u1080?\u1089?\u1090?\u1088?\u1080?\u1090?\u1077? \u1085?\u1072? \u1090?\u1088?\u1072?\u1085?\u1089?\u1072?\u1082?\u1094?\u1080?\u1080?"/>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149"/>
    <w:docVar w:name="LW_REF.INTERNE" w:val="&lt;UNUSED&gt;"/>
    <w:docVar w:name="LW_SOUS.TITRE.OBJ.CP"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_x000b_\u1056?\u1045?\u1043?\u1051?\u1040?\u1052?\u1045?\u1053?\u1058?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64"/>
      </w:numPr>
      <w:spacing w:before="240"/>
      <w:outlineLvl w:val="0"/>
    </w:pPr>
    <w:rPr>
      <w:b/>
      <w:smallCaps/>
    </w:rPr>
  </w:style>
  <w:style w:type="paragraph" w:styleId="Heading2">
    <w:name w:val="heading 2"/>
    <w:basedOn w:val="Normal"/>
    <w:next w:val="Text2"/>
    <w:link w:val="Heading2Char"/>
    <w:qFormat/>
    <w:pPr>
      <w:keepNext/>
      <w:numPr>
        <w:ilvl w:val="1"/>
        <w:numId w:val="64"/>
      </w:numPr>
      <w:spacing w:line="276" w:lineRule="auto"/>
      <w:outlineLvl w:val="1"/>
    </w:pPr>
    <w:rPr>
      <w:b/>
      <w:bCs/>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rPr>
      <w:sz w:val="24"/>
      <w:lang w:eastAsia="bg-BG"/>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rPr>
  </w:style>
  <w:style w:type="paragraph" w:customStyle="1" w:styleId="Rfrenceinstitutionelle">
    <w:name w:val="Référence institutionelle"/>
    <w:basedOn w:val="Normal"/>
    <w:next w:val="Normal"/>
    <w:pPr>
      <w:ind w:left="5103"/>
      <w:jc w:val="left"/>
    </w:pPr>
    <w:rPr>
      <w:szCs w:val="24"/>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bg-BG"/>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bg-BG"/>
    </w:rPr>
  </w:style>
  <w:style w:type="character" w:customStyle="1" w:styleId="CommentSubjectChar">
    <w:name w:val="Comment Subject Char"/>
    <w:link w:val="CommentSubject"/>
    <w:uiPriority w:val="99"/>
    <w:semiHidden/>
    <w:rPr>
      <w:b/>
      <w:bCs/>
      <w:lang w:eastAsia="bg-BG"/>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character" w:customStyle="1" w:styleId="Heading1Char">
    <w:name w:val="Heading 1 Char"/>
    <w:link w:val="Heading1"/>
    <w:rPr>
      <w:b/>
      <w:smallCaps/>
      <w:sz w:val="24"/>
      <w:lang w:val="bg-BG"/>
    </w:rPr>
  </w:style>
  <w:style w:type="paragraph" w:customStyle="1" w:styleId="ColorfulList-Accent11">
    <w:name w:val="Colorful List - Accent 11"/>
    <w:basedOn w:val="CommentText"/>
    <w:qFormat/>
    <w:pPr>
      <w:spacing w:before="120" w:after="120"/>
    </w:pPr>
    <w:rPr>
      <w:sz w:val="24"/>
      <w:szCs w:val="24"/>
    </w:rPr>
  </w:style>
  <w:style w:type="character" w:customStyle="1" w:styleId="Heading2Char">
    <w:name w:val="Heading 2 Char"/>
    <w:link w:val="Heading2"/>
    <w:rPr>
      <w:b/>
      <w:bCs/>
      <w:sz w:val="24"/>
      <w:lang w:val="bg-BG" w:eastAsia="bg-BG"/>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style>
  <w:style w:type="paragraph" w:styleId="Revision">
    <w:name w:val="Revision"/>
    <w:hidden/>
    <w:uiPriority w:val="99"/>
    <w:semiHidden/>
    <w:rPr>
      <w:sz w:val="24"/>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64"/>
      </w:numPr>
      <w:spacing w:before="240"/>
      <w:outlineLvl w:val="0"/>
    </w:pPr>
    <w:rPr>
      <w:b/>
      <w:smallCaps/>
    </w:rPr>
  </w:style>
  <w:style w:type="paragraph" w:styleId="Heading2">
    <w:name w:val="heading 2"/>
    <w:basedOn w:val="Normal"/>
    <w:next w:val="Text2"/>
    <w:link w:val="Heading2Char"/>
    <w:qFormat/>
    <w:pPr>
      <w:keepNext/>
      <w:numPr>
        <w:ilvl w:val="1"/>
        <w:numId w:val="64"/>
      </w:numPr>
      <w:spacing w:line="276" w:lineRule="auto"/>
      <w:outlineLvl w:val="1"/>
    </w:pPr>
    <w:rPr>
      <w:b/>
      <w:bCs/>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rPr>
      <w:sz w:val="24"/>
      <w:lang w:eastAsia="bg-BG"/>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rPr>
  </w:style>
  <w:style w:type="paragraph" w:customStyle="1" w:styleId="Rfrenceinstitutionelle">
    <w:name w:val="Référence institutionelle"/>
    <w:basedOn w:val="Normal"/>
    <w:next w:val="Normal"/>
    <w:pPr>
      <w:ind w:left="5103"/>
      <w:jc w:val="left"/>
    </w:pPr>
    <w:rPr>
      <w:szCs w:val="24"/>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bg-BG"/>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bg-BG"/>
    </w:rPr>
  </w:style>
  <w:style w:type="character" w:customStyle="1" w:styleId="CommentSubjectChar">
    <w:name w:val="Comment Subject Char"/>
    <w:link w:val="CommentSubject"/>
    <w:uiPriority w:val="99"/>
    <w:semiHidden/>
    <w:rPr>
      <w:b/>
      <w:bCs/>
      <w:lang w:eastAsia="bg-BG"/>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character" w:customStyle="1" w:styleId="Heading1Char">
    <w:name w:val="Heading 1 Char"/>
    <w:link w:val="Heading1"/>
    <w:rPr>
      <w:b/>
      <w:smallCaps/>
      <w:sz w:val="24"/>
      <w:lang w:val="bg-BG"/>
    </w:rPr>
  </w:style>
  <w:style w:type="paragraph" w:customStyle="1" w:styleId="ColorfulList-Accent11">
    <w:name w:val="Colorful List - Accent 11"/>
    <w:basedOn w:val="CommentText"/>
    <w:qFormat/>
    <w:pPr>
      <w:spacing w:before="120" w:after="120"/>
    </w:pPr>
    <w:rPr>
      <w:sz w:val="24"/>
      <w:szCs w:val="24"/>
    </w:rPr>
  </w:style>
  <w:style w:type="character" w:customStyle="1" w:styleId="Heading2Char">
    <w:name w:val="Heading 2 Char"/>
    <w:link w:val="Heading2"/>
    <w:rPr>
      <w:b/>
      <w:bCs/>
      <w:sz w:val="24"/>
      <w:lang w:val="bg-BG" w:eastAsia="bg-BG"/>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style>
  <w:style w:type="paragraph" w:styleId="Revision">
    <w:name w:val="Revision"/>
    <w:hidden/>
    <w:uiPriority w:val="99"/>
    <w:semiHidden/>
    <w:rPr>
      <w:sz w:val="24"/>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210">
      <w:bodyDiv w:val="1"/>
      <w:marLeft w:val="0"/>
      <w:marRight w:val="0"/>
      <w:marTop w:val="0"/>
      <w:marBottom w:val="0"/>
      <w:divBdr>
        <w:top w:val="none" w:sz="0" w:space="0" w:color="auto"/>
        <w:left w:val="none" w:sz="0" w:space="0" w:color="auto"/>
        <w:bottom w:val="none" w:sz="0" w:space="0" w:color="auto"/>
        <w:right w:val="none" w:sz="0" w:space="0" w:color="auto"/>
      </w:divBdr>
    </w:div>
    <w:div w:id="92017296">
      <w:bodyDiv w:val="1"/>
      <w:marLeft w:val="0"/>
      <w:marRight w:val="0"/>
      <w:marTop w:val="0"/>
      <w:marBottom w:val="0"/>
      <w:divBdr>
        <w:top w:val="none" w:sz="0" w:space="0" w:color="auto"/>
        <w:left w:val="none" w:sz="0" w:space="0" w:color="auto"/>
        <w:bottom w:val="none" w:sz="0" w:space="0" w:color="auto"/>
        <w:right w:val="none" w:sz="0" w:space="0" w:color="auto"/>
      </w:divBdr>
    </w:div>
    <w:div w:id="443888823">
      <w:bodyDiv w:val="1"/>
      <w:marLeft w:val="0"/>
      <w:marRight w:val="0"/>
      <w:marTop w:val="0"/>
      <w:marBottom w:val="0"/>
      <w:divBdr>
        <w:top w:val="none" w:sz="0" w:space="0" w:color="auto"/>
        <w:left w:val="none" w:sz="0" w:space="0" w:color="auto"/>
        <w:bottom w:val="none" w:sz="0" w:space="0" w:color="auto"/>
        <w:right w:val="none" w:sz="0" w:space="0" w:color="auto"/>
      </w:divBdr>
    </w:div>
    <w:div w:id="637304363">
      <w:bodyDiv w:val="1"/>
      <w:marLeft w:val="0"/>
      <w:marRight w:val="0"/>
      <w:marTop w:val="0"/>
      <w:marBottom w:val="0"/>
      <w:divBdr>
        <w:top w:val="none" w:sz="0" w:space="0" w:color="auto"/>
        <w:left w:val="none" w:sz="0" w:space="0" w:color="auto"/>
        <w:bottom w:val="none" w:sz="0" w:space="0" w:color="auto"/>
        <w:right w:val="none" w:sz="0" w:space="0" w:color="auto"/>
      </w:divBdr>
    </w:div>
    <w:div w:id="654577874">
      <w:bodyDiv w:val="1"/>
      <w:marLeft w:val="0"/>
      <w:marRight w:val="0"/>
      <w:marTop w:val="0"/>
      <w:marBottom w:val="0"/>
      <w:divBdr>
        <w:top w:val="none" w:sz="0" w:space="0" w:color="auto"/>
        <w:left w:val="none" w:sz="0" w:space="0" w:color="auto"/>
        <w:bottom w:val="none" w:sz="0" w:space="0" w:color="auto"/>
        <w:right w:val="none" w:sz="0" w:space="0" w:color="auto"/>
      </w:divBdr>
    </w:div>
    <w:div w:id="655300944">
      <w:bodyDiv w:val="1"/>
      <w:marLeft w:val="0"/>
      <w:marRight w:val="0"/>
      <w:marTop w:val="0"/>
      <w:marBottom w:val="0"/>
      <w:divBdr>
        <w:top w:val="none" w:sz="0" w:space="0" w:color="auto"/>
        <w:left w:val="none" w:sz="0" w:space="0" w:color="auto"/>
        <w:bottom w:val="none" w:sz="0" w:space="0" w:color="auto"/>
        <w:right w:val="none" w:sz="0" w:space="0" w:color="auto"/>
      </w:divBdr>
    </w:div>
    <w:div w:id="677191716">
      <w:bodyDiv w:val="1"/>
      <w:marLeft w:val="1134"/>
      <w:marRight w:val="1134"/>
      <w:marTop w:val="0"/>
      <w:marBottom w:val="0"/>
      <w:divBdr>
        <w:top w:val="none" w:sz="0" w:space="0" w:color="auto"/>
        <w:left w:val="none" w:sz="0" w:space="0" w:color="auto"/>
        <w:bottom w:val="none" w:sz="0" w:space="0" w:color="auto"/>
        <w:right w:val="none" w:sz="0" w:space="0" w:color="auto"/>
      </w:divBdr>
      <w:divsChild>
        <w:div w:id="1068573432">
          <w:marLeft w:val="0"/>
          <w:marRight w:val="0"/>
          <w:marTop w:val="0"/>
          <w:marBottom w:val="0"/>
          <w:divBdr>
            <w:top w:val="none" w:sz="0" w:space="0" w:color="auto"/>
            <w:left w:val="none" w:sz="0" w:space="0" w:color="auto"/>
            <w:bottom w:val="none" w:sz="0" w:space="0" w:color="auto"/>
            <w:right w:val="none" w:sz="0" w:space="0" w:color="auto"/>
          </w:divBdr>
          <w:divsChild>
            <w:div w:id="1836610406">
              <w:marLeft w:val="2700"/>
              <w:marRight w:val="2250"/>
              <w:marTop w:val="600"/>
              <w:marBottom w:val="0"/>
              <w:divBdr>
                <w:top w:val="none" w:sz="0" w:space="0" w:color="auto"/>
                <w:left w:val="none" w:sz="0" w:space="0" w:color="auto"/>
                <w:bottom w:val="none" w:sz="0" w:space="0" w:color="auto"/>
                <w:right w:val="none" w:sz="0" w:space="0" w:color="auto"/>
              </w:divBdr>
              <w:divsChild>
                <w:div w:id="1306622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18041160">
      <w:bodyDiv w:val="1"/>
      <w:marLeft w:val="0"/>
      <w:marRight w:val="0"/>
      <w:marTop w:val="0"/>
      <w:marBottom w:val="0"/>
      <w:divBdr>
        <w:top w:val="none" w:sz="0" w:space="0" w:color="auto"/>
        <w:left w:val="none" w:sz="0" w:space="0" w:color="auto"/>
        <w:bottom w:val="none" w:sz="0" w:space="0" w:color="auto"/>
        <w:right w:val="none" w:sz="0" w:space="0" w:color="auto"/>
      </w:divBdr>
      <w:divsChild>
        <w:div w:id="1256597685">
          <w:marLeft w:val="547"/>
          <w:marRight w:val="0"/>
          <w:marTop w:val="86"/>
          <w:marBottom w:val="0"/>
          <w:divBdr>
            <w:top w:val="none" w:sz="0" w:space="0" w:color="auto"/>
            <w:left w:val="none" w:sz="0" w:space="0" w:color="auto"/>
            <w:bottom w:val="none" w:sz="0" w:space="0" w:color="auto"/>
            <w:right w:val="none" w:sz="0" w:space="0" w:color="auto"/>
          </w:divBdr>
        </w:div>
        <w:div w:id="2089227261">
          <w:marLeft w:val="547"/>
          <w:marRight w:val="0"/>
          <w:marTop w:val="86"/>
          <w:marBottom w:val="0"/>
          <w:divBdr>
            <w:top w:val="none" w:sz="0" w:space="0" w:color="auto"/>
            <w:left w:val="none" w:sz="0" w:space="0" w:color="auto"/>
            <w:bottom w:val="none" w:sz="0" w:space="0" w:color="auto"/>
            <w:right w:val="none" w:sz="0" w:space="0" w:color="auto"/>
          </w:divBdr>
        </w:div>
      </w:divsChild>
    </w:div>
    <w:div w:id="1018773427">
      <w:bodyDiv w:val="1"/>
      <w:marLeft w:val="0"/>
      <w:marRight w:val="0"/>
      <w:marTop w:val="0"/>
      <w:marBottom w:val="0"/>
      <w:divBdr>
        <w:top w:val="none" w:sz="0" w:space="0" w:color="auto"/>
        <w:left w:val="none" w:sz="0" w:space="0" w:color="auto"/>
        <w:bottom w:val="none" w:sz="0" w:space="0" w:color="auto"/>
        <w:right w:val="none" w:sz="0" w:space="0" w:color="auto"/>
      </w:divBdr>
    </w:div>
    <w:div w:id="1031877622">
      <w:bodyDiv w:val="1"/>
      <w:marLeft w:val="0"/>
      <w:marRight w:val="0"/>
      <w:marTop w:val="0"/>
      <w:marBottom w:val="0"/>
      <w:divBdr>
        <w:top w:val="none" w:sz="0" w:space="0" w:color="auto"/>
        <w:left w:val="none" w:sz="0" w:space="0" w:color="auto"/>
        <w:bottom w:val="none" w:sz="0" w:space="0" w:color="auto"/>
        <w:right w:val="none" w:sz="0" w:space="0" w:color="auto"/>
      </w:divBdr>
    </w:div>
    <w:div w:id="1033119742">
      <w:bodyDiv w:val="1"/>
      <w:marLeft w:val="0"/>
      <w:marRight w:val="0"/>
      <w:marTop w:val="0"/>
      <w:marBottom w:val="0"/>
      <w:divBdr>
        <w:top w:val="none" w:sz="0" w:space="0" w:color="auto"/>
        <w:left w:val="none" w:sz="0" w:space="0" w:color="auto"/>
        <w:bottom w:val="none" w:sz="0" w:space="0" w:color="auto"/>
        <w:right w:val="none" w:sz="0" w:space="0" w:color="auto"/>
      </w:divBdr>
    </w:div>
    <w:div w:id="1064329025">
      <w:bodyDiv w:val="1"/>
      <w:marLeft w:val="0"/>
      <w:marRight w:val="0"/>
      <w:marTop w:val="0"/>
      <w:marBottom w:val="0"/>
      <w:divBdr>
        <w:top w:val="none" w:sz="0" w:space="0" w:color="auto"/>
        <w:left w:val="none" w:sz="0" w:space="0" w:color="auto"/>
        <w:bottom w:val="none" w:sz="0" w:space="0" w:color="auto"/>
        <w:right w:val="none" w:sz="0" w:space="0" w:color="auto"/>
      </w:divBdr>
    </w:div>
    <w:div w:id="1076123918">
      <w:bodyDiv w:val="1"/>
      <w:marLeft w:val="0"/>
      <w:marRight w:val="0"/>
      <w:marTop w:val="0"/>
      <w:marBottom w:val="0"/>
      <w:divBdr>
        <w:top w:val="none" w:sz="0" w:space="0" w:color="auto"/>
        <w:left w:val="none" w:sz="0" w:space="0" w:color="auto"/>
        <w:bottom w:val="none" w:sz="0" w:space="0" w:color="auto"/>
        <w:right w:val="none" w:sz="0" w:space="0" w:color="auto"/>
      </w:divBdr>
    </w:div>
    <w:div w:id="1113131218">
      <w:bodyDiv w:val="1"/>
      <w:marLeft w:val="1134"/>
      <w:marRight w:val="1134"/>
      <w:marTop w:val="0"/>
      <w:marBottom w:val="0"/>
      <w:divBdr>
        <w:top w:val="none" w:sz="0" w:space="0" w:color="auto"/>
        <w:left w:val="none" w:sz="0" w:space="0" w:color="auto"/>
        <w:bottom w:val="none" w:sz="0" w:space="0" w:color="auto"/>
        <w:right w:val="none" w:sz="0" w:space="0" w:color="auto"/>
      </w:divBdr>
      <w:divsChild>
        <w:div w:id="1920677383">
          <w:marLeft w:val="0"/>
          <w:marRight w:val="0"/>
          <w:marTop w:val="0"/>
          <w:marBottom w:val="0"/>
          <w:divBdr>
            <w:top w:val="none" w:sz="0" w:space="0" w:color="auto"/>
            <w:left w:val="none" w:sz="0" w:space="0" w:color="auto"/>
            <w:bottom w:val="none" w:sz="0" w:space="0" w:color="auto"/>
            <w:right w:val="none" w:sz="0" w:space="0" w:color="auto"/>
          </w:divBdr>
          <w:divsChild>
            <w:div w:id="540290721">
              <w:marLeft w:val="2700"/>
              <w:marRight w:val="2250"/>
              <w:marTop w:val="600"/>
              <w:marBottom w:val="0"/>
              <w:divBdr>
                <w:top w:val="none" w:sz="0" w:space="0" w:color="auto"/>
                <w:left w:val="none" w:sz="0" w:space="0" w:color="auto"/>
                <w:bottom w:val="none" w:sz="0" w:space="0" w:color="auto"/>
                <w:right w:val="none" w:sz="0" w:space="0" w:color="auto"/>
              </w:divBdr>
              <w:divsChild>
                <w:div w:id="42677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9616526">
      <w:bodyDiv w:val="1"/>
      <w:marLeft w:val="0"/>
      <w:marRight w:val="0"/>
      <w:marTop w:val="0"/>
      <w:marBottom w:val="0"/>
      <w:divBdr>
        <w:top w:val="none" w:sz="0" w:space="0" w:color="auto"/>
        <w:left w:val="none" w:sz="0" w:space="0" w:color="auto"/>
        <w:bottom w:val="none" w:sz="0" w:space="0" w:color="auto"/>
        <w:right w:val="none" w:sz="0" w:space="0" w:color="auto"/>
      </w:divBdr>
    </w:div>
    <w:div w:id="1164583892">
      <w:bodyDiv w:val="1"/>
      <w:marLeft w:val="0"/>
      <w:marRight w:val="0"/>
      <w:marTop w:val="0"/>
      <w:marBottom w:val="0"/>
      <w:divBdr>
        <w:top w:val="none" w:sz="0" w:space="0" w:color="auto"/>
        <w:left w:val="none" w:sz="0" w:space="0" w:color="auto"/>
        <w:bottom w:val="none" w:sz="0" w:space="0" w:color="auto"/>
        <w:right w:val="none" w:sz="0" w:space="0" w:color="auto"/>
      </w:divBdr>
    </w:div>
    <w:div w:id="1211460841">
      <w:bodyDiv w:val="1"/>
      <w:marLeft w:val="0"/>
      <w:marRight w:val="0"/>
      <w:marTop w:val="0"/>
      <w:marBottom w:val="0"/>
      <w:divBdr>
        <w:top w:val="none" w:sz="0" w:space="0" w:color="auto"/>
        <w:left w:val="none" w:sz="0" w:space="0" w:color="auto"/>
        <w:bottom w:val="none" w:sz="0" w:space="0" w:color="auto"/>
        <w:right w:val="none" w:sz="0" w:space="0" w:color="auto"/>
      </w:divBdr>
    </w:div>
    <w:div w:id="1246572626">
      <w:bodyDiv w:val="1"/>
      <w:marLeft w:val="0"/>
      <w:marRight w:val="0"/>
      <w:marTop w:val="0"/>
      <w:marBottom w:val="0"/>
      <w:divBdr>
        <w:top w:val="none" w:sz="0" w:space="0" w:color="auto"/>
        <w:left w:val="none" w:sz="0" w:space="0" w:color="auto"/>
        <w:bottom w:val="none" w:sz="0" w:space="0" w:color="auto"/>
        <w:right w:val="none" w:sz="0" w:space="0" w:color="auto"/>
      </w:divBdr>
    </w:div>
    <w:div w:id="1267814202">
      <w:bodyDiv w:val="1"/>
      <w:marLeft w:val="1134"/>
      <w:marRight w:val="1134"/>
      <w:marTop w:val="0"/>
      <w:marBottom w:val="0"/>
      <w:divBdr>
        <w:top w:val="none" w:sz="0" w:space="0" w:color="auto"/>
        <w:left w:val="none" w:sz="0" w:space="0" w:color="auto"/>
        <w:bottom w:val="none" w:sz="0" w:space="0" w:color="auto"/>
        <w:right w:val="none" w:sz="0" w:space="0" w:color="auto"/>
      </w:divBdr>
      <w:divsChild>
        <w:div w:id="1020820287">
          <w:marLeft w:val="0"/>
          <w:marRight w:val="0"/>
          <w:marTop w:val="0"/>
          <w:marBottom w:val="0"/>
          <w:divBdr>
            <w:top w:val="none" w:sz="0" w:space="0" w:color="auto"/>
            <w:left w:val="none" w:sz="0" w:space="0" w:color="auto"/>
            <w:bottom w:val="none" w:sz="0" w:space="0" w:color="auto"/>
            <w:right w:val="none" w:sz="0" w:space="0" w:color="auto"/>
          </w:divBdr>
          <w:divsChild>
            <w:div w:id="625355831">
              <w:marLeft w:val="2700"/>
              <w:marRight w:val="2250"/>
              <w:marTop w:val="600"/>
              <w:marBottom w:val="0"/>
              <w:divBdr>
                <w:top w:val="none" w:sz="0" w:space="0" w:color="auto"/>
                <w:left w:val="none" w:sz="0" w:space="0" w:color="auto"/>
                <w:bottom w:val="none" w:sz="0" w:space="0" w:color="auto"/>
                <w:right w:val="none" w:sz="0" w:space="0" w:color="auto"/>
              </w:divBdr>
              <w:divsChild>
                <w:div w:id="878665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1282363">
      <w:bodyDiv w:val="1"/>
      <w:marLeft w:val="0"/>
      <w:marRight w:val="0"/>
      <w:marTop w:val="0"/>
      <w:marBottom w:val="0"/>
      <w:divBdr>
        <w:top w:val="none" w:sz="0" w:space="0" w:color="auto"/>
        <w:left w:val="none" w:sz="0" w:space="0" w:color="auto"/>
        <w:bottom w:val="none" w:sz="0" w:space="0" w:color="auto"/>
        <w:right w:val="none" w:sz="0" w:space="0" w:color="auto"/>
      </w:divBdr>
    </w:div>
    <w:div w:id="1296989924">
      <w:bodyDiv w:val="1"/>
      <w:marLeft w:val="0"/>
      <w:marRight w:val="0"/>
      <w:marTop w:val="0"/>
      <w:marBottom w:val="0"/>
      <w:divBdr>
        <w:top w:val="none" w:sz="0" w:space="0" w:color="auto"/>
        <w:left w:val="none" w:sz="0" w:space="0" w:color="auto"/>
        <w:bottom w:val="none" w:sz="0" w:space="0" w:color="auto"/>
        <w:right w:val="none" w:sz="0" w:space="0" w:color="auto"/>
      </w:divBdr>
    </w:div>
    <w:div w:id="1537155038">
      <w:bodyDiv w:val="1"/>
      <w:marLeft w:val="0"/>
      <w:marRight w:val="0"/>
      <w:marTop w:val="0"/>
      <w:marBottom w:val="0"/>
      <w:divBdr>
        <w:top w:val="none" w:sz="0" w:space="0" w:color="auto"/>
        <w:left w:val="none" w:sz="0" w:space="0" w:color="auto"/>
        <w:bottom w:val="none" w:sz="0" w:space="0" w:color="auto"/>
        <w:right w:val="none" w:sz="0" w:space="0" w:color="auto"/>
      </w:divBdr>
    </w:div>
    <w:div w:id="1686244330">
      <w:bodyDiv w:val="1"/>
      <w:marLeft w:val="0"/>
      <w:marRight w:val="0"/>
      <w:marTop w:val="0"/>
      <w:marBottom w:val="0"/>
      <w:divBdr>
        <w:top w:val="none" w:sz="0" w:space="0" w:color="auto"/>
        <w:left w:val="none" w:sz="0" w:space="0" w:color="auto"/>
        <w:bottom w:val="none" w:sz="0" w:space="0" w:color="auto"/>
        <w:right w:val="none" w:sz="0" w:space="0" w:color="auto"/>
      </w:divBdr>
    </w:div>
    <w:div w:id="1709528369">
      <w:bodyDiv w:val="1"/>
      <w:marLeft w:val="0"/>
      <w:marRight w:val="0"/>
      <w:marTop w:val="0"/>
      <w:marBottom w:val="0"/>
      <w:divBdr>
        <w:top w:val="none" w:sz="0" w:space="0" w:color="auto"/>
        <w:left w:val="none" w:sz="0" w:space="0" w:color="auto"/>
        <w:bottom w:val="none" w:sz="0" w:space="0" w:color="auto"/>
        <w:right w:val="none" w:sz="0" w:space="0" w:color="auto"/>
      </w:divBdr>
    </w:div>
    <w:div w:id="1767261610">
      <w:bodyDiv w:val="1"/>
      <w:marLeft w:val="0"/>
      <w:marRight w:val="0"/>
      <w:marTop w:val="0"/>
      <w:marBottom w:val="0"/>
      <w:divBdr>
        <w:top w:val="none" w:sz="0" w:space="0" w:color="auto"/>
        <w:left w:val="none" w:sz="0" w:space="0" w:color="auto"/>
        <w:bottom w:val="none" w:sz="0" w:space="0" w:color="auto"/>
        <w:right w:val="none" w:sz="0" w:space="0" w:color="auto"/>
      </w:divBdr>
    </w:div>
    <w:div w:id="1801410804">
      <w:bodyDiv w:val="1"/>
      <w:marLeft w:val="0"/>
      <w:marRight w:val="0"/>
      <w:marTop w:val="0"/>
      <w:marBottom w:val="0"/>
      <w:divBdr>
        <w:top w:val="none" w:sz="0" w:space="0" w:color="auto"/>
        <w:left w:val="none" w:sz="0" w:space="0" w:color="auto"/>
        <w:bottom w:val="none" w:sz="0" w:space="0" w:color="auto"/>
        <w:right w:val="none" w:sz="0" w:space="0" w:color="auto"/>
      </w:divBdr>
    </w:div>
    <w:div w:id="1856915198">
      <w:bodyDiv w:val="1"/>
      <w:marLeft w:val="0"/>
      <w:marRight w:val="0"/>
      <w:marTop w:val="0"/>
      <w:marBottom w:val="0"/>
      <w:divBdr>
        <w:top w:val="none" w:sz="0" w:space="0" w:color="auto"/>
        <w:left w:val="none" w:sz="0" w:space="0" w:color="auto"/>
        <w:bottom w:val="none" w:sz="0" w:space="0" w:color="auto"/>
        <w:right w:val="none" w:sz="0" w:space="0" w:color="auto"/>
      </w:divBdr>
    </w:div>
    <w:div w:id="1923754512">
      <w:bodyDiv w:val="1"/>
      <w:marLeft w:val="0"/>
      <w:marRight w:val="0"/>
      <w:marTop w:val="0"/>
      <w:marBottom w:val="0"/>
      <w:divBdr>
        <w:top w:val="none" w:sz="0" w:space="0" w:color="auto"/>
        <w:left w:val="none" w:sz="0" w:space="0" w:color="auto"/>
        <w:bottom w:val="none" w:sz="0" w:space="0" w:color="auto"/>
        <w:right w:val="none" w:sz="0" w:space="0" w:color="auto"/>
      </w:divBdr>
    </w:div>
    <w:div w:id="1971323417">
      <w:bodyDiv w:val="1"/>
      <w:marLeft w:val="0"/>
      <w:marRight w:val="0"/>
      <w:marTop w:val="0"/>
      <w:marBottom w:val="0"/>
      <w:divBdr>
        <w:top w:val="none" w:sz="0" w:space="0" w:color="auto"/>
        <w:left w:val="none" w:sz="0" w:space="0" w:color="auto"/>
        <w:bottom w:val="none" w:sz="0" w:space="0" w:color="auto"/>
        <w:right w:val="none" w:sz="0" w:space="0" w:color="auto"/>
      </w:divBdr>
    </w:div>
    <w:div w:id="1979067369">
      <w:bodyDiv w:val="1"/>
      <w:marLeft w:val="0"/>
      <w:marRight w:val="0"/>
      <w:marTop w:val="0"/>
      <w:marBottom w:val="0"/>
      <w:divBdr>
        <w:top w:val="none" w:sz="0" w:space="0" w:color="auto"/>
        <w:left w:val="none" w:sz="0" w:space="0" w:color="auto"/>
        <w:bottom w:val="none" w:sz="0" w:space="0" w:color="auto"/>
        <w:right w:val="none" w:sz="0" w:space="0" w:color="auto"/>
      </w:divBdr>
    </w:div>
    <w:div w:id="2087993385">
      <w:bodyDiv w:val="1"/>
      <w:marLeft w:val="0"/>
      <w:marRight w:val="0"/>
      <w:marTop w:val="0"/>
      <w:marBottom w:val="0"/>
      <w:divBdr>
        <w:top w:val="none" w:sz="0" w:space="0" w:color="auto"/>
        <w:left w:val="none" w:sz="0" w:space="0" w:color="auto"/>
        <w:bottom w:val="none" w:sz="0" w:space="0" w:color="auto"/>
        <w:right w:val="none" w:sz="0" w:space="0" w:color="auto"/>
      </w:divBdr>
      <w:divsChild>
        <w:div w:id="163131326">
          <w:marLeft w:val="547"/>
          <w:marRight w:val="0"/>
          <w:marTop w:val="86"/>
          <w:marBottom w:val="0"/>
          <w:divBdr>
            <w:top w:val="none" w:sz="0" w:space="0" w:color="auto"/>
            <w:left w:val="none" w:sz="0" w:space="0" w:color="auto"/>
            <w:bottom w:val="none" w:sz="0" w:space="0" w:color="auto"/>
            <w:right w:val="none" w:sz="0" w:space="0" w:color="auto"/>
          </w:divBdr>
        </w:div>
        <w:div w:id="2002855411">
          <w:marLeft w:val="547"/>
          <w:marRight w:val="0"/>
          <w:marTop w:val="86"/>
          <w:marBottom w:val="0"/>
          <w:divBdr>
            <w:top w:val="none" w:sz="0" w:space="0" w:color="auto"/>
            <w:left w:val="none" w:sz="0" w:space="0" w:color="auto"/>
            <w:bottom w:val="none" w:sz="0" w:space="0" w:color="auto"/>
            <w:right w:val="none" w:sz="0" w:space="0" w:color="auto"/>
          </w:divBdr>
        </w:div>
      </w:divsChild>
    </w:div>
    <w:div w:id="210456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73F1-CBC2-4AD2-B5B5-12180C99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4</Pages>
  <Words>1662</Words>
  <Characters>10506</Characters>
  <Application>Microsoft Office Word</Application>
  <DocSecurity>0</DocSecurity>
  <PresentationFormat>Microsoft Word 14.0</PresentationFormat>
  <Lines>154</Lines>
  <Paragraphs>46</Paragraphs>
  <ScaleCrop>false</ScaleCrop>
  <HeadingPairs>
    <vt:vector size="2" baseType="variant">
      <vt:variant>
        <vt:lpstr>Title</vt:lpstr>
      </vt:variant>
      <vt:variant>
        <vt:i4>1</vt:i4>
      </vt:variant>
    </vt:vector>
  </HeadingPairs>
  <TitlesOfParts>
    <vt:vector size="1" baseType="lpstr">
      <vt:lpstr>28082015 Impact Assessment for CCP recovery and resolution proposal</vt:lpstr>
    </vt:vector>
  </TitlesOfParts>
  <Manager/>
  <Company/>
  <LinksUpToDate>false</LinksUpToDate>
  <CharactersWithSpaces>12122</CharactersWithSpaces>
  <SharedDoc>false</SharedDoc>
  <HLinks>
    <vt:vector size="606" baseType="variant">
      <vt:variant>
        <vt:i4>1900559</vt:i4>
      </vt:variant>
      <vt:variant>
        <vt:i4>264</vt:i4>
      </vt:variant>
      <vt:variant>
        <vt:i4>0</vt:i4>
      </vt:variant>
      <vt:variant>
        <vt:i4>5</vt:i4>
      </vt:variant>
      <vt:variant>
        <vt:lpwstr>http://www.bis.org/press/p140901.htm</vt:lpwstr>
      </vt:variant>
      <vt:variant>
        <vt:lpwstr/>
      </vt:variant>
      <vt:variant>
        <vt:i4>1179697</vt:i4>
      </vt:variant>
      <vt:variant>
        <vt:i4>248</vt:i4>
      </vt:variant>
      <vt:variant>
        <vt:i4>0</vt:i4>
      </vt:variant>
      <vt:variant>
        <vt:i4>5</vt:i4>
      </vt:variant>
      <vt:variant>
        <vt:lpwstr/>
      </vt:variant>
      <vt:variant>
        <vt:lpwstr>_Toc412736457</vt:lpwstr>
      </vt:variant>
      <vt:variant>
        <vt:i4>1179697</vt:i4>
      </vt:variant>
      <vt:variant>
        <vt:i4>242</vt:i4>
      </vt:variant>
      <vt:variant>
        <vt:i4>0</vt:i4>
      </vt:variant>
      <vt:variant>
        <vt:i4>5</vt:i4>
      </vt:variant>
      <vt:variant>
        <vt:lpwstr/>
      </vt:variant>
      <vt:variant>
        <vt:lpwstr>_Toc412736456</vt:lpwstr>
      </vt:variant>
      <vt:variant>
        <vt:i4>1179697</vt:i4>
      </vt:variant>
      <vt:variant>
        <vt:i4>236</vt:i4>
      </vt:variant>
      <vt:variant>
        <vt:i4>0</vt:i4>
      </vt:variant>
      <vt:variant>
        <vt:i4>5</vt:i4>
      </vt:variant>
      <vt:variant>
        <vt:lpwstr/>
      </vt:variant>
      <vt:variant>
        <vt:lpwstr>_Toc412736455</vt:lpwstr>
      </vt:variant>
      <vt:variant>
        <vt:i4>1179697</vt:i4>
      </vt:variant>
      <vt:variant>
        <vt:i4>230</vt:i4>
      </vt:variant>
      <vt:variant>
        <vt:i4>0</vt:i4>
      </vt:variant>
      <vt:variant>
        <vt:i4>5</vt:i4>
      </vt:variant>
      <vt:variant>
        <vt:lpwstr/>
      </vt:variant>
      <vt:variant>
        <vt:lpwstr>_Toc412736454</vt:lpwstr>
      </vt:variant>
      <vt:variant>
        <vt:i4>1179697</vt:i4>
      </vt:variant>
      <vt:variant>
        <vt:i4>224</vt:i4>
      </vt:variant>
      <vt:variant>
        <vt:i4>0</vt:i4>
      </vt:variant>
      <vt:variant>
        <vt:i4>5</vt:i4>
      </vt:variant>
      <vt:variant>
        <vt:lpwstr/>
      </vt:variant>
      <vt:variant>
        <vt:lpwstr>_Toc412736453</vt:lpwstr>
      </vt:variant>
      <vt:variant>
        <vt:i4>1179697</vt:i4>
      </vt:variant>
      <vt:variant>
        <vt:i4>218</vt:i4>
      </vt:variant>
      <vt:variant>
        <vt:i4>0</vt:i4>
      </vt:variant>
      <vt:variant>
        <vt:i4>5</vt:i4>
      </vt:variant>
      <vt:variant>
        <vt:lpwstr/>
      </vt:variant>
      <vt:variant>
        <vt:lpwstr>_Toc412736452</vt:lpwstr>
      </vt:variant>
      <vt:variant>
        <vt:i4>1179697</vt:i4>
      </vt:variant>
      <vt:variant>
        <vt:i4>212</vt:i4>
      </vt:variant>
      <vt:variant>
        <vt:i4>0</vt:i4>
      </vt:variant>
      <vt:variant>
        <vt:i4>5</vt:i4>
      </vt:variant>
      <vt:variant>
        <vt:lpwstr/>
      </vt:variant>
      <vt:variant>
        <vt:lpwstr>_Toc412736451</vt:lpwstr>
      </vt:variant>
      <vt:variant>
        <vt:i4>1179697</vt:i4>
      </vt:variant>
      <vt:variant>
        <vt:i4>206</vt:i4>
      </vt:variant>
      <vt:variant>
        <vt:i4>0</vt:i4>
      </vt:variant>
      <vt:variant>
        <vt:i4>5</vt:i4>
      </vt:variant>
      <vt:variant>
        <vt:lpwstr/>
      </vt:variant>
      <vt:variant>
        <vt:lpwstr>_Toc412736450</vt:lpwstr>
      </vt:variant>
      <vt:variant>
        <vt:i4>1245233</vt:i4>
      </vt:variant>
      <vt:variant>
        <vt:i4>200</vt:i4>
      </vt:variant>
      <vt:variant>
        <vt:i4>0</vt:i4>
      </vt:variant>
      <vt:variant>
        <vt:i4>5</vt:i4>
      </vt:variant>
      <vt:variant>
        <vt:lpwstr/>
      </vt:variant>
      <vt:variant>
        <vt:lpwstr>_Toc412736449</vt:lpwstr>
      </vt:variant>
      <vt:variant>
        <vt:i4>1245233</vt:i4>
      </vt:variant>
      <vt:variant>
        <vt:i4>194</vt:i4>
      </vt:variant>
      <vt:variant>
        <vt:i4>0</vt:i4>
      </vt:variant>
      <vt:variant>
        <vt:i4>5</vt:i4>
      </vt:variant>
      <vt:variant>
        <vt:lpwstr/>
      </vt:variant>
      <vt:variant>
        <vt:lpwstr>_Toc412736448</vt:lpwstr>
      </vt:variant>
      <vt:variant>
        <vt:i4>1245233</vt:i4>
      </vt:variant>
      <vt:variant>
        <vt:i4>188</vt:i4>
      </vt:variant>
      <vt:variant>
        <vt:i4>0</vt:i4>
      </vt:variant>
      <vt:variant>
        <vt:i4>5</vt:i4>
      </vt:variant>
      <vt:variant>
        <vt:lpwstr/>
      </vt:variant>
      <vt:variant>
        <vt:lpwstr>_Toc412736447</vt:lpwstr>
      </vt:variant>
      <vt:variant>
        <vt:i4>1245233</vt:i4>
      </vt:variant>
      <vt:variant>
        <vt:i4>182</vt:i4>
      </vt:variant>
      <vt:variant>
        <vt:i4>0</vt:i4>
      </vt:variant>
      <vt:variant>
        <vt:i4>5</vt:i4>
      </vt:variant>
      <vt:variant>
        <vt:lpwstr/>
      </vt:variant>
      <vt:variant>
        <vt:lpwstr>_Toc412736446</vt:lpwstr>
      </vt:variant>
      <vt:variant>
        <vt:i4>1245233</vt:i4>
      </vt:variant>
      <vt:variant>
        <vt:i4>176</vt:i4>
      </vt:variant>
      <vt:variant>
        <vt:i4>0</vt:i4>
      </vt:variant>
      <vt:variant>
        <vt:i4>5</vt:i4>
      </vt:variant>
      <vt:variant>
        <vt:lpwstr/>
      </vt:variant>
      <vt:variant>
        <vt:lpwstr>_Toc412736445</vt:lpwstr>
      </vt:variant>
      <vt:variant>
        <vt:i4>1245233</vt:i4>
      </vt:variant>
      <vt:variant>
        <vt:i4>170</vt:i4>
      </vt:variant>
      <vt:variant>
        <vt:i4>0</vt:i4>
      </vt:variant>
      <vt:variant>
        <vt:i4>5</vt:i4>
      </vt:variant>
      <vt:variant>
        <vt:lpwstr/>
      </vt:variant>
      <vt:variant>
        <vt:lpwstr>_Toc412736444</vt:lpwstr>
      </vt:variant>
      <vt:variant>
        <vt:i4>1245233</vt:i4>
      </vt:variant>
      <vt:variant>
        <vt:i4>164</vt:i4>
      </vt:variant>
      <vt:variant>
        <vt:i4>0</vt:i4>
      </vt:variant>
      <vt:variant>
        <vt:i4>5</vt:i4>
      </vt:variant>
      <vt:variant>
        <vt:lpwstr/>
      </vt:variant>
      <vt:variant>
        <vt:lpwstr>_Toc412736443</vt:lpwstr>
      </vt:variant>
      <vt:variant>
        <vt:i4>1245233</vt:i4>
      </vt:variant>
      <vt:variant>
        <vt:i4>158</vt:i4>
      </vt:variant>
      <vt:variant>
        <vt:i4>0</vt:i4>
      </vt:variant>
      <vt:variant>
        <vt:i4>5</vt:i4>
      </vt:variant>
      <vt:variant>
        <vt:lpwstr/>
      </vt:variant>
      <vt:variant>
        <vt:lpwstr>_Toc412736442</vt:lpwstr>
      </vt:variant>
      <vt:variant>
        <vt:i4>1245233</vt:i4>
      </vt:variant>
      <vt:variant>
        <vt:i4>152</vt:i4>
      </vt:variant>
      <vt:variant>
        <vt:i4>0</vt:i4>
      </vt:variant>
      <vt:variant>
        <vt:i4>5</vt:i4>
      </vt:variant>
      <vt:variant>
        <vt:lpwstr/>
      </vt:variant>
      <vt:variant>
        <vt:lpwstr>_Toc412736441</vt:lpwstr>
      </vt:variant>
      <vt:variant>
        <vt:i4>1245233</vt:i4>
      </vt:variant>
      <vt:variant>
        <vt:i4>146</vt:i4>
      </vt:variant>
      <vt:variant>
        <vt:i4>0</vt:i4>
      </vt:variant>
      <vt:variant>
        <vt:i4>5</vt:i4>
      </vt:variant>
      <vt:variant>
        <vt:lpwstr/>
      </vt:variant>
      <vt:variant>
        <vt:lpwstr>_Toc412736440</vt:lpwstr>
      </vt:variant>
      <vt:variant>
        <vt:i4>1310769</vt:i4>
      </vt:variant>
      <vt:variant>
        <vt:i4>140</vt:i4>
      </vt:variant>
      <vt:variant>
        <vt:i4>0</vt:i4>
      </vt:variant>
      <vt:variant>
        <vt:i4>5</vt:i4>
      </vt:variant>
      <vt:variant>
        <vt:lpwstr/>
      </vt:variant>
      <vt:variant>
        <vt:lpwstr>_Toc412736439</vt:lpwstr>
      </vt:variant>
      <vt:variant>
        <vt:i4>1310769</vt:i4>
      </vt:variant>
      <vt:variant>
        <vt:i4>134</vt:i4>
      </vt:variant>
      <vt:variant>
        <vt:i4>0</vt:i4>
      </vt:variant>
      <vt:variant>
        <vt:i4>5</vt:i4>
      </vt:variant>
      <vt:variant>
        <vt:lpwstr/>
      </vt:variant>
      <vt:variant>
        <vt:lpwstr>_Toc412736438</vt:lpwstr>
      </vt:variant>
      <vt:variant>
        <vt:i4>1310769</vt:i4>
      </vt:variant>
      <vt:variant>
        <vt:i4>128</vt:i4>
      </vt:variant>
      <vt:variant>
        <vt:i4>0</vt:i4>
      </vt:variant>
      <vt:variant>
        <vt:i4>5</vt:i4>
      </vt:variant>
      <vt:variant>
        <vt:lpwstr/>
      </vt:variant>
      <vt:variant>
        <vt:lpwstr>_Toc412736437</vt:lpwstr>
      </vt:variant>
      <vt:variant>
        <vt:i4>1310769</vt:i4>
      </vt:variant>
      <vt:variant>
        <vt:i4>122</vt:i4>
      </vt:variant>
      <vt:variant>
        <vt:i4>0</vt:i4>
      </vt:variant>
      <vt:variant>
        <vt:i4>5</vt:i4>
      </vt:variant>
      <vt:variant>
        <vt:lpwstr/>
      </vt:variant>
      <vt:variant>
        <vt:lpwstr>_Toc412736435</vt:lpwstr>
      </vt:variant>
      <vt:variant>
        <vt:i4>1310769</vt:i4>
      </vt:variant>
      <vt:variant>
        <vt:i4>116</vt:i4>
      </vt:variant>
      <vt:variant>
        <vt:i4>0</vt:i4>
      </vt:variant>
      <vt:variant>
        <vt:i4>5</vt:i4>
      </vt:variant>
      <vt:variant>
        <vt:lpwstr/>
      </vt:variant>
      <vt:variant>
        <vt:lpwstr>_Toc412736434</vt:lpwstr>
      </vt:variant>
      <vt:variant>
        <vt:i4>1310769</vt:i4>
      </vt:variant>
      <vt:variant>
        <vt:i4>110</vt:i4>
      </vt:variant>
      <vt:variant>
        <vt:i4>0</vt:i4>
      </vt:variant>
      <vt:variant>
        <vt:i4>5</vt:i4>
      </vt:variant>
      <vt:variant>
        <vt:lpwstr/>
      </vt:variant>
      <vt:variant>
        <vt:lpwstr>_Toc412736433</vt:lpwstr>
      </vt:variant>
      <vt:variant>
        <vt:i4>1310769</vt:i4>
      </vt:variant>
      <vt:variant>
        <vt:i4>104</vt:i4>
      </vt:variant>
      <vt:variant>
        <vt:i4>0</vt:i4>
      </vt:variant>
      <vt:variant>
        <vt:i4>5</vt:i4>
      </vt:variant>
      <vt:variant>
        <vt:lpwstr/>
      </vt:variant>
      <vt:variant>
        <vt:lpwstr>_Toc412736432</vt:lpwstr>
      </vt:variant>
      <vt:variant>
        <vt:i4>1310769</vt:i4>
      </vt:variant>
      <vt:variant>
        <vt:i4>98</vt:i4>
      </vt:variant>
      <vt:variant>
        <vt:i4>0</vt:i4>
      </vt:variant>
      <vt:variant>
        <vt:i4>5</vt:i4>
      </vt:variant>
      <vt:variant>
        <vt:lpwstr/>
      </vt:variant>
      <vt:variant>
        <vt:lpwstr>_Toc412736431</vt:lpwstr>
      </vt:variant>
      <vt:variant>
        <vt:i4>1310769</vt:i4>
      </vt:variant>
      <vt:variant>
        <vt:i4>92</vt:i4>
      </vt:variant>
      <vt:variant>
        <vt:i4>0</vt:i4>
      </vt:variant>
      <vt:variant>
        <vt:i4>5</vt:i4>
      </vt:variant>
      <vt:variant>
        <vt:lpwstr/>
      </vt:variant>
      <vt:variant>
        <vt:lpwstr>_Toc412736430</vt:lpwstr>
      </vt:variant>
      <vt:variant>
        <vt:i4>1376305</vt:i4>
      </vt:variant>
      <vt:variant>
        <vt:i4>86</vt:i4>
      </vt:variant>
      <vt:variant>
        <vt:i4>0</vt:i4>
      </vt:variant>
      <vt:variant>
        <vt:i4>5</vt:i4>
      </vt:variant>
      <vt:variant>
        <vt:lpwstr/>
      </vt:variant>
      <vt:variant>
        <vt:lpwstr>_Toc412736429</vt:lpwstr>
      </vt:variant>
      <vt:variant>
        <vt:i4>1376305</vt:i4>
      </vt:variant>
      <vt:variant>
        <vt:i4>80</vt:i4>
      </vt:variant>
      <vt:variant>
        <vt:i4>0</vt:i4>
      </vt:variant>
      <vt:variant>
        <vt:i4>5</vt:i4>
      </vt:variant>
      <vt:variant>
        <vt:lpwstr/>
      </vt:variant>
      <vt:variant>
        <vt:lpwstr>_Toc412736425</vt:lpwstr>
      </vt:variant>
      <vt:variant>
        <vt:i4>1376305</vt:i4>
      </vt:variant>
      <vt:variant>
        <vt:i4>74</vt:i4>
      </vt:variant>
      <vt:variant>
        <vt:i4>0</vt:i4>
      </vt:variant>
      <vt:variant>
        <vt:i4>5</vt:i4>
      </vt:variant>
      <vt:variant>
        <vt:lpwstr/>
      </vt:variant>
      <vt:variant>
        <vt:lpwstr>_Toc412736424</vt:lpwstr>
      </vt:variant>
      <vt:variant>
        <vt:i4>1376305</vt:i4>
      </vt:variant>
      <vt:variant>
        <vt:i4>68</vt:i4>
      </vt:variant>
      <vt:variant>
        <vt:i4>0</vt:i4>
      </vt:variant>
      <vt:variant>
        <vt:i4>5</vt:i4>
      </vt:variant>
      <vt:variant>
        <vt:lpwstr/>
      </vt:variant>
      <vt:variant>
        <vt:lpwstr>_Toc412736423</vt:lpwstr>
      </vt:variant>
      <vt:variant>
        <vt:i4>1376305</vt:i4>
      </vt:variant>
      <vt:variant>
        <vt:i4>62</vt:i4>
      </vt:variant>
      <vt:variant>
        <vt:i4>0</vt:i4>
      </vt:variant>
      <vt:variant>
        <vt:i4>5</vt:i4>
      </vt:variant>
      <vt:variant>
        <vt:lpwstr/>
      </vt:variant>
      <vt:variant>
        <vt:lpwstr>_Toc412736422</vt:lpwstr>
      </vt:variant>
      <vt:variant>
        <vt:i4>1376305</vt:i4>
      </vt:variant>
      <vt:variant>
        <vt:i4>56</vt:i4>
      </vt:variant>
      <vt:variant>
        <vt:i4>0</vt:i4>
      </vt:variant>
      <vt:variant>
        <vt:i4>5</vt:i4>
      </vt:variant>
      <vt:variant>
        <vt:lpwstr/>
      </vt:variant>
      <vt:variant>
        <vt:lpwstr>_Toc412736421</vt:lpwstr>
      </vt:variant>
      <vt:variant>
        <vt:i4>1376305</vt:i4>
      </vt:variant>
      <vt:variant>
        <vt:i4>50</vt:i4>
      </vt:variant>
      <vt:variant>
        <vt:i4>0</vt:i4>
      </vt:variant>
      <vt:variant>
        <vt:i4>5</vt:i4>
      </vt:variant>
      <vt:variant>
        <vt:lpwstr/>
      </vt:variant>
      <vt:variant>
        <vt:lpwstr>_Toc412736420</vt:lpwstr>
      </vt:variant>
      <vt:variant>
        <vt:i4>1441841</vt:i4>
      </vt:variant>
      <vt:variant>
        <vt:i4>44</vt:i4>
      </vt:variant>
      <vt:variant>
        <vt:i4>0</vt:i4>
      </vt:variant>
      <vt:variant>
        <vt:i4>5</vt:i4>
      </vt:variant>
      <vt:variant>
        <vt:lpwstr/>
      </vt:variant>
      <vt:variant>
        <vt:lpwstr>_Toc412736418</vt:lpwstr>
      </vt:variant>
      <vt:variant>
        <vt:i4>1441841</vt:i4>
      </vt:variant>
      <vt:variant>
        <vt:i4>38</vt:i4>
      </vt:variant>
      <vt:variant>
        <vt:i4>0</vt:i4>
      </vt:variant>
      <vt:variant>
        <vt:i4>5</vt:i4>
      </vt:variant>
      <vt:variant>
        <vt:lpwstr/>
      </vt:variant>
      <vt:variant>
        <vt:lpwstr>_Toc412736417</vt:lpwstr>
      </vt:variant>
      <vt:variant>
        <vt:i4>1441841</vt:i4>
      </vt:variant>
      <vt:variant>
        <vt:i4>32</vt:i4>
      </vt:variant>
      <vt:variant>
        <vt:i4>0</vt:i4>
      </vt:variant>
      <vt:variant>
        <vt:i4>5</vt:i4>
      </vt:variant>
      <vt:variant>
        <vt:lpwstr/>
      </vt:variant>
      <vt:variant>
        <vt:lpwstr>_Toc412736416</vt:lpwstr>
      </vt:variant>
      <vt:variant>
        <vt:i4>1441841</vt:i4>
      </vt:variant>
      <vt:variant>
        <vt:i4>26</vt:i4>
      </vt:variant>
      <vt:variant>
        <vt:i4>0</vt:i4>
      </vt:variant>
      <vt:variant>
        <vt:i4>5</vt:i4>
      </vt:variant>
      <vt:variant>
        <vt:lpwstr/>
      </vt:variant>
      <vt:variant>
        <vt:lpwstr>_Toc412736415</vt:lpwstr>
      </vt:variant>
      <vt:variant>
        <vt:i4>1441841</vt:i4>
      </vt:variant>
      <vt:variant>
        <vt:i4>20</vt:i4>
      </vt:variant>
      <vt:variant>
        <vt:i4>0</vt:i4>
      </vt:variant>
      <vt:variant>
        <vt:i4>5</vt:i4>
      </vt:variant>
      <vt:variant>
        <vt:lpwstr/>
      </vt:variant>
      <vt:variant>
        <vt:lpwstr>_Toc412736414</vt:lpwstr>
      </vt:variant>
      <vt:variant>
        <vt:i4>1441841</vt:i4>
      </vt:variant>
      <vt:variant>
        <vt:i4>14</vt:i4>
      </vt:variant>
      <vt:variant>
        <vt:i4>0</vt:i4>
      </vt:variant>
      <vt:variant>
        <vt:i4>5</vt:i4>
      </vt:variant>
      <vt:variant>
        <vt:lpwstr/>
      </vt:variant>
      <vt:variant>
        <vt:lpwstr>_Toc412736412</vt:lpwstr>
      </vt:variant>
      <vt:variant>
        <vt:i4>1441841</vt:i4>
      </vt:variant>
      <vt:variant>
        <vt:i4>8</vt:i4>
      </vt:variant>
      <vt:variant>
        <vt:i4>0</vt:i4>
      </vt:variant>
      <vt:variant>
        <vt:i4>5</vt:i4>
      </vt:variant>
      <vt:variant>
        <vt:lpwstr/>
      </vt:variant>
      <vt:variant>
        <vt:lpwstr>_Toc412736411</vt:lpwstr>
      </vt:variant>
      <vt:variant>
        <vt:i4>1441841</vt:i4>
      </vt:variant>
      <vt:variant>
        <vt:i4>2</vt:i4>
      </vt:variant>
      <vt:variant>
        <vt:i4>0</vt:i4>
      </vt:variant>
      <vt:variant>
        <vt:i4>5</vt:i4>
      </vt:variant>
      <vt:variant>
        <vt:lpwstr/>
      </vt:variant>
      <vt:variant>
        <vt:lpwstr>_Toc412736410</vt:lpwstr>
      </vt:variant>
      <vt:variant>
        <vt:i4>8061028</vt:i4>
      </vt:variant>
      <vt:variant>
        <vt:i4>195</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524318</vt:i4>
      </vt:variant>
      <vt:variant>
        <vt:i4>192</vt:i4>
      </vt:variant>
      <vt:variant>
        <vt:i4>0</vt:i4>
      </vt:variant>
      <vt:variant>
        <vt:i4>5</vt:i4>
      </vt:variant>
      <vt:variant>
        <vt:lpwstr>http://ec.europa.eu/internal_market/consultations/2012/nonbanks_en.htm</vt:lpwstr>
      </vt:variant>
      <vt:variant>
        <vt:lpwstr/>
      </vt:variant>
      <vt:variant>
        <vt:i4>5111819</vt:i4>
      </vt:variant>
      <vt:variant>
        <vt:i4>189</vt:i4>
      </vt:variant>
      <vt:variant>
        <vt:i4>0</vt:i4>
      </vt:variant>
      <vt:variant>
        <vt:i4>5</vt:i4>
      </vt:variant>
      <vt:variant>
        <vt:lpwstr>http://www2.isda.org/attachment/NTc5Nw==/CCP_loss_allocation_waterfall_0807.pdf</vt:lpwstr>
      </vt:variant>
      <vt:variant>
        <vt:lpwstr/>
      </vt:variant>
      <vt:variant>
        <vt:i4>5111819</vt:i4>
      </vt:variant>
      <vt:variant>
        <vt:i4>186</vt:i4>
      </vt:variant>
      <vt:variant>
        <vt:i4>0</vt:i4>
      </vt:variant>
      <vt:variant>
        <vt:i4>5</vt:i4>
      </vt:variant>
      <vt:variant>
        <vt:lpwstr>http://www2.isda.org/attachment/NTc5Nw==/CCP_loss_allocation_waterfall_0807.pdf</vt:lpwstr>
      </vt:variant>
      <vt:variant>
        <vt:lpwstr/>
      </vt:variant>
      <vt:variant>
        <vt:i4>4587545</vt:i4>
      </vt:variant>
      <vt:variant>
        <vt:i4>183</vt:i4>
      </vt:variant>
      <vt:variant>
        <vt:i4>0</vt:i4>
      </vt:variant>
      <vt:variant>
        <vt:i4>5</vt:i4>
      </vt:variant>
      <vt:variant>
        <vt:lpwstr>http://www.financialstabilityboard.org/publications/c_131025_1.htm</vt:lpwstr>
      </vt:variant>
      <vt:variant>
        <vt:lpwstr/>
      </vt:variant>
      <vt:variant>
        <vt:i4>4653075</vt:i4>
      </vt:variant>
      <vt:variant>
        <vt:i4>180</vt:i4>
      </vt:variant>
      <vt:variant>
        <vt:i4>0</vt:i4>
      </vt:variant>
      <vt:variant>
        <vt:i4>5</vt:i4>
      </vt:variant>
      <vt:variant>
        <vt:lpwstr>http://www.imf.org/external/pubs/ft/gfsr/2010/01/</vt:lpwstr>
      </vt:variant>
      <vt:variant>
        <vt:lpwstr/>
      </vt:variant>
      <vt:variant>
        <vt:i4>327800</vt:i4>
      </vt:variant>
      <vt:variant>
        <vt:i4>177</vt:i4>
      </vt:variant>
      <vt:variant>
        <vt:i4>0</vt:i4>
      </vt:variant>
      <vt:variant>
        <vt:i4>5</vt:i4>
      </vt:variant>
      <vt:variant>
        <vt:lpwstr>http://www.bankofengland.co.uk/publications/Pages/fsr/fs_paper19.aspx</vt:lpwstr>
      </vt:variant>
      <vt:variant>
        <vt:lpwstr/>
      </vt:variant>
      <vt:variant>
        <vt:i4>1835009</vt:i4>
      </vt:variant>
      <vt:variant>
        <vt:i4>174</vt:i4>
      </vt:variant>
      <vt:variant>
        <vt:i4>0</vt:i4>
      </vt:variant>
      <vt:variant>
        <vt:i4>5</vt:i4>
      </vt:variant>
      <vt:variant>
        <vt:lpwstr>http://ec.europa.eu/internal_market/securities/isd/mifid2/index_en.htm</vt:lpwstr>
      </vt:variant>
      <vt:variant>
        <vt:lpwstr/>
      </vt:variant>
      <vt:variant>
        <vt:i4>3997759</vt:i4>
      </vt:variant>
      <vt:variant>
        <vt:i4>171</vt:i4>
      </vt:variant>
      <vt:variant>
        <vt:i4>0</vt:i4>
      </vt:variant>
      <vt:variant>
        <vt:i4>5</vt:i4>
      </vt:variant>
      <vt:variant>
        <vt:lpwstr>http://ec.europa.eu/internal_market/finances/docs/general/20140515-erfra-working-document_en.pdf</vt:lpwstr>
      </vt:variant>
      <vt:variant>
        <vt:lpwstr/>
      </vt:variant>
      <vt:variant>
        <vt:i4>7078014</vt:i4>
      </vt:variant>
      <vt:variant>
        <vt:i4>168</vt:i4>
      </vt:variant>
      <vt:variant>
        <vt:i4>0</vt:i4>
      </vt:variant>
      <vt:variant>
        <vt:i4>5</vt:i4>
      </vt:variant>
      <vt:variant>
        <vt:lpwstr>http://www.ecb.europa.eu/press/key/date/2014/html/sp140917.en.html</vt:lpwstr>
      </vt:variant>
      <vt:variant>
        <vt:lpwstr/>
      </vt:variant>
      <vt:variant>
        <vt:i4>4063268</vt:i4>
      </vt:variant>
      <vt:variant>
        <vt:i4>165</vt:i4>
      </vt:variant>
      <vt:variant>
        <vt:i4>0</vt:i4>
      </vt:variant>
      <vt:variant>
        <vt:i4>5</vt:i4>
      </vt:variant>
      <vt:variant>
        <vt:lpwstr>http://www.bankofengland.co.uk/publications/Documents/fsr/2013/fsrfull1306.pdf</vt:lpwstr>
      </vt:variant>
      <vt:variant>
        <vt:lpwstr/>
      </vt:variant>
      <vt:variant>
        <vt:i4>7995489</vt:i4>
      </vt:variant>
      <vt:variant>
        <vt:i4>162</vt:i4>
      </vt:variant>
      <vt:variant>
        <vt:i4>0</vt:i4>
      </vt:variant>
      <vt:variant>
        <vt:i4>5</vt:i4>
      </vt:variant>
      <vt:variant>
        <vt:lpwstr>http://www2.isda.org/functional-areas/research/studies/</vt:lpwstr>
      </vt:variant>
      <vt:variant>
        <vt:lpwstr/>
      </vt:variant>
      <vt:variant>
        <vt:i4>4587605</vt:i4>
      </vt:variant>
      <vt:variant>
        <vt:i4>159</vt:i4>
      </vt:variant>
      <vt:variant>
        <vt:i4>0</vt:i4>
      </vt:variant>
      <vt:variant>
        <vt:i4>5</vt:i4>
      </vt:variant>
      <vt:variant>
        <vt:lpwstr>http://www.bis.org/statistics/dt1920a.pdf</vt:lpwstr>
      </vt:variant>
      <vt:variant>
        <vt:lpwstr/>
      </vt:variant>
      <vt:variant>
        <vt:i4>3276901</vt:i4>
      </vt:variant>
      <vt:variant>
        <vt:i4>156</vt:i4>
      </vt:variant>
      <vt:variant>
        <vt:i4>0</vt:i4>
      </vt:variant>
      <vt:variant>
        <vt:i4>5</vt:i4>
      </vt:variant>
      <vt:variant>
        <vt:lpwstr>http://www.bis.org/</vt:lpwstr>
      </vt:variant>
      <vt:variant>
        <vt:lpwstr/>
      </vt:variant>
      <vt:variant>
        <vt:i4>7602285</vt:i4>
      </vt:variant>
      <vt:variant>
        <vt:i4>153</vt:i4>
      </vt:variant>
      <vt:variant>
        <vt:i4>0</vt:i4>
      </vt:variant>
      <vt:variant>
        <vt:i4>5</vt:i4>
      </vt:variant>
      <vt:variant>
        <vt:lpwstr>http://www.treasury.gov/initiatives/Documents/Finalruledisclaimer7-18-2011.pdf</vt:lpwstr>
      </vt:variant>
      <vt:variant>
        <vt:lpwstr/>
      </vt:variant>
      <vt:variant>
        <vt:i4>7995495</vt:i4>
      </vt:variant>
      <vt:variant>
        <vt:i4>150</vt:i4>
      </vt:variant>
      <vt:variant>
        <vt:i4>0</vt:i4>
      </vt:variant>
      <vt:variant>
        <vt:i4>5</vt:i4>
      </vt:variant>
      <vt:variant>
        <vt:lpwstr>http://www.federalreserve.gov/newsevents/press/bcreg/bcreg20130403a.pdf</vt:lpwstr>
      </vt:variant>
      <vt:variant>
        <vt:lpwstr/>
      </vt:variant>
      <vt:variant>
        <vt:i4>852062</vt:i4>
      </vt:variant>
      <vt:variant>
        <vt:i4>147</vt:i4>
      </vt:variant>
      <vt:variant>
        <vt:i4>0</vt:i4>
      </vt:variant>
      <vt:variant>
        <vt:i4>5</vt:i4>
      </vt:variant>
      <vt:variant>
        <vt:lpwstr>http://www.treasury.gov/initiatives/fsoc/Documents/Nonbank Designations - Final Rule and Guidance.pdf</vt:lpwstr>
      </vt:variant>
      <vt:variant>
        <vt:lpwstr/>
      </vt:variant>
      <vt:variant>
        <vt:i4>6619169</vt:i4>
      </vt:variant>
      <vt:variant>
        <vt:i4>123</vt:i4>
      </vt:variant>
      <vt:variant>
        <vt:i4>0</vt:i4>
      </vt:variant>
      <vt:variant>
        <vt:i4>5</vt:i4>
      </vt:variant>
      <vt:variant>
        <vt:lpwstr>http://www.bis.org/publ/bcbs200.pdf</vt:lpwstr>
      </vt:variant>
      <vt:variant>
        <vt:lpwstr/>
      </vt:variant>
      <vt:variant>
        <vt:i4>3670046</vt:i4>
      </vt:variant>
      <vt:variant>
        <vt:i4>120</vt:i4>
      </vt:variant>
      <vt:variant>
        <vt:i4>0</vt:i4>
      </vt:variant>
      <vt:variant>
        <vt:i4>5</vt:i4>
      </vt:variant>
      <vt:variant>
        <vt:lpwstr>http://www.financialstabilityboard.org/publications/r_130411a.pdf</vt:lpwstr>
      </vt:variant>
      <vt:variant>
        <vt:lpwstr/>
      </vt:variant>
      <vt:variant>
        <vt:i4>4915209</vt:i4>
      </vt:variant>
      <vt:variant>
        <vt:i4>117</vt:i4>
      </vt:variant>
      <vt:variant>
        <vt:i4>0</vt:i4>
      </vt:variant>
      <vt:variant>
        <vt:i4>5</vt:i4>
      </vt:variant>
      <vt:variant>
        <vt:lpwstr>http://www.bis.org/publ/cpss101a.pdf</vt:lpwstr>
      </vt:variant>
      <vt:variant>
        <vt:lpwstr/>
      </vt:variant>
      <vt:variant>
        <vt:i4>7078015</vt:i4>
      </vt:variant>
      <vt:variant>
        <vt:i4>114</vt:i4>
      </vt:variant>
      <vt:variant>
        <vt:i4>0</vt:i4>
      </vt:variant>
      <vt:variant>
        <vt:i4>5</vt:i4>
      </vt:variant>
      <vt:variant>
        <vt:lpwstr>http://www.financialstabilityboard.org/wp-content/uploads/FSB-Chair-letter-to-G20-February-2015.pdf</vt:lpwstr>
      </vt:variant>
      <vt:variant>
        <vt:lpwstr/>
      </vt:variant>
      <vt:variant>
        <vt:i4>1704015</vt:i4>
      </vt:variant>
      <vt:variant>
        <vt:i4>111</vt:i4>
      </vt:variant>
      <vt:variant>
        <vt:i4>0</vt:i4>
      </vt:variant>
      <vt:variant>
        <vt:i4>5</vt:i4>
      </vt:variant>
      <vt:variant>
        <vt:lpwstr>http://www.cmegroup.com/education/files/balancing-ccp-and-member-contributions-with-exposures.pdf</vt:lpwstr>
      </vt:variant>
      <vt:variant>
        <vt:lpwstr/>
      </vt:variant>
      <vt:variant>
        <vt:i4>2686999</vt:i4>
      </vt:variant>
      <vt:variant>
        <vt:i4>108</vt:i4>
      </vt:variant>
      <vt:variant>
        <vt:i4>0</vt:i4>
      </vt:variant>
      <vt:variant>
        <vt:i4>5</vt:i4>
      </vt:variant>
      <vt:variant>
        <vt:lpwstr>http://secure-area.lchclearnet.com/images/CCP_Risk_Management_Recovery_-_Resolution.pdf</vt:lpwstr>
      </vt:variant>
      <vt:variant>
        <vt:lpwstr/>
      </vt:variant>
      <vt:variant>
        <vt:i4>2359338</vt:i4>
      </vt:variant>
      <vt:variant>
        <vt:i4>105</vt:i4>
      </vt:variant>
      <vt:variant>
        <vt:i4>0</vt:i4>
      </vt:variant>
      <vt:variant>
        <vt:i4>5</vt:i4>
      </vt:variant>
      <vt:variant>
        <vt:lpwstr>http://www.financialstabilityboard.org/wp-content/uploads/TLAC-Condoc-6-Nov-2014-FINAL.pdf</vt:lpwstr>
      </vt:variant>
      <vt:variant>
        <vt:lpwstr/>
      </vt:variant>
      <vt:variant>
        <vt:i4>1441822</vt:i4>
      </vt:variant>
      <vt:variant>
        <vt:i4>102</vt:i4>
      </vt:variant>
      <vt:variant>
        <vt:i4>0</vt:i4>
      </vt:variant>
      <vt:variant>
        <vt:i4>5</vt:i4>
      </vt:variant>
      <vt:variant>
        <vt:lpwstr>http://www.bis.org/cpmi/publ/d121.pdf</vt:lpwstr>
      </vt:variant>
      <vt:variant>
        <vt:lpwstr/>
      </vt:variant>
      <vt:variant>
        <vt:i4>327729</vt:i4>
      </vt:variant>
      <vt:variant>
        <vt:i4>99</vt:i4>
      </vt:variant>
      <vt:variant>
        <vt:i4>0</vt:i4>
      </vt:variant>
      <vt:variant>
        <vt:i4>5</vt:i4>
      </vt:variant>
      <vt:variant>
        <vt:lpwstr>http://www.financialstabilityboard.org/wp-content/uploads/r_141015.pdf</vt:lpwstr>
      </vt:variant>
      <vt:variant>
        <vt:lpwstr/>
      </vt:variant>
      <vt:variant>
        <vt:i4>4915209</vt:i4>
      </vt:variant>
      <vt:variant>
        <vt:i4>96</vt:i4>
      </vt:variant>
      <vt:variant>
        <vt:i4>0</vt:i4>
      </vt:variant>
      <vt:variant>
        <vt:i4>5</vt:i4>
      </vt:variant>
      <vt:variant>
        <vt:lpwstr>http://www.bis.org/publ/cpss101a.pdf</vt:lpwstr>
      </vt:variant>
      <vt:variant>
        <vt:lpwstr/>
      </vt:variant>
      <vt:variant>
        <vt:i4>5111899</vt:i4>
      </vt:variant>
      <vt:variant>
        <vt:i4>93</vt:i4>
      </vt:variant>
      <vt:variant>
        <vt:i4>0</vt:i4>
      </vt:variant>
      <vt:variant>
        <vt:i4>5</vt:i4>
      </vt:variant>
      <vt:variant>
        <vt:lpwstr>https://www.eba.europa.eu/documents/10180/751477/EBA-CP-2014-16++%28CP+on+draft+RTS+on+Content+Res++Plans+and+Assessment+of+Resolvability%29.docx.pdf</vt:lpwstr>
      </vt:variant>
      <vt:variant>
        <vt:lpwstr/>
      </vt:variant>
      <vt:variant>
        <vt:i4>3997759</vt:i4>
      </vt:variant>
      <vt:variant>
        <vt:i4>90</vt:i4>
      </vt:variant>
      <vt:variant>
        <vt:i4>0</vt:i4>
      </vt:variant>
      <vt:variant>
        <vt:i4>5</vt:i4>
      </vt:variant>
      <vt:variant>
        <vt:lpwstr>http://ec.europa.eu/internal_market/finances/docs/general/20140515-erfra-working-document_en.pdf</vt:lpwstr>
      </vt:variant>
      <vt:variant>
        <vt:lpwstr/>
      </vt:variant>
      <vt:variant>
        <vt:i4>6225953</vt:i4>
      </vt:variant>
      <vt:variant>
        <vt:i4>84</vt:i4>
      </vt:variant>
      <vt:variant>
        <vt:i4>0</vt:i4>
      </vt:variant>
      <vt:variant>
        <vt:i4>5</vt:i4>
      </vt:variant>
      <vt:variant>
        <vt:lpwstr>http://www.ecb.europa.eu/press/key/date/2014/html/sp140519_1.en.html</vt:lpwstr>
      </vt:variant>
      <vt:variant>
        <vt:lpwstr/>
      </vt:variant>
      <vt:variant>
        <vt:i4>7995433</vt:i4>
      </vt:variant>
      <vt:variant>
        <vt:i4>81</vt:i4>
      </vt:variant>
      <vt:variant>
        <vt:i4>0</vt:i4>
      </vt:variant>
      <vt:variant>
        <vt:i4>5</vt:i4>
      </vt:variant>
      <vt:variant>
        <vt:lpwstr>http://www.bankofengland.co.uk/publications/Documents/fmi/fmiap1403.pdf</vt:lpwstr>
      </vt:variant>
      <vt:variant>
        <vt:lpwstr/>
      </vt:variant>
      <vt:variant>
        <vt:i4>2687085</vt:i4>
      </vt:variant>
      <vt:variant>
        <vt:i4>78</vt:i4>
      </vt:variant>
      <vt:variant>
        <vt:i4>0</vt:i4>
      </vt:variant>
      <vt:variant>
        <vt:i4>5</vt:i4>
      </vt:variant>
      <vt:variant>
        <vt:lpwstr>http://www.bankofengland.co.uk/financialstability/Documents/fmi/fmisupervision.pdf</vt:lpwstr>
      </vt:variant>
      <vt:variant>
        <vt:lpwstr/>
      </vt:variant>
      <vt:variant>
        <vt:i4>7471145</vt:i4>
      </vt:variant>
      <vt:variant>
        <vt:i4>75</vt:i4>
      </vt:variant>
      <vt:variant>
        <vt:i4>0</vt:i4>
      </vt:variant>
      <vt:variant>
        <vt:i4>5</vt:i4>
      </vt:variant>
      <vt:variant>
        <vt:lpwstr>http://ec.europa.eu/internal_market/bank/docs/crisis-management/2012_eu_framework/impact_assessment_final_en.pdf</vt:lpwstr>
      </vt:variant>
      <vt:variant>
        <vt:lpwstr/>
      </vt:variant>
      <vt:variant>
        <vt:i4>3997759</vt:i4>
      </vt:variant>
      <vt:variant>
        <vt:i4>72</vt:i4>
      </vt:variant>
      <vt:variant>
        <vt:i4>0</vt:i4>
      </vt:variant>
      <vt:variant>
        <vt:i4>5</vt:i4>
      </vt:variant>
      <vt:variant>
        <vt:lpwstr>http://ec.europa.eu/internal_market/finances/docs/general/20140515-erfra-working-document_en.pdf</vt:lpwstr>
      </vt:variant>
      <vt:variant>
        <vt:lpwstr/>
      </vt:variant>
      <vt:variant>
        <vt:i4>2883620</vt:i4>
      </vt:variant>
      <vt:variant>
        <vt:i4>69</vt:i4>
      </vt:variant>
      <vt:variant>
        <vt:i4>0</vt:i4>
      </vt:variant>
      <vt:variant>
        <vt:i4>5</vt:i4>
      </vt:variant>
      <vt:variant>
        <vt:lpwstr>http://www.jpmorganchase.com/corporate/About-JPMC/document/resolution-plan-ccps.pdf?M=22b2d037-ca48-42e1-a49e-53a5e0667db4</vt:lpwstr>
      </vt:variant>
      <vt:variant>
        <vt:lpwstr/>
      </vt:variant>
      <vt:variant>
        <vt:i4>3997759</vt:i4>
      </vt:variant>
      <vt:variant>
        <vt:i4>66</vt:i4>
      </vt:variant>
      <vt:variant>
        <vt:i4>0</vt:i4>
      </vt:variant>
      <vt:variant>
        <vt:i4>5</vt:i4>
      </vt:variant>
      <vt:variant>
        <vt:lpwstr>http://ec.europa.eu/internal_market/finances/docs/general/20140515-erfra-working-document_en.pdf</vt:lpwstr>
      </vt:variant>
      <vt:variant>
        <vt:lpwstr/>
      </vt:variant>
      <vt:variant>
        <vt:i4>8061028</vt:i4>
      </vt:variant>
      <vt:variant>
        <vt:i4>63</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3997759</vt:i4>
      </vt:variant>
      <vt:variant>
        <vt:i4>60</vt:i4>
      </vt:variant>
      <vt:variant>
        <vt:i4>0</vt:i4>
      </vt:variant>
      <vt:variant>
        <vt:i4>5</vt:i4>
      </vt:variant>
      <vt:variant>
        <vt:lpwstr>http://ec.europa.eu/internal_market/finances/docs/general/20140515-erfra-working-document_en.pdf</vt:lpwstr>
      </vt:variant>
      <vt:variant>
        <vt:lpwstr/>
      </vt:variant>
      <vt:variant>
        <vt:i4>4915209</vt:i4>
      </vt:variant>
      <vt:variant>
        <vt:i4>57</vt:i4>
      </vt:variant>
      <vt:variant>
        <vt:i4>0</vt:i4>
      </vt:variant>
      <vt:variant>
        <vt:i4>5</vt:i4>
      </vt:variant>
      <vt:variant>
        <vt:lpwstr>http://www.bis.org/publ/cpss101a.pdf</vt:lpwstr>
      </vt:variant>
      <vt:variant>
        <vt:lpwstr/>
      </vt:variant>
      <vt:variant>
        <vt:i4>2949239</vt:i4>
      </vt:variant>
      <vt:variant>
        <vt:i4>54</vt:i4>
      </vt:variant>
      <vt:variant>
        <vt:i4>0</vt:i4>
      </vt:variant>
      <vt:variant>
        <vt:i4>5</vt:i4>
      </vt:variant>
      <vt:variant>
        <vt:lpwstr>http://www.bankofcanada.ca/wp-content/uploads/2012/11/wp2012-35.pdf</vt:lpwstr>
      </vt:variant>
      <vt:variant>
        <vt:lpwstr/>
      </vt:variant>
      <vt:variant>
        <vt:i4>2621488</vt:i4>
      </vt:variant>
      <vt:variant>
        <vt:i4>51</vt:i4>
      </vt:variant>
      <vt:variant>
        <vt:i4>0</vt:i4>
      </vt:variant>
      <vt:variant>
        <vt:i4>5</vt:i4>
      </vt:variant>
      <vt:variant>
        <vt:lpwstr>http://www.bis.org/publ/cpss92.pdf</vt:lpwstr>
      </vt:variant>
      <vt:variant>
        <vt:lpwstr/>
      </vt:variant>
      <vt:variant>
        <vt:i4>8257586</vt:i4>
      </vt:variant>
      <vt:variant>
        <vt:i4>48</vt:i4>
      </vt:variant>
      <vt:variant>
        <vt:i4>0</vt:i4>
      </vt:variant>
      <vt:variant>
        <vt:i4>5</vt:i4>
      </vt:variant>
      <vt:variant>
        <vt:lpwstr>http://sdw.ecb.europa.eu/reports.do?node=1000001583</vt:lpwstr>
      </vt:variant>
      <vt:variant>
        <vt:lpwstr/>
      </vt:variant>
      <vt:variant>
        <vt:i4>7143539</vt:i4>
      </vt:variant>
      <vt:variant>
        <vt:i4>45</vt:i4>
      </vt:variant>
      <vt:variant>
        <vt:i4>0</vt:i4>
      </vt:variant>
      <vt:variant>
        <vt:i4>5</vt:i4>
      </vt:variant>
      <vt:variant>
        <vt:lpwstr>http://mifiddatabase.esma.europa.eu/Index.aspx?sectionlinks_id=24&amp;language=0&amp;pageName=CENTRAL_COUNTERPARTIES_Display&amp;subsection_id=0</vt:lpwstr>
      </vt:variant>
      <vt:variant>
        <vt:lpwstr/>
      </vt:variant>
      <vt:variant>
        <vt:i4>68</vt:i4>
      </vt:variant>
      <vt:variant>
        <vt:i4>42</vt:i4>
      </vt:variant>
      <vt:variant>
        <vt:i4>0</vt:i4>
      </vt:variant>
      <vt:variant>
        <vt:i4>5</vt:i4>
      </vt:variant>
      <vt:variant>
        <vt:lpwstr>http://www.chicagofed.org/digital_assets/publications/economic_perspectives/2006/ep_4qtr2006_part2_bliss_steigerwald.pdf</vt:lpwstr>
      </vt:variant>
      <vt:variant>
        <vt:lpwstr/>
      </vt:variant>
      <vt:variant>
        <vt:i4>6160500</vt:i4>
      </vt:variant>
      <vt:variant>
        <vt:i4>39</vt:i4>
      </vt:variant>
      <vt:variant>
        <vt:i4>0</vt:i4>
      </vt:variant>
      <vt:variant>
        <vt:i4>5</vt:i4>
      </vt:variant>
      <vt:variant>
        <vt:lpwstr>https://www.financialstabilityboard.org/publications/c_131121.htm</vt:lpwstr>
      </vt:variant>
      <vt:variant>
        <vt:lpwstr/>
      </vt:variant>
      <vt:variant>
        <vt:i4>589838</vt:i4>
      </vt:variant>
      <vt:variant>
        <vt:i4>36</vt:i4>
      </vt:variant>
      <vt:variant>
        <vt:i4>0</vt:i4>
      </vt:variant>
      <vt:variant>
        <vt:i4>5</vt:i4>
      </vt:variant>
      <vt:variant>
        <vt:lpwstr>http://www.bis.org/publ/cpss109/comments.htm</vt:lpwstr>
      </vt:variant>
      <vt:variant>
        <vt:lpwstr/>
      </vt:variant>
      <vt:variant>
        <vt:i4>2490431</vt:i4>
      </vt:variant>
      <vt:variant>
        <vt:i4>33</vt:i4>
      </vt:variant>
      <vt:variant>
        <vt:i4>0</vt:i4>
      </vt:variant>
      <vt:variant>
        <vt:i4>5</vt:i4>
      </vt:variant>
      <vt:variant>
        <vt:lpwstr>http://ec.europa.eu/internal_market/consultations/2012/nonbanks/consultation-document_en.pdf</vt:lpwstr>
      </vt:variant>
      <vt:variant>
        <vt:lpwstr/>
      </vt:variant>
      <vt:variant>
        <vt:i4>917539</vt:i4>
      </vt:variant>
      <vt:variant>
        <vt:i4>30</vt:i4>
      </vt:variant>
      <vt:variant>
        <vt:i4>0</vt:i4>
      </vt:variant>
      <vt:variant>
        <vt:i4>5</vt:i4>
      </vt:variant>
      <vt:variant>
        <vt:lpwstr>http://ec.europa.eu/atwork/key-documents/index_en.htm</vt:lpwstr>
      </vt:variant>
      <vt:variant>
        <vt:lpwstr/>
      </vt:variant>
      <vt:variant>
        <vt:i4>5505088</vt:i4>
      </vt:variant>
      <vt:variant>
        <vt:i4>27</vt:i4>
      </vt:variant>
      <vt:variant>
        <vt:i4>0</vt:i4>
      </vt:variant>
      <vt:variant>
        <vt:i4>5</vt:i4>
      </vt:variant>
      <vt:variant>
        <vt:lpwstr>http://www.europarl.europa.eu/sides/getDoc.do?pubRef=-//EP//TEXT+TA+P7-TA-2013-0533+0+DOC+XML+V0//EN</vt:lpwstr>
      </vt:variant>
      <vt:variant>
        <vt:lpwstr/>
      </vt:variant>
      <vt:variant>
        <vt:i4>327729</vt:i4>
      </vt:variant>
      <vt:variant>
        <vt:i4>24</vt:i4>
      </vt:variant>
      <vt:variant>
        <vt:i4>0</vt:i4>
      </vt:variant>
      <vt:variant>
        <vt:i4>5</vt:i4>
      </vt:variant>
      <vt:variant>
        <vt:lpwstr>http://www.financialstabilityboard.org/wp-content/uploads/r_141015.pdf</vt:lpwstr>
      </vt:variant>
      <vt:variant>
        <vt:lpwstr/>
      </vt:variant>
      <vt:variant>
        <vt:i4>1441822</vt:i4>
      </vt:variant>
      <vt:variant>
        <vt:i4>21</vt:i4>
      </vt:variant>
      <vt:variant>
        <vt:i4>0</vt:i4>
      </vt:variant>
      <vt:variant>
        <vt:i4>5</vt:i4>
      </vt:variant>
      <vt:variant>
        <vt:lpwstr>http://www.bis.org/cpmi/publ/d121.pdf</vt:lpwstr>
      </vt:variant>
      <vt:variant>
        <vt:lpwstr/>
      </vt:variant>
      <vt:variant>
        <vt:i4>327729</vt:i4>
      </vt:variant>
      <vt:variant>
        <vt:i4>18</vt:i4>
      </vt:variant>
      <vt:variant>
        <vt:i4>0</vt:i4>
      </vt:variant>
      <vt:variant>
        <vt:i4>5</vt:i4>
      </vt:variant>
      <vt:variant>
        <vt:lpwstr>http://www.financialstabilityboard.org/wp-content/uploads/r_141015.pdf</vt:lpwstr>
      </vt:variant>
      <vt:variant>
        <vt:lpwstr/>
      </vt:variant>
      <vt:variant>
        <vt:i4>327718</vt:i4>
      </vt:variant>
      <vt:variant>
        <vt:i4>15</vt:i4>
      </vt:variant>
      <vt:variant>
        <vt:i4>0</vt:i4>
      </vt:variant>
      <vt:variant>
        <vt:i4>5</vt:i4>
      </vt:variant>
      <vt:variant>
        <vt:lpwstr>http://www.financialstabilityboard.org/publications/r_111104cc.pdf</vt:lpwstr>
      </vt:variant>
      <vt:variant>
        <vt:lpwstr/>
      </vt:variant>
      <vt:variant>
        <vt:i4>3080288</vt:i4>
      </vt:variant>
      <vt:variant>
        <vt:i4>12</vt:i4>
      </vt:variant>
      <vt:variant>
        <vt:i4>0</vt:i4>
      </vt:variant>
      <vt:variant>
        <vt:i4>5</vt:i4>
      </vt:variant>
      <vt:variant>
        <vt:lpwstr>http://ec.europa.eu/internal_market/finances/banking-union/index_en.htm</vt:lpwstr>
      </vt:variant>
      <vt:variant>
        <vt:lpwstr/>
      </vt:variant>
      <vt:variant>
        <vt:i4>327730</vt:i4>
      </vt:variant>
      <vt:variant>
        <vt:i4>9</vt:i4>
      </vt:variant>
      <vt:variant>
        <vt:i4>0</vt:i4>
      </vt:variant>
      <vt:variant>
        <vt:i4>5</vt:i4>
      </vt:variant>
      <vt:variant>
        <vt:lpwstr>http://ec.europa.eu/internal_market/bank/crisis_management/index_en.htm</vt:lpwstr>
      </vt:variant>
      <vt:variant>
        <vt:lpwstr/>
      </vt:variant>
      <vt:variant>
        <vt:i4>2490431</vt:i4>
      </vt:variant>
      <vt:variant>
        <vt:i4>6</vt:i4>
      </vt:variant>
      <vt:variant>
        <vt:i4>0</vt:i4>
      </vt:variant>
      <vt:variant>
        <vt:i4>5</vt:i4>
      </vt:variant>
      <vt:variant>
        <vt:lpwstr>http://ec.europa.eu/internal_market/consultations/2012/nonbanks/consultation-document_en.pdf</vt:lpwstr>
      </vt:variant>
      <vt:variant>
        <vt:lpwstr/>
      </vt:variant>
      <vt:variant>
        <vt:i4>2621494</vt:i4>
      </vt:variant>
      <vt:variant>
        <vt:i4>3</vt:i4>
      </vt:variant>
      <vt:variant>
        <vt:i4>0</vt:i4>
      </vt:variant>
      <vt:variant>
        <vt:i4>5</vt:i4>
      </vt:variant>
      <vt:variant>
        <vt:lpwstr>http://eur-lex.europa.eu/legal-content/EN/TXT/;ELX_SESSIONID=2hCkTyTNGyHG1hNnQmvLry3rTZt5TTSkrM1LLv12RFZ9hNy9lbl7!-1897320616?uri=uriserv:OJ.L_.2014.173.01.0190.01.ENG</vt:lpwstr>
      </vt:variant>
      <vt:variant>
        <vt:lpwstr/>
      </vt:variant>
      <vt:variant>
        <vt:i4>7078015</vt:i4>
      </vt:variant>
      <vt:variant>
        <vt:i4>0</vt:i4>
      </vt:variant>
      <vt:variant>
        <vt:i4>0</vt:i4>
      </vt:variant>
      <vt:variant>
        <vt:i4>5</vt:i4>
      </vt:variant>
      <vt:variant>
        <vt:lpwstr>http://www.financialstabilityboard.org/wp-content/uploads/FSB-Chair-letter-to-G20-February-2015.pdf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28082015 Impact Assessment for CCP recovery and resolution proposal</dc:title>
  <dc:creator/>
  <cp:keywords>EL4</cp:keywords>
  <cp:lastModifiedBy>DIGIT/A3</cp:lastModifiedBy>
  <cp:revision>21</cp:revision>
  <cp:lastPrinted>2017-02-17T12:17:00Z</cp:lastPrinted>
  <dcterms:created xsi:type="dcterms:W3CDTF">2017-04-20T16:08:00Z</dcterms:created>
  <dcterms:modified xsi:type="dcterms:W3CDTF">2017-05-22T15:33:00Z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GG</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lassification">
    <vt:lpwstr> </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