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12E24E3886442F9620D363268DDDAD"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after="240"/>
        <w:rPr>
          <w:rFonts w:eastAsia="Times New Roman"/>
          <w:b/>
          <w:noProof/>
        </w:rPr>
      </w:pPr>
      <w:r>
        <w:rPr>
          <w:b/>
          <w:noProof/>
        </w:rPr>
        <w:t>Основания и цели на предложението</w:t>
      </w:r>
    </w:p>
    <w:p>
      <w:pPr>
        <w:spacing w:after="240"/>
        <w:rPr>
          <w:rFonts w:eastAsia="Times New Roman"/>
          <w:noProof/>
        </w:rPr>
      </w:pPr>
      <w:r>
        <w:rPr>
          <w:noProof/>
        </w:rPr>
        <w:t>Настоящото предложение се отнася до прилагането на 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Pr>
          <w:rStyle w:val="FootnoteReference"/>
          <w:noProof/>
        </w:rPr>
        <w:footnoteReference w:id="1"/>
      </w:r>
      <w:r>
        <w:rPr>
          <w:noProof/>
        </w:rPr>
        <w:t xml:space="preserve"> (наричан по-долу „Регламентът относно ННН риболов“).</w:t>
      </w:r>
    </w:p>
    <w:p>
      <w:pPr>
        <w:spacing w:after="240"/>
        <w:rPr>
          <w:rFonts w:eastAsia="Times New Roman"/>
          <w:b/>
          <w:noProof/>
        </w:rPr>
      </w:pPr>
      <w:r>
        <w:rPr>
          <w:b/>
          <w:noProof/>
        </w:rPr>
        <w:t>Общ контекст</w:t>
      </w:r>
    </w:p>
    <w:p>
      <w:pPr>
        <w:spacing w:after="240"/>
        <w:rPr>
          <w:rFonts w:eastAsia="Times New Roman"/>
          <w:noProof/>
        </w:rPr>
      </w:pPr>
      <w:r>
        <w:rPr>
          <w:noProof/>
        </w:rPr>
        <w:t xml:space="preserve">Настоящото предложение е изготвено в контекста на прилагането на Регламента относно ННН риболов и е резултат от разследванията и диалозите, проведени в съответствие с изискванията по същество и процедурните изисквания, определени в Регламента относно ННН риболов, в които се предвижда, </w:t>
      </w:r>
      <w:r>
        <w:rPr>
          <w:i/>
          <w:noProof/>
        </w:rPr>
        <w:t>inter alia</w:t>
      </w:r>
      <w:r>
        <w:rPr>
          <w:noProof/>
        </w:rPr>
        <w:t>, че всички държави следва да изпълняват своите произтичащи от международното право задължения като държави на знамето, пристанищни държави, крайбрежни държави или държави на пазара за предотвратяване, възпиране и премахване на ННН риболов.</w:t>
      </w:r>
    </w:p>
    <w:p>
      <w:pPr>
        <w:spacing w:after="240"/>
        <w:rPr>
          <w:rFonts w:eastAsia="Times New Roman"/>
          <w:b/>
          <w:noProof/>
        </w:rPr>
      </w:pPr>
      <w:r>
        <w:rPr>
          <w:b/>
          <w:noProof/>
        </w:rPr>
        <w:t>Съществуващи разпоредби в областта на предложението</w:t>
      </w:r>
    </w:p>
    <w:p>
      <w:pPr>
        <w:spacing w:after="240"/>
        <w:rPr>
          <w:rFonts w:eastAsia="Times New Roman"/>
          <w:noProof/>
        </w:rPr>
      </w:pPr>
      <w:r>
        <w:rPr>
          <w:noProof/>
        </w:rPr>
        <w:t>Решение на Комисията от 12 декември 2014 г. (ОВ C 453, 17.12.2014 г., стр. 5) за уведомяване на трета държава, която Комисията счита за потенциално определима като несътрудничеща трета държава съгласно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p>
    <w:p>
      <w:pPr>
        <w:spacing w:after="240"/>
        <w:rPr>
          <w:rFonts w:eastAsia="Times New Roman"/>
          <w:noProof/>
        </w:rPr>
      </w:pPr>
      <w:r>
        <w:rPr>
          <w:noProof/>
        </w:rPr>
        <w:t>Решение за изпълнение на Комисията от 23 май 2017 г. (ОВ C XXXX, XX.XX.2017 г., стр. …) за определяне на Сейнт Винсънт и Гренадини за несътрудничеща трета държава в борбата с незаконния, недеклариран и нерегулиран риболов.</w:t>
      </w:r>
    </w:p>
    <w:p>
      <w:pPr>
        <w:spacing w:after="240"/>
        <w:rPr>
          <w:rFonts w:eastAsia="Times New Roman"/>
          <w:b/>
          <w:noProof/>
        </w:rPr>
      </w:pPr>
      <w:r>
        <w:rPr>
          <w:b/>
          <w:noProof/>
        </w:rPr>
        <w:t>Съгласуваност с други политики и цели на Съюза</w:t>
      </w:r>
    </w:p>
    <w:p>
      <w:pPr>
        <w:spacing w:after="240"/>
        <w:rPr>
          <w:rFonts w:eastAsia="Times New Roman"/>
          <w:noProof/>
        </w:rPr>
      </w:pPr>
      <w:r>
        <w:rPr>
          <w:noProof/>
        </w:rPr>
        <w:t>Не се прилага.</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spacing w:after="240"/>
        <w:rPr>
          <w:rFonts w:eastAsia="Times New Roman"/>
          <w:b/>
          <w:noProof/>
        </w:rPr>
      </w:pPr>
      <w:r>
        <w:rPr>
          <w:b/>
          <w:noProof/>
        </w:rPr>
        <w:t>Консултации със заинтересованите страни</w:t>
      </w:r>
    </w:p>
    <w:p>
      <w:pPr>
        <w:spacing w:after="240"/>
        <w:rPr>
          <w:rFonts w:eastAsia="Times New Roman"/>
          <w:noProof/>
        </w:rPr>
      </w:pPr>
      <w:r>
        <w:rPr>
          <w:noProof/>
        </w:rPr>
        <w:t>В съответствие с разпоредбите на Регламента относно ННН риболов засегнатите от процедурата заинтересовани страни имаха възможността да защитят своите интереси по време на разследванията и диалозите.</w:t>
      </w:r>
    </w:p>
    <w:p>
      <w:pPr>
        <w:spacing w:after="240"/>
        <w:rPr>
          <w:rFonts w:eastAsia="Times New Roman"/>
          <w:b/>
          <w:noProof/>
        </w:rPr>
      </w:pPr>
      <w:r>
        <w:rPr>
          <w:b/>
          <w:noProof/>
        </w:rPr>
        <w:t>Събиране и използване на експертни становища</w:t>
      </w:r>
    </w:p>
    <w:p>
      <w:pPr>
        <w:spacing w:after="240"/>
        <w:rPr>
          <w:rFonts w:eastAsia="Times New Roman"/>
          <w:noProof/>
        </w:rPr>
      </w:pPr>
      <w:r>
        <w:rPr>
          <w:noProof/>
        </w:rPr>
        <w:t>Не бяха необходими външни експертни становища.</w:t>
      </w:r>
    </w:p>
    <w:p>
      <w:pPr>
        <w:spacing w:after="240"/>
        <w:rPr>
          <w:rFonts w:eastAsia="Times New Roman"/>
          <w:b/>
          <w:noProof/>
        </w:rPr>
      </w:pPr>
      <w:r>
        <w:rPr>
          <w:b/>
          <w:noProof/>
        </w:rPr>
        <w:t>Оценка на въздействието</w:t>
      </w:r>
    </w:p>
    <w:p>
      <w:pPr>
        <w:spacing w:after="240"/>
        <w:rPr>
          <w:rFonts w:eastAsia="Times New Roman"/>
          <w:noProof/>
        </w:rPr>
      </w:pPr>
      <w:r>
        <w:rPr>
          <w:noProof/>
        </w:rPr>
        <w:t>Настоящото предложение е резултат от прилагането на Регламента относно ННН риболов.</w:t>
      </w:r>
    </w:p>
    <w:p>
      <w:pPr>
        <w:rPr>
          <w:noProof/>
        </w:rPr>
      </w:pPr>
      <w:r>
        <w:rPr>
          <w:noProof/>
        </w:rPr>
        <w:t>Регламентът относно ННН риболов не съдържа разпоредби за обща оценка на въздействието, но съдържа изчерпателен списък на условията, които трябва да бъдат подложени на оценка.</w:t>
      </w:r>
    </w:p>
    <w:p>
      <w:pPr>
        <w:pStyle w:val="ManualHeading1"/>
        <w:rPr>
          <w:noProof/>
        </w:rPr>
      </w:pPr>
      <w:r>
        <w:rPr>
          <w:noProof/>
        </w:rPr>
        <w:t>3.</w:t>
      </w:r>
      <w:r>
        <w:rPr>
          <w:noProof/>
        </w:rPr>
        <w:tab/>
        <w:t>ПРАВНИ ЕЛЕМЕНТИ НА ПРЕДЛОЖЕНИЕТО</w:t>
      </w:r>
    </w:p>
    <w:p>
      <w:pPr>
        <w:spacing w:after="240"/>
        <w:rPr>
          <w:rFonts w:eastAsia="Times New Roman"/>
          <w:b/>
          <w:noProof/>
        </w:rPr>
      </w:pPr>
      <w:r>
        <w:rPr>
          <w:b/>
          <w:noProof/>
        </w:rPr>
        <w:t>Обобщение на предложеното действие</w:t>
      </w:r>
    </w:p>
    <w:p>
      <w:pPr>
        <w:spacing w:after="240"/>
        <w:rPr>
          <w:rFonts w:eastAsia="Times New Roman"/>
          <w:noProof/>
        </w:rPr>
      </w:pPr>
      <w:r>
        <w:rPr>
          <w:noProof/>
        </w:rPr>
        <w:t xml:space="preserve">С Решение на Комисията, на 12 декември 2014 г. Комисията </w:t>
      </w:r>
      <w:r>
        <w:rPr>
          <w:b/>
          <w:noProof/>
        </w:rPr>
        <w:t xml:space="preserve">уведоми </w:t>
      </w:r>
      <w:r>
        <w:rPr>
          <w:noProof/>
        </w:rPr>
        <w:t xml:space="preserve">Сейнт Винсънт и Гренадини, че Комисията </w:t>
      </w:r>
      <w:r>
        <w:rPr>
          <w:b/>
          <w:noProof/>
        </w:rPr>
        <w:t xml:space="preserve">я счита за потенциално определима </w:t>
      </w:r>
      <w:r>
        <w:rPr>
          <w:noProof/>
        </w:rPr>
        <w:t xml:space="preserve">като несътрудничеща държава съгласно Регламента относно ННН риболов. </w:t>
      </w:r>
    </w:p>
    <w:p>
      <w:pPr>
        <w:spacing w:after="240"/>
        <w:rPr>
          <w:rFonts w:eastAsia="Times New Roman"/>
          <w:noProof/>
        </w:rPr>
      </w:pPr>
      <w:r>
        <w:rPr>
          <w:noProof/>
        </w:rPr>
        <w:t xml:space="preserve">Комисията предприе действия по отношение на Сейнт Винсънт и Гренадини. Те включваха, </w:t>
      </w:r>
      <w:r>
        <w:rPr>
          <w:i/>
          <w:noProof/>
        </w:rPr>
        <w:t>inter alia</w:t>
      </w:r>
      <w:r>
        <w:rPr>
          <w:noProof/>
        </w:rPr>
        <w:t xml:space="preserve">, предоставяне на основания за предприетите действия, даване на възможност на държавата да отговори на съответните твърдения и да ги опровергае, както и право да поиска и да представи допълнителна информация, предлагане на план за действие за коригиране на положението, подходящ срок за отговор и разумни срокове за коригиращи мерки. </w:t>
      </w:r>
    </w:p>
    <w:p>
      <w:pPr>
        <w:spacing w:after="240"/>
        <w:rPr>
          <w:rFonts w:eastAsia="Times New Roman"/>
          <w:noProof/>
        </w:rPr>
      </w:pPr>
      <w:r>
        <w:rPr>
          <w:noProof/>
        </w:rPr>
        <w:t xml:space="preserve">На 23 май 2017 г. със свое решение за изпълнение Комисията </w:t>
      </w:r>
      <w:r>
        <w:rPr>
          <w:b/>
          <w:noProof/>
        </w:rPr>
        <w:t xml:space="preserve">определи </w:t>
      </w:r>
      <w:r>
        <w:rPr>
          <w:noProof/>
        </w:rPr>
        <w:t xml:space="preserve">Сейнт Винсънт и Гренадини като трета държава, която тя </w:t>
      </w:r>
      <w:r>
        <w:rPr>
          <w:b/>
          <w:noProof/>
        </w:rPr>
        <w:t xml:space="preserve">счита за несътрудничеща </w:t>
      </w:r>
      <w:r>
        <w:rPr>
          <w:noProof/>
        </w:rPr>
        <w:t>трета държава съгласно Регламента относно ННН риболов.</w:t>
      </w:r>
    </w:p>
    <w:p>
      <w:pPr>
        <w:spacing w:after="240"/>
        <w:rPr>
          <w:rFonts w:eastAsia="Times New Roman"/>
          <w:noProof/>
        </w:rPr>
      </w:pPr>
      <w:r>
        <w:rPr>
          <w:noProof/>
        </w:rPr>
        <w:t xml:space="preserve">Приложеното предложение за решение за изпълнение на Съвета се основава на констатациите, които потвърдиха, че Сейнт Винсънт и Гренадини не е изпълнила задълженията, които има съгласно международното право като държава на знамето, пристанищна държава, крайбрежна държава или държава на пазара. </w:t>
      </w:r>
    </w:p>
    <w:p>
      <w:pPr>
        <w:spacing w:after="240"/>
        <w:rPr>
          <w:rFonts w:eastAsia="Times New Roman"/>
          <w:noProof/>
        </w:rPr>
      </w:pPr>
      <w:r>
        <w:rPr>
          <w:noProof/>
        </w:rPr>
        <w:t>Поради това се предлага Съветът да приеме приложеното предложение за решение.</w:t>
      </w:r>
    </w:p>
    <w:p>
      <w:pPr>
        <w:spacing w:after="240"/>
        <w:rPr>
          <w:rFonts w:eastAsia="Times New Roman"/>
          <w:b/>
          <w:noProof/>
        </w:rPr>
      </w:pPr>
      <w:r>
        <w:rPr>
          <w:b/>
          <w:noProof/>
        </w:rPr>
        <w:t>Правно основание</w:t>
      </w:r>
    </w:p>
    <w:p>
      <w:pPr>
        <w:spacing w:after="240"/>
        <w:rPr>
          <w:rFonts w:eastAsia="Times New Roman"/>
          <w:noProof/>
        </w:rPr>
      </w:pPr>
      <w:r>
        <w:rPr>
          <w:noProof/>
        </w:rPr>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w:t>
      </w:r>
    </w:p>
    <w:p>
      <w:pPr>
        <w:spacing w:after="240"/>
        <w:rPr>
          <w:rFonts w:eastAsia="Times New Roman"/>
          <w:b/>
          <w:noProof/>
        </w:rPr>
      </w:pPr>
      <w:r>
        <w:rPr>
          <w:b/>
          <w:noProof/>
        </w:rPr>
        <w:t>Принцип на субсидиарност</w:t>
      </w:r>
    </w:p>
    <w:p>
      <w:pPr>
        <w:spacing w:after="240"/>
        <w:rPr>
          <w:rFonts w:eastAsia="Times New Roman"/>
          <w:noProof/>
        </w:rPr>
      </w:pPr>
      <w:r>
        <w:rPr>
          <w:noProof/>
        </w:rPr>
        <w:t>Предложението попада в обхвата на изключителната компетентност на Европейския съюз. Следователно принципът на субсидиарност не се прилага.</w:t>
      </w:r>
    </w:p>
    <w:p>
      <w:pPr>
        <w:spacing w:after="240"/>
        <w:rPr>
          <w:rFonts w:eastAsia="Times New Roman"/>
          <w:b/>
          <w:noProof/>
        </w:rPr>
      </w:pPr>
      <w:r>
        <w:rPr>
          <w:b/>
          <w:noProof/>
        </w:rPr>
        <w:t>Принцип на пропорционалност</w:t>
      </w:r>
    </w:p>
    <w:p>
      <w:pPr>
        <w:spacing w:after="240"/>
        <w:rPr>
          <w:rFonts w:eastAsia="Times New Roman"/>
          <w:noProof/>
        </w:rPr>
      </w:pPr>
      <w:r>
        <w:rPr>
          <w:noProof/>
        </w:rPr>
        <w:t>Настоящото предложение е в съответствие с принципа на пропорционалност поради следните причини:</w:t>
      </w:r>
    </w:p>
    <w:p>
      <w:pPr>
        <w:spacing w:after="240"/>
        <w:rPr>
          <w:rFonts w:eastAsia="Times New Roman"/>
          <w:noProof/>
        </w:rPr>
      </w:pPr>
      <w:r>
        <w:rPr>
          <w:noProof/>
        </w:rPr>
        <w:t>Формата на действието е посочена в Регламента относно ННН риболов и не оставя възможност за решение на национално равнище.</w:t>
      </w:r>
    </w:p>
    <w:p>
      <w:pPr>
        <w:spacing w:after="240"/>
        <w:rPr>
          <w:rFonts w:eastAsia="Times New Roman"/>
          <w:noProof/>
        </w:rPr>
      </w:pPr>
      <w:r>
        <w:rPr>
          <w:noProof/>
        </w:rPr>
        <w:t>Не е приложимо да се посочва как финансовата и административната тежест върху Съюза, националните правителства, регионалните и местните органи, стопанските субекти и гражданите е сведена до минимум и е пропорционална на целта на предложението.</w:t>
      </w:r>
    </w:p>
    <w:p>
      <w:pPr>
        <w:spacing w:after="240"/>
        <w:rPr>
          <w:rFonts w:eastAsia="Times New Roman"/>
          <w:b/>
          <w:noProof/>
        </w:rPr>
      </w:pPr>
      <w:r>
        <w:rPr>
          <w:b/>
          <w:noProof/>
        </w:rPr>
        <w:t>Избор на инструменти</w:t>
      </w:r>
    </w:p>
    <w:p>
      <w:pPr>
        <w:spacing w:after="240"/>
        <w:rPr>
          <w:rFonts w:eastAsia="Times New Roman"/>
          <w:noProof/>
        </w:rPr>
      </w:pPr>
      <w:r>
        <w:rPr>
          <w:noProof/>
        </w:rPr>
        <w:t>Предлагани инструменти: решение.</w:t>
      </w:r>
    </w:p>
    <w:p>
      <w:pPr>
        <w:spacing w:after="240"/>
        <w:rPr>
          <w:rFonts w:eastAsia="Times New Roman"/>
          <w:noProof/>
        </w:rPr>
      </w:pPr>
      <w:r>
        <w:rPr>
          <w:noProof/>
        </w:rPr>
        <w:t>Други средства не биха били подходящи поради следната причина:</w:t>
      </w:r>
    </w:p>
    <w:p>
      <w:pPr>
        <w:rPr>
          <w:noProof/>
        </w:rPr>
      </w:pPr>
      <w:r>
        <w:rPr>
          <w:noProof/>
        </w:rPr>
        <w:t>Други средства не биха били подходящи, тъй като Регламентът относно ННН риболов не предвижда други възможности.</w:t>
      </w:r>
    </w:p>
    <w:p>
      <w:pPr>
        <w:pStyle w:val="ManualHeading1"/>
        <w:rPr>
          <w:noProof/>
        </w:rPr>
      </w:pPr>
      <w:r>
        <w:rPr>
          <w:noProof/>
        </w:rPr>
        <w:t>4.</w:t>
      </w:r>
      <w:r>
        <w:rPr>
          <w:noProof/>
        </w:rPr>
        <w:tab/>
        <w:t xml:space="preserve">ОТРАЖЕНИЕ ВЪРХУ БЮДЖЕТА </w:t>
      </w:r>
    </w:p>
    <w:p>
      <w:pPr>
        <w:rPr>
          <w:rFonts w:eastAsia="Times New Roman"/>
          <w:noProof/>
        </w:rPr>
      </w:pPr>
      <w:r>
        <w:rPr>
          <w:noProof/>
        </w:rPr>
        <w:t>Предложението няма отражение върху бюджета на Съюза.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2017/0101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2014/170/ЕС за съставяне на списък на несътрудничещи трети държави в борбата с незаконния, недеклариран и нерегулиран риболов по отношение на Сейнт Винсънт и Гренадини</w:t>
      </w:r>
    </w:p>
    <w:p>
      <w:pPr>
        <w:pStyle w:val="Institutionquiagit"/>
        <w:rPr>
          <w:noProof/>
        </w:rPr>
      </w:pPr>
      <w:r>
        <w:rPr>
          <w:noProof/>
        </w:rPr>
        <w:t>СЪВЕТЪТ НА ЕВРОПЕЙСКИЯ СЪЮЗ,</w:t>
      </w:r>
    </w:p>
    <w:p>
      <w:pPr>
        <w:rPr>
          <w:rFonts w:eastAsia="Times New Roman"/>
          <w:noProof/>
        </w:rPr>
      </w:pPr>
      <w:r>
        <w:rPr>
          <w:noProof/>
        </w:rPr>
        <w:t xml:space="preserve">като взе предвид Договора за функционирането на Европейския съюз, </w:t>
      </w:r>
    </w:p>
    <w:p>
      <w:pPr>
        <w:rPr>
          <w:rFonts w:eastAsia="Times New Roman"/>
          <w:noProof/>
        </w:rPr>
      </w:pPr>
      <w:r>
        <w:rPr>
          <w:noProof/>
        </w:rPr>
        <w:t>като взе предвид 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Pr>
          <w:rStyle w:val="FootnoteReference"/>
          <w:noProof/>
        </w:rPr>
        <w:footnoteReference w:id="2"/>
      </w:r>
      <w:r>
        <w:rPr>
          <w:noProof/>
        </w:rPr>
        <w:t>, и по-специално член 33 от него,</w:t>
      </w:r>
    </w:p>
    <w:p>
      <w:pPr>
        <w:rPr>
          <w:rFonts w:eastAsia="Times New Roman"/>
          <w:noProof/>
        </w:rPr>
      </w:pPr>
      <w:r>
        <w:rPr>
          <w:noProof/>
        </w:rPr>
        <w:t xml:space="preserve">като взе предвид предложението на Европейската комисия, </w:t>
      </w:r>
    </w:p>
    <w:p>
      <w:pPr>
        <w:rPr>
          <w:rFonts w:eastAsia="Times New Roman"/>
          <w:noProof/>
        </w:rPr>
      </w:pPr>
      <w:r>
        <w:rPr>
          <w:noProof/>
        </w:rPr>
        <w:t>като има предвид, че:</w:t>
      </w:r>
    </w:p>
    <w:p>
      <w:pPr>
        <w:pStyle w:val="ManualNumPar1"/>
        <w:rPr>
          <w:noProof/>
        </w:rPr>
      </w:pPr>
      <w:r>
        <w:t>1.</w:t>
      </w:r>
      <w:r>
        <w:tab/>
      </w:r>
      <w:r>
        <w:rPr>
          <w:noProof/>
        </w:rPr>
        <w:t>ВЪВЕДЕНИЕ</w:t>
      </w:r>
    </w:p>
    <w:p>
      <w:pPr>
        <w:pStyle w:val="ManualConsidrant"/>
        <w:rPr>
          <w:noProof/>
        </w:rPr>
      </w:pPr>
      <w:r>
        <w:t>(1)</w:t>
      </w:r>
      <w:r>
        <w:tab/>
      </w:r>
      <w:r>
        <w:rPr>
          <w:noProof/>
        </w:rPr>
        <w:t>С Регламент (ЕО) № 1005/2008 (наричан по-долу „Регламентът относно ННН риболов“) се създава система на Съюза за предотвратяване, възпиране и премахване на незаконния, недеклариран и нерегулиран (ННН) риболов.</w:t>
      </w:r>
    </w:p>
    <w:p>
      <w:pPr>
        <w:pStyle w:val="ManualConsidrant"/>
        <w:rPr>
          <w:noProof/>
        </w:rPr>
      </w:pPr>
      <w:r>
        <w:t>(2)</w:t>
      </w:r>
      <w:r>
        <w:tab/>
      </w:r>
      <w:r>
        <w:rPr>
          <w:noProof/>
        </w:rPr>
        <w:t>В глава VI от Регламента относно ННН риболов се посочват процедурата за определяне на несътрудничещите трети държави, действията, които се предприемат спрямо държавите, определени като несътрудничещи трети държави, съставянето на списък на несътрудничещите трети държави, заличаването от списъка на несътрудничещите трети държави, оповестяването на списъка на несътрудничещите трети държави и всички извънредни мерки.</w:t>
      </w:r>
    </w:p>
    <w:p>
      <w:pPr>
        <w:pStyle w:val="ManualConsidrant"/>
        <w:rPr>
          <w:noProof/>
        </w:rPr>
      </w:pPr>
      <w:r>
        <w:t>(3)</w:t>
      </w:r>
      <w:r>
        <w:tab/>
      </w:r>
      <w:r>
        <w:rPr>
          <w:noProof/>
        </w:rPr>
        <w:t>На 24 март 2014 г. Съветът прие Решение за изпълнение 2014/170/EС за съставяне на списък на несътрудничещи трети държави в борбата с ННН риболов съгласно Регламент (ЕО) № 1005/2008 за създаване на система на Общността за предотвратяване, възпиране и премахване на незаконния, недеклариран и нерегулиран риболов.</w:t>
      </w:r>
    </w:p>
    <w:p>
      <w:pPr>
        <w:pStyle w:val="ManualConsidrant"/>
        <w:rPr>
          <w:noProof/>
        </w:rPr>
      </w:pPr>
      <w:r>
        <w:t>(4)</w:t>
      </w:r>
      <w:r>
        <w:tab/>
      </w:r>
      <w:r>
        <w:rPr>
          <w:noProof/>
        </w:rPr>
        <w:t>В съответствие с член 32 от Регламента относно ННН риболов, с Решение от 12 декември 2014 г. („Решението от 12 декември 2014 г.“)</w:t>
      </w:r>
      <w:r>
        <w:rPr>
          <w:rStyle w:val="FootnoteReference"/>
          <w:noProof/>
        </w:rPr>
        <w:footnoteReference w:id="3"/>
      </w:r>
      <w:r>
        <w:rPr>
          <w:noProof/>
        </w:rPr>
        <w:t xml:space="preserve"> Комисията уведоми Сейнт Винсънт и Гренадини за възможността да бъде определена като държава, считана от Комисията за несътрудничеща трета държава.</w:t>
      </w:r>
    </w:p>
    <w:p>
      <w:pPr>
        <w:pStyle w:val="ManualConsidrant"/>
        <w:rPr>
          <w:noProof/>
        </w:rPr>
      </w:pPr>
      <w:r>
        <w:t>(5)</w:t>
      </w:r>
      <w:r>
        <w:tab/>
      </w:r>
      <w:r>
        <w:rPr>
          <w:noProof/>
        </w:rPr>
        <w:t>В Решението от 12 декември 2014 г. Комисията включи информацията относно съществените факти и съображения, мотивиращи това предварително определяне.</w:t>
      </w:r>
    </w:p>
    <w:p>
      <w:pPr>
        <w:pStyle w:val="ManualConsidrant"/>
        <w:rPr>
          <w:noProof/>
        </w:rPr>
      </w:pPr>
      <w:r>
        <w:t>(6)</w:t>
      </w:r>
      <w:r>
        <w:tab/>
      </w:r>
      <w:r>
        <w:rPr>
          <w:noProof/>
        </w:rPr>
        <w:t>Решението беше съобщено на Сейнт Винсънт и Гренадини заедно с писмо, в което се предлага на Сейнт Винсънт и Гренадини да приложи, в тясно сътрудничество с Комисията, план за действие за отстраняване на установените недостатъци.</w:t>
      </w:r>
    </w:p>
    <w:p>
      <w:pPr>
        <w:pStyle w:val="ManualConsidrant"/>
        <w:rPr>
          <w:noProof/>
        </w:rPr>
      </w:pPr>
      <w:r>
        <w:t>(7)</w:t>
      </w:r>
      <w:r>
        <w:tab/>
      </w:r>
      <w:r>
        <w:rPr>
          <w:noProof/>
        </w:rPr>
        <w:t xml:space="preserve">Комисията прикани Сейнт Винсънт и Гренадини по-специално i) да предприеме всички необходими мерки за изпълнението на действията, които се съдържат в плана за действие, предложен от Комисията; ii) да оцени изпълнението на действията, които се съдържат в плана за действие, предложен от Комисията; и iii) да изпраща на всеки шест месеца на Комисията подробен доклад с оценка на изпълнението на всяко действие по отношение на, </w:t>
      </w:r>
      <w:r>
        <w:rPr>
          <w:i/>
          <w:noProof/>
        </w:rPr>
        <w:t>inter alia</w:t>
      </w:r>
      <w:r>
        <w:rPr>
          <w:noProof/>
        </w:rPr>
        <w:t>, неговата индивидуална и/или обща ефективност при осигуряването на напълно съответстваща на изискванията система за контрол на рибарството.</w:t>
      </w:r>
    </w:p>
    <w:p>
      <w:pPr>
        <w:pStyle w:val="ManualConsidrant"/>
        <w:rPr>
          <w:noProof/>
        </w:rPr>
      </w:pPr>
      <w:r>
        <w:t>(8)</w:t>
      </w:r>
      <w:r>
        <w:tab/>
      </w:r>
      <w:r>
        <w:rPr>
          <w:noProof/>
        </w:rPr>
        <w:t>На Сейнт Винсънт и Гренадини беше дадена възможност да отговори на Решението от 12 декември 2014 г., както и на друга свързана информация, съобщена от Комисията, като по този начин Сейнт Винсънт и Гренадини имаше възможност да представи доказателства, които опровергават или допълват фактите, посочени в Решението от 12 декември 2014 г. На Сейнт Винсънт и Гренадини беше гарантирано правото да поиска или да представи допълнителна информация.</w:t>
      </w:r>
    </w:p>
    <w:p>
      <w:pPr>
        <w:pStyle w:val="ManualConsidrant"/>
        <w:rPr>
          <w:noProof/>
        </w:rPr>
      </w:pPr>
      <w:r>
        <w:t>(9)</w:t>
      </w:r>
      <w:r>
        <w:tab/>
      </w:r>
      <w:r>
        <w:rPr>
          <w:noProof/>
        </w:rPr>
        <w:t>Със своето решение и писмо от 12 декември 2014 г. Комисията започна процес на диалог със Сейнт Винсънт и Гренадини и подчерта, че според нея шестмесечен период е по принцип достатъчен за постигането на споразумение.</w:t>
      </w:r>
    </w:p>
    <w:p>
      <w:pPr>
        <w:pStyle w:val="ManualConsidrant"/>
        <w:rPr>
          <w:noProof/>
        </w:rPr>
      </w:pPr>
      <w:r>
        <w:t>(10)</w:t>
      </w:r>
      <w:r>
        <w:tab/>
      </w:r>
      <w:r>
        <w:rPr>
          <w:noProof/>
        </w:rPr>
        <w:t>Комисията продължи да събира и проверява цялата информация, която счете за необходима. Устните и писмените коментари, представени от Сейнт Винсънт и Гренадини след Решението от 12 декември 2014 г., бяха разгледани и взети под внимание. Сейнт Винсънт и Гренадини беше редовно информирана устно или писмено за обсъжданията на Комисията.</w:t>
      </w:r>
    </w:p>
    <w:p>
      <w:pPr>
        <w:pStyle w:val="ManualConsidrant"/>
        <w:rPr>
          <w:noProof/>
        </w:rPr>
      </w:pPr>
      <w:r>
        <w:t>(11)</w:t>
      </w:r>
      <w:r>
        <w:tab/>
      </w:r>
      <w:r>
        <w:rPr>
          <w:noProof/>
        </w:rPr>
        <w:t xml:space="preserve">Комисията обаче бе на мнение, че проблемните области и недостатъците, описани в Решението от 12 декември 2014 г., не са взети под внимание в достатъчна степен от Сейнт Винсънт и Гренадини. Освен това Комисията заключи, че мерките от плана за действие не са били изцяло изпълнени. Вследствие на това Комисията прие Решение за изпълнение </w:t>
      </w:r>
      <w:r>
        <w:rPr>
          <w:noProof/>
          <w:highlight w:val="yellow"/>
        </w:rPr>
        <w:t>2017/xxx/ЕС</w:t>
      </w:r>
      <w:r>
        <w:rPr>
          <w:rStyle w:val="FootnoteReference"/>
          <w:noProof/>
          <w:highlight w:val="yellow"/>
        </w:rPr>
        <w:footnoteReference w:id="4"/>
      </w:r>
      <w:r>
        <w:rPr>
          <w:noProof/>
        </w:rPr>
        <w:t xml:space="preserve"> за определяне на Сейнт Винсънт и Гренадини като несътрудничеща трета държава в борбата с ННН риболов.</w:t>
      </w:r>
    </w:p>
    <w:p>
      <w:pPr>
        <w:pStyle w:val="ManualConsidrant"/>
        <w:rPr>
          <w:noProof/>
        </w:rPr>
      </w:pPr>
      <w:r>
        <w:t>(12)</w:t>
      </w:r>
      <w:r>
        <w:tab/>
      </w:r>
      <w:r>
        <w:rPr>
          <w:noProof/>
        </w:rPr>
        <w:t xml:space="preserve">Въз основа на проведените от Комисията разследвания и диалози, включително разменената кореспонденция и проведените срещи, както и мотивите, на които се основават Решението от 12 декември 2014 г. и Решение за изпълнение </w:t>
      </w:r>
      <w:r>
        <w:rPr>
          <w:noProof/>
          <w:highlight w:val="yellow"/>
        </w:rPr>
        <w:t>2017/xxx/ЕС</w:t>
      </w:r>
      <w:r>
        <w:rPr>
          <w:noProof/>
        </w:rPr>
        <w:t>, е целесъобразно да се включи Сейнт Винсънт и Гренадини в списъка на несътрудничещите трети държави в борбата с ННН риболов.</w:t>
      </w:r>
    </w:p>
    <w:p>
      <w:pPr>
        <w:pStyle w:val="ManualConsidrant"/>
        <w:rPr>
          <w:noProof/>
        </w:rPr>
      </w:pPr>
      <w:r>
        <w:t>(13)</w:t>
      </w:r>
      <w:r>
        <w:tab/>
      </w:r>
      <w:r>
        <w:rPr>
          <w:noProof/>
        </w:rPr>
        <w:t>Съгласно член 34, параграф 1 от Регламента относно ННН риболов Съветът, като действа с квалифицирано мнозинство по предложение на Комисията, следва да заличи дадена трета държава от списъка на несътрудничещите трети държави, ако съответната държава докаже, че положението, дало основание за включването ѝ в списъка, е коригирано. При решението за заличаване трябва да се отчита и това дали съответните определени трети държави са предприели конкретни мерки, които могат да доведат до трайно подобряване на положението.</w:t>
      </w:r>
    </w:p>
    <w:p>
      <w:pPr>
        <w:pStyle w:val="Point0"/>
        <w:rPr>
          <w:b/>
          <w:noProof/>
        </w:rPr>
      </w:pPr>
      <w:r>
        <w:rPr>
          <w:b/>
          <w:noProof/>
        </w:rPr>
        <w:t>2.</w:t>
      </w:r>
      <w:r>
        <w:rPr>
          <w:noProof/>
        </w:rPr>
        <w:tab/>
      </w:r>
      <w:r>
        <w:rPr>
          <w:b/>
          <w:noProof/>
        </w:rPr>
        <w:t>ПРОЦЕДУРА ПО ОТНОШЕНИЕ НА СЕЙНТ ВИНСЪНТ И ГРЕНАДИНИ</w:t>
      </w:r>
    </w:p>
    <w:p>
      <w:pPr>
        <w:pStyle w:val="ManualConsidrant"/>
        <w:rPr>
          <w:noProof/>
        </w:rPr>
      </w:pPr>
      <w:r>
        <w:t>(14)</w:t>
      </w:r>
      <w:r>
        <w:tab/>
      </w:r>
      <w:r>
        <w:rPr>
          <w:noProof/>
        </w:rPr>
        <w:t>На 12 декември 2014 г. Комисията уведоми Сейнт Винсънт и Гренадини съгласно член 32 от Регламента относно ННН риболов, че разглежда възможността да я определи за несътрудничеща трета държава и я прикани да приложи, в тясно сътрудничество със службите на Комисията, план за действие за отстраняване на недостатъците, установени в Решението от 12 декември 2014 г. След посоченото решение Сейнт Винсънт и Гренадини предостави в писмен вид своите виждания и се срещна с Комисията, за да обсъди съответните въпроси. Комисията предостави писмено съответната информация на Сейнт Винсънт и Гренадини. Комисията продължи да събира и проверява цялата информация, която счете за необходима. Устните и писмените коментари, представени от Сейнт Винсънт и Гренадини след Решението от 12 декември 2014 г., бяха разгледани и взети под внимание, а Сейнт Винсънт и Гренадини беше редовно информирана устно или писмено за обсъжданията на Комисията. Комисията бе на мнение, че проблемните области и недостатъците, описани в Решението от 12 декември 2014 г., не са взети под внимание в достатъчна степен от Сейнт Винсънт и Гренадини. Освен това Комисията заключи, че мерките, предложени в плана за действие, не са били изцяло изпълнени.</w:t>
      </w:r>
    </w:p>
    <w:p>
      <w:pPr>
        <w:pStyle w:val="Point0"/>
        <w:rPr>
          <w:b/>
          <w:noProof/>
        </w:rPr>
      </w:pPr>
      <w:r>
        <w:rPr>
          <w:b/>
          <w:noProof/>
        </w:rPr>
        <w:t>3.</w:t>
      </w:r>
      <w:r>
        <w:rPr>
          <w:noProof/>
        </w:rPr>
        <w:tab/>
      </w:r>
      <w:r>
        <w:rPr>
          <w:b/>
          <w:noProof/>
        </w:rPr>
        <w:t>ОПРЕДЕЛЯНЕ НА СЕЙНТ ВИНСЪНТ И ГРЕНАДИНИ ЗА НЕСЪТРУДНИЧЕЩА ТРЕТА ДЪРЖАВА</w:t>
      </w:r>
    </w:p>
    <w:p>
      <w:pPr>
        <w:pStyle w:val="ManualConsidrant"/>
        <w:rPr>
          <w:noProof/>
        </w:rPr>
      </w:pPr>
      <w:r>
        <w:t>(15)</w:t>
      </w:r>
      <w:r>
        <w:tab/>
      </w:r>
      <w:r>
        <w:rPr>
          <w:noProof/>
        </w:rPr>
        <w:t>В Решението от 12 декември 2014 г. Комисията анализира задълженията на Сейнт Винсънт и Гренадини и оцени изпълнението от нейна страна на международните ѝ задължения като държава на знамето, пристанищна държава, крайбрежна държава или държава на пазара. За целите на този преглед Комисията взе предвид параметрите, изброени в член 31, параграфи 4—7 от Регламента относно ННН риболов.</w:t>
      </w:r>
    </w:p>
    <w:p>
      <w:pPr>
        <w:pStyle w:val="ManualConsidrant"/>
        <w:rPr>
          <w:noProof/>
        </w:rPr>
      </w:pPr>
      <w:r>
        <w:t>(16)</w:t>
      </w:r>
      <w:r>
        <w:tab/>
      </w:r>
      <w:r>
        <w:rPr>
          <w:noProof/>
        </w:rPr>
        <w:t>Комисията направи преглед на изпълнението от страна на Сейнт Винсънт и Гренадини в съответствие с констатациите в Решението от 12 декември 2014 г. и като взе предвид съответната информация, предоставена в тази връзка от Сейнт Винсънт и Гренадини, предложения план за действие, както и предприетите мерки за коригиране на положението.</w:t>
      </w:r>
    </w:p>
    <w:p>
      <w:pPr>
        <w:pStyle w:val="ManualConsidrant"/>
        <w:rPr>
          <w:noProof/>
        </w:rPr>
      </w:pPr>
      <w:r>
        <w:t>(17)</w:t>
      </w:r>
      <w:r>
        <w:tab/>
      </w:r>
      <w:r>
        <w:rPr>
          <w:noProof/>
        </w:rPr>
        <w:t>Основните недостатъци, посочени от Комисията в предложения план за действие, се отнасяха до няколко случая на неизпълнение на задължения съгласно международното право, свързани по-специално с неприемането на подходяща правна рамка, липсата на адекватна и ефикасна система за наблюдение, липсата на схема за наблюдатели и липсата на система за възпиращи санкции. Другите установени недостатъци се отнасят, в по-общ план, до спазването на международните задължения, включително и на препоръките и резолюциите на регионалните организации за управление на рибарството, както и на условията за регистрация на корабите в съответствие с международното право. Беше установено също така неспазване на препоръките и резолюциите от съответните органи, като например Международния план за действие срещу незаконния, недеклариран и нерегулиран риболов и Насоките на Организацията на обединените нации относно действията на държавите на знамето. Въпреки това неспазването на незадължителните препоръки и резолюции бе отчетено само като подкрепящо доказателство, а не като основание за определянето.</w:t>
      </w:r>
    </w:p>
    <w:p>
      <w:pPr>
        <w:pStyle w:val="ManualConsidrant"/>
        <w:rPr>
          <w:noProof/>
        </w:rPr>
      </w:pPr>
      <w:r>
        <w:t>(18)</w:t>
      </w:r>
      <w:r>
        <w:tab/>
      </w:r>
      <w:r>
        <w:rPr>
          <w:noProof/>
        </w:rPr>
        <w:t xml:space="preserve">В Решение за изпълнение </w:t>
      </w:r>
      <w:r>
        <w:rPr>
          <w:noProof/>
          <w:highlight w:val="yellow"/>
        </w:rPr>
        <w:t>2017/xxx/ЕС</w:t>
      </w:r>
      <w:r>
        <w:rPr>
          <w:noProof/>
        </w:rPr>
        <w:t xml:space="preserve"> Комисията определи Сейнт Винсънт и Гренадини за несътрудничеща трета държава съгласно Регламента относно ННН риболов.</w:t>
      </w:r>
    </w:p>
    <w:p>
      <w:pPr>
        <w:pStyle w:val="ManualConsidrant"/>
        <w:rPr>
          <w:noProof/>
        </w:rPr>
      </w:pPr>
      <w:r>
        <w:t>(19)</w:t>
      </w:r>
      <w:r>
        <w:tab/>
      </w:r>
      <w:r>
        <w:rPr>
          <w:noProof/>
        </w:rPr>
        <w:t>По отношение на възможните ограничения за Сейнт Винсънт и Гренадини като развиваща се държава следва да се отбележи, че специфичното състояние на развитие и цялостната дейност на Сейнт Винсънт и Гренадини по отношение на рибарството не са влошени от общото ѝ равнище на развитие.</w:t>
      </w:r>
    </w:p>
    <w:p>
      <w:pPr>
        <w:pStyle w:val="ManualConsidrant"/>
        <w:rPr>
          <w:noProof/>
          <w:highlight w:val="yellow"/>
        </w:rPr>
      </w:pPr>
      <w:r>
        <w:t>(20)</w:t>
      </w:r>
      <w:r>
        <w:tab/>
      </w:r>
      <w:r>
        <w:rPr>
          <w:noProof/>
        </w:rPr>
        <w:t xml:space="preserve">Като се вземат предвид Решението от 12 декември 2014 г. и Решение за изпълнение </w:t>
      </w:r>
      <w:r>
        <w:rPr>
          <w:noProof/>
          <w:highlight w:val="yellow"/>
        </w:rPr>
        <w:t>2017/xxx/ЕС</w:t>
      </w:r>
      <w:r>
        <w:rPr>
          <w:noProof/>
        </w:rPr>
        <w:t xml:space="preserve"> от 23 май 2017 г., както и проведеният с Комисията процес на диалог със Сейнт Винсънт и Гренадини и резултатът от него, може да се заключи, че действията, предприети от Сейнт Винсънт и Гренадини по отношение на нейните задължения като държава на знамето, не са достатъчни за спазването на членове 63, 64, 91, 94 и 117 от Конвенцията на Организацията на обединените нации по морско право, членове 7, 18, 19, 20 и 23 от Споразумението на ООН относно прилагането на разпоредбите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(UNFSA), и член III, параграф 8 от Споразумението на ООН за насърчаване на спазването на международните мерки за опазване и управление от риболовните кораби в открито море.</w:t>
      </w:r>
    </w:p>
    <w:p>
      <w:pPr>
        <w:pStyle w:val="ManualConsidrant"/>
        <w:rPr>
          <w:noProof/>
        </w:rPr>
      </w:pPr>
      <w:r>
        <w:t>(21)</w:t>
      </w:r>
      <w:r>
        <w:tab/>
      </w:r>
      <w:r>
        <w:rPr>
          <w:noProof/>
        </w:rPr>
        <w:t>Следователно Сейнт Винсънт и Гренадини не е изпълнила своите задължения съгласно международното право като държава на знамето да предприема действия за предотвратяване, възпиране и премахване на ННН риболов.</w:t>
      </w:r>
    </w:p>
    <w:p>
      <w:pPr>
        <w:pStyle w:val="Point0"/>
        <w:rPr>
          <w:b/>
          <w:noProof/>
        </w:rPr>
      </w:pPr>
      <w:r>
        <w:rPr>
          <w:b/>
          <w:noProof/>
        </w:rPr>
        <w:t>4.</w:t>
      </w:r>
      <w:r>
        <w:rPr>
          <w:noProof/>
        </w:rPr>
        <w:tab/>
      </w:r>
      <w:r>
        <w:rPr>
          <w:b/>
          <w:noProof/>
        </w:rPr>
        <w:t>СЪСТАВЯНЕ НА СПИСЪК НА НЕСЪТРУДНИЧЕЩИ ТРЕТИ ДЪРЖАВИ</w:t>
      </w:r>
    </w:p>
    <w:p>
      <w:pPr>
        <w:pStyle w:val="ManualConsidrant"/>
        <w:rPr>
          <w:noProof/>
        </w:rPr>
      </w:pPr>
      <w:r>
        <w:t>(22)</w:t>
      </w:r>
      <w:r>
        <w:tab/>
      </w:r>
      <w:r>
        <w:rPr>
          <w:noProof/>
        </w:rPr>
        <w:t>С оглед на достигнатите заключения по отношение на Сейнт Винсънт и Гренадини, в съответствие с член 33 от Регламента относно ННН риболов посочената държава следва да бъде добавена в списъка на несътрудничещите трети държави, съставен с Решение за изпълнение 2014/170/ЕС. Поради това Решение за изпълнение 2014/170/ЕС следва да бъде съответно изменено.</w:t>
      </w:r>
    </w:p>
    <w:p>
      <w:pPr>
        <w:pStyle w:val="ManualConsidrant"/>
        <w:rPr>
          <w:noProof/>
        </w:rPr>
      </w:pPr>
      <w:r>
        <w:t>(23)</w:t>
      </w:r>
      <w:r>
        <w:tab/>
      </w:r>
      <w:r>
        <w:rPr>
          <w:noProof/>
        </w:rPr>
        <w:t>Включването на Сейнт Винсънт и Гренадини в списъка на несътрудничещите държави в борбата срещу ННН риболов води до прилагането на мерките, предвидени в член 38 от Регламента относно ННН риболов. Съгласно член 38, точка 1 от Регламента относно ННН риболов се предвижда забрана на вноса на рибни продукти, уловени от риболовни кораби, плаващи под знамето на несътрудничещи държави. В случая със Сейнт Винсънт и Гренадини тази забрана следва да обхваща всички запаси и видове, определени в член 2, точка 8 от Регламента относно ННН риболов, тъй като липсата на приети подходящи мерки във връзка с ННН риболов, водеща до определянето на Сейнт Винсънт и Гренадини като несътрудничеща трета държава, не се ограничава до даден запас или вид.</w:t>
      </w:r>
    </w:p>
    <w:p>
      <w:pPr>
        <w:pStyle w:val="ManualConsidrant"/>
        <w:rPr>
          <w:noProof/>
        </w:rPr>
      </w:pPr>
      <w:r>
        <w:t>(24)</w:t>
      </w:r>
      <w:r>
        <w:tab/>
      </w:r>
      <w:r>
        <w:rPr>
          <w:noProof/>
        </w:rPr>
        <w:t xml:space="preserve">Следва да се отбележи, че ННН риболовът, </w:t>
      </w:r>
      <w:r>
        <w:rPr>
          <w:i/>
          <w:noProof/>
        </w:rPr>
        <w:t>inter alia</w:t>
      </w:r>
      <w:r>
        <w:rPr>
          <w:noProof/>
        </w:rPr>
        <w:t xml:space="preserve">, намалява рибните запаси, унищожава морските местообитания, пречи на опазването и устойчивото използване на морските ресурси, нарушава конкуренцията, застрашава продоволствената сигурност, поставя добросъвестните рибари в неизгодно положение и отслабва крайбрежните общности. С оглед на обхвата на проблемите, свързани с ННН риболова, се счита за необходимо Съюзът да предприеме бързи действия по отношение на Сейнт Винсънт и Гренадини като несътрудничеща държава. Поради това настоящото решение следва да влезе в сила в деня след деня на публикуването му в </w:t>
      </w:r>
      <w:r>
        <w:rPr>
          <w:i/>
          <w:noProof/>
        </w:rPr>
        <w:t>Официален вестник на Европейския съюз</w:t>
      </w:r>
      <w:r>
        <w:rPr>
          <w:noProof/>
        </w:rPr>
        <w:t>.</w:t>
      </w:r>
    </w:p>
    <w:p>
      <w:pPr>
        <w:pStyle w:val="ManualConsidrant"/>
        <w:rPr>
          <w:noProof/>
        </w:rPr>
      </w:pPr>
      <w:r>
        <w:t>(25)</w:t>
      </w:r>
      <w:r>
        <w:tab/>
      </w:r>
      <w:r>
        <w:rPr>
          <w:noProof/>
        </w:rPr>
        <w:t>Ако Сейнт Винсънт и Гренадини докаже, че положението, дало основание за включването ѝ в списъка, е коригирано, Съветът, като действа с квалифицирано мнозинство по предложение на Комисията, следва да заличи Сейнт Винсънт и Гренадини от списъка на несътрудничещите трети държави в съответствие с член 34, параграф 1 от Регламента относно ННН риболов. При решението за заличаване следва да се отчита и това дали Сейнт Винсънт и Гренадини е предприела конкретни мерки, които могат да доведат до трайно подобряване на положението,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В приложението към Решение за изпълнение 2014/170/ЕС се добавя „Сейнт Винсънт и Гренадини“.</w:t>
      </w:r>
    </w:p>
    <w:p>
      <w:pPr>
        <w:pStyle w:val="Titrearticle"/>
        <w:rPr>
          <w:noProof/>
        </w:rPr>
      </w:pPr>
      <w:r>
        <w:rPr>
          <w:noProof/>
        </w:rPr>
        <w:t>Член 2</w:t>
      </w:r>
    </w:p>
    <w:p>
      <w:pPr>
        <w:keepNext/>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286, 29.10.2008 г., стр. 1.</w:t>
      </w:r>
    </w:p>
  </w:footnote>
  <w:footnote w:id="2">
    <w:p>
      <w:pPr>
        <w:pStyle w:val="FootnoteText"/>
      </w:pPr>
      <w:r>
        <w:rPr>
          <w:rStyle w:val="FootnoteReference"/>
        </w:rPr>
        <w:footnoteRef/>
      </w:r>
      <w:r>
        <w:tab/>
        <w:t>ОВ L 286, 29.10.2008 г., стр. 1.</w:t>
      </w:r>
    </w:p>
  </w:footnote>
  <w:footnote w:id="3">
    <w:p>
      <w:pPr>
        <w:pStyle w:val="FootnoteText"/>
      </w:pPr>
      <w:r>
        <w:rPr>
          <w:rStyle w:val="FootnoteReference"/>
        </w:rPr>
        <w:footnoteRef/>
      </w:r>
      <w:r>
        <w:tab/>
        <w:t xml:space="preserve">Решение на Комисията от 12 декември 2014 г. за уведомяване на трета държава, която Комисията счита за потенциално определима като несътрудничеща трета държава съгласно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 (ОВ C 453, 17.12.2014 г., стр. 5). </w:t>
      </w:r>
    </w:p>
  </w:footnote>
  <w:footnote w:id="4">
    <w:p>
      <w:pPr>
        <w:pStyle w:val="FootnoteText"/>
      </w:pPr>
      <w:r>
        <w:rPr>
          <w:rStyle w:val="FootnoteReference"/>
        </w:rPr>
        <w:footnoteRef/>
      </w:r>
      <w:r>
        <w:tab/>
        <w:t xml:space="preserve">Решение за изпълнение </w:t>
      </w:r>
      <w:r>
        <w:rPr>
          <w:highlight w:val="yellow"/>
        </w:rPr>
        <w:t>2017/xxx/ЕС на Комисията</w:t>
      </w:r>
      <w:r>
        <w:t xml:space="preserve"> от 23 май 2017 г. за определяне на Сейнт Винсънт и Гренадини за несътрудничеща трета държава в борбата с незаконния, недеклариран и нерегулиран риболов </w:t>
      </w:r>
      <w:r>
        <w:rPr>
          <w:highlight w:val="yellow"/>
        </w:rPr>
        <w:t>(ОВ L xx, дд.мммм.2017 г., стр. 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64E4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3C34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0086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09E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0A3B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28D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4CD558"/>
    <w:lvl w:ilvl="0">
      <w:start w:val="1"/>
      <w:numFmt w:val="decimal"/>
      <w:pStyle w:val="ListNumber"/>
      <w:lvlText w:val="%1."/>
      <w:lvlJc w:val="left"/>
      <w:pPr>
        <w:tabs>
          <w:tab w:val="num" w:pos="360"/>
        </w:tabs>
        <w:ind w:left="360" w:hanging="360"/>
      </w:pPr>
    </w:lvl>
  </w:abstractNum>
  <w:abstractNum w:abstractNumId="7">
    <w:nsid w:val="FFFFFF89"/>
    <w:multiLevelType w:val="singleLevel"/>
    <w:tmpl w:val="3FD2A7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6 10:28: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012E24E3886442F9620D363268DDDAD"/>
    <w:docVar w:name="LW_CROSSREFERENCE" w:val="&lt;UNUSED&gt;"/>
    <w:docVar w:name="LW_DocType" w:val="COM"/>
    <w:docVar w:name="LW_EMISSION" w:val="23.5.2017"/>
    <w:docVar w:name="LW_EMISSION_ISODATE" w:val="2017-05-23"/>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1"/>
    <w:docVar w:name="LW_REF.II.NEW.CP_YEAR" w:val="2017"/>
    <w:docVar w:name="LW_REF.INST.NEW" w:val="COM"/>
    <w:docVar w:name="LW_REF.INST.NEW_ADOPTED" w:val="final"/>
    <w:docVar w:name="LW_REF.INST.NEW_TEXT" w:val="(2017) 243"/>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4/170/\u1045?\u1057? \u1079?\u1072? \u1089?\u1098?\u1089?\u1090?\u1072?\u1074?\u1103?\u1085?\u1077? \u1085?\u1072? \u1089?\u1087?\u1080?\u1089?\u1098?\u1082? \u1085?\u1072? \u1085?\u1077?\u1089?\u1098?\u1090?\u1088?\u1091?\u1076?\u1085?\u1080?\u1095?\u1077?\u1097?\u1080? \u1090?\u1088?\u1077?\u1090?\u1080? \u1076?\u1098?\u1088?\u1078?\u1072?\u1074?\u1080? \u1074? \u1073?\u1086?\u1088?\u1073?\u1072?\u1090?\u1072? \u1089? \u1085?\u1077?\u1079?\u1072?\u1082?\u1086?\u1085?\u1085?\u1080?\u1103?, \u1085?\u1077?\u1076?\u1077?\u1082?\u1083?\u1072?\u1088?\u1080?\u1088?\u1072?\u1085? \u1080? \u1085?\u1077?\u1088?\u1077?\u1075?\u1091?\u1083?\u1080?\u1088?\u1072?\u1085? \u1088?\u1080?\u1073?\u1086?\u1083?\u1086?\u1074? \u1087?\u1086? \u1086?\u1090?\u1085?\u1086?\u1096?\u1077?\u1085?\u1080?\u1077? \u1085?\u1072? \u1057?\u1077?\u1081?\u1085?\u1090? \u1042?\u1080?\u1085?\u1089?\u1098?\u1085?\u1090? \u1080? \u1043?\u1088?\u1077?\u1085?\u1072?\u1076?\u1080?\u1085?\u108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1"/>
      </w:numPr>
      <w:contextualSpacing/>
    </w:pPr>
    <w:rPr>
      <w:rFonts w:eastAsia="Times New Roman"/>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1"/>
      </w:numPr>
      <w:contextualSpacing/>
    </w:pPr>
    <w:rPr>
      <w:rFonts w:eastAsia="Times New Roman"/>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16CD-11D0-497E-915F-0F774A59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2602</Words>
  <Characters>15096</Characters>
  <Application>Microsoft Office Word</Application>
  <DocSecurity>0</DocSecurity>
  <Lines>290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2017-01-30T15:52:00Z</cp:lastPrinted>
  <dcterms:created xsi:type="dcterms:W3CDTF">2017-05-12T15:14:00Z</dcterms:created>
  <dcterms:modified xsi:type="dcterms:W3CDTF">2017-05-16T08:28:00Z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