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07097C58B0142A38EC37412EDB0FC32" style="width:450.75pt;height:492.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ANNEXE</w:t>
      </w:r>
    </w:p>
    <w:tbl>
      <w:tblPr>
        <w:tblW w:w="9800" w:type="dxa"/>
        <w:tblInd w:w="93" w:type="dxa"/>
        <w:tblLook w:val="04A0" w:firstRow="1" w:lastRow="0" w:firstColumn="1" w:lastColumn="0" w:noHBand="0" w:noVBand="1"/>
      </w:tblPr>
      <w:tblGrid>
        <w:gridCol w:w="1120"/>
        <w:gridCol w:w="1003"/>
        <w:gridCol w:w="4955"/>
        <w:gridCol w:w="2722"/>
      </w:tblGrid>
      <w:tr>
        <w:trPr>
          <w:trHeight w:val="630"/>
        </w:trPr>
        <w:tc>
          <w:tcPr>
            <w:tcW w:w="1120" w:type="dxa"/>
            <w:tcBorders>
              <w:top w:val="single" w:sz="8" w:space="0" w:color="auto"/>
              <w:left w:val="single" w:sz="8" w:space="0" w:color="auto"/>
              <w:bottom w:val="single" w:sz="4" w:space="0" w:color="auto"/>
              <w:right w:val="single" w:sz="4" w:space="0" w:color="auto"/>
            </w:tcBorders>
            <w:shd w:val="clear" w:color="auto" w:fill="auto"/>
            <w:hideMark/>
          </w:tcPr>
          <w:p>
            <w:pPr>
              <w:spacing w:before="0" w:after="0"/>
              <w:jc w:val="left"/>
              <w:rPr>
                <w:rFonts w:eastAsia="Times New Roman"/>
                <w:b/>
                <w:bCs/>
                <w:noProof/>
                <w:szCs w:val="24"/>
              </w:rPr>
            </w:pPr>
            <w:r>
              <w:rPr>
                <w:b/>
                <w:noProof/>
              </w:rPr>
              <w:t>Règl. nº</w:t>
            </w:r>
          </w:p>
        </w:tc>
        <w:tc>
          <w:tcPr>
            <w:tcW w:w="1003"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Cs w:val="24"/>
              </w:rPr>
            </w:pPr>
            <w:r>
              <w:rPr>
                <w:b/>
                <w:noProof/>
              </w:rPr>
              <w:t>Point de l’ordre du jour</w:t>
            </w:r>
          </w:p>
        </w:tc>
        <w:tc>
          <w:tcPr>
            <w:tcW w:w="4955"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Cs w:val="24"/>
              </w:rPr>
            </w:pPr>
            <w:r>
              <w:rPr>
                <w:b/>
                <w:noProof/>
              </w:rPr>
              <w:t>Titre du point de l’ordre du jour</w:t>
            </w:r>
          </w:p>
        </w:tc>
        <w:tc>
          <w:tcPr>
            <w:tcW w:w="2722"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Cs w:val="24"/>
              </w:rPr>
            </w:pPr>
            <w:r>
              <w:rPr>
                <w:b/>
                <w:noProof/>
              </w:rPr>
              <w:t>Référence du document</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w:t>
            </w:r>
          </w:p>
        </w:tc>
        <w:tc>
          <w:tcPr>
            <w:tcW w:w="1003"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4.10.1</w:t>
            </w:r>
          </w:p>
        </w:tc>
        <w:tc>
          <w:tcPr>
            <w:tcW w:w="4955"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Proposition de complément 19 au règlement nº 4 (dispositifs d’éclairage de la plaque d’immatriculation arrière)</w:t>
            </w:r>
          </w:p>
        </w:tc>
        <w:tc>
          <w:tcPr>
            <w:tcW w:w="2722"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ECE/TRANS/WP.29/2017/72</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6</w:t>
            </w:r>
          </w:p>
        </w:tc>
        <w:tc>
          <w:tcPr>
            <w:tcW w:w="1003"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4.10.2</w:t>
            </w:r>
          </w:p>
        </w:tc>
        <w:tc>
          <w:tcPr>
            <w:tcW w:w="4955"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Proposition de complément 28 à la série 01 d’amendements au règlement nº 6 (feux indicateurs de direction)</w:t>
            </w:r>
          </w:p>
        </w:tc>
        <w:tc>
          <w:tcPr>
            <w:tcW w:w="2722"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ECE/TRANS/WP.29/2017/73</w:t>
            </w:r>
          </w:p>
        </w:tc>
      </w:tr>
      <w:tr>
        <w:trPr>
          <w:trHeight w:val="705"/>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6</w:t>
            </w:r>
          </w:p>
        </w:tc>
        <w:tc>
          <w:tcPr>
            <w:tcW w:w="1003"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4.10.3</w:t>
            </w:r>
          </w:p>
        </w:tc>
        <w:tc>
          <w:tcPr>
            <w:tcW w:w="4955"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Proposition de complément 29 à la série 01 d’amendements au règlement nº 6 (feux indicateurs de direction)</w:t>
            </w:r>
          </w:p>
        </w:tc>
        <w:tc>
          <w:tcPr>
            <w:tcW w:w="2722"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ECE/TRANS/WP.29/2017/74</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7</w:t>
            </w:r>
          </w:p>
        </w:tc>
        <w:tc>
          <w:tcPr>
            <w:tcW w:w="1003"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4.10.4</w:t>
            </w:r>
          </w:p>
        </w:tc>
        <w:tc>
          <w:tcPr>
            <w:tcW w:w="4955"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Proposition de complément 27 à la série 02 d’amendements au règlement nº 7 (feux de position, feux-stop et feux d’encombrement)</w:t>
            </w:r>
          </w:p>
        </w:tc>
        <w:tc>
          <w:tcPr>
            <w:tcW w:w="2722"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ECE/TRANS/WP.29/2017/75</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14</w:t>
            </w:r>
          </w:p>
        </w:tc>
        <w:tc>
          <w:tcPr>
            <w:tcW w:w="1003"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4.6.1</w:t>
            </w:r>
          </w:p>
        </w:tc>
        <w:tc>
          <w:tcPr>
            <w:tcW w:w="4955"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Proposition de complément 8 à la série 07 d’amendements au règlement nº 14 (ancrages de ceintures de sécurité)</w:t>
            </w:r>
          </w:p>
        </w:tc>
        <w:tc>
          <w:tcPr>
            <w:tcW w:w="2722"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ECE/TRANS/WP.29/2017/58</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16</w:t>
            </w:r>
          </w:p>
        </w:tc>
        <w:tc>
          <w:tcPr>
            <w:tcW w:w="1003"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4.6.2</w:t>
            </w:r>
          </w:p>
        </w:tc>
        <w:tc>
          <w:tcPr>
            <w:tcW w:w="4955"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Proposition de complément 9 à la série 06 d’amendements au règlement nº 16 (ceintures de sécurité)</w:t>
            </w:r>
          </w:p>
        </w:tc>
        <w:tc>
          <w:tcPr>
            <w:tcW w:w="2722"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ECE/TRANS/WP.29/2017/59</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16</w:t>
            </w:r>
          </w:p>
        </w:tc>
        <w:tc>
          <w:tcPr>
            <w:tcW w:w="1003"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4.6.3</w:t>
            </w:r>
          </w:p>
        </w:tc>
        <w:tc>
          <w:tcPr>
            <w:tcW w:w="4955"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Proposition de complément 1 à la série 07 d’amendements au règlement nº 16 (ceintures de sécurité)</w:t>
            </w:r>
          </w:p>
        </w:tc>
        <w:tc>
          <w:tcPr>
            <w:tcW w:w="2722"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ECE/TRANS/WP.29/2017/60</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19</w:t>
            </w:r>
          </w:p>
        </w:tc>
        <w:tc>
          <w:tcPr>
            <w:tcW w:w="1003"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4.10.5</w:t>
            </w:r>
          </w:p>
        </w:tc>
        <w:tc>
          <w:tcPr>
            <w:tcW w:w="4955"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Proposition de complément 10 à la série 04 d’amendements au règlement nº 19 (feux de brouillard avant)</w:t>
            </w:r>
          </w:p>
        </w:tc>
        <w:tc>
          <w:tcPr>
            <w:tcW w:w="2722"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ECE/TRANS/WP.29/2017/76</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23</w:t>
            </w:r>
          </w:p>
        </w:tc>
        <w:tc>
          <w:tcPr>
            <w:tcW w:w="1003"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4.10.6</w:t>
            </w:r>
          </w:p>
        </w:tc>
        <w:tc>
          <w:tcPr>
            <w:tcW w:w="4955"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Proposition de complément 22 au règlement nº 23 (feux de marche arrière et feux de manœuvre)</w:t>
            </w:r>
          </w:p>
        </w:tc>
        <w:tc>
          <w:tcPr>
            <w:tcW w:w="2722"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ECE/TRANS/WP.29/2017/77</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tcPr>
          <w:p>
            <w:pPr>
              <w:spacing w:before="0" w:after="0"/>
              <w:jc w:val="left"/>
              <w:rPr>
                <w:rFonts w:ascii="Times" w:eastAsia="Times New Roman" w:hAnsi="Times" w:cs="Times"/>
                <w:b/>
                <w:noProof/>
                <w:sz w:val="20"/>
                <w:szCs w:val="20"/>
              </w:rPr>
            </w:pPr>
            <w:r>
              <w:rPr>
                <w:rFonts w:ascii="Times" w:hAnsi="Times"/>
                <w:b/>
                <w:noProof/>
                <w:sz w:val="20"/>
              </w:rPr>
              <w:t>30</w:t>
            </w:r>
          </w:p>
        </w:tc>
        <w:tc>
          <w:tcPr>
            <w:tcW w:w="1003" w:type="dxa"/>
            <w:tcBorders>
              <w:top w:val="nil"/>
              <w:left w:val="nil"/>
              <w:bottom w:val="single" w:sz="4" w:space="0" w:color="auto"/>
              <w:right w:val="single" w:sz="4" w:space="0" w:color="auto"/>
            </w:tcBorders>
            <w:shd w:val="clear" w:color="auto" w:fill="auto"/>
            <w:noWrap/>
          </w:tcPr>
          <w:p>
            <w:pPr>
              <w:spacing w:before="0" w:after="0"/>
              <w:jc w:val="left"/>
              <w:rPr>
                <w:rFonts w:ascii="Times" w:eastAsia="Times New Roman" w:hAnsi="Times" w:cs="Times"/>
                <w:b/>
                <w:noProof/>
                <w:sz w:val="20"/>
                <w:szCs w:val="20"/>
              </w:rPr>
            </w:pPr>
            <w:r>
              <w:rPr>
                <w:rFonts w:ascii="Times" w:hAnsi="Times"/>
                <w:b/>
                <w:noProof/>
                <w:sz w:val="20"/>
              </w:rPr>
              <w:t>4.8.4</w:t>
            </w:r>
          </w:p>
        </w:tc>
        <w:tc>
          <w:tcPr>
            <w:tcW w:w="4955" w:type="dxa"/>
            <w:tcBorders>
              <w:top w:val="nil"/>
              <w:left w:val="nil"/>
              <w:bottom w:val="single" w:sz="4" w:space="0" w:color="auto"/>
              <w:right w:val="single" w:sz="4" w:space="0" w:color="auto"/>
            </w:tcBorders>
            <w:shd w:val="clear" w:color="auto" w:fill="auto"/>
          </w:tcPr>
          <w:p>
            <w:pPr>
              <w:spacing w:before="0" w:after="0"/>
              <w:jc w:val="left"/>
              <w:rPr>
                <w:rFonts w:ascii="Times" w:eastAsia="Times New Roman" w:hAnsi="Times" w:cs="Times"/>
                <w:b/>
                <w:noProof/>
                <w:sz w:val="20"/>
                <w:szCs w:val="20"/>
              </w:rPr>
            </w:pPr>
            <w:r>
              <w:rPr>
                <w:rFonts w:ascii="Times" w:hAnsi="Times"/>
                <w:b/>
                <w:noProof/>
                <w:sz w:val="20"/>
              </w:rPr>
              <w:t>Proposition de complément 19 à la série 02 d’amendements au règlement nº 30 (pneumatiques pour voitures particulières et leurs remorques)</w:t>
            </w:r>
          </w:p>
        </w:tc>
        <w:tc>
          <w:tcPr>
            <w:tcW w:w="2722" w:type="dxa"/>
            <w:tcBorders>
              <w:top w:val="nil"/>
              <w:left w:val="nil"/>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ECE/TRANS/WP.29/2017/</w:t>
            </w:r>
            <w:r>
              <w:rPr>
                <w:rFonts w:ascii="Times" w:hAnsi="Times"/>
                <w:b/>
                <w:noProof/>
                <w:sz w:val="20"/>
              </w:rPr>
              <w:t>105</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38</w:t>
            </w:r>
          </w:p>
        </w:tc>
        <w:tc>
          <w:tcPr>
            <w:tcW w:w="1003"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4.10.7</w:t>
            </w:r>
          </w:p>
        </w:tc>
        <w:tc>
          <w:tcPr>
            <w:tcW w:w="4955"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Proposition de complément 19 au règlement nº 38 (feux de brouillard arrière)</w:t>
            </w:r>
          </w:p>
        </w:tc>
        <w:tc>
          <w:tcPr>
            <w:tcW w:w="2722"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ECE/TRANS/WP.29/2017/78</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48</w:t>
            </w:r>
          </w:p>
        </w:tc>
        <w:tc>
          <w:tcPr>
            <w:tcW w:w="1003"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4.10.8</w:t>
            </w:r>
          </w:p>
        </w:tc>
        <w:tc>
          <w:tcPr>
            <w:tcW w:w="4955"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Proposition de complément 9 à la série 06 d’amendements au règlement nº 48 (installation des dispositifs d’éclairage et de signalisation lumineuse)</w:t>
            </w:r>
          </w:p>
        </w:tc>
        <w:tc>
          <w:tcPr>
            <w:tcW w:w="2722"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ECE/TRANS/WP.29/2017/79</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noWrap/>
          </w:tcPr>
          <w:p>
            <w:pPr>
              <w:spacing w:before="0" w:after="0"/>
              <w:jc w:val="left"/>
              <w:rPr>
                <w:rFonts w:ascii="Times" w:eastAsia="Times New Roman" w:hAnsi="Times" w:cs="Times"/>
                <w:b/>
                <w:noProof/>
                <w:sz w:val="20"/>
                <w:szCs w:val="20"/>
              </w:rPr>
            </w:pPr>
            <w:r>
              <w:rPr>
                <w:rFonts w:ascii="Times" w:hAnsi="Times"/>
                <w:b/>
                <w:noProof/>
                <w:sz w:val="20"/>
              </w:rPr>
              <w:t>48</w:t>
            </w:r>
          </w:p>
        </w:tc>
        <w:tc>
          <w:tcPr>
            <w:tcW w:w="1003" w:type="dxa"/>
            <w:tcBorders>
              <w:top w:val="nil"/>
              <w:left w:val="nil"/>
              <w:bottom w:val="single" w:sz="4" w:space="0" w:color="auto"/>
              <w:right w:val="single" w:sz="4" w:space="0" w:color="auto"/>
            </w:tcBorders>
            <w:shd w:val="clear" w:color="auto" w:fill="auto"/>
            <w:noWrap/>
          </w:tcPr>
          <w:p>
            <w:pPr>
              <w:spacing w:before="0" w:after="0"/>
              <w:jc w:val="left"/>
              <w:rPr>
                <w:rFonts w:ascii="Times" w:eastAsia="Times New Roman" w:hAnsi="Times" w:cs="Times"/>
                <w:b/>
                <w:noProof/>
                <w:sz w:val="20"/>
                <w:szCs w:val="20"/>
              </w:rPr>
            </w:pPr>
            <w:r>
              <w:rPr>
                <w:rFonts w:ascii="Times" w:hAnsi="Times"/>
                <w:b/>
                <w:noProof/>
                <w:sz w:val="20"/>
              </w:rPr>
              <w:t>4.10.16</w:t>
            </w:r>
          </w:p>
        </w:tc>
        <w:tc>
          <w:tcPr>
            <w:tcW w:w="4955" w:type="dxa"/>
            <w:tcBorders>
              <w:top w:val="nil"/>
              <w:left w:val="nil"/>
              <w:bottom w:val="single" w:sz="4" w:space="0" w:color="auto"/>
              <w:right w:val="single" w:sz="4" w:space="0" w:color="auto"/>
            </w:tcBorders>
            <w:shd w:val="clear" w:color="auto" w:fill="auto"/>
          </w:tcPr>
          <w:p>
            <w:pPr>
              <w:spacing w:before="0" w:after="0"/>
              <w:jc w:val="left"/>
              <w:rPr>
                <w:rFonts w:ascii="Times" w:eastAsia="Times New Roman" w:hAnsi="Times" w:cs="Times"/>
                <w:b/>
                <w:noProof/>
                <w:sz w:val="20"/>
                <w:szCs w:val="20"/>
              </w:rPr>
            </w:pPr>
            <w:r>
              <w:rPr>
                <w:rFonts w:ascii="Times" w:hAnsi="Times"/>
                <w:b/>
                <w:noProof/>
                <w:sz w:val="20"/>
              </w:rPr>
              <w:t>Proposition de complément 11 à la série 05 d’amendements au règlement nº 48 (installation des dispositifs d’éclairage et de signalisation lumineuse)</w:t>
            </w:r>
          </w:p>
        </w:tc>
        <w:tc>
          <w:tcPr>
            <w:tcW w:w="2722" w:type="dxa"/>
            <w:tcBorders>
              <w:top w:val="nil"/>
              <w:left w:val="nil"/>
              <w:bottom w:val="single" w:sz="4" w:space="0" w:color="auto"/>
              <w:right w:val="single" w:sz="4" w:space="0" w:color="auto"/>
            </w:tcBorders>
            <w:shd w:val="clear" w:color="auto" w:fill="auto"/>
          </w:tcPr>
          <w:p>
            <w:pPr>
              <w:spacing w:before="0" w:after="0"/>
              <w:jc w:val="left"/>
              <w:rPr>
                <w:rFonts w:ascii="Times" w:eastAsia="Times New Roman" w:hAnsi="Times" w:cs="Times"/>
                <w:noProof/>
                <w:sz w:val="20"/>
                <w:szCs w:val="20"/>
              </w:rPr>
            </w:pPr>
            <w:r>
              <w:rPr>
                <w:rFonts w:ascii="Times" w:hAnsi="Times"/>
                <w:noProof/>
                <w:sz w:val="20"/>
              </w:rPr>
              <w:t>ECE/TRANS/WP.29/2017/</w:t>
            </w:r>
            <w:r>
              <w:rPr>
                <w:rFonts w:ascii="Times" w:hAnsi="Times"/>
                <w:b/>
                <w:noProof/>
                <w:sz w:val="20"/>
              </w:rPr>
              <w:t>106</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50</w:t>
            </w:r>
          </w:p>
        </w:tc>
        <w:tc>
          <w:tcPr>
            <w:tcW w:w="1003"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4.10.9</w:t>
            </w:r>
          </w:p>
        </w:tc>
        <w:tc>
          <w:tcPr>
            <w:tcW w:w="4955"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Proposition de complément 19 au règlement nº 50 (feux de position, feux-stop, feux indicateurs de direction pour cyclomoteurs et motocycles)</w:t>
            </w:r>
          </w:p>
        </w:tc>
        <w:tc>
          <w:tcPr>
            <w:tcW w:w="2722"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ECE/TRANS/WP.29/2017/80</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50</w:t>
            </w:r>
          </w:p>
        </w:tc>
        <w:tc>
          <w:tcPr>
            <w:tcW w:w="1003"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4.10.10</w:t>
            </w:r>
          </w:p>
        </w:tc>
        <w:tc>
          <w:tcPr>
            <w:tcW w:w="4955"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Proposition de complément 20 au règlement nº 50 (feux de position, feux-stop, feux indicateurs de direction pour cyclomoteurs et motocycles)</w:t>
            </w:r>
          </w:p>
        </w:tc>
        <w:tc>
          <w:tcPr>
            <w:tcW w:w="2722"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ECE/TRANS/WP.29/2017/81</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51</w:t>
            </w:r>
          </w:p>
        </w:tc>
        <w:tc>
          <w:tcPr>
            <w:tcW w:w="1003"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4.9.1</w:t>
            </w:r>
          </w:p>
        </w:tc>
        <w:tc>
          <w:tcPr>
            <w:tcW w:w="4955"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 xml:space="preserve">Proposition de complément 2 à la série 03 d’amendements au règlement nº 51 (bruit des véhicules des catégories M et N) </w:t>
            </w:r>
          </w:p>
        </w:tc>
        <w:tc>
          <w:tcPr>
            <w:tcW w:w="2722"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ECE/TRANS/WP.29/2017/71</w:t>
            </w:r>
          </w:p>
        </w:tc>
      </w:tr>
      <w:tr>
        <w:trPr>
          <w:trHeight w:val="585"/>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54</w:t>
            </w:r>
          </w:p>
        </w:tc>
        <w:tc>
          <w:tcPr>
            <w:tcW w:w="1003"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4.8.1</w:t>
            </w:r>
          </w:p>
        </w:tc>
        <w:tc>
          <w:tcPr>
            <w:tcW w:w="4955"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Proposition de complément 22 au règlement nº 54 (pneumatiques pour véhicules utilitaires et leurs remorques)</w:t>
            </w:r>
          </w:p>
        </w:tc>
        <w:tc>
          <w:tcPr>
            <w:tcW w:w="2722"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ECE/TRANS/WP.29/2017/68</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55</w:t>
            </w:r>
          </w:p>
        </w:tc>
        <w:tc>
          <w:tcPr>
            <w:tcW w:w="1003"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4.8.2</w:t>
            </w:r>
          </w:p>
        </w:tc>
        <w:tc>
          <w:tcPr>
            <w:tcW w:w="4955"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Proposition de complément 7 à la série 01 d’amendements au règlement nº 55 (pièces mécaniques d’attelage)</w:t>
            </w:r>
          </w:p>
        </w:tc>
        <w:tc>
          <w:tcPr>
            <w:tcW w:w="2722"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ECE/TRANS/WP.29/2017/69</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77</w:t>
            </w:r>
          </w:p>
        </w:tc>
        <w:tc>
          <w:tcPr>
            <w:tcW w:w="1003"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4.10.11</w:t>
            </w:r>
          </w:p>
        </w:tc>
        <w:tc>
          <w:tcPr>
            <w:tcW w:w="4955"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Proposition de complément 18 au règlement nº 77 (feux de stationnement)</w:t>
            </w:r>
          </w:p>
        </w:tc>
        <w:tc>
          <w:tcPr>
            <w:tcW w:w="2722"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ECE/TRANS/WP.29/2017/82</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80</w:t>
            </w:r>
          </w:p>
        </w:tc>
        <w:tc>
          <w:tcPr>
            <w:tcW w:w="1003"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4.6.4</w:t>
            </w:r>
          </w:p>
        </w:tc>
        <w:tc>
          <w:tcPr>
            <w:tcW w:w="4955"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Proposition de complément 3 à la série 03 d’amendements au règlement nº 80 [résistance des sièges et de leurs ancrages (autobus)]</w:t>
            </w:r>
          </w:p>
        </w:tc>
        <w:tc>
          <w:tcPr>
            <w:tcW w:w="2722"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ECE/TRANS/WP.29/2017/61</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83</w:t>
            </w:r>
          </w:p>
        </w:tc>
        <w:tc>
          <w:tcPr>
            <w:tcW w:w="1003"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4.7.1</w:t>
            </w:r>
          </w:p>
        </w:tc>
        <w:tc>
          <w:tcPr>
            <w:tcW w:w="4955"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Proposition de complément 10 à la série 06 d’amendements au règlement nº 83 (émissions polluantes des véhicules des catégories M1 et N1)</w:t>
            </w:r>
          </w:p>
        </w:tc>
        <w:tc>
          <w:tcPr>
            <w:tcW w:w="2722"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ECE/TRANS/WP.29/2017/64</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83</w:t>
            </w:r>
          </w:p>
        </w:tc>
        <w:tc>
          <w:tcPr>
            <w:tcW w:w="1003"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4.7.2</w:t>
            </w:r>
          </w:p>
        </w:tc>
        <w:tc>
          <w:tcPr>
            <w:tcW w:w="4955"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Proposition de complément 6 à la série 07 d’amendements au règlement nº 83 (émissions polluantes des véhicules des catégories M1 et N1)</w:t>
            </w:r>
          </w:p>
        </w:tc>
        <w:tc>
          <w:tcPr>
            <w:tcW w:w="2722"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ECE/TRANS/WP.29/2017/65</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87</w:t>
            </w:r>
          </w:p>
        </w:tc>
        <w:tc>
          <w:tcPr>
            <w:tcW w:w="1003"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4.10.12</w:t>
            </w:r>
          </w:p>
        </w:tc>
        <w:tc>
          <w:tcPr>
            <w:tcW w:w="4955"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Proposition de complément 20 au règlement nº 87 (feux de circulation diurne)</w:t>
            </w:r>
          </w:p>
        </w:tc>
        <w:tc>
          <w:tcPr>
            <w:tcW w:w="2722"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ECE/TRANS/WP.29/2017/83</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91</w:t>
            </w:r>
          </w:p>
        </w:tc>
        <w:tc>
          <w:tcPr>
            <w:tcW w:w="1003"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4.10.13</w:t>
            </w:r>
          </w:p>
        </w:tc>
        <w:tc>
          <w:tcPr>
            <w:tcW w:w="4955"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Proposition de complément 17 au règlement nº 91 (feux de position latéraux)</w:t>
            </w:r>
          </w:p>
        </w:tc>
        <w:tc>
          <w:tcPr>
            <w:tcW w:w="2722"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ECE/TRANS/WP.29/2017/84</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98</w:t>
            </w:r>
          </w:p>
        </w:tc>
        <w:tc>
          <w:tcPr>
            <w:tcW w:w="1003"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4.10.14</w:t>
            </w:r>
          </w:p>
        </w:tc>
        <w:tc>
          <w:tcPr>
            <w:tcW w:w="4955"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Proposition de complément 9 à la série 01 d’amendements au règlement nº 98 (projecteurs de véhicules munis de sources lumineuses à décharge)</w:t>
            </w:r>
          </w:p>
        </w:tc>
        <w:tc>
          <w:tcPr>
            <w:tcW w:w="2722"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ECE/TRANS/WP.29/2017/85</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106</w:t>
            </w:r>
          </w:p>
        </w:tc>
        <w:tc>
          <w:tcPr>
            <w:tcW w:w="1003"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4.8.3</w:t>
            </w:r>
          </w:p>
        </w:tc>
        <w:tc>
          <w:tcPr>
            <w:tcW w:w="4955"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Proposition de complément 15 au règlement nº 106 (pneumatiques pour véhicules agricoles)</w:t>
            </w:r>
          </w:p>
        </w:tc>
        <w:tc>
          <w:tcPr>
            <w:tcW w:w="2722"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ECE/TRANS/WP.29/2017/70</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112</w:t>
            </w:r>
          </w:p>
        </w:tc>
        <w:tc>
          <w:tcPr>
            <w:tcW w:w="1003"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4.10.15</w:t>
            </w:r>
          </w:p>
        </w:tc>
        <w:tc>
          <w:tcPr>
            <w:tcW w:w="4955"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Proposition de complément 8 à la série 01 d’amendements au règlement nº 112 (projecteurs émettant un faisceau de croisement asymétrique)</w:t>
            </w:r>
          </w:p>
        </w:tc>
        <w:tc>
          <w:tcPr>
            <w:tcW w:w="2722"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ECE/TRANS/WP.29/2017/86</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113</w:t>
            </w:r>
          </w:p>
        </w:tc>
        <w:tc>
          <w:tcPr>
            <w:tcW w:w="1003"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b/>
                <w:noProof/>
                <w:sz w:val="20"/>
                <w:szCs w:val="20"/>
              </w:rPr>
            </w:pPr>
            <w:r>
              <w:rPr>
                <w:rFonts w:ascii="Times" w:hAnsi="Times"/>
                <w:b/>
                <w:noProof/>
                <w:sz w:val="20"/>
              </w:rPr>
              <w:t>4.10.19</w:t>
            </w:r>
          </w:p>
        </w:tc>
        <w:tc>
          <w:tcPr>
            <w:tcW w:w="4955"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 xml:space="preserve">Proposition de </w:t>
            </w:r>
            <w:r>
              <w:rPr>
                <w:rFonts w:ascii="Times" w:hAnsi="Times"/>
                <w:b/>
                <w:noProof/>
                <w:sz w:val="20"/>
              </w:rPr>
              <w:t>série 02</w:t>
            </w:r>
            <w:r>
              <w:rPr>
                <w:rFonts w:ascii="Times" w:hAnsi="Times"/>
                <w:noProof/>
                <w:sz w:val="20"/>
              </w:rPr>
              <w:t xml:space="preserve"> d’amendements au règlement nº 113 (projecteurs émettant un faisceau de croisement symétrique)</w:t>
            </w:r>
          </w:p>
        </w:tc>
        <w:tc>
          <w:tcPr>
            <w:tcW w:w="2722"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ECE/TRANS/WP.29/2017/87</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119</w:t>
            </w:r>
          </w:p>
        </w:tc>
        <w:tc>
          <w:tcPr>
            <w:tcW w:w="1003"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4.10.17</w:t>
            </w:r>
          </w:p>
        </w:tc>
        <w:tc>
          <w:tcPr>
            <w:tcW w:w="4955"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Proposition de complément 6 à la série 01 d’amendements au règlement nº 119 (feux d’angle)</w:t>
            </w:r>
          </w:p>
        </w:tc>
        <w:tc>
          <w:tcPr>
            <w:tcW w:w="2722"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ECE/TRANS/WP.29/2017/88</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123</w:t>
            </w:r>
          </w:p>
        </w:tc>
        <w:tc>
          <w:tcPr>
            <w:tcW w:w="1003"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4.10.18</w:t>
            </w:r>
          </w:p>
        </w:tc>
        <w:tc>
          <w:tcPr>
            <w:tcW w:w="4955"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Proposition de complément 9 à la série 01 d’amendements au règlement nº 123 [systèmes d’éclairage avant actifs (AFS)]</w:t>
            </w:r>
          </w:p>
        </w:tc>
        <w:tc>
          <w:tcPr>
            <w:tcW w:w="2722"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ECE/TRANS/WP.29/2017/89</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129</w:t>
            </w:r>
          </w:p>
        </w:tc>
        <w:tc>
          <w:tcPr>
            <w:tcW w:w="1003"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4.6.5</w:t>
            </w:r>
          </w:p>
        </w:tc>
        <w:tc>
          <w:tcPr>
            <w:tcW w:w="4955"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Proposition de complément 2 à la série 01 d’amendements au règlement nº 129 (dispositifs améliorés de retenue pour enfants)</w:t>
            </w:r>
          </w:p>
        </w:tc>
        <w:tc>
          <w:tcPr>
            <w:tcW w:w="2722"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ECE/TRANS/WP.29/2017/62</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129</w:t>
            </w:r>
          </w:p>
        </w:tc>
        <w:tc>
          <w:tcPr>
            <w:tcW w:w="1003"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4.6.6</w:t>
            </w:r>
          </w:p>
        </w:tc>
        <w:tc>
          <w:tcPr>
            <w:tcW w:w="4955"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Proposition de complément 1 à la série 02 d’amendements au règlement nº 129 (dispositifs améliorés de retenue pour enfants)</w:t>
            </w:r>
          </w:p>
        </w:tc>
        <w:tc>
          <w:tcPr>
            <w:tcW w:w="2722"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ECE/TRANS/WP.29/2017/63</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143</w:t>
            </w:r>
          </w:p>
        </w:tc>
        <w:tc>
          <w:tcPr>
            <w:tcW w:w="1003"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4.7.3</w:t>
            </w:r>
          </w:p>
        </w:tc>
        <w:tc>
          <w:tcPr>
            <w:tcW w:w="4955"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Proposition de complément 1 à la version initiale du règlement nº 143 (systèmes de conversion des moteurs de véhicules utilitaires lourds à la bicarburation)</w:t>
            </w:r>
          </w:p>
        </w:tc>
        <w:tc>
          <w:tcPr>
            <w:tcW w:w="2722"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ECE/TRANS/WP.29/2017/66</w:t>
            </w:r>
          </w:p>
        </w:tc>
      </w:tr>
    </w:tbl>
    <w:p>
      <w:pPr>
        <w:spacing w:before="0" w:after="200" w:line="276" w:lineRule="auto"/>
        <w:jc w:val="left"/>
        <w:rPr>
          <w:rFonts w:asciiTheme="minorHAnsi" w:hAnsiTheme="minorHAnsi" w:cstheme="minorBidi"/>
          <w:noProof/>
          <w:sz w:val="22"/>
        </w:rPr>
      </w:pPr>
    </w:p>
    <w:tbl>
      <w:tblPr>
        <w:tblW w:w="9796" w:type="dxa"/>
        <w:tblInd w:w="93" w:type="dxa"/>
        <w:tblLook w:val="04A0" w:firstRow="1" w:lastRow="0" w:firstColumn="1" w:lastColumn="0" w:noHBand="0" w:noVBand="1"/>
      </w:tblPr>
      <w:tblGrid>
        <w:gridCol w:w="954"/>
        <w:gridCol w:w="1448"/>
        <w:gridCol w:w="4701"/>
        <w:gridCol w:w="2693"/>
      </w:tblGrid>
      <w:tr>
        <w:trPr>
          <w:trHeight w:val="465"/>
        </w:trPr>
        <w:tc>
          <w:tcPr>
            <w:tcW w:w="954" w:type="dxa"/>
            <w:tcBorders>
              <w:top w:val="single" w:sz="8" w:space="0" w:color="auto"/>
              <w:left w:val="single" w:sz="8" w:space="0" w:color="auto"/>
              <w:bottom w:val="single" w:sz="4" w:space="0" w:color="auto"/>
              <w:right w:val="single" w:sz="4" w:space="0" w:color="auto"/>
            </w:tcBorders>
            <w:shd w:val="clear" w:color="auto" w:fill="auto"/>
            <w:hideMark/>
          </w:tcPr>
          <w:p>
            <w:pPr>
              <w:spacing w:before="0" w:after="0"/>
              <w:jc w:val="left"/>
              <w:rPr>
                <w:rFonts w:eastAsia="Times New Roman"/>
                <w:b/>
                <w:bCs/>
                <w:noProof/>
                <w:szCs w:val="24"/>
              </w:rPr>
            </w:pPr>
            <w:r>
              <w:rPr>
                <w:b/>
                <w:noProof/>
              </w:rPr>
              <w:t>RTM nº </w:t>
            </w:r>
          </w:p>
        </w:tc>
        <w:tc>
          <w:tcPr>
            <w:tcW w:w="1448"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Cs w:val="24"/>
              </w:rPr>
            </w:pPr>
            <w:r>
              <w:rPr>
                <w:b/>
                <w:noProof/>
              </w:rPr>
              <w:t>Point de l’ordre du jour</w:t>
            </w:r>
          </w:p>
        </w:tc>
        <w:tc>
          <w:tcPr>
            <w:tcW w:w="4701"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Cs w:val="24"/>
              </w:rPr>
            </w:pPr>
            <w:r>
              <w:rPr>
                <w:b/>
                <w:noProof/>
              </w:rPr>
              <w:t>Titre du point de l’ordre du jour</w:t>
            </w:r>
          </w:p>
        </w:tc>
        <w:tc>
          <w:tcPr>
            <w:tcW w:w="2693"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Cs w:val="24"/>
              </w:rPr>
            </w:pPr>
            <w:r>
              <w:rPr>
                <w:b/>
                <w:noProof/>
              </w:rPr>
              <w:t>Référence du document</w:t>
            </w:r>
          </w:p>
        </w:tc>
      </w:tr>
      <w:tr>
        <w:trPr>
          <w:trHeight w:val="600"/>
        </w:trPr>
        <w:tc>
          <w:tcPr>
            <w:tcW w:w="95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eastAsia="Times New Roman"/>
                <w:noProof/>
                <w:sz w:val="20"/>
                <w:szCs w:val="20"/>
              </w:rPr>
            </w:pPr>
            <w:r>
              <w:rPr>
                <w:noProof/>
                <w:sz w:val="20"/>
              </w:rPr>
              <w:t>RTM nº 1</w:t>
            </w:r>
          </w:p>
        </w:tc>
        <w:tc>
          <w:tcPr>
            <w:tcW w:w="1448" w:type="dxa"/>
            <w:tcBorders>
              <w:top w:val="nil"/>
              <w:left w:val="nil"/>
              <w:bottom w:val="single" w:sz="4" w:space="0" w:color="auto"/>
              <w:right w:val="single" w:sz="4" w:space="0" w:color="auto"/>
            </w:tcBorders>
            <w:shd w:val="clear" w:color="auto" w:fill="auto"/>
            <w:hideMark/>
          </w:tcPr>
          <w:p>
            <w:pPr>
              <w:spacing w:before="0" w:after="0"/>
              <w:jc w:val="left"/>
              <w:rPr>
                <w:rFonts w:eastAsia="Times New Roman"/>
                <w:noProof/>
                <w:sz w:val="20"/>
                <w:szCs w:val="20"/>
              </w:rPr>
            </w:pPr>
            <w:r>
              <w:rPr>
                <w:noProof/>
                <w:sz w:val="20"/>
              </w:rPr>
              <w:t>14.2</w:t>
            </w:r>
          </w:p>
        </w:tc>
        <w:tc>
          <w:tcPr>
            <w:tcW w:w="4701" w:type="dxa"/>
            <w:tcBorders>
              <w:top w:val="nil"/>
              <w:left w:val="nil"/>
              <w:bottom w:val="single" w:sz="4" w:space="0" w:color="auto"/>
              <w:right w:val="single" w:sz="4" w:space="0" w:color="auto"/>
            </w:tcBorders>
            <w:shd w:val="clear" w:color="auto" w:fill="auto"/>
            <w:hideMark/>
          </w:tcPr>
          <w:p>
            <w:pPr>
              <w:spacing w:before="0" w:after="0"/>
              <w:jc w:val="left"/>
              <w:rPr>
                <w:rFonts w:eastAsia="Times New Roman"/>
                <w:noProof/>
                <w:sz w:val="20"/>
                <w:szCs w:val="20"/>
              </w:rPr>
            </w:pPr>
            <w:r>
              <w:rPr>
                <w:noProof/>
                <w:sz w:val="20"/>
              </w:rPr>
              <w:t>Proposition d’amendement 2 au règlement technique mondial nº 1 (serrures et organes de fixation des portes)</w:t>
            </w:r>
          </w:p>
        </w:tc>
        <w:tc>
          <w:tcPr>
            <w:tcW w:w="2693" w:type="dxa"/>
            <w:tcBorders>
              <w:top w:val="nil"/>
              <w:left w:val="nil"/>
              <w:bottom w:val="single" w:sz="4" w:space="0" w:color="auto"/>
              <w:right w:val="single" w:sz="4" w:space="0" w:color="auto"/>
            </w:tcBorders>
            <w:shd w:val="clear" w:color="auto" w:fill="auto"/>
            <w:hideMark/>
          </w:tcPr>
          <w:p>
            <w:pPr>
              <w:spacing w:before="0" w:after="0"/>
              <w:jc w:val="left"/>
              <w:rPr>
                <w:rFonts w:eastAsia="Times New Roman"/>
                <w:noProof/>
                <w:sz w:val="20"/>
                <w:szCs w:val="20"/>
              </w:rPr>
            </w:pPr>
            <w:r>
              <w:rPr>
                <w:noProof/>
                <w:sz w:val="20"/>
              </w:rPr>
              <w:t>ECE/TRANS/WP.29/2017/97</w:t>
            </w:r>
          </w:p>
        </w:tc>
      </w:tr>
      <w:tr>
        <w:trPr>
          <w:trHeight w:val="510"/>
        </w:trPr>
        <w:tc>
          <w:tcPr>
            <w:tcW w:w="95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eastAsia="Times New Roman"/>
                <w:noProof/>
                <w:sz w:val="20"/>
                <w:szCs w:val="20"/>
              </w:rPr>
            </w:pPr>
            <w:r>
              <w:rPr>
                <w:noProof/>
                <w:sz w:val="20"/>
              </w:rPr>
              <w:t>RTM nº 15</w:t>
            </w:r>
          </w:p>
        </w:tc>
        <w:tc>
          <w:tcPr>
            <w:tcW w:w="1448" w:type="dxa"/>
            <w:tcBorders>
              <w:top w:val="nil"/>
              <w:left w:val="nil"/>
              <w:bottom w:val="single" w:sz="4" w:space="0" w:color="auto"/>
              <w:right w:val="single" w:sz="4" w:space="0" w:color="auto"/>
            </w:tcBorders>
            <w:shd w:val="clear" w:color="auto" w:fill="auto"/>
            <w:hideMark/>
          </w:tcPr>
          <w:p>
            <w:pPr>
              <w:spacing w:before="0" w:after="0"/>
              <w:jc w:val="left"/>
              <w:rPr>
                <w:rFonts w:eastAsia="Times New Roman"/>
                <w:noProof/>
                <w:sz w:val="20"/>
                <w:szCs w:val="20"/>
              </w:rPr>
            </w:pPr>
            <w:r>
              <w:rPr>
                <w:noProof/>
                <w:sz w:val="20"/>
              </w:rPr>
              <w:t>14.3</w:t>
            </w:r>
          </w:p>
        </w:tc>
        <w:tc>
          <w:tcPr>
            <w:tcW w:w="4701" w:type="dxa"/>
            <w:tcBorders>
              <w:top w:val="nil"/>
              <w:left w:val="nil"/>
              <w:bottom w:val="single" w:sz="4" w:space="0" w:color="auto"/>
              <w:right w:val="single" w:sz="4" w:space="0" w:color="auto"/>
            </w:tcBorders>
            <w:shd w:val="clear" w:color="auto" w:fill="auto"/>
            <w:hideMark/>
          </w:tcPr>
          <w:p>
            <w:pPr>
              <w:spacing w:before="0" w:after="0"/>
              <w:jc w:val="left"/>
              <w:rPr>
                <w:rFonts w:eastAsia="Times New Roman"/>
                <w:noProof/>
                <w:sz w:val="20"/>
                <w:szCs w:val="20"/>
              </w:rPr>
            </w:pPr>
            <w:r>
              <w:rPr>
                <w:noProof/>
                <w:sz w:val="20"/>
              </w:rPr>
              <w:t>Proposition d’amendement 2 au règlement technique mondial nº 15 [procédure d’essai mondiale harmonisée pour les voitures particulières et véhicules utilitaires légers (WLTP)]</w:t>
            </w:r>
          </w:p>
        </w:tc>
        <w:tc>
          <w:tcPr>
            <w:tcW w:w="2693" w:type="dxa"/>
            <w:tcBorders>
              <w:top w:val="nil"/>
              <w:left w:val="nil"/>
              <w:bottom w:val="single" w:sz="4" w:space="0" w:color="auto"/>
              <w:right w:val="single" w:sz="4" w:space="0" w:color="auto"/>
            </w:tcBorders>
            <w:shd w:val="clear" w:color="auto" w:fill="auto"/>
            <w:hideMark/>
          </w:tcPr>
          <w:p>
            <w:pPr>
              <w:spacing w:before="0" w:after="0"/>
              <w:jc w:val="left"/>
              <w:rPr>
                <w:rFonts w:eastAsia="Times New Roman"/>
                <w:noProof/>
                <w:sz w:val="20"/>
                <w:szCs w:val="20"/>
              </w:rPr>
            </w:pPr>
            <w:r>
              <w:rPr>
                <w:noProof/>
                <w:sz w:val="20"/>
              </w:rPr>
              <w:t>ECE/TRANS/WP.29/2017/98</w:t>
            </w:r>
          </w:p>
        </w:tc>
      </w:tr>
      <w:tr>
        <w:trPr>
          <w:trHeight w:val="765"/>
        </w:trPr>
        <w:tc>
          <w:tcPr>
            <w:tcW w:w="95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eastAsia="Times New Roman"/>
                <w:noProof/>
                <w:sz w:val="20"/>
                <w:szCs w:val="20"/>
              </w:rPr>
            </w:pPr>
            <w:r>
              <w:rPr>
                <w:noProof/>
                <w:sz w:val="20"/>
              </w:rPr>
              <w:t>Nouveau RTM</w:t>
            </w:r>
          </w:p>
        </w:tc>
        <w:tc>
          <w:tcPr>
            <w:tcW w:w="1448" w:type="dxa"/>
            <w:tcBorders>
              <w:top w:val="nil"/>
              <w:left w:val="nil"/>
              <w:bottom w:val="single" w:sz="4" w:space="0" w:color="auto"/>
              <w:right w:val="single" w:sz="4" w:space="0" w:color="auto"/>
            </w:tcBorders>
            <w:shd w:val="clear" w:color="auto" w:fill="auto"/>
            <w:hideMark/>
          </w:tcPr>
          <w:p>
            <w:pPr>
              <w:spacing w:before="0" w:after="0"/>
              <w:jc w:val="left"/>
              <w:rPr>
                <w:rFonts w:eastAsia="Times New Roman"/>
                <w:noProof/>
                <w:sz w:val="20"/>
                <w:szCs w:val="20"/>
              </w:rPr>
            </w:pPr>
            <w:r>
              <w:rPr>
                <w:noProof/>
                <w:sz w:val="20"/>
              </w:rPr>
              <w:t>14.1</w:t>
            </w:r>
          </w:p>
        </w:tc>
        <w:tc>
          <w:tcPr>
            <w:tcW w:w="4701" w:type="dxa"/>
            <w:tcBorders>
              <w:top w:val="nil"/>
              <w:left w:val="nil"/>
              <w:bottom w:val="single" w:sz="4" w:space="0" w:color="auto"/>
              <w:right w:val="single" w:sz="4" w:space="0" w:color="auto"/>
            </w:tcBorders>
            <w:shd w:val="clear" w:color="auto" w:fill="auto"/>
            <w:hideMark/>
          </w:tcPr>
          <w:p>
            <w:pPr>
              <w:spacing w:before="0" w:after="0"/>
              <w:jc w:val="left"/>
              <w:rPr>
                <w:rFonts w:eastAsia="Times New Roman"/>
                <w:noProof/>
                <w:sz w:val="20"/>
                <w:szCs w:val="20"/>
              </w:rPr>
            </w:pPr>
            <w:r>
              <w:rPr>
                <w:noProof/>
                <w:sz w:val="20"/>
              </w:rPr>
              <w:t>Proposition de nouveau règlement technique mondial (RTM) de l’ONU sur la procédure de mesure des émissions par évaporation dans le cadre de la procédure d’essai mondiale harmonisée pour les voitures particulières et véhicules utilitaires légers (WLTP EVAP)</w:t>
            </w:r>
          </w:p>
        </w:tc>
        <w:tc>
          <w:tcPr>
            <w:tcW w:w="2693" w:type="dxa"/>
            <w:tcBorders>
              <w:top w:val="nil"/>
              <w:left w:val="nil"/>
              <w:bottom w:val="single" w:sz="4" w:space="0" w:color="auto"/>
              <w:right w:val="single" w:sz="4" w:space="0" w:color="auto"/>
            </w:tcBorders>
            <w:shd w:val="clear" w:color="auto" w:fill="auto"/>
            <w:hideMark/>
          </w:tcPr>
          <w:p>
            <w:pPr>
              <w:spacing w:before="0" w:after="0"/>
              <w:jc w:val="left"/>
              <w:rPr>
                <w:rFonts w:eastAsia="Times New Roman"/>
                <w:noProof/>
                <w:sz w:val="20"/>
                <w:szCs w:val="20"/>
              </w:rPr>
            </w:pPr>
            <w:r>
              <w:rPr>
                <w:noProof/>
                <w:sz w:val="20"/>
              </w:rPr>
              <w:t>ECE/TRANS/WP.29/2017/94</w:t>
            </w:r>
          </w:p>
        </w:tc>
      </w:tr>
    </w:tbl>
    <w:p>
      <w:pPr>
        <w:rPr>
          <w:noProof/>
        </w:rPr>
      </w:pPr>
    </w:p>
    <w:tbl>
      <w:tblPr>
        <w:tblW w:w="9796" w:type="dxa"/>
        <w:tblInd w:w="93" w:type="dxa"/>
        <w:tblLook w:val="04A0" w:firstRow="1" w:lastRow="0" w:firstColumn="1" w:lastColumn="0" w:noHBand="0" w:noVBand="1"/>
      </w:tblPr>
      <w:tblGrid>
        <w:gridCol w:w="1003"/>
        <w:gridCol w:w="6057"/>
        <w:gridCol w:w="2736"/>
      </w:tblGrid>
      <w:tr>
        <w:trPr>
          <w:trHeight w:val="630"/>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pPr>
              <w:spacing w:after="0"/>
              <w:rPr>
                <w:rFonts w:eastAsia="Times New Roman"/>
                <w:b/>
                <w:bCs/>
                <w:noProof/>
                <w:szCs w:val="24"/>
              </w:rPr>
            </w:pPr>
            <w:r>
              <w:rPr>
                <w:b/>
                <w:noProof/>
              </w:rPr>
              <w:t>Point de l’ordre du jour</w:t>
            </w:r>
          </w:p>
        </w:tc>
        <w:tc>
          <w:tcPr>
            <w:tcW w:w="6057" w:type="dxa"/>
            <w:tcBorders>
              <w:top w:val="single" w:sz="4" w:space="0" w:color="auto"/>
              <w:left w:val="nil"/>
              <w:bottom w:val="single" w:sz="4" w:space="0" w:color="auto"/>
              <w:right w:val="single" w:sz="4" w:space="0" w:color="auto"/>
            </w:tcBorders>
            <w:shd w:val="clear" w:color="auto" w:fill="auto"/>
            <w:hideMark/>
          </w:tcPr>
          <w:p>
            <w:pPr>
              <w:spacing w:after="0"/>
              <w:rPr>
                <w:rFonts w:eastAsia="Times New Roman"/>
                <w:b/>
                <w:bCs/>
                <w:noProof/>
                <w:szCs w:val="24"/>
              </w:rPr>
            </w:pPr>
            <w:r>
              <w:rPr>
                <w:b/>
                <w:noProof/>
              </w:rPr>
              <w:t>Titre du point de l’ordre du jour</w:t>
            </w:r>
          </w:p>
        </w:tc>
        <w:tc>
          <w:tcPr>
            <w:tcW w:w="2736" w:type="dxa"/>
            <w:tcBorders>
              <w:top w:val="single" w:sz="4" w:space="0" w:color="auto"/>
              <w:left w:val="nil"/>
              <w:bottom w:val="single" w:sz="4" w:space="0" w:color="auto"/>
              <w:right w:val="single" w:sz="4" w:space="0" w:color="auto"/>
            </w:tcBorders>
            <w:shd w:val="clear" w:color="auto" w:fill="auto"/>
            <w:hideMark/>
          </w:tcPr>
          <w:p>
            <w:pPr>
              <w:spacing w:after="0"/>
              <w:rPr>
                <w:rFonts w:eastAsia="Times New Roman"/>
                <w:b/>
                <w:bCs/>
                <w:noProof/>
                <w:szCs w:val="24"/>
              </w:rPr>
            </w:pPr>
            <w:r>
              <w:rPr>
                <w:b/>
                <w:noProof/>
              </w:rPr>
              <w:t>Référence du document</w:t>
            </w:r>
          </w:p>
        </w:tc>
      </w:tr>
      <w:tr>
        <w:trPr>
          <w:trHeight w:val="1275"/>
        </w:trPr>
        <w:tc>
          <w:tcPr>
            <w:tcW w:w="1003" w:type="dxa"/>
            <w:tcBorders>
              <w:top w:val="nil"/>
              <w:left w:val="single" w:sz="4" w:space="0" w:color="auto"/>
              <w:bottom w:val="single" w:sz="4" w:space="0" w:color="auto"/>
              <w:right w:val="single" w:sz="4" w:space="0" w:color="auto"/>
            </w:tcBorders>
            <w:shd w:val="clear" w:color="auto" w:fill="auto"/>
            <w:noWrap/>
            <w:hideMark/>
          </w:tcPr>
          <w:p>
            <w:pPr>
              <w:spacing w:after="0"/>
              <w:rPr>
                <w:rFonts w:ascii="Times" w:eastAsia="Times New Roman" w:hAnsi="Times" w:cs="Times"/>
                <w:noProof/>
                <w:sz w:val="20"/>
                <w:szCs w:val="20"/>
              </w:rPr>
            </w:pPr>
            <w:r>
              <w:rPr>
                <w:rFonts w:ascii="Times" w:hAnsi="Times"/>
                <w:noProof/>
                <w:sz w:val="20"/>
              </w:rPr>
              <w:t>15.1</w:t>
            </w:r>
          </w:p>
        </w:tc>
        <w:tc>
          <w:tcPr>
            <w:tcW w:w="6057" w:type="dxa"/>
            <w:tcBorders>
              <w:top w:val="nil"/>
              <w:left w:val="nil"/>
              <w:bottom w:val="single" w:sz="4" w:space="0" w:color="auto"/>
              <w:right w:val="single" w:sz="4" w:space="0" w:color="auto"/>
            </w:tcBorders>
            <w:shd w:val="clear" w:color="auto" w:fill="auto"/>
            <w:vAlign w:val="center"/>
            <w:hideMark/>
          </w:tcPr>
          <w:p>
            <w:pPr>
              <w:spacing w:after="0"/>
              <w:rPr>
                <w:rFonts w:eastAsia="Times New Roman"/>
                <w:noProof/>
                <w:sz w:val="20"/>
                <w:szCs w:val="20"/>
              </w:rPr>
            </w:pPr>
            <w:r>
              <w:rPr>
                <w:noProof/>
                <w:sz w:val="20"/>
              </w:rPr>
              <w:t>Inscription nº 13 (confirmation du maintien de l’inscription): programme de l’Environmental Protection Agency et de la National Highway Traffic Safety Administration, Département des transports, des États-Unis d’Amérique concernant des révisions et additions s’appliquant à l’étiquette-énergie des automobiles: nouvelles étiquettes consommation et émissions pour une nouvelle génération de véhicules</w:t>
            </w:r>
          </w:p>
        </w:tc>
        <w:tc>
          <w:tcPr>
            <w:tcW w:w="2736" w:type="dxa"/>
            <w:tcBorders>
              <w:top w:val="nil"/>
              <w:left w:val="nil"/>
              <w:bottom w:val="single" w:sz="4" w:space="0" w:color="auto"/>
              <w:right w:val="single" w:sz="4" w:space="0" w:color="auto"/>
            </w:tcBorders>
            <w:shd w:val="clear" w:color="auto" w:fill="auto"/>
            <w:hideMark/>
          </w:tcPr>
          <w:p>
            <w:pPr>
              <w:spacing w:after="0"/>
              <w:rPr>
                <w:rFonts w:eastAsia="Times New Roman"/>
                <w:noProof/>
                <w:sz w:val="20"/>
                <w:szCs w:val="20"/>
              </w:rPr>
            </w:pPr>
            <w:r>
              <w:rPr>
                <w:noProof/>
                <w:sz w:val="20"/>
              </w:rPr>
              <w:t>ECE/TRANS/WP.29/2017/57</w:t>
            </w:r>
          </w:p>
        </w:tc>
      </w:tr>
      <w:tr>
        <w:trPr>
          <w:trHeight w:val="1020"/>
        </w:trPr>
        <w:tc>
          <w:tcPr>
            <w:tcW w:w="1003" w:type="dxa"/>
            <w:tcBorders>
              <w:top w:val="nil"/>
              <w:left w:val="single" w:sz="4" w:space="0" w:color="auto"/>
              <w:bottom w:val="single" w:sz="4" w:space="0" w:color="auto"/>
              <w:right w:val="single" w:sz="4" w:space="0" w:color="auto"/>
            </w:tcBorders>
            <w:shd w:val="clear" w:color="auto" w:fill="auto"/>
            <w:noWrap/>
            <w:hideMark/>
          </w:tcPr>
          <w:p>
            <w:pPr>
              <w:spacing w:after="0"/>
              <w:rPr>
                <w:rFonts w:ascii="Times" w:eastAsia="Times New Roman" w:hAnsi="Times" w:cs="Times"/>
                <w:noProof/>
                <w:sz w:val="20"/>
                <w:szCs w:val="20"/>
              </w:rPr>
            </w:pPr>
            <w:r>
              <w:rPr>
                <w:rFonts w:ascii="Times" w:hAnsi="Times"/>
                <w:noProof/>
                <w:sz w:val="20"/>
              </w:rPr>
              <w:t>15.2</w:t>
            </w:r>
          </w:p>
        </w:tc>
        <w:tc>
          <w:tcPr>
            <w:tcW w:w="6057" w:type="dxa"/>
            <w:tcBorders>
              <w:top w:val="nil"/>
              <w:left w:val="nil"/>
              <w:bottom w:val="single" w:sz="4" w:space="0" w:color="auto"/>
              <w:right w:val="single" w:sz="4" w:space="0" w:color="auto"/>
            </w:tcBorders>
            <w:shd w:val="clear" w:color="auto" w:fill="auto"/>
            <w:vAlign w:val="center"/>
            <w:hideMark/>
          </w:tcPr>
          <w:p>
            <w:pPr>
              <w:spacing w:after="0"/>
              <w:rPr>
                <w:rFonts w:eastAsia="Times New Roman"/>
                <w:noProof/>
                <w:sz w:val="20"/>
                <w:szCs w:val="20"/>
              </w:rPr>
            </w:pPr>
            <w:r>
              <w:rPr>
                <w:noProof/>
                <w:sz w:val="20"/>
              </w:rPr>
              <w:t>Inscription nº 12 (confirmation du maintien de l’inscription): programmes de l’Environmental Protection Agency et de la National Highway Traffic Safety Administration, Département des transports, des États-Unis d’Amérique relatifs aux véhicules utilitaires de poids moyen et lourds et à leurs moteurs, en ce qui concerne les normes en matière d’émissions de gaz à effet de serre et de rendement énergétique</w:t>
            </w:r>
          </w:p>
        </w:tc>
        <w:tc>
          <w:tcPr>
            <w:tcW w:w="2736" w:type="dxa"/>
            <w:tcBorders>
              <w:top w:val="nil"/>
              <w:left w:val="nil"/>
              <w:bottom w:val="single" w:sz="4" w:space="0" w:color="auto"/>
              <w:right w:val="single" w:sz="4" w:space="0" w:color="auto"/>
            </w:tcBorders>
            <w:shd w:val="clear" w:color="auto" w:fill="auto"/>
            <w:hideMark/>
          </w:tcPr>
          <w:p>
            <w:pPr>
              <w:spacing w:after="0"/>
              <w:rPr>
                <w:rFonts w:eastAsia="Times New Roman"/>
                <w:noProof/>
                <w:sz w:val="20"/>
                <w:szCs w:val="20"/>
              </w:rPr>
            </w:pPr>
            <w:r>
              <w:rPr>
                <w:noProof/>
                <w:sz w:val="20"/>
              </w:rPr>
              <w:t>ECE/TRANS/WP.29/2017/100</w:t>
            </w:r>
          </w:p>
        </w:tc>
      </w:tr>
      <w:tr>
        <w:trPr>
          <w:trHeight w:val="1020"/>
        </w:trPr>
        <w:tc>
          <w:tcPr>
            <w:tcW w:w="1003" w:type="dxa"/>
            <w:tcBorders>
              <w:top w:val="nil"/>
              <w:left w:val="single" w:sz="4" w:space="0" w:color="auto"/>
              <w:bottom w:val="single" w:sz="4" w:space="0" w:color="auto"/>
              <w:right w:val="single" w:sz="4" w:space="0" w:color="auto"/>
            </w:tcBorders>
            <w:shd w:val="clear" w:color="auto" w:fill="auto"/>
            <w:noWrap/>
            <w:hideMark/>
          </w:tcPr>
          <w:p>
            <w:pPr>
              <w:spacing w:after="0"/>
              <w:rPr>
                <w:rFonts w:ascii="Times" w:eastAsia="Times New Roman" w:hAnsi="Times" w:cs="Times"/>
                <w:noProof/>
                <w:sz w:val="20"/>
                <w:szCs w:val="20"/>
              </w:rPr>
            </w:pPr>
            <w:r>
              <w:rPr>
                <w:rFonts w:ascii="Times" w:hAnsi="Times"/>
                <w:noProof/>
                <w:sz w:val="20"/>
              </w:rPr>
              <w:t>15.3</w:t>
            </w:r>
          </w:p>
        </w:tc>
        <w:tc>
          <w:tcPr>
            <w:tcW w:w="6057" w:type="dxa"/>
            <w:tcBorders>
              <w:top w:val="nil"/>
              <w:left w:val="nil"/>
              <w:bottom w:val="single" w:sz="4" w:space="0" w:color="auto"/>
              <w:right w:val="single" w:sz="4" w:space="0" w:color="auto"/>
            </w:tcBorders>
            <w:shd w:val="clear" w:color="auto" w:fill="auto"/>
            <w:vAlign w:val="center"/>
            <w:hideMark/>
          </w:tcPr>
          <w:p>
            <w:pPr>
              <w:spacing w:after="0"/>
              <w:rPr>
                <w:rFonts w:eastAsia="Times New Roman"/>
                <w:noProof/>
                <w:sz w:val="20"/>
                <w:szCs w:val="20"/>
              </w:rPr>
            </w:pPr>
            <w:r>
              <w:rPr>
                <w:noProof/>
                <w:sz w:val="20"/>
              </w:rPr>
              <w:t>Inscription nº 11 (confirmation du maintien de l’inscription): programmes de l’Environmental Protection Agency et du Département des transports des États-Unis d’Amérique relatifs aux normes en matière d’émissions de gaz à effet de serre et aux normes de consommation moyenne de carburant applicables aux constructeurs de véhicules utilitaires légers</w:t>
            </w:r>
          </w:p>
        </w:tc>
        <w:tc>
          <w:tcPr>
            <w:tcW w:w="2736" w:type="dxa"/>
            <w:tcBorders>
              <w:top w:val="nil"/>
              <w:left w:val="nil"/>
              <w:bottom w:val="single" w:sz="4" w:space="0" w:color="auto"/>
              <w:right w:val="single" w:sz="4" w:space="0" w:color="auto"/>
            </w:tcBorders>
            <w:shd w:val="clear" w:color="auto" w:fill="auto"/>
            <w:hideMark/>
          </w:tcPr>
          <w:p>
            <w:pPr>
              <w:spacing w:after="0"/>
              <w:rPr>
                <w:rFonts w:eastAsia="Times New Roman"/>
                <w:noProof/>
                <w:sz w:val="20"/>
                <w:szCs w:val="20"/>
              </w:rPr>
            </w:pPr>
            <w:r>
              <w:rPr>
                <w:noProof/>
                <w:sz w:val="20"/>
              </w:rPr>
              <w:t>ECE/TRANS/WP.29/2017/101</w:t>
            </w:r>
          </w:p>
        </w:tc>
      </w:tr>
      <w:tr>
        <w:trPr>
          <w:trHeight w:val="510"/>
        </w:trPr>
        <w:tc>
          <w:tcPr>
            <w:tcW w:w="1003" w:type="dxa"/>
            <w:tcBorders>
              <w:top w:val="nil"/>
              <w:left w:val="single" w:sz="4" w:space="0" w:color="auto"/>
              <w:bottom w:val="single" w:sz="4" w:space="0" w:color="auto"/>
              <w:right w:val="single" w:sz="4" w:space="0" w:color="auto"/>
            </w:tcBorders>
            <w:shd w:val="clear" w:color="auto" w:fill="auto"/>
            <w:noWrap/>
            <w:hideMark/>
          </w:tcPr>
          <w:p>
            <w:pPr>
              <w:spacing w:after="0"/>
              <w:rPr>
                <w:rFonts w:ascii="Times" w:eastAsia="Times New Roman" w:hAnsi="Times" w:cs="Times"/>
                <w:noProof/>
                <w:sz w:val="20"/>
                <w:szCs w:val="20"/>
              </w:rPr>
            </w:pPr>
            <w:r>
              <w:rPr>
                <w:rFonts w:ascii="Times" w:hAnsi="Times"/>
                <w:noProof/>
                <w:sz w:val="20"/>
              </w:rPr>
              <w:t>16</w:t>
            </w:r>
          </w:p>
        </w:tc>
        <w:tc>
          <w:tcPr>
            <w:tcW w:w="6057" w:type="dxa"/>
            <w:tcBorders>
              <w:top w:val="nil"/>
              <w:left w:val="nil"/>
              <w:bottom w:val="single" w:sz="4" w:space="0" w:color="auto"/>
              <w:right w:val="single" w:sz="4" w:space="0" w:color="auto"/>
            </w:tcBorders>
            <w:shd w:val="clear" w:color="auto" w:fill="auto"/>
            <w:vAlign w:val="center"/>
            <w:hideMark/>
          </w:tcPr>
          <w:p>
            <w:pPr>
              <w:spacing w:after="0"/>
              <w:rPr>
                <w:rFonts w:eastAsia="Times New Roman"/>
                <w:noProof/>
                <w:sz w:val="20"/>
                <w:szCs w:val="20"/>
              </w:rPr>
            </w:pPr>
            <w:r>
              <w:rPr>
                <w:noProof/>
                <w:sz w:val="20"/>
              </w:rPr>
              <w:t>Proposition d’une décision relative à l’emploi du terme «RTM ONU» dans les documents officiels au titre de l’accord de 1998</w:t>
            </w:r>
          </w:p>
        </w:tc>
        <w:tc>
          <w:tcPr>
            <w:tcW w:w="2736" w:type="dxa"/>
            <w:tcBorders>
              <w:top w:val="nil"/>
              <w:left w:val="nil"/>
              <w:bottom w:val="single" w:sz="4" w:space="0" w:color="auto"/>
              <w:right w:val="single" w:sz="4" w:space="0" w:color="auto"/>
            </w:tcBorders>
            <w:shd w:val="clear" w:color="auto" w:fill="auto"/>
            <w:hideMark/>
          </w:tcPr>
          <w:p>
            <w:pPr>
              <w:spacing w:after="0"/>
              <w:rPr>
                <w:rFonts w:eastAsia="Times New Roman"/>
                <w:noProof/>
                <w:sz w:val="20"/>
                <w:szCs w:val="20"/>
              </w:rPr>
            </w:pPr>
            <w:r>
              <w:rPr>
                <w:noProof/>
                <w:sz w:val="20"/>
              </w:rPr>
              <w:t>ECE/TRANS/WP.29/2017/102</w:t>
            </w:r>
          </w:p>
        </w:tc>
      </w:tr>
    </w:tbl>
    <w:p>
      <w:pPr>
        <w:rPr>
          <w:noProof/>
        </w:rPr>
      </w:pP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2942DF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6C83C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BD4DD18"/>
    <w:lvl w:ilvl="0">
      <w:start w:val="1"/>
      <w:numFmt w:val="decimal"/>
      <w:pStyle w:val="ListNumber2"/>
      <w:lvlText w:val="%1."/>
      <w:lvlJc w:val="left"/>
      <w:pPr>
        <w:tabs>
          <w:tab w:val="num" w:pos="643"/>
        </w:tabs>
        <w:ind w:left="643" w:hanging="360"/>
      </w:pPr>
    </w:lvl>
  </w:abstractNum>
  <w:abstractNum w:abstractNumId="3">
    <w:nsid w:val="FFFFFF81"/>
    <w:multiLevelType w:val="singleLevel"/>
    <w:tmpl w:val="82B0373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B94DC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6168A0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696E"/>
    <w:lvl w:ilvl="0">
      <w:start w:val="1"/>
      <w:numFmt w:val="decimal"/>
      <w:pStyle w:val="ListNumber"/>
      <w:lvlText w:val="%1."/>
      <w:lvlJc w:val="left"/>
      <w:pPr>
        <w:tabs>
          <w:tab w:val="num" w:pos="360"/>
        </w:tabs>
        <w:ind w:left="360" w:hanging="360"/>
      </w:pPr>
    </w:lvl>
  </w:abstractNum>
  <w:abstractNum w:abstractNumId="7">
    <w:nsid w:val="FFFFFF89"/>
    <w:multiLevelType w:val="singleLevel"/>
    <w:tmpl w:val="240C62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24 14:44:3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à la"/>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E07097C58B0142A38EC37412EDB0FC32"/>
    <w:docVar w:name="LW_CROSSREFERENCE" w:val="&lt;UNUSED&gt;"/>
    <w:docVar w:name="LW_DocType" w:val="ANNEX"/>
    <w:docVar w:name="LW_EMISSION" w:val="29.5.2017"/>
    <w:docVar w:name="LW_EMISSION_ISODATE" w:val="2017-05-29"/>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établissant la position à adopter au nom de l\u8217?Union européenne, au sein des comités compétents de la Commission économique pour l\u8217?Europe des Nations unies, sur les propositions d\u8217?amendements aux règlements nos 4, 6, 7, 14, 16, 19, 23, 30, 38, 48, 50, 51, 54, 55, 77, 80, 83, 87, 91, 98, 106, 112, 113, 119, 123, 129 et 143 de l\u8217?ONU, sur deux propositions d\u8217?amendements aux règlements techniques mondiaux nos 1 et 15 de l\u8217?ONU, sur une proposition de nouveau règlement technique mondial de l\u8217?ONU concernant la procédure de mesure des émissions par évaporation, sur la confirmation du maintien de trois inscriptions dans le recueil des règlements techniques mondiaux admissibles de l\u8217?ONU et sur une décision par consensus relative à l\u8217?emploi du terme «RTM ONU»_x000b_"/>
    <w:docVar w:name="LW_OBJETACTEPRINCIPAL.CP" w:val="établissant la position à adopter au nom de l\u8217?Union européenne, au sein des comités compétents de la Commission économique pour l\u8217?Europe des Nations unies, sur les propositions d\u8217?amendements aux règlements nos 4, 6, 7, 14, 16, 19, 23, 30, 38, 48, 50, 51, 54, 55, 77, 80, 83, 87, 91, 98, 106, 112, 113, 119, 123, 129 et 143 de l\u8217?ONU, sur deux propositions d\u8217?amendements aux règlements techniques mondiaux nos 1 et 15 de l\u8217?ONU, sur une proposition de nouveau règlement technique mondial de l\u8217?ONU concernant la procédure de mesure des émissions par évaporation, sur la confirmation du maintien de trois inscriptions dans le recueil des règlements techniques mondiaux admissibles de l\u8217?ONU et sur une décision par consensus relative à l\u8217?emploi du terme «RTM ONU»_x000b_"/>
    <w:docVar w:name="LW_PART_NBR" w:val="1"/>
    <w:docVar w:name="LW_PART_NBR_TOTAL" w:val="1"/>
    <w:docVar w:name="LW_REF.INST.NEW" w:val="COM"/>
    <w:docVar w:name="LW_REF.INST.NEW_ADOPTED" w:val="final"/>
    <w:docVar w:name="LW_REF.INST.NEW_TEXT" w:val="(2017) 267"/>
    <w:docVar w:name="LW_REF.INTERNE" w:val="&lt;UNUSED&gt;"/>
    <w:docVar w:name="LW_SUPERTITRE" w:val="&lt;UNUSED&gt;"/>
    <w:docVar w:name="LW_TITRE.OBJ.CP"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F8593-979E-41BD-874D-813AE3AD7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4</Pages>
  <Words>1011</Words>
  <Characters>6302</Characters>
  <Application>Microsoft Office Word</Application>
  <DocSecurity>0</DocSecurity>
  <Lines>274</Lines>
  <Paragraphs>192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BRASSART Odile (GROW)</dc:creator>
  <cp:lastModifiedBy>DIGIT/A3</cp:lastModifiedBy>
  <cp:revision>7</cp:revision>
  <cp:lastPrinted>2017-05-11T09:16:00Z</cp:lastPrinted>
  <dcterms:created xsi:type="dcterms:W3CDTF">2017-05-17T14:54:00Z</dcterms:created>
  <dcterms:modified xsi:type="dcterms:W3CDTF">2017-05-24T12:44:00Z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