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D6D31E2DC4B4E549681E1A8063BCDFE" style="width:450.75pt;height:4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tbl>
      <w:tblPr>
        <w:tblW w:w="9800" w:type="dxa"/>
        <w:tblInd w:w="93" w:type="dxa"/>
        <w:tblLook w:val="04A0" w:firstRow="1" w:lastRow="0" w:firstColumn="1" w:lastColumn="0" w:noHBand="0" w:noVBand="1"/>
      </w:tblPr>
      <w:tblGrid>
        <w:gridCol w:w="1120"/>
        <w:gridCol w:w="1003"/>
        <w:gridCol w:w="4955"/>
        <w:gridCol w:w="2722"/>
      </w:tblGrid>
      <w:tr>
        <w:trPr>
          <w:trHeight w:val="630"/>
        </w:trPr>
        <w:tc>
          <w:tcPr>
            <w:tcW w:w="1120"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Reg #</w:t>
            </w:r>
          </w:p>
        </w:tc>
        <w:tc>
          <w:tcPr>
            <w:tcW w:w="1003"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Agenda item</w:t>
            </w:r>
          </w:p>
        </w:tc>
        <w:tc>
          <w:tcPr>
            <w:tcW w:w="4955"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Agenda item title</w:t>
            </w:r>
          </w:p>
        </w:tc>
        <w:tc>
          <w:tcPr>
            <w:tcW w:w="2722"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Document reference</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19 to the Regulation No.4 (Illumination of rear registration plate lamps)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ECE/TRANS/WP.29/2017/72</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6</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4.10.2</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28 to the 01 series of amendments to Regulation No. 6 (Direction indicators)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ECE/TRANS/WP.29/2017/73</w:t>
            </w:r>
          </w:p>
        </w:tc>
      </w:tr>
      <w:tr>
        <w:trPr>
          <w:trHeight w:val="70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6</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4.10.3</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29 to the 01 series of amendments to Regulation No. 6 (Direction indicators)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ECE/TRANS/WP.29/2017/74</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7</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4.10.4</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27 to the 02 series of amendments to Regulation No. 7 (Position, stop and end-outline lamps)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ECE/TRANS/WP.29/2017/75</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14</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4.6.1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8 to the 07 series of amendments to Regulation No. 14 (Safety-belt anchorages)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ECE/TRANS/WP.29/2017/58</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16</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4.6.2</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9 to the 06 series of amendments to Regulation No. 16 (Safety-belts)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ECE/TRANS/WP.29/2017/59</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16</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4.6.3</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1 to the 07 series of amendments to Regulation No. 16 (Safety-belts)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ECE/TRANS/WP.29/2017/60</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19</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4.10.5</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10 to the 04 series of amendments to Regulation No. 19 (Front fog lamps)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ECE/TRANS/WP.29/2017/76</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23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4.10.6</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22 to Regulation No. 23 (Reversing lamps and manoeuvring lamps)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ECE/TRANS/WP.29/2017/77</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spacing w:before="0" w:after="0"/>
              <w:jc w:val="left"/>
              <w:rPr>
                <w:rFonts w:ascii="Times" w:eastAsia="Times New Roman" w:hAnsi="Times" w:cs="Times"/>
                <w:b/>
                <w:noProof/>
                <w:sz w:val="20"/>
                <w:szCs w:val="20"/>
                <w:lang w:eastAsia="en-GB"/>
              </w:rPr>
            </w:pPr>
            <w:r>
              <w:rPr>
                <w:rFonts w:ascii="Times" w:eastAsia="Times New Roman" w:hAnsi="Times" w:cs="Times"/>
                <w:b/>
                <w:noProof/>
                <w:sz w:val="20"/>
                <w:szCs w:val="20"/>
                <w:lang w:eastAsia="en-GB"/>
              </w:rPr>
              <w:t>30</w:t>
            </w:r>
          </w:p>
        </w:tc>
        <w:tc>
          <w:tcPr>
            <w:tcW w:w="1003" w:type="dxa"/>
            <w:tcBorders>
              <w:top w:val="nil"/>
              <w:left w:val="nil"/>
              <w:bottom w:val="single" w:sz="4" w:space="0" w:color="auto"/>
              <w:right w:val="single" w:sz="4" w:space="0" w:color="auto"/>
            </w:tcBorders>
            <w:shd w:val="clear" w:color="auto" w:fill="auto"/>
            <w:noWrap/>
          </w:tcPr>
          <w:p>
            <w:pPr>
              <w:spacing w:before="0" w:after="0"/>
              <w:jc w:val="left"/>
              <w:rPr>
                <w:rFonts w:ascii="Times" w:eastAsia="Times New Roman" w:hAnsi="Times" w:cs="Times"/>
                <w:b/>
                <w:noProof/>
                <w:sz w:val="20"/>
                <w:szCs w:val="20"/>
                <w:lang w:eastAsia="en-GB"/>
              </w:rPr>
            </w:pPr>
            <w:r>
              <w:rPr>
                <w:rFonts w:ascii="Times" w:eastAsia="Times New Roman" w:hAnsi="Times" w:cs="Times"/>
                <w:b/>
                <w:noProof/>
                <w:sz w:val="20"/>
                <w:szCs w:val="20"/>
                <w:lang w:eastAsia="en-GB"/>
              </w:rPr>
              <w:t>4.8.4</w:t>
            </w:r>
          </w:p>
        </w:tc>
        <w:tc>
          <w:tcPr>
            <w:tcW w:w="4955" w:type="dxa"/>
            <w:tcBorders>
              <w:top w:val="nil"/>
              <w:left w:val="nil"/>
              <w:bottom w:val="single" w:sz="4" w:space="0" w:color="auto"/>
              <w:right w:val="single" w:sz="4" w:space="0" w:color="auto"/>
            </w:tcBorders>
            <w:shd w:val="clear" w:color="auto" w:fill="auto"/>
          </w:tcPr>
          <w:p>
            <w:pPr>
              <w:spacing w:before="0" w:after="0"/>
              <w:jc w:val="left"/>
              <w:rPr>
                <w:rFonts w:ascii="Times" w:eastAsia="Times New Roman" w:hAnsi="Times" w:cs="Times"/>
                <w:b/>
                <w:noProof/>
                <w:sz w:val="20"/>
                <w:szCs w:val="20"/>
                <w:lang w:eastAsia="en-GB"/>
              </w:rPr>
            </w:pPr>
            <w:r>
              <w:rPr>
                <w:rFonts w:ascii="Times" w:eastAsia="Times New Roman" w:hAnsi="Times" w:cs="Times"/>
                <w:b/>
                <w:noProof/>
                <w:sz w:val="20"/>
                <w:szCs w:val="20"/>
                <w:lang w:eastAsia="en-GB"/>
              </w:rPr>
              <w:t>Proposal for Supplement 19 to the 02 series of amendments to Regulation No. 30 (Tyres for passenger cars and their trailers)</w:t>
            </w:r>
          </w:p>
        </w:tc>
        <w:tc>
          <w:tcPr>
            <w:tcW w:w="2722" w:type="dxa"/>
            <w:tcBorders>
              <w:top w:val="nil"/>
              <w:left w:val="nil"/>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w:t>
            </w:r>
            <w:r>
              <w:rPr>
                <w:rFonts w:ascii="Times" w:eastAsia="Times New Roman" w:hAnsi="Times" w:cs="Times"/>
                <w:b/>
                <w:noProof/>
                <w:sz w:val="20"/>
                <w:szCs w:val="20"/>
                <w:lang w:eastAsia="en-GB"/>
              </w:rPr>
              <w:t>105</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38</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4.10.7</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19 to Regulation No. 38 (Rear fog lamps)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ECE/TRANS/WP.29/2017/78</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48</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4.10.8</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9 to the 06 series of amendments to Regulation No. 48 (Installation of lighting and light-signalling devices)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ECE/TRANS/WP.29/2017/79</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spacing w:before="0" w:after="0"/>
              <w:jc w:val="left"/>
              <w:rPr>
                <w:rFonts w:ascii="Times" w:eastAsia="Times New Roman" w:hAnsi="Times" w:cs="Times"/>
                <w:b/>
                <w:noProof/>
                <w:sz w:val="20"/>
                <w:szCs w:val="20"/>
                <w:lang w:eastAsia="en-GB"/>
              </w:rPr>
            </w:pPr>
            <w:r>
              <w:rPr>
                <w:rFonts w:ascii="Times" w:eastAsia="Times New Roman" w:hAnsi="Times" w:cs="Times"/>
                <w:b/>
                <w:noProof/>
                <w:sz w:val="20"/>
                <w:szCs w:val="20"/>
                <w:lang w:eastAsia="en-GB"/>
              </w:rPr>
              <w:t>48</w:t>
            </w:r>
          </w:p>
        </w:tc>
        <w:tc>
          <w:tcPr>
            <w:tcW w:w="1003" w:type="dxa"/>
            <w:tcBorders>
              <w:top w:val="nil"/>
              <w:left w:val="nil"/>
              <w:bottom w:val="single" w:sz="4" w:space="0" w:color="auto"/>
              <w:right w:val="single" w:sz="4" w:space="0" w:color="auto"/>
            </w:tcBorders>
            <w:shd w:val="clear" w:color="auto" w:fill="auto"/>
            <w:noWrap/>
          </w:tcPr>
          <w:p>
            <w:pPr>
              <w:spacing w:before="0" w:after="0"/>
              <w:jc w:val="left"/>
              <w:rPr>
                <w:rFonts w:ascii="Times" w:eastAsia="Times New Roman" w:hAnsi="Times" w:cs="Times"/>
                <w:b/>
                <w:noProof/>
                <w:sz w:val="20"/>
                <w:szCs w:val="20"/>
                <w:lang w:eastAsia="en-GB"/>
              </w:rPr>
            </w:pPr>
            <w:r>
              <w:rPr>
                <w:rFonts w:ascii="Times" w:eastAsia="Times New Roman" w:hAnsi="Times" w:cs="Times"/>
                <w:b/>
                <w:noProof/>
                <w:sz w:val="20"/>
                <w:szCs w:val="20"/>
                <w:lang w:eastAsia="en-GB"/>
              </w:rPr>
              <w:t>4.10.16</w:t>
            </w:r>
          </w:p>
        </w:tc>
        <w:tc>
          <w:tcPr>
            <w:tcW w:w="4955" w:type="dxa"/>
            <w:tcBorders>
              <w:top w:val="nil"/>
              <w:left w:val="nil"/>
              <w:bottom w:val="single" w:sz="4" w:space="0" w:color="auto"/>
              <w:right w:val="single" w:sz="4" w:space="0" w:color="auto"/>
            </w:tcBorders>
            <w:shd w:val="clear" w:color="auto" w:fill="auto"/>
          </w:tcPr>
          <w:p>
            <w:pPr>
              <w:spacing w:before="0" w:after="0"/>
              <w:jc w:val="left"/>
              <w:rPr>
                <w:rFonts w:ascii="Times" w:eastAsia="Times New Roman" w:hAnsi="Times" w:cs="Times"/>
                <w:b/>
                <w:noProof/>
                <w:sz w:val="20"/>
                <w:szCs w:val="20"/>
                <w:lang w:eastAsia="en-GB"/>
              </w:rPr>
            </w:pPr>
            <w:r>
              <w:rPr>
                <w:rFonts w:ascii="Times" w:eastAsia="Times New Roman" w:hAnsi="Times" w:cs="Times"/>
                <w:b/>
                <w:noProof/>
                <w:sz w:val="20"/>
                <w:szCs w:val="20"/>
                <w:lang w:eastAsia="en-GB"/>
              </w:rPr>
              <w:t>Proposal for Supplement 11 to the 05 series of amendments to Regulation No. 48 (Installation of lighting and light-signalling devices)</w:t>
            </w:r>
          </w:p>
        </w:tc>
        <w:tc>
          <w:tcPr>
            <w:tcW w:w="2722" w:type="dxa"/>
            <w:tcBorders>
              <w:top w:val="nil"/>
              <w:left w:val="nil"/>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w:t>
            </w:r>
            <w:r>
              <w:rPr>
                <w:rFonts w:ascii="Times" w:eastAsia="Times New Roman" w:hAnsi="Times" w:cs="Times"/>
                <w:b/>
                <w:noProof/>
                <w:sz w:val="20"/>
                <w:szCs w:val="20"/>
                <w:lang w:eastAsia="en-GB"/>
              </w:rPr>
              <w:t>106</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50</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4.10.9</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19 to Regulation No. 50 (Position, stop, direction indicator lamps for mopeds and motorcycles)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ECE/TRANS/WP.29/2017/80</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50</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4.10.10</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20 to Regulation No. 50 (Position, stop, direction indicator lamps for mopeds and motorcycles)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ECE/TRANS/WP.29/2017/81</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51</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4.9.1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 xml:space="preserve">Proposal for Supplement 2 to the 03 series of amendments to Regulation No. 51 (Noise of M and N categories of vehicles) </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ECE/TRANS/WP.29/2017/71</w:t>
            </w:r>
          </w:p>
        </w:tc>
      </w:tr>
      <w:tr>
        <w:trPr>
          <w:trHeight w:val="58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54</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4.8.1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22 to Regulation No. 54 (Tyres for commercial vehicles and their trailers)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ECE/TRANS/WP.29/2017/68</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55</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4.8.2</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7 to the 01 series of amendments to Regulation No. 55 (Mechanical Coupling)</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ECE/TRANS/WP.29/2017/69</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77</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4.10.11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18 to Regulation No. 77 (Parking lamps)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ECE/TRANS/WP.29/2017/82</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lastRenderedPageBreak/>
              <w:t>80</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4.6.4</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3 to the 03 series of amendments to Regulation No. 80 (Strength of seats and their anchorages (buses))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ECE/TRANS/WP.29/2017/61</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83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4.7.1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10 to the 06 series of amendments to Regulation No. 83 (Emissions of M1 and N1 vehicles)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ECE/TRANS/WP.29/2017/64</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83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4.7.2</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6 to the 07 series of amendments to Regulation No. 83 (Emissions of M1 and N1 vehicles)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ECE/TRANS/WP.29/2017/65</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87</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4.10.12</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20 to Regulation No. 87 (Daytime running lamps)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ECE/TRANS/WP.29/2017/83</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91</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4.10.13</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17 to Regulation No. 91 (Side-marker lamps)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ECE/TRANS/WP.29/2017/84</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98</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4.10.14</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9 to the 01 series of amendments to Regulation No. 98 (Headlamps with gas-discharge light sources)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ECE/TRANS/WP.29/2017/85</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106</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4.8.3</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15 to Regulation No. 106 (Agricultural tyres)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ECE/TRANS/WP.29/2017/70</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112</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4.10.15</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8 to the 01 series of amendments to Regulation No. 112 (Headlamps emitting an asymmetrical passing-beam)</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ECE/TRANS/WP.29/2017/86</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113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b/>
                <w:noProof/>
                <w:sz w:val="20"/>
                <w:szCs w:val="20"/>
                <w:lang w:eastAsia="en-GB"/>
              </w:rPr>
            </w:pPr>
            <w:r>
              <w:rPr>
                <w:rFonts w:ascii="Times" w:eastAsia="Times New Roman" w:hAnsi="Times" w:cs="Times"/>
                <w:b/>
                <w:noProof/>
                <w:sz w:val="20"/>
                <w:szCs w:val="20"/>
                <w:lang w:eastAsia="en-GB"/>
              </w:rPr>
              <w:t>4.10.19</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 xml:space="preserve">Proposal for </w:t>
            </w:r>
            <w:r>
              <w:rPr>
                <w:rFonts w:ascii="Times" w:eastAsia="Times New Roman" w:hAnsi="Times" w:cs="Times"/>
                <w:b/>
                <w:noProof/>
                <w:sz w:val="20"/>
                <w:szCs w:val="20"/>
                <w:lang w:eastAsia="en-GB"/>
              </w:rPr>
              <w:t>the 02 series</w:t>
            </w:r>
            <w:r>
              <w:rPr>
                <w:rFonts w:ascii="Times" w:eastAsia="Times New Roman" w:hAnsi="Times" w:cs="Times"/>
                <w:noProof/>
                <w:sz w:val="20"/>
                <w:szCs w:val="20"/>
                <w:lang w:eastAsia="en-GB"/>
              </w:rPr>
              <w:t xml:space="preserve"> of amendments to Regulation No. 113 (Headlamps emitting a symmetrical passing-beam)</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ECE/TRANS/WP.29/2017/87</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119</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4.10.17</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6 to the 01 series of amendments to Regulation No. 119 (Cornering lamps)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ECE/TRANS/WP.29/2017/88</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123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4.10.18</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9 to the 01 series of amendments to Regulation No. 123 (Adaptive front-lighting systems (AFS))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ECE/TRANS/WP.29/2017/89</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129</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4.6.5</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2 to the 01 series of amendments to Regulation No. 129 (Enhanced Child Restraint Systems)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ECE/TRANS/WP.29/2017/62</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129</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4.6.6</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1 to the 02 series of amendments to Regulation No. 129 (Enhanced Child Restraint Systems)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ECE/TRANS/WP.29/2017/63</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143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4.7.3</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Proposal for Supplement 1 to the original version of Regulation No. 143 (Heavy Duty Dual-Fuel Engine Retrofit Systems (HDDF-ERS))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lang w:eastAsia="en-GB"/>
              </w:rPr>
            </w:pPr>
            <w:r>
              <w:rPr>
                <w:rFonts w:ascii="Times" w:eastAsia="Times New Roman" w:hAnsi="Times" w:cs="Times"/>
                <w:noProof/>
                <w:sz w:val="20"/>
                <w:szCs w:val="20"/>
                <w:lang w:eastAsia="en-GB"/>
              </w:rPr>
              <w:t>ECE/TRANS/WP.29/2017/66</w:t>
            </w:r>
          </w:p>
        </w:tc>
      </w:tr>
    </w:tbl>
    <w:p>
      <w:pPr>
        <w:spacing w:before="0" w:after="200" w:line="276" w:lineRule="auto"/>
        <w:jc w:val="left"/>
        <w:rPr>
          <w:rFonts w:asciiTheme="minorHAnsi" w:hAnsiTheme="minorHAnsi" w:cstheme="minorBidi"/>
          <w:noProof/>
          <w:sz w:val="22"/>
          <w:lang w:val="de-DE"/>
        </w:rPr>
      </w:pPr>
    </w:p>
    <w:tbl>
      <w:tblPr>
        <w:tblW w:w="9796" w:type="dxa"/>
        <w:tblInd w:w="93" w:type="dxa"/>
        <w:tblLook w:val="04A0" w:firstRow="1" w:lastRow="0" w:firstColumn="1" w:lastColumn="0" w:noHBand="0" w:noVBand="1"/>
      </w:tblPr>
      <w:tblGrid>
        <w:gridCol w:w="954"/>
        <w:gridCol w:w="1448"/>
        <w:gridCol w:w="4701"/>
        <w:gridCol w:w="2693"/>
      </w:tblGrid>
      <w:tr>
        <w:trPr>
          <w:trHeight w:val="465"/>
        </w:trPr>
        <w:tc>
          <w:tcPr>
            <w:tcW w:w="954"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GTR #</w:t>
            </w:r>
          </w:p>
        </w:tc>
        <w:tc>
          <w:tcPr>
            <w:tcW w:w="1448"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Agenda item</w:t>
            </w:r>
          </w:p>
        </w:tc>
        <w:tc>
          <w:tcPr>
            <w:tcW w:w="4701"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Agenda item title</w:t>
            </w:r>
          </w:p>
        </w:tc>
        <w:tc>
          <w:tcPr>
            <w:tcW w:w="2693"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Document reference</w:t>
            </w:r>
          </w:p>
        </w:tc>
      </w:tr>
      <w:tr>
        <w:trPr>
          <w:trHeight w:val="600"/>
        </w:trPr>
        <w:tc>
          <w:tcPr>
            <w:tcW w:w="95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GTR 1</w:t>
            </w:r>
          </w:p>
        </w:tc>
        <w:tc>
          <w:tcPr>
            <w:tcW w:w="1448"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14.2</w:t>
            </w:r>
          </w:p>
        </w:tc>
        <w:tc>
          <w:tcPr>
            <w:tcW w:w="4701"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Proposal for Amendment 2 to global technical regulation No. 1 (Door locks and door retention components)</w:t>
            </w:r>
          </w:p>
        </w:tc>
        <w:tc>
          <w:tcPr>
            <w:tcW w:w="2693"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ECE/TRANS/WP.29/2017/97</w:t>
            </w:r>
          </w:p>
        </w:tc>
      </w:tr>
      <w:tr>
        <w:trPr>
          <w:trHeight w:val="510"/>
        </w:trPr>
        <w:tc>
          <w:tcPr>
            <w:tcW w:w="95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GTR 15</w:t>
            </w:r>
          </w:p>
        </w:tc>
        <w:tc>
          <w:tcPr>
            <w:tcW w:w="1448"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14.3</w:t>
            </w:r>
          </w:p>
        </w:tc>
        <w:tc>
          <w:tcPr>
            <w:tcW w:w="4701"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Proposal for Amendment 2 to  global technical regulation No. 15 (Worldwide harmonized Light vehicles Test Procedures (WLTP))</w:t>
            </w:r>
          </w:p>
        </w:tc>
        <w:tc>
          <w:tcPr>
            <w:tcW w:w="2693"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ECE/TRANS/WP.29/2017/98</w:t>
            </w:r>
          </w:p>
        </w:tc>
      </w:tr>
      <w:tr>
        <w:trPr>
          <w:trHeight w:val="765"/>
        </w:trPr>
        <w:tc>
          <w:tcPr>
            <w:tcW w:w="95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new GTR</w:t>
            </w:r>
          </w:p>
        </w:tc>
        <w:tc>
          <w:tcPr>
            <w:tcW w:w="1448"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14.1</w:t>
            </w:r>
          </w:p>
        </w:tc>
        <w:tc>
          <w:tcPr>
            <w:tcW w:w="4701"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Proposal for a new global technical regulation (UN GTR) on the evaporative emission test procedure for the Worldwide harmonized Light vehicles Test Procedure (WLTP EVAP)</w:t>
            </w:r>
          </w:p>
        </w:tc>
        <w:tc>
          <w:tcPr>
            <w:tcW w:w="2693"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lang w:eastAsia="en-GB"/>
              </w:rPr>
            </w:pPr>
            <w:r>
              <w:rPr>
                <w:rFonts w:eastAsia="Times New Roman"/>
                <w:noProof/>
                <w:sz w:val="20"/>
                <w:szCs w:val="20"/>
                <w:lang w:eastAsia="en-GB"/>
              </w:rPr>
              <w:t>ECE/TRANS/WP.29/2017/94</w:t>
            </w:r>
          </w:p>
        </w:tc>
      </w:tr>
    </w:tbl>
    <w:p>
      <w:pPr>
        <w:rPr>
          <w:noProof/>
        </w:rPr>
      </w:pPr>
    </w:p>
    <w:tbl>
      <w:tblPr>
        <w:tblW w:w="9796" w:type="dxa"/>
        <w:tblInd w:w="93" w:type="dxa"/>
        <w:tblLook w:val="04A0" w:firstRow="1" w:lastRow="0" w:firstColumn="1" w:lastColumn="0" w:noHBand="0" w:noVBand="1"/>
      </w:tblPr>
      <w:tblGrid>
        <w:gridCol w:w="1003"/>
        <w:gridCol w:w="6057"/>
        <w:gridCol w:w="2736"/>
      </w:tblGrid>
      <w:tr>
        <w:trPr>
          <w:trHeight w:val="63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pPr>
              <w:spacing w:after="0"/>
              <w:rPr>
                <w:rFonts w:eastAsia="Times New Roman"/>
                <w:b/>
                <w:bCs/>
                <w:noProof/>
                <w:szCs w:val="24"/>
                <w:lang w:eastAsia="en-GB"/>
              </w:rPr>
            </w:pPr>
            <w:r>
              <w:rPr>
                <w:rFonts w:eastAsia="Times New Roman"/>
                <w:b/>
                <w:bCs/>
                <w:noProof/>
                <w:szCs w:val="24"/>
                <w:lang w:eastAsia="en-GB"/>
              </w:rPr>
              <w:lastRenderedPageBreak/>
              <w:t>Agenda item</w:t>
            </w:r>
          </w:p>
        </w:tc>
        <w:tc>
          <w:tcPr>
            <w:tcW w:w="6057" w:type="dxa"/>
            <w:tcBorders>
              <w:top w:val="single" w:sz="4" w:space="0" w:color="auto"/>
              <w:left w:val="nil"/>
              <w:bottom w:val="single" w:sz="4" w:space="0" w:color="auto"/>
              <w:right w:val="single" w:sz="4" w:space="0" w:color="auto"/>
            </w:tcBorders>
            <w:shd w:val="clear" w:color="auto" w:fill="auto"/>
            <w:hideMark/>
          </w:tcPr>
          <w:p>
            <w:pPr>
              <w:spacing w:after="0"/>
              <w:rPr>
                <w:rFonts w:eastAsia="Times New Roman"/>
                <w:b/>
                <w:bCs/>
                <w:noProof/>
                <w:szCs w:val="24"/>
                <w:lang w:eastAsia="en-GB"/>
              </w:rPr>
            </w:pPr>
            <w:r>
              <w:rPr>
                <w:rFonts w:eastAsia="Times New Roman"/>
                <w:b/>
                <w:bCs/>
                <w:noProof/>
                <w:szCs w:val="24"/>
                <w:lang w:eastAsia="en-GB"/>
              </w:rPr>
              <w:t>Agenda item title</w:t>
            </w:r>
          </w:p>
        </w:tc>
        <w:tc>
          <w:tcPr>
            <w:tcW w:w="2736" w:type="dxa"/>
            <w:tcBorders>
              <w:top w:val="single" w:sz="4" w:space="0" w:color="auto"/>
              <w:left w:val="nil"/>
              <w:bottom w:val="single" w:sz="4" w:space="0" w:color="auto"/>
              <w:right w:val="single" w:sz="4" w:space="0" w:color="auto"/>
            </w:tcBorders>
            <w:shd w:val="clear" w:color="auto" w:fill="auto"/>
            <w:hideMark/>
          </w:tcPr>
          <w:p>
            <w:pPr>
              <w:spacing w:after="0"/>
              <w:rPr>
                <w:rFonts w:eastAsia="Times New Roman"/>
                <w:b/>
                <w:bCs/>
                <w:noProof/>
                <w:szCs w:val="24"/>
                <w:lang w:eastAsia="en-GB"/>
              </w:rPr>
            </w:pPr>
            <w:r>
              <w:rPr>
                <w:rFonts w:eastAsia="Times New Roman"/>
                <w:b/>
                <w:bCs/>
                <w:noProof/>
                <w:szCs w:val="24"/>
                <w:lang w:eastAsia="en-GB"/>
              </w:rPr>
              <w:t>Document reference</w:t>
            </w:r>
          </w:p>
        </w:tc>
      </w:tr>
      <w:tr>
        <w:trPr>
          <w:trHeight w:val="1275"/>
        </w:trPr>
        <w:tc>
          <w:tcPr>
            <w:tcW w:w="1003" w:type="dxa"/>
            <w:tcBorders>
              <w:top w:val="nil"/>
              <w:left w:val="single" w:sz="4" w:space="0" w:color="auto"/>
              <w:bottom w:val="single" w:sz="4" w:space="0" w:color="auto"/>
              <w:right w:val="single" w:sz="4" w:space="0" w:color="auto"/>
            </w:tcBorders>
            <w:shd w:val="clear" w:color="auto" w:fill="auto"/>
            <w:noWrap/>
            <w:hideMark/>
          </w:tcPr>
          <w:p>
            <w:pPr>
              <w:spacing w:after="0"/>
              <w:rPr>
                <w:rFonts w:ascii="Times" w:eastAsia="Times New Roman" w:hAnsi="Times" w:cs="Times"/>
                <w:noProof/>
                <w:sz w:val="20"/>
                <w:szCs w:val="20"/>
                <w:lang w:eastAsia="en-GB"/>
              </w:rPr>
            </w:pPr>
            <w:r>
              <w:rPr>
                <w:rFonts w:ascii="Times" w:eastAsia="Times New Roman" w:hAnsi="Times" w:cs="Times"/>
                <w:noProof/>
                <w:sz w:val="20"/>
                <w:szCs w:val="20"/>
                <w:lang w:eastAsia="en-GB"/>
              </w:rPr>
              <w:t>15.1.</w:t>
            </w:r>
          </w:p>
        </w:tc>
        <w:tc>
          <w:tcPr>
            <w:tcW w:w="6057" w:type="dxa"/>
            <w:tcBorders>
              <w:top w:val="nil"/>
              <w:left w:val="nil"/>
              <w:bottom w:val="single" w:sz="4" w:space="0" w:color="auto"/>
              <w:right w:val="single" w:sz="4" w:space="0" w:color="auto"/>
            </w:tcBorders>
            <w:shd w:val="clear" w:color="auto" w:fill="auto"/>
            <w:vAlign w:val="center"/>
            <w:hideMark/>
          </w:tcPr>
          <w:p>
            <w:pPr>
              <w:spacing w:after="0"/>
              <w:rPr>
                <w:rFonts w:eastAsia="Times New Roman"/>
                <w:noProof/>
                <w:sz w:val="20"/>
                <w:szCs w:val="20"/>
                <w:lang w:eastAsia="en-GB"/>
              </w:rPr>
            </w:pPr>
            <w:r>
              <w:rPr>
                <w:rFonts w:eastAsia="Times New Roman"/>
                <w:noProof/>
                <w:sz w:val="20"/>
                <w:szCs w:val="20"/>
                <w:lang w:eastAsia="en-GB"/>
              </w:rPr>
              <w:t>Listing Number 13 (reaffirmation of listing): United States of America Environmental Protection Agency and National Highway Traffic Safety Administration, Department of Transportation, Program for Revisions and Additions to the Motor Vehicle Fuel Economy Label: New Fuel Economy and Environment Labels for a New Generation of Vehicles</w:t>
            </w:r>
          </w:p>
        </w:tc>
        <w:tc>
          <w:tcPr>
            <w:tcW w:w="2736" w:type="dxa"/>
            <w:tcBorders>
              <w:top w:val="nil"/>
              <w:left w:val="nil"/>
              <w:bottom w:val="single" w:sz="4" w:space="0" w:color="auto"/>
              <w:right w:val="single" w:sz="4" w:space="0" w:color="auto"/>
            </w:tcBorders>
            <w:shd w:val="clear" w:color="auto" w:fill="auto"/>
            <w:hideMark/>
          </w:tcPr>
          <w:p>
            <w:pPr>
              <w:spacing w:after="0"/>
              <w:rPr>
                <w:rFonts w:eastAsia="Times New Roman"/>
                <w:noProof/>
                <w:sz w:val="20"/>
                <w:szCs w:val="20"/>
                <w:lang w:eastAsia="en-GB"/>
              </w:rPr>
            </w:pPr>
            <w:r>
              <w:rPr>
                <w:rFonts w:eastAsia="Times New Roman"/>
                <w:noProof/>
                <w:sz w:val="20"/>
                <w:szCs w:val="20"/>
                <w:lang w:eastAsia="en-GB"/>
              </w:rPr>
              <w:t>ECE/TRANS/WP.29/2017/57</w:t>
            </w:r>
          </w:p>
        </w:tc>
      </w:tr>
      <w:tr>
        <w:trPr>
          <w:trHeight w:val="1020"/>
        </w:trPr>
        <w:tc>
          <w:tcPr>
            <w:tcW w:w="1003" w:type="dxa"/>
            <w:tcBorders>
              <w:top w:val="nil"/>
              <w:left w:val="single" w:sz="4" w:space="0" w:color="auto"/>
              <w:bottom w:val="single" w:sz="4" w:space="0" w:color="auto"/>
              <w:right w:val="single" w:sz="4" w:space="0" w:color="auto"/>
            </w:tcBorders>
            <w:shd w:val="clear" w:color="auto" w:fill="auto"/>
            <w:noWrap/>
            <w:hideMark/>
          </w:tcPr>
          <w:p>
            <w:pPr>
              <w:spacing w:after="0"/>
              <w:rPr>
                <w:rFonts w:ascii="Times" w:eastAsia="Times New Roman" w:hAnsi="Times" w:cs="Times"/>
                <w:noProof/>
                <w:sz w:val="20"/>
                <w:szCs w:val="20"/>
                <w:lang w:eastAsia="en-GB"/>
              </w:rPr>
            </w:pPr>
            <w:r>
              <w:rPr>
                <w:rFonts w:ascii="Times" w:eastAsia="Times New Roman" w:hAnsi="Times" w:cs="Times"/>
                <w:noProof/>
                <w:sz w:val="20"/>
                <w:szCs w:val="20"/>
                <w:lang w:eastAsia="en-GB"/>
              </w:rPr>
              <w:t>15.2</w:t>
            </w:r>
          </w:p>
        </w:tc>
        <w:tc>
          <w:tcPr>
            <w:tcW w:w="6057" w:type="dxa"/>
            <w:tcBorders>
              <w:top w:val="nil"/>
              <w:left w:val="nil"/>
              <w:bottom w:val="single" w:sz="4" w:space="0" w:color="auto"/>
              <w:right w:val="single" w:sz="4" w:space="0" w:color="auto"/>
            </w:tcBorders>
            <w:shd w:val="clear" w:color="auto" w:fill="auto"/>
            <w:vAlign w:val="center"/>
            <w:hideMark/>
          </w:tcPr>
          <w:p>
            <w:pPr>
              <w:spacing w:after="0"/>
              <w:rPr>
                <w:rFonts w:eastAsia="Times New Roman"/>
                <w:noProof/>
                <w:sz w:val="20"/>
                <w:szCs w:val="20"/>
                <w:lang w:eastAsia="en-GB"/>
              </w:rPr>
            </w:pPr>
            <w:r>
              <w:rPr>
                <w:rFonts w:eastAsia="Times New Roman"/>
                <w:noProof/>
                <w:sz w:val="20"/>
                <w:szCs w:val="20"/>
                <w:lang w:eastAsia="en-GB"/>
              </w:rPr>
              <w:t>Listing Number 12 (reaffirmation of listing): United States of America Environmental Protection Agency and National Highway Traffic Safety Administration, Department of Transportation Programmes for Greenhouse Gas Emissions Standards and Fuel Efficiency Standards for Medium and Heavy-Duty Engines and Vehicles</w:t>
            </w:r>
          </w:p>
        </w:tc>
        <w:tc>
          <w:tcPr>
            <w:tcW w:w="2736" w:type="dxa"/>
            <w:tcBorders>
              <w:top w:val="nil"/>
              <w:left w:val="nil"/>
              <w:bottom w:val="single" w:sz="4" w:space="0" w:color="auto"/>
              <w:right w:val="single" w:sz="4" w:space="0" w:color="auto"/>
            </w:tcBorders>
            <w:shd w:val="clear" w:color="auto" w:fill="auto"/>
            <w:hideMark/>
          </w:tcPr>
          <w:p>
            <w:pPr>
              <w:spacing w:after="0"/>
              <w:rPr>
                <w:rFonts w:eastAsia="Times New Roman"/>
                <w:noProof/>
                <w:sz w:val="20"/>
                <w:szCs w:val="20"/>
                <w:lang w:eastAsia="en-GB"/>
              </w:rPr>
            </w:pPr>
            <w:r>
              <w:rPr>
                <w:rFonts w:eastAsia="Times New Roman"/>
                <w:noProof/>
                <w:sz w:val="20"/>
                <w:szCs w:val="20"/>
                <w:lang w:eastAsia="en-GB"/>
              </w:rPr>
              <w:t>ECE/TRANS/WP.29/2017/100</w:t>
            </w:r>
          </w:p>
        </w:tc>
      </w:tr>
      <w:tr>
        <w:trPr>
          <w:trHeight w:val="1020"/>
        </w:trPr>
        <w:tc>
          <w:tcPr>
            <w:tcW w:w="1003" w:type="dxa"/>
            <w:tcBorders>
              <w:top w:val="nil"/>
              <w:left w:val="single" w:sz="4" w:space="0" w:color="auto"/>
              <w:bottom w:val="single" w:sz="4" w:space="0" w:color="auto"/>
              <w:right w:val="single" w:sz="4" w:space="0" w:color="auto"/>
            </w:tcBorders>
            <w:shd w:val="clear" w:color="auto" w:fill="auto"/>
            <w:noWrap/>
            <w:hideMark/>
          </w:tcPr>
          <w:p>
            <w:pPr>
              <w:spacing w:after="0"/>
              <w:rPr>
                <w:rFonts w:ascii="Times" w:eastAsia="Times New Roman" w:hAnsi="Times" w:cs="Times"/>
                <w:noProof/>
                <w:sz w:val="20"/>
                <w:szCs w:val="20"/>
                <w:lang w:eastAsia="en-GB"/>
              </w:rPr>
            </w:pPr>
            <w:r>
              <w:rPr>
                <w:rFonts w:ascii="Times" w:eastAsia="Times New Roman" w:hAnsi="Times" w:cs="Times"/>
                <w:noProof/>
                <w:sz w:val="20"/>
                <w:szCs w:val="20"/>
                <w:lang w:eastAsia="en-GB"/>
              </w:rPr>
              <w:t>15.3</w:t>
            </w:r>
          </w:p>
        </w:tc>
        <w:tc>
          <w:tcPr>
            <w:tcW w:w="6057" w:type="dxa"/>
            <w:tcBorders>
              <w:top w:val="nil"/>
              <w:left w:val="nil"/>
              <w:bottom w:val="single" w:sz="4" w:space="0" w:color="auto"/>
              <w:right w:val="single" w:sz="4" w:space="0" w:color="auto"/>
            </w:tcBorders>
            <w:shd w:val="clear" w:color="auto" w:fill="auto"/>
            <w:vAlign w:val="center"/>
            <w:hideMark/>
          </w:tcPr>
          <w:p>
            <w:pPr>
              <w:spacing w:after="0"/>
              <w:rPr>
                <w:rFonts w:eastAsia="Times New Roman"/>
                <w:noProof/>
                <w:sz w:val="20"/>
                <w:szCs w:val="20"/>
                <w:lang w:eastAsia="en-GB"/>
              </w:rPr>
            </w:pPr>
            <w:r>
              <w:rPr>
                <w:rFonts w:eastAsia="Times New Roman"/>
                <w:noProof/>
                <w:sz w:val="20"/>
                <w:szCs w:val="20"/>
                <w:lang w:eastAsia="en-GB"/>
              </w:rPr>
              <w:t>Listing Number 11 (reaffirmation of listing): United States of America Environmental Protection Agency and the Department of Transportation programmes for Light-duty vehicle greenhouse gas emission standards and Corporate Average Fuel Economy Standards</w:t>
            </w:r>
          </w:p>
        </w:tc>
        <w:tc>
          <w:tcPr>
            <w:tcW w:w="2736" w:type="dxa"/>
            <w:tcBorders>
              <w:top w:val="nil"/>
              <w:left w:val="nil"/>
              <w:bottom w:val="single" w:sz="4" w:space="0" w:color="auto"/>
              <w:right w:val="single" w:sz="4" w:space="0" w:color="auto"/>
            </w:tcBorders>
            <w:shd w:val="clear" w:color="auto" w:fill="auto"/>
            <w:hideMark/>
          </w:tcPr>
          <w:p>
            <w:pPr>
              <w:spacing w:after="0"/>
              <w:rPr>
                <w:rFonts w:eastAsia="Times New Roman"/>
                <w:noProof/>
                <w:sz w:val="20"/>
                <w:szCs w:val="20"/>
                <w:lang w:eastAsia="en-GB"/>
              </w:rPr>
            </w:pPr>
            <w:r>
              <w:rPr>
                <w:rFonts w:eastAsia="Times New Roman"/>
                <w:noProof/>
                <w:sz w:val="20"/>
                <w:szCs w:val="20"/>
                <w:lang w:eastAsia="en-GB"/>
              </w:rPr>
              <w:t>ECE/TRANS/WP.29/2017/101</w:t>
            </w:r>
          </w:p>
        </w:tc>
      </w:tr>
      <w:tr>
        <w:trPr>
          <w:trHeight w:val="510"/>
        </w:trPr>
        <w:tc>
          <w:tcPr>
            <w:tcW w:w="1003" w:type="dxa"/>
            <w:tcBorders>
              <w:top w:val="nil"/>
              <w:left w:val="single" w:sz="4" w:space="0" w:color="auto"/>
              <w:bottom w:val="single" w:sz="4" w:space="0" w:color="auto"/>
              <w:right w:val="single" w:sz="4" w:space="0" w:color="auto"/>
            </w:tcBorders>
            <w:shd w:val="clear" w:color="auto" w:fill="auto"/>
            <w:noWrap/>
            <w:hideMark/>
          </w:tcPr>
          <w:p>
            <w:pPr>
              <w:spacing w:after="0"/>
              <w:rPr>
                <w:rFonts w:ascii="Times" w:eastAsia="Times New Roman" w:hAnsi="Times" w:cs="Times"/>
                <w:noProof/>
                <w:sz w:val="20"/>
                <w:szCs w:val="20"/>
                <w:lang w:eastAsia="en-GB"/>
              </w:rPr>
            </w:pPr>
            <w:r>
              <w:rPr>
                <w:rFonts w:ascii="Times" w:eastAsia="Times New Roman" w:hAnsi="Times" w:cs="Times"/>
                <w:noProof/>
                <w:sz w:val="20"/>
                <w:szCs w:val="20"/>
                <w:lang w:eastAsia="en-GB"/>
              </w:rPr>
              <w:t>16</w:t>
            </w:r>
          </w:p>
        </w:tc>
        <w:tc>
          <w:tcPr>
            <w:tcW w:w="6057" w:type="dxa"/>
            <w:tcBorders>
              <w:top w:val="nil"/>
              <w:left w:val="nil"/>
              <w:bottom w:val="single" w:sz="4" w:space="0" w:color="auto"/>
              <w:right w:val="single" w:sz="4" w:space="0" w:color="auto"/>
            </w:tcBorders>
            <w:shd w:val="clear" w:color="auto" w:fill="auto"/>
            <w:vAlign w:val="center"/>
            <w:hideMark/>
          </w:tcPr>
          <w:p>
            <w:pPr>
              <w:spacing w:after="0"/>
              <w:rPr>
                <w:rFonts w:eastAsia="Times New Roman"/>
                <w:noProof/>
                <w:sz w:val="20"/>
                <w:szCs w:val="20"/>
                <w:lang w:eastAsia="en-GB"/>
              </w:rPr>
            </w:pPr>
            <w:r>
              <w:rPr>
                <w:rFonts w:eastAsia="Times New Roman"/>
                <w:noProof/>
                <w:sz w:val="20"/>
                <w:szCs w:val="20"/>
                <w:lang w:eastAsia="en-GB"/>
              </w:rPr>
              <w:t>Proposal for a decision on the use of term "UN GTR" in official documents under the 1998 Agreement</w:t>
            </w:r>
          </w:p>
        </w:tc>
        <w:tc>
          <w:tcPr>
            <w:tcW w:w="2736" w:type="dxa"/>
            <w:tcBorders>
              <w:top w:val="nil"/>
              <w:left w:val="nil"/>
              <w:bottom w:val="single" w:sz="4" w:space="0" w:color="auto"/>
              <w:right w:val="single" w:sz="4" w:space="0" w:color="auto"/>
            </w:tcBorders>
            <w:shd w:val="clear" w:color="auto" w:fill="auto"/>
            <w:hideMark/>
          </w:tcPr>
          <w:p>
            <w:pPr>
              <w:spacing w:after="0"/>
              <w:rPr>
                <w:rFonts w:eastAsia="Times New Roman"/>
                <w:noProof/>
                <w:sz w:val="20"/>
                <w:szCs w:val="20"/>
                <w:lang w:eastAsia="en-GB"/>
              </w:rPr>
            </w:pPr>
            <w:r>
              <w:rPr>
                <w:rFonts w:eastAsia="Times New Roman"/>
                <w:noProof/>
                <w:sz w:val="20"/>
                <w:szCs w:val="20"/>
                <w:lang w:eastAsia="en-GB"/>
              </w:rPr>
              <w:t>ECE/TRANS/WP.29/2017/102</w:t>
            </w:r>
          </w:p>
        </w:tc>
      </w:tr>
    </w:tbl>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4 14:45: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3D6D31E2DC4B4E549681E1A8063BCDFE"/>
    <w:docVar w:name="LW_CROSSREFERENCE" w:val="&lt;UNUSED&gt;"/>
    <w:docVar w:name="LW_DocType" w:val="ANNEX"/>
    <w:docVar w:name="LW_EMISSION" w:val="29.5.2017"/>
    <w:docVar w:name="LW_EMISSION_ISODATE" w:val="2017-05-29"/>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establishing the position to be adopted on behalf of the European Union in the relevant Committees of the United Nations Economic Commission for Europe as regards the proposals for amendments to UN Regulations Nos. 4, 6, 7, 14, 16, 19, 23, 30, 38, 48, 50, 51, 54, 55, 77, 80, 83, 87, 91, 98, 106, 112, 113, 119, 123, 129 and 143, two proposals for amendments to UN Global Technical Regulations 1 and 15, a proposal for a new UN Global Technical Regulation on the evaporative emission test procedure, the reaffirmation of three listings in the Compendium of Candidate UN Global Technical Regulations, and one consensus decision on the use of the term &quot;UN GTR&quot;."/>
    <w:docVar w:name="LW_OBJETACTEPRINCIPAL.CP" w:val="establishing the position to be adopted on behalf of the European Union in the relevant Committees of the United Nations Economic Commission for Europe as regards the proposals for amendments to UN Regulations Nos. 4, 6, 7, 14, 16, 19, 23, 30, 38, 48, 50, 51, 54, 55, 77, 80, 83, 87, 91, 98, 106, 112, 113, 119, 123, 129 and 143, two proposals for amendments to UN Global Technical Regulations 1 and 15, a proposal for a new UN Global Technical Regulation on the evaporative emission test procedure, the reaffirmation of three listings in the Compendium of Candidate UN Global Technical Regulations, and one consensus decision on the use of the term &quot;UN GTR&quot;."/>
    <w:docVar w:name="LW_PART_NBR" w:val="1"/>
    <w:docVar w:name="LW_PART_NBR_TOTAL" w:val="1"/>
    <w:docVar w:name="LW_REF.INST.NEW" w:val="COM"/>
    <w:docVar w:name="LW_REF.INST.NEW_ADOPTED" w:val="final"/>
    <w:docVar w:name="LW_REF.INST.NEW_TEXT" w:val="(2017) 267"/>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D63E4-46A5-4376-8E11-A839F1B0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891</Words>
  <Characters>5543</Characters>
  <Application>Microsoft Office Word</Application>
  <DocSecurity>0</DocSecurity>
  <Lines>251</Lines>
  <Paragraphs>194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BRASSART Odile (GROW)</dc:creator>
  <cp:lastModifiedBy>DIGIT/A3</cp:lastModifiedBy>
  <cp:revision>7</cp:revision>
  <cp:lastPrinted>2017-05-11T09:16:00Z</cp:lastPrinted>
  <dcterms:created xsi:type="dcterms:W3CDTF">2017-05-12T09:45:00Z</dcterms:created>
  <dcterms:modified xsi:type="dcterms:W3CDTF">2017-05-24T12:45:00Z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