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C4" w:rsidRDefault="002C75F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9B2FF9047094C659E6C27E48FA50A55" style="width:450.5pt;height:366.15pt">
            <v:imagedata r:id="rId9" o:title=""/>
          </v:shape>
        </w:pict>
      </w:r>
    </w:p>
    <w:p w:rsidR="00A018C4" w:rsidRDefault="00A018C4">
      <w:pPr>
        <w:rPr>
          <w:noProof/>
        </w:rPr>
        <w:sectPr w:rsidR="00A018C4">
          <w:footerReference w:type="default" r:id="rId10"/>
          <w:pgSz w:w="11907" w:h="16839"/>
          <w:pgMar w:top="1134" w:right="1417" w:bottom="1134" w:left="1417" w:header="709" w:footer="709" w:gutter="0"/>
          <w:pgNumType w:start="1"/>
          <w:cols w:space="720"/>
          <w:docGrid w:linePitch="360"/>
        </w:sectPr>
      </w:pPr>
    </w:p>
    <w:p w:rsidR="00A018C4" w:rsidRDefault="00A018C4">
      <w:pPr>
        <w:pStyle w:val="Exposdesmotifstitre"/>
        <w:rPr>
          <w:noProof/>
        </w:rPr>
      </w:pPr>
    </w:p>
    <w:p w:rsidR="00A018C4" w:rsidRDefault="00A018C4">
      <w:pPr>
        <w:rPr>
          <w:noProof/>
        </w:rPr>
      </w:pPr>
    </w:p>
    <w:p w:rsidR="00A018C4" w:rsidRDefault="002C75F6">
      <w:pPr>
        <w:pStyle w:val="Statut"/>
        <w:rPr>
          <w:noProof/>
        </w:rPr>
      </w:pPr>
      <w:r>
        <w:rPr>
          <w:noProof/>
        </w:rPr>
        <w:t>Препоръка за</w:t>
      </w:r>
    </w:p>
    <w:p w:rsidR="00A018C4" w:rsidRDefault="002C75F6">
      <w:pPr>
        <w:pStyle w:val="Typedudocument"/>
        <w:rPr>
          <w:noProof/>
        </w:rPr>
      </w:pPr>
      <w:r>
        <w:rPr>
          <w:noProof/>
        </w:rPr>
        <w:t>ПРЕПОРЪКА НА СЪВЕТА</w:t>
      </w:r>
    </w:p>
    <w:p w:rsidR="00A018C4" w:rsidRDefault="002C75F6">
      <w:pPr>
        <w:pStyle w:val="Titreobjet"/>
        <w:rPr>
          <w:noProof/>
        </w:rPr>
      </w:pPr>
      <w:r>
        <w:rPr>
          <w:noProof/>
        </w:rPr>
        <w:t>относно националната програма за реформи на Ирландия за 2017 г.</w:t>
      </w:r>
      <w:r>
        <w:rPr>
          <w:noProof/>
        </w:rPr>
        <w:br/>
      </w:r>
      <w:r>
        <w:rPr>
          <w:noProof/>
        </w:rPr>
        <w:br/>
        <w:t xml:space="preserve">и </w:t>
      </w:r>
      <w:r>
        <w:rPr>
          <w:noProof/>
        </w:rPr>
        <w:t>съдържаща становище на Съвета относно програмата за стабилност на Ирландия за 2017 г.</w:t>
      </w:r>
    </w:p>
    <w:p w:rsidR="00A018C4" w:rsidRDefault="002C75F6">
      <w:pPr>
        <w:pStyle w:val="Institutionquiagit"/>
        <w:rPr>
          <w:noProof/>
        </w:rPr>
      </w:pPr>
      <w:r>
        <w:rPr>
          <w:noProof/>
        </w:rPr>
        <w:t>СЪВЕТЪТ НА ЕВРОПЕЙСКИЯ СЪЮЗ,</w:t>
      </w:r>
    </w:p>
    <w:p w:rsidR="00A018C4" w:rsidRDefault="002C75F6">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A018C4" w:rsidRDefault="002C75F6">
      <w:pPr>
        <w:rPr>
          <w:noProof/>
        </w:rPr>
      </w:pPr>
      <w:r>
        <w:rPr>
          <w:noProof/>
        </w:rPr>
        <w:t>като вз</w:t>
      </w:r>
      <w:r>
        <w:rPr>
          <w:noProof/>
        </w:rPr>
        <w:t>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A018C4" w:rsidRDefault="002C75F6">
      <w:pPr>
        <w:rPr>
          <w:noProof/>
        </w:rPr>
      </w:pPr>
      <w:r>
        <w:rPr>
          <w:noProof/>
        </w:rPr>
        <w:t>като взе предвид Регламент (ЕС) № 1176/2</w:t>
      </w:r>
      <w:r>
        <w:rPr>
          <w:noProof/>
        </w:rPr>
        <w:t>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rsidR="00A018C4" w:rsidRDefault="002C75F6">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A018C4" w:rsidRDefault="002C75F6">
      <w:pPr>
        <w:rPr>
          <w:noProof/>
        </w:rPr>
      </w:pPr>
      <w:r>
        <w:rPr>
          <w:noProof/>
        </w:rPr>
        <w:t>като взе предвид р</w:t>
      </w:r>
      <w:r>
        <w:rPr>
          <w:noProof/>
        </w:rPr>
        <w:t>езолюциите на Европейския парламент,</w:t>
      </w:r>
      <w:r>
        <w:rPr>
          <w:rStyle w:val="FootnoteReference"/>
          <w:noProof/>
        </w:rPr>
        <w:footnoteReference w:id="4"/>
      </w:r>
    </w:p>
    <w:p w:rsidR="00A018C4" w:rsidRDefault="002C75F6">
      <w:pPr>
        <w:outlineLvl w:val="0"/>
        <w:rPr>
          <w:noProof/>
        </w:rPr>
      </w:pPr>
      <w:r>
        <w:rPr>
          <w:noProof/>
        </w:rPr>
        <w:t>като взе предвид заключенията на Европейския съвет,</w:t>
      </w:r>
    </w:p>
    <w:p w:rsidR="00A018C4" w:rsidRDefault="002C75F6">
      <w:pPr>
        <w:rPr>
          <w:noProof/>
        </w:rPr>
      </w:pPr>
      <w:r>
        <w:rPr>
          <w:noProof/>
        </w:rPr>
        <w:t>като взе предвид становището на Комитета по заетостта,</w:t>
      </w:r>
    </w:p>
    <w:p w:rsidR="00A018C4" w:rsidRDefault="002C75F6">
      <w:pPr>
        <w:rPr>
          <w:noProof/>
        </w:rPr>
      </w:pPr>
      <w:r>
        <w:rPr>
          <w:noProof/>
        </w:rPr>
        <w:t>като взе предвид становището на Икономическия и финансов комитет,</w:t>
      </w:r>
    </w:p>
    <w:p w:rsidR="00A018C4" w:rsidRDefault="002C75F6">
      <w:pPr>
        <w:rPr>
          <w:noProof/>
        </w:rPr>
      </w:pPr>
      <w:r>
        <w:rPr>
          <w:noProof/>
        </w:rPr>
        <w:t>като взе предвид становището на Комитета за с</w:t>
      </w:r>
      <w:r>
        <w:rPr>
          <w:noProof/>
        </w:rPr>
        <w:t>оциална закрила,</w:t>
      </w:r>
    </w:p>
    <w:p w:rsidR="00A018C4" w:rsidRDefault="002C75F6">
      <w:pPr>
        <w:rPr>
          <w:noProof/>
        </w:rPr>
      </w:pPr>
      <w:r>
        <w:rPr>
          <w:noProof/>
        </w:rPr>
        <w:t>като взе предвид становището на Комитета за икономическа политика,</w:t>
      </w:r>
    </w:p>
    <w:p w:rsidR="00A018C4" w:rsidRDefault="002C75F6">
      <w:pPr>
        <w:rPr>
          <w:noProof/>
        </w:rPr>
      </w:pPr>
      <w:r>
        <w:rPr>
          <w:noProof/>
        </w:rPr>
        <w:t>като има предвид, че:</w:t>
      </w:r>
    </w:p>
    <w:p w:rsidR="00A018C4" w:rsidRDefault="002C75F6">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5"/>
      </w:r>
      <w:r>
        <w:rPr>
          <w:noProof/>
        </w:rPr>
        <w:t xml:space="preserve">, с което постави началото на европейския семестър за 2017 г. за координация на </w:t>
      </w:r>
      <w:r>
        <w:rPr>
          <w:noProof/>
        </w:rPr>
        <w:t>икономическите политики. Приоритетите на годишния обзор на растежа бяха одобрени от Европейския съвет на 9—10 март 2017 г. Въз основа на Регламент (ЕС) № 1176/2011, на 16 ноември 2016 г. Комисията прие Доклада за механизма за предупреждение</w:t>
      </w:r>
      <w:r>
        <w:rPr>
          <w:rStyle w:val="FootnoteReference"/>
          <w:noProof/>
        </w:rPr>
        <w:footnoteReference w:id="6"/>
      </w:r>
      <w:r>
        <w:rPr>
          <w:noProof/>
        </w:rPr>
        <w:t xml:space="preserve">, в който беше </w:t>
      </w:r>
      <w:r>
        <w:rPr>
          <w:noProof/>
        </w:rPr>
        <w:t xml:space="preserve">посочено, че Ирландия ще бъде една от държавите членки, за които ще бъде извършен задълбочен преглед. В същия ден Комисията прие и препоръка за препоръка на Съвета относно </w:t>
      </w:r>
      <w:r>
        <w:rPr>
          <w:noProof/>
        </w:rPr>
        <w:lastRenderedPageBreak/>
        <w:t>икономическата политика на еврозоната. Тази препоръка беше одобрена от Европейския с</w:t>
      </w:r>
      <w:r>
        <w:rPr>
          <w:noProof/>
        </w:rPr>
        <w:t>ъвет на 9—10 март 2017 г. и приета от Съвета на 21 март 2017 г.</w:t>
      </w:r>
      <w:r>
        <w:rPr>
          <w:rStyle w:val="FootnoteReference"/>
          <w:noProof/>
        </w:rPr>
        <w:footnoteReference w:id="7"/>
      </w:r>
      <w:r>
        <w:rPr>
          <w:noProof/>
        </w:rPr>
        <w:t xml:space="preserve"> </w:t>
      </w:r>
    </w:p>
    <w:p w:rsidR="00A018C4" w:rsidRDefault="002C75F6">
      <w:pPr>
        <w:pStyle w:val="Point0number"/>
        <w:numPr>
          <w:ilvl w:val="0"/>
          <w:numId w:val="1"/>
        </w:numPr>
        <w:rPr>
          <w:noProof/>
        </w:rPr>
      </w:pP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Ирландия следва да гарантира пълното и своевреме</w:t>
      </w:r>
      <w:r>
        <w:rPr>
          <w:noProof/>
        </w:rPr>
        <w:t>нното изпълнение на тази препоръка в съответствие с препоръки 1—3 по-долу.</w:t>
      </w:r>
    </w:p>
    <w:p w:rsidR="00A018C4" w:rsidRDefault="002C75F6">
      <w:pPr>
        <w:pStyle w:val="Point0number"/>
        <w:rPr>
          <w:noProof/>
        </w:rPr>
      </w:pPr>
      <w:r>
        <w:rPr>
          <w:noProof/>
        </w:rPr>
        <w:t>Докладът за Ирландия за 2017 г.</w:t>
      </w:r>
      <w:r>
        <w:rPr>
          <w:rStyle w:val="FootnoteReference"/>
          <w:noProof/>
        </w:rPr>
        <w:footnoteReference w:id="8"/>
      </w:r>
      <w:r>
        <w:rPr>
          <w:noProof/>
        </w:rPr>
        <w:t xml:space="preserve"> беше публикуван на 22 февруари 2017 г. В него бяха оценени напредъкът на Ирландия в изпълнението на специфичните за страната препоръки, приети от Съ</w:t>
      </w:r>
      <w:r>
        <w:rPr>
          <w:noProof/>
        </w:rPr>
        <w:t>вета на 12 юли 2016 г., последващите действия във връзка с препоръките, приети през предходните години, както и напредъкът на Ирландия по отношение на националните ѝ цели по стратегията „Европа 2020“. Той включва също така задълбочен преглед по член 5 от Р</w:t>
      </w:r>
      <w:r>
        <w:rPr>
          <w:noProof/>
        </w:rPr>
        <w:t>егламент (ЕС) № 1176/2011, резултатите от който бяха публикувани също на 22 февруари 2017 г.</w:t>
      </w:r>
      <w:r>
        <w:rPr>
          <w:rStyle w:val="FootnoteReference"/>
          <w:noProof/>
        </w:rPr>
        <w:footnoteReference w:id="9"/>
      </w:r>
      <w:r>
        <w:rPr>
          <w:noProof/>
        </w:rPr>
        <w:t xml:space="preserve"> </w:t>
      </w:r>
    </w:p>
    <w:p w:rsidR="00A018C4" w:rsidRDefault="002C75F6">
      <w:pPr>
        <w:pStyle w:val="Point0number"/>
        <w:rPr>
          <w:noProof/>
        </w:rPr>
      </w:pPr>
      <w:r>
        <w:rPr>
          <w:noProof/>
        </w:rPr>
        <w:t xml:space="preserve">Анализът на Комисията ѝ дава основание да заключи, че в Ирландия са налице макроикономически дисбаланси. По-специално, тези дисбаланси се характеризират с голям </w:t>
      </w:r>
      <w:r>
        <w:rPr>
          <w:noProof/>
        </w:rPr>
        <w:t>размер на външния, държавния и частния дълг (както на домакинствата, така и на нефинансовите предприятия), което прави Ирландия уязвима за неблагоприятни шокове. Банките все още се сблъскват с високо равнище на необслужваните кредити, но са добре капитализ</w:t>
      </w:r>
      <w:r>
        <w:rPr>
          <w:noProof/>
        </w:rPr>
        <w:t>ирани и въпреки че все още е ниска, тяхната рентабилност постепенно се подобрява. Цените на жилищата продължават да нарастват, а предлагането остава ограничено. Дългът на нефинансовите предприятия е намалял през 2015 г., но все още е бил на по-високо равни</w:t>
      </w:r>
      <w:r>
        <w:rPr>
          <w:noProof/>
        </w:rPr>
        <w:t>ще, отколкото в края на 2014 г. Дългът на домакинствата е намалял през 2015 г., а държавният дълг показва устойчива низходяща тенденция. Отрицателната нетна международна инвестиционна позиция на Ирландия намаля с бързи темпове преди 2015 г., но след това з</w:t>
      </w:r>
      <w:r>
        <w:rPr>
          <w:noProof/>
        </w:rPr>
        <w:t>апочна да се увеличава, отчасти вследствие на рязко покачване през 2015 г. При все това външната устойчивост на битовия сектор не изглежда изложена на риск. През изминалата година размерът на необслужваните кредити намаля, но до края на 2016 г. темпът на н</w:t>
      </w:r>
      <w:r>
        <w:rPr>
          <w:noProof/>
        </w:rPr>
        <w:t>амаляване малко се забави. През 2015 г. цените на недвижимите имоти продължиха да нарастват, но към сегашния момент няма съществени доказателства за надценяване. През последните години бяха предприети мерки на политиката за справяне с всички посочени дисба</w:t>
      </w:r>
      <w:r>
        <w:rPr>
          <w:noProof/>
        </w:rPr>
        <w:t>ланси, включително в банковия сектор (подобрена регулаторна рамка, мерки за преодоляване на високото равнище на необслужваните кредити). Правителството предприе няколко подходящи мерки за разрешаване на проблема с недостатъчното предлагане на жилищния паза</w:t>
      </w:r>
      <w:r>
        <w:rPr>
          <w:noProof/>
        </w:rPr>
        <w:t>р, но докато се материализира техният ефект, ще е нужно време.</w:t>
      </w:r>
    </w:p>
    <w:p w:rsidR="00A018C4" w:rsidRDefault="002C75F6">
      <w:pPr>
        <w:pStyle w:val="Point0number"/>
        <w:rPr>
          <w:noProof/>
        </w:rPr>
      </w:pPr>
      <w:r>
        <w:rPr>
          <w:noProof/>
        </w:rPr>
        <w:t>На 13 април 2017 г. Ирландия представи своята национална програма за реформи за 2017 г., а на 2 май 2017 г. своята програма за стабилност за 2017 г. Двете програми бяха оценени едновременно, за</w:t>
      </w:r>
      <w:r>
        <w:rPr>
          <w:noProof/>
        </w:rPr>
        <w:t xml:space="preserve"> да бъдат отчетени взаимовръзките между тях.</w:t>
      </w:r>
    </w:p>
    <w:p w:rsidR="00A018C4" w:rsidRDefault="002C75F6">
      <w:pPr>
        <w:pStyle w:val="Point0number"/>
        <w:rPr>
          <w:noProof/>
        </w:rPr>
      </w:pP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на държавите членки за периода 2014—2020 г. Както е предвидено в законод</w:t>
      </w:r>
      <w:r>
        <w:rPr>
          <w:noProof/>
        </w:rPr>
        <w:t>ателството, регулиращо европейските структурни и инвестиционни фондове</w:t>
      </w:r>
      <w:r>
        <w:rPr>
          <w:rStyle w:val="FootnoteReference"/>
          <w:noProof/>
        </w:rPr>
        <w:footnoteReference w:id="10"/>
      </w:r>
      <w:r>
        <w:rPr>
          <w:noProof/>
        </w:rPr>
        <w:t>, когато това е необходимо за подпомагане на изпълнението на съответните специфични за всяка държава препоръки, Комисията може да поиска от дадена държава членка да преразгледа съответн</w:t>
      </w:r>
      <w:r>
        <w:rPr>
          <w:noProof/>
        </w:rPr>
        <w:t>ите програми по линия на европейските структурни и инвестиционни фондове и да внесе изменения в тях. Комисията предостави допълнителни насоки относно прилагането на тези правила</w:t>
      </w:r>
      <w:r>
        <w:rPr>
          <w:rStyle w:val="FootnoteReference"/>
          <w:noProof/>
        </w:rPr>
        <w:footnoteReference w:id="11"/>
      </w:r>
      <w:r>
        <w:rPr>
          <w:noProof/>
        </w:rPr>
        <w:t>.</w:t>
      </w:r>
    </w:p>
    <w:p w:rsidR="00A018C4" w:rsidRDefault="002C75F6">
      <w:pPr>
        <w:pStyle w:val="Point0number"/>
        <w:rPr>
          <w:noProof/>
        </w:rPr>
      </w:pPr>
      <w:r>
        <w:rPr>
          <w:noProof/>
        </w:rPr>
        <w:t>Понастоящем спрямо Ирландия се прилагат предпазните мерки на Пакта за стабил</w:t>
      </w:r>
      <w:r>
        <w:rPr>
          <w:noProof/>
        </w:rPr>
        <w:t>ност и растеж и преходното правило за дълга. В своята програма за стабилност за 2017 г. правителството очаква номиналният дефицит слабо да намалее до 0,4 % от БВП през 2017 г. и след това да продължи да намалява, преминавайки в излишък от 1,0 % от БВП през</w:t>
      </w:r>
      <w:r>
        <w:rPr>
          <w:noProof/>
        </w:rPr>
        <w:t xml:space="preserve"> 2021 г. Средносрочната бюджетна цел — структурен дефицит от 0,5 % от БВП — се очаква да бъде постигната от 2018 г. нататък. Според програмата за стабилност съотношението на консолидирания държавен дълг към БВП се очаква да спадне до 72,9 % през 2017 г. и </w:t>
      </w:r>
      <w:r>
        <w:rPr>
          <w:noProof/>
        </w:rPr>
        <w:t>да продължи да намалява, като достигне 65,2 % от БВП през 2020 г. Макроикономическият сценарий в основата на тези бюджетни прогнози е реалистичен. В същото време мерките, необходими за подкрепа на планираните цели за дефицита от 2018 г. нататък, все още не</w:t>
      </w:r>
      <w:r>
        <w:rPr>
          <w:noProof/>
        </w:rPr>
        <w:t xml:space="preserve"> са напълно конкретизирани.</w:t>
      </w:r>
    </w:p>
    <w:p w:rsidR="00A018C4" w:rsidRDefault="002C75F6">
      <w:pPr>
        <w:pStyle w:val="Point0number"/>
        <w:rPr>
          <w:noProof/>
        </w:rPr>
      </w:pPr>
      <w:r>
        <w:rPr>
          <w:noProof/>
        </w:rPr>
        <w:t>На 12 юли 2016 г. Съветът препоръча на Ирландия да постигне годишна фискална корекция от 0,6 % от БВП за постигане на средносрочната бюджетна цел през 2017 г. Въз основа на прогнозата на Комисията от пролетта на 2017 г. съществува риск от съществено отклон</w:t>
      </w:r>
      <w:r>
        <w:rPr>
          <w:noProof/>
        </w:rPr>
        <w:t xml:space="preserve">ение от препоръчаната фискална корекция общо за 2016 г. и 2017 г. </w:t>
      </w:r>
    </w:p>
    <w:p w:rsidR="00A018C4" w:rsidRDefault="002C75F6">
      <w:pPr>
        <w:pStyle w:val="Point0number"/>
        <w:rPr>
          <w:noProof/>
        </w:rPr>
      </w:pPr>
      <w:r>
        <w:rPr>
          <w:noProof/>
        </w:rPr>
        <w:t>През 2018 г. предвид на своето фискално положение и по-специално на равнището на дълга, се очаква Ирландия да продължи да се доближава до средносрочната бюджетна цел за структурен дефицит о</w:t>
      </w:r>
      <w:r>
        <w:rPr>
          <w:noProof/>
        </w:rPr>
        <w:t>т 0,5 % от БВП. Според общоприетата матрица на корекциите съгласно Пакта за стабилност и растеж тази корекция съответства на изискване номиналният темп на растеж на нетните първични държавни разходи</w:t>
      </w:r>
      <w:r>
        <w:rPr>
          <w:rStyle w:val="FootnoteReference"/>
          <w:noProof/>
        </w:rPr>
        <w:footnoteReference w:id="12"/>
      </w:r>
      <w:r>
        <w:rPr>
          <w:noProof/>
        </w:rPr>
        <w:t xml:space="preserve"> да не надвишава 2,4 % през 2018 г. Това съответства на г</w:t>
      </w:r>
      <w:r>
        <w:rPr>
          <w:noProof/>
        </w:rPr>
        <w:t>одишна структурна корекция от 0,6 % от БВП. Целевият показател за разходите отразява корекция с цел да се коригира изкривяване в 10-годишния референтен темп на потенциалния растеж, породено от изключително високия ръст на растежа на реалния БВП през 2015 г</w:t>
      </w:r>
      <w:r>
        <w:rPr>
          <w:noProof/>
        </w:rPr>
        <w:t>. Следвайки подхода, възприет от ирландските органи в техните изчисления за бюджета за 2017 г., Комисията използва средната стойност на потенциалния растеж през 2014 г. и 2016 г. При непроменени политики съществува риск от известно отклонение от изискванет</w:t>
      </w:r>
      <w:r>
        <w:rPr>
          <w:noProof/>
        </w:rPr>
        <w:t>о общо за 2017 г. и 2018 г. В същото време според прогнозите през 2017 г. и 2018 г. Ирландия ще се съобрази с преходното правило за дълга. Като цяло Съветът е на мнение, че ще бъдат необходими допълнителни мерки, по-специално през 2017 г., за да се гаранти</w:t>
      </w:r>
      <w:r>
        <w:rPr>
          <w:noProof/>
        </w:rPr>
        <w:t>ра спазването на разпоредбите на Пакта за стабилност и растеж. С оглед на текущите условия на икономическия цикъл на Ирландия и по-големите външни рискове използването на извънредни приходи за допълнително намаляване на съотношението на консолидирания държ</w:t>
      </w:r>
      <w:r>
        <w:rPr>
          <w:noProof/>
        </w:rPr>
        <w:t>авен дълг към БВП ще бъде предпазливо. Въпреки това, както е предвидено в Регламент (ЕО) № 1466/97, при оценката на бюджетните планове и резултатите бюджетният баланс на държавите членки следва да се вземе предвид в светлината на фазата на икономическия ци</w:t>
      </w:r>
      <w:r>
        <w:rPr>
          <w:noProof/>
        </w:rPr>
        <w:t>къл. Както се припомня в съобщението на Комисията, придружаващо специфичните за всяка държава препоръки, оценката на проекта за бюджетен план за 2018 г. и последващата оценка на резултатите от бюджета за 2018 г. трябва надлежно да отчитат целта за постиган</w:t>
      </w:r>
      <w:r>
        <w:rPr>
          <w:noProof/>
        </w:rPr>
        <w:t>е на фискална позиция, която допринася както за укрепването на продължаващия процес на възстановяване, така и за гарантиране на устойчивостта на публичните финанси на Ирландия. В този контекст Комисията възнамерява да използва приложимата свобода на прецен</w:t>
      </w:r>
      <w:r>
        <w:rPr>
          <w:noProof/>
        </w:rPr>
        <w:t>ка с оглед на фазата на икономическия цикъл на Ирландия.</w:t>
      </w:r>
    </w:p>
    <w:p w:rsidR="00A018C4" w:rsidRDefault="002C75F6">
      <w:pPr>
        <w:pStyle w:val="Point0number"/>
        <w:rPr>
          <w:noProof/>
        </w:rPr>
      </w:pPr>
      <w:r>
        <w:rPr>
          <w:noProof/>
        </w:rPr>
        <w:t>Въпреки че икономическото възстановяване е стабилно и през следващите години се очаква производството да нараства с устойчиви темпове, несигурността по отношение на перспективите нарасна, което създа</w:t>
      </w:r>
      <w:r>
        <w:rPr>
          <w:noProof/>
        </w:rPr>
        <w:t>ва риск за все още нестабилните публични финанси. Поради това следва да бъдат положени повече усилия с цел приходите да станат по-устойчиви на икономически колебания и негативни сътресения. За тази цел предложението за въвеждане на фонд за неблагоприятни и</w:t>
      </w:r>
      <w:r>
        <w:rPr>
          <w:noProof/>
        </w:rPr>
        <w:t>кономически събития (Rainy day fund) следва да бъде насърчено и следва да се разчита в по-малка степен на силно концентрирани и несигурни източници на приходи. Балансираният състав на различните данъчни източници и разширяването на данъчната основа подобря</w:t>
      </w:r>
      <w:r>
        <w:rPr>
          <w:noProof/>
        </w:rPr>
        <w:t>ват стабилността на данъчните постъпления в условията на икономическа нестабилност. При все това са положени ограничени усилия за разширяване на данъчната основа, а неотдавнашните данъчни мерки бяха съсредоточени върху данъчни намаления и облекчения. Все о</w:t>
      </w:r>
      <w:r>
        <w:rPr>
          <w:noProof/>
        </w:rPr>
        <w:t xml:space="preserve">ще предстои провеждането на обявената систематична оценка на разходите и ползите от намалените ставки по ДДС, които се прилагат за широк спектър от продажби. Постоянните данъци върху недвижимото имущество се считат за един от източниците на приходи, които </w:t>
      </w:r>
      <w:r>
        <w:rPr>
          <w:noProof/>
        </w:rPr>
        <w:t>благоприятстват растежа в най-голяма степен. Въпреки това ирландските приходи от недвижимо имущество през 2014 г. са възлизали само на 1,0 % от БВП, в сравнение със средната за ЕС стойност от 1,6 %. Постепенното индексиране на стойността на недвижимите имо</w:t>
      </w:r>
      <w:r>
        <w:rPr>
          <w:noProof/>
        </w:rPr>
        <w:t>ти ще спомогне за постепенно изменение на местния данък върху недвижимите имоти, като се предотврати внезапно увеличение на данъчните задължения вследствие на преоценката на недвижимите имоти през 2019 г. Различията в данъчното облагане на дизела и бензина</w:t>
      </w:r>
      <w:r>
        <w:rPr>
          <w:noProof/>
        </w:rPr>
        <w:t xml:space="preserve"> за ползвателите на пътищата са необосновани от екологична гледна точка.</w:t>
      </w:r>
    </w:p>
    <w:p w:rsidR="00A018C4" w:rsidRDefault="002C75F6">
      <w:pPr>
        <w:pStyle w:val="Point0number"/>
        <w:rPr>
          <w:noProof/>
          <w:szCs w:val="24"/>
        </w:rPr>
      </w:pPr>
      <w:r>
        <w:rPr>
          <w:noProof/>
        </w:rPr>
        <w:t>В миналото, всеобхватните прегледи на разходите се съсредоточаваха предимно върху намаляване на държавните разходи с цел постигане на общите фискални цели. Извършените оценки на ефект</w:t>
      </w:r>
      <w:r>
        <w:rPr>
          <w:noProof/>
        </w:rPr>
        <w:t xml:space="preserve">ивността и ефикасността на разходните програми бяха с ограничен обхват, което в крайна сметка отслаби надеждността на многогодишните разходни планове. Добре планиран преглед на разходите в съответствие с общите принципи на Еврогрупата би подобрил контрола </w:t>
      </w:r>
      <w:r>
        <w:rPr>
          <w:noProof/>
        </w:rPr>
        <w:t>върху разходите и би могъл да освободи ресурси за така необходимите публични инвестиции за насърчаване на растежа. Прегледът на разходите следва да се съсредоточи по-специално върху икономическата ефективност на сектора на здравеопазването. Ирландия предпр</w:t>
      </w:r>
      <w:r>
        <w:rPr>
          <w:noProof/>
        </w:rPr>
        <w:t xml:space="preserve">ие някои важни мерки, свързани с ефективността, които включват например споразумение за намаляване на разходите с фармацевтичната </w:t>
      </w:r>
      <w:r>
        <w:rPr>
          <w:noProof/>
          <w:szCs w:val="24"/>
        </w:rPr>
        <w:t xml:space="preserve">промишленост, система за финансово управление, електронно здравеопазване и финансиране, основано на дейности. Въпреки това би </w:t>
      </w:r>
      <w:r>
        <w:rPr>
          <w:noProof/>
          <w:szCs w:val="24"/>
        </w:rPr>
        <w:t>могло да бъде направено повече, например чрез укрепване на ролята на първичната медицинска помощ като начин за облекчаване на претоварените болници в Ирландия. Стъпките в посока на универсално едностепенно здравеопазване са разпокъсани и липсва цялостна ви</w:t>
      </w:r>
      <w:r>
        <w:rPr>
          <w:noProof/>
          <w:szCs w:val="24"/>
        </w:rPr>
        <w:t>зия.</w:t>
      </w:r>
    </w:p>
    <w:p w:rsidR="00A018C4" w:rsidRDefault="002C75F6">
      <w:pPr>
        <w:pStyle w:val="Point0number"/>
        <w:rPr>
          <w:noProof/>
        </w:rPr>
      </w:pPr>
      <w:r>
        <w:rPr>
          <w:noProof/>
        </w:rPr>
        <w:t>Насърчаването на устойчив и приобщаващ растеж, от който да се възползват всички групи в обществото, продължава да бъде предизвикателство. През март 2017 г. безработицата е под средното равнище за ЕС от 6,4 %. Въпреки това високият брой на домакинстват</w:t>
      </w:r>
      <w:r>
        <w:rPr>
          <w:noProof/>
        </w:rPr>
        <w:t>а с ниска степен на трудова заетост поражда опасения, че положителното въздействие на възстановяването не достига до всички хора. Между 2013 г. и 2015 г. процентът от населението, живеещо в домакинства с ниска или много ниска икономическа активност, намаля</w:t>
      </w:r>
      <w:r>
        <w:rPr>
          <w:noProof/>
        </w:rPr>
        <w:t xml:space="preserve"> едва с 15 %, докато общият коефициент на безработицата през същия период е намалял с 28 %. Като цяло системата за социално подпомагане е успяла да ограничи бедността и неравенството и Ирландия е предприела мерки за насърчаване на заетостта чрез постепенно</w:t>
      </w:r>
      <w:r>
        <w:rPr>
          <w:noProof/>
        </w:rPr>
        <w:t xml:space="preserve"> намаляване на обезщетенията и допълнителните плащания. Въпреки това все още са налице пречки пред постигането на приобщаващ растеж. Несъответствията между равнището на заетост на ниско-, средно- и висококвалифицираните работници са сред най-високите в ЕС.</w:t>
      </w:r>
      <w:r>
        <w:rPr>
          <w:noProof/>
        </w:rPr>
        <w:t xml:space="preserve"> В някои области възникнаха несъответствия между търсените и предлаганите умения и недостиг на умения, а възможностите за повишаване на квалификацията и за преквалификация са недостатъчни. Предизвикателствата на пазара на труда и социалните предизвикателст</w:t>
      </w:r>
      <w:r>
        <w:rPr>
          <w:noProof/>
        </w:rPr>
        <w:t>ва показват важното значение на интегрирания подход към обучението и активизирането на пазара на труда за хората, които са най-отдалечени от трудовия пазар. Освен това остава загрижеността по отношение на качеството на грижите за децата, включително наличи</w:t>
      </w:r>
      <w:r>
        <w:rPr>
          <w:noProof/>
        </w:rPr>
        <w:t>ето на целодневни детски заведения. Нетните разходи за грижи за децата в Ирландия, като процент от заплатите, са сред най-високите в ЕС. Недостигът и цената на качествените целодневни детски заведения пречат на участието на жените на пазара на труда и възп</w:t>
      </w:r>
      <w:r>
        <w:rPr>
          <w:noProof/>
        </w:rPr>
        <w:t xml:space="preserve">репятстват усилията за намаляване на бедността сред децата, която леко е намаляла, но продължава да е по-висока от средното за ЕС. </w:t>
      </w:r>
    </w:p>
    <w:p w:rsidR="00A018C4" w:rsidRDefault="002C75F6">
      <w:pPr>
        <w:pStyle w:val="Point0number"/>
        <w:rPr>
          <w:noProof/>
        </w:rPr>
      </w:pPr>
      <w:r>
        <w:rPr>
          <w:noProof/>
        </w:rPr>
        <w:t>Необходими са мерки за посрещане на инфраструктурите нужди, за да се насърчи устойчив и балансиран растеж. Икономическата кр</w:t>
      </w:r>
      <w:r>
        <w:rPr>
          <w:noProof/>
        </w:rPr>
        <w:t>иза доведе до промяна в състава на разходите на сектор „Държавно управление“, а именно до изместване от инвестиции към текущи разходи. Силното намаляване на държавните инвестиции в продължение на години оказа отрицателно въздействие върху качеството и адек</w:t>
      </w:r>
      <w:r>
        <w:rPr>
          <w:noProof/>
        </w:rPr>
        <w:t>ватността на инфраструктурата. Промяната в структурата на държавните разходи засегна също така и държавната подкрепа за научноизследователската и развойна дейност с възможни последици за конкурентоспособността на МСП. Ирландия е на 25-то място в ЕС по публ</w:t>
      </w:r>
      <w:r>
        <w:rPr>
          <w:noProof/>
        </w:rPr>
        <w:t>ични инвестиции в научноизследователска и развойна дейност като процент от БВП. Най-сериозни недостатъци в инфраструктурата се наблюдават в областта на транспорта, водоснабдяването и жилищното настаняване. Търсенето на нови жилища понастоящем силно надвиша</w:t>
      </w:r>
      <w:r>
        <w:rPr>
          <w:noProof/>
        </w:rPr>
        <w:t>ва предлагането в основните градски райони на страната. В резултат на това цените на жилищата и наемите продължават бързо да нарастват, което в крайна сметка доведе до неотдавнашното голямо нарастване на изключването в областта на жилищното настаняване и б</w:t>
      </w:r>
      <w:r>
        <w:rPr>
          <w:noProof/>
        </w:rPr>
        <w:t xml:space="preserve">ездомността. В момента няма признаци за надценяване, но ако не бъдат преодолени, ограниченията в предлагането на жилища биха могли да породят макрофинансови рискове. Наличието на последователен и навременен устройствен план би спомогнало за осигуряване на </w:t>
      </w:r>
      <w:r>
        <w:rPr>
          <w:noProof/>
        </w:rPr>
        <w:t>нови жилища в съответните нуждаещи се райони.</w:t>
      </w:r>
    </w:p>
    <w:p w:rsidR="00A018C4" w:rsidRDefault="002C75F6">
      <w:pPr>
        <w:pStyle w:val="Point0number"/>
        <w:rPr>
          <w:noProof/>
        </w:rPr>
      </w:pPr>
      <w:r>
        <w:rPr>
          <w:noProof/>
        </w:rPr>
        <w:t>В ирландската икономика се наблюдава разделение между, в голямата си част, малки и средни предприятия, които са ирландска собственост, и големи мултинационални дружества, извършващи дейност в Ирландия. Взаимовр</w:t>
      </w:r>
      <w:r>
        <w:rPr>
          <w:noProof/>
        </w:rPr>
        <w:t xml:space="preserve">ъзките между мултинационалните дружества и предприятията, които са ирландска собственост, остават ограничени. Техните експортни характеристики и профили се различават значително, а разликите в производителността им се задълбочават. Предприятията, които са </w:t>
      </w:r>
      <w:r>
        <w:rPr>
          <w:noProof/>
        </w:rPr>
        <w:t>ирландска собственост, имат по-слаб експортен профил от мултинационалните дружества, установени в Ирландия. Техният износ е силно концентриран по сектори и местоназначение, което ги прави по-уязвими на сътресения. Инвестициите в иновации ще насърчат произв</w:t>
      </w:r>
      <w:r>
        <w:rPr>
          <w:noProof/>
        </w:rPr>
        <w:t>одителността и потенциала за износ на ирландските предприятия в момент, когато диверсифицирането на износа и на дестинациите за износ би могло да помогне за стабилизиране на резултатите на ирландските предприятия. Публичните разходи за научноизследователск</w:t>
      </w:r>
      <w:r>
        <w:rPr>
          <w:noProof/>
        </w:rPr>
        <w:t>а и развойна дейност все още са на ниско равнище. Пълното изпълнение на мерки за засилване на публичната научноизследователска и развойна дейност, по-специално на мерки за подкрепа на капацитета за иновации на МСП, зависи от завръщането към устойчиви инвес</w:t>
      </w:r>
      <w:r>
        <w:rPr>
          <w:noProof/>
        </w:rPr>
        <w:t>тиции.</w:t>
      </w:r>
      <w:r>
        <w:rPr>
          <w:i/>
          <w:noProof/>
        </w:rPr>
        <w:t xml:space="preserve"> </w:t>
      </w:r>
      <w:r>
        <w:rPr>
          <w:noProof/>
        </w:rPr>
        <w:t>За да бъдат стимулирани иновациите от страна на МСП, иновационните политики биха могли да бъдат пренасочени към по-преки форми на финансиране. Помощта от правителството за частната научноизследователска и развойна дейност все повече се основава на д</w:t>
      </w:r>
      <w:r>
        <w:rPr>
          <w:noProof/>
        </w:rPr>
        <w:t>анъчни кредити за научноизследователска и развойна дейност. По-целенасочени миксове на политиката с по-пряко финансиране биха могли да отговорят по-добре на нуждите на неотдавна създадените ирландски иновационни предприятия и да доведат до използване на въ</w:t>
      </w:r>
      <w:r>
        <w:rPr>
          <w:noProof/>
        </w:rPr>
        <w:t>зможностите, произтичащи от силната инвестиционна мощ на многонационалните дружества. По този начин ще се улесни достъпът до световните вериги за създаване на стойност и ще се ускори разпространението на знания.</w:t>
      </w:r>
    </w:p>
    <w:p w:rsidR="00A018C4" w:rsidRDefault="002C75F6">
      <w:pPr>
        <w:pStyle w:val="Point0number"/>
        <w:rPr>
          <w:noProof/>
        </w:rPr>
      </w:pPr>
      <w:r>
        <w:rPr>
          <w:noProof/>
        </w:rPr>
        <w:t>В условия на повишена външна несигурност пос</w:t>
      </w:r>
      <w:r>
        <w:rPr>
          <w:noProof/>
        </w:rPr>
        <w:t xml:space="preserve">тигането на по-нататъшен напредък в намаляването на необслужваните кредити е от важно значение с цел да се гарантира стабилността на финансовия сектор. Въпреки постигнатия напредък високите съотношения на необслужваните кредити продължават да бъдат пречка </w:t>
      </w:r>
      <w:r>
        <w:rPr>
          <w:noProof/>
        </w:rPr>
        <w:t>за рентабилността на банките и за пълното икономическо възстановяване на домакинствата и предприятията. Намаляването на задлъжнялостта на домакинствата и националните предприятия продължава, но тяхната задлъжнялост продължава да бъде сред най-високите в ЕС</w:t>
      </w:r>
      <w:r>
        <w:rPr>
          <w:noProof/>
        </w:rPr>
        <w:t xml:space="preserve"> в размер на 276,8 % от БВП (септември 2016 г.). Високият корпоративен дълг може да пречи на предприятията да вземат заеми, за да инвестират, което от своя страна също ограничава способността на банките да подобрят собствената си рентабилност.</w:t>
      </w:r>
    </w:p>
    <w:p w:rsidR="00A018C4" w:rsidRDefault="002C75F6">
      <w:pPr>
        <w:pStyle w:val="Point0number"/>
        <w:rPr>
          <w:noProof/>
        </w:rPr>
      </w:pPr>
      <w:r>
        <w:rPr>
          <w:noProof/>
        </w:rPr>
        <w:t>Според Центр</w:t>
      </w:r>
      <w:r>
        <w:rPr>
          <w:noProof/>
        </w:rPr>
        <w:t>алната банка на Ирландия средното съотношение на необслужваните кредити на местните ирландски банки през септември 2016 г. възлиза на 14,2 %. Това е значително над средното равнище за ЕС от 5,3 %. Темпото на преструктуриране на просрочените задължения се з</w:t>
      </w:r>
      <w:r>
        <w:rPr>
          <w:noProof/>
        </w:rPr>
        <w:t xml:space="preserve">абави до известна степен, като оставащите дългосрочни просрочени задължения са и най-трудни за преструктуриране. Набраният устрем трябва да се запази: преструктурирането на просрочените задължения трябва да бъде устойчиво в дългосрочен план и трябва да се </w:t>
      </w:r>
      <w:r>
        <w:rPr>
          <w:noProof/>
        </w:rPr>
        <w:t>разгледат различни форми на намаляване на дълга. До края на септември 2016 г. са били просрочени 14 % от ипотечните кредити, а просрочените с над две години ипотечни кредити представляват около 70 % от общия баланс на ипотечните кредити. Търговските кредит</w:t>
      </w:r>
      <w:r>
        <w:rPr>
          <w:noProof/>
        </w:rPr>
        <w:t>и за недвижими имоти, държани от местни банки, и кредитите за предприятията също продължават да будят безпокойство със съотношения на необслужваните кредити от съответно 32,6 % и 11,8 %. Използването на механизми за неплатежоспособност на физически лица, н</w:t>
      </w:r>
      <w:r>
        <w:rPr>
          <w:noProof/>
        </w:rPr>
        <w:t>есъстоятелност, съдебна защита за предприятия в затруднено положение (examinership) и извънсъдебни механизми, предназначени да възстановят жизнеспособността на домакинствата и предприятията, продължава да е на ниско равнище и трябва да се насърчи. След няк</w:t>
      </w:r>
      <w:r>
        <w:rPr>
          <w:noProof/>
        </w:rPr>
        <w:t>олко забавяния се очаква централният кредитен регистър да влезе в последната фаза от своето изпълнение. Неговото финализиране следва да представлява приоритет, тъй като той ще служи като основа за подходяща оценка на кредитния риск на кредитополучателите и</w:t>
      </w:r>
      <w:r>
        <w:rPr>
          <w:noProof/>
        </w:rPr>
        <w:t xml:space="preserve"> ще гарантира предпазливо отпускане на кредити в бъдеще.</w:t>
      </w:r>
    </w:p>
    <w:p w:rsidR="00A018C4" w:rsidRDefault="002C75F6">
      <w:pPr>
        <w:pStyle w:val="Point0number"/>
        <w:rPr>
          <w:noProof/>
        </w:rPr>
      </w:pPr>
      <w:r>
        <w:rPr>
          <w:noProof/>
        </w:rPr>
        <w:t>Законът за регулиране на юридическите услуги от 2015 г. започна да се прилага от края на 2016 г. Неговото пълно прилагане ще играе решаваща роля в усилията на Ирландия за увеличаване на конкуренцията</w:t>
      </w:r>
      <w:r>
        <w:rPr>
          <w:noProof/>
        </w:rPr>
        <w:t xml:space="preserve"> в сектора, тъй като той ще позволи на адвокатите пряк достъп до професията, създаване  на мултидисциплинарни практики и прилагане на алтернативни бизнес модели, използвани в други държави членки. Независимите правни услуги представляват производствен разх</w:t>
      </w:r>
      <w:r>
        <w:rPr>
          <w:noProof/>
        </w:rPr>
        <w:t>од за всички сектори на икономиката и тяхната цена оказва влияние върху конкурентоспособността на Ирландия. Поради това изключително важно е с прилагането на този закон след провеждането на обществени консултации да бъдат въведени разпоредби за подобряване</w:t>
      </w:r>
      <w:r>
        <w:rPr>
          <w:noProof/>
        </w:rPr>
        <w:t xml:space="preserve"> на конкуренцията и намаляване на разходите или тези разпоредби да бъдат включени в наредби на Органа за регулиране на правните услуги, така че да се увеличи конкуренцията и да се намалят разходите.</w:t>
      </w:r>
    </w:p>
    <w:p w:rsidR="00A018C4" w:rsidRDefault="002C75F6">
      <w:pPr>
        <w:pStyle w:val="Point0number"/>
        <w:rPr>
          <w:noProof/>
        </w:rPr>
      </w:pPr>
      <w:r>
        <w:rPr>
          <w:noProof/>
        </w:rPr>
        <w:t>Като част от европейския семестър Комисията изготви цялос</w:t>
      </w:r>
      <w:r>
        <w:rPr>
          <w:noProof/>
        </w:rPr>
        <w:t>тен анализ на икономическата политика на Ирландия, който беше публикуван в нейния доклад  за 2017 г. Освен това тя извърши и оценка на програмата за стабилност и националната програма за реформи, както и на последващите мерки във връзка с препоръките, отпр</w:t>
      </w:r>
      <w:r>
        <w:rPr>
          <w:noProof/>
        </w:rPr>
        <w:t>авени към Ирландия през предходните години. Комисията взе предвид не само тяхното значение за провеждането на устойчива бюджетна и социално-икономическа политика в Ирландия, но и съответствието им с правилата и насоките на ЕС предвид необходимостта от заси</w:t>
      </w:r>
      <w:r>
        <w:rPr>
          <w:noProof/>
        </w:rPr>
        <w:t xml:space="preserve">лване на цялостното икономическо управление на Съюза чрез принос на равнището на ЕС към бъдещите решения на държавите членки. </w:t>
      </w:r>
    </w:p>
    <w:p w:rsidR="00A018C4" w:rsidRDefault="002C75F6">
      <w:pPr>
        <w:pStyle w:val="Point0number"/>
        <w:rPr>
          <w:noProof/>
        </w:rPr>
      </w:pPr>
      <w:r>
        <w:rPr>
          <w:noProof/>
        </w:rPr>
        <w:t>С оглед на тази оценка Съветът разгледа програмата за стабилност, като становището му</w:t>
      </w:r>
      <w:r>
        <w:rPr>
          <w:rStyle w:val="FootnoteReference"/>
          <w:noProof/>
        </w:rPr>
        <w:footnoteReference w:id="13"/>
      </w:r>
      <w:r>
        <w:rPr>
          <w:noProof/>
        </w:rPr>
        <w:t xml:space="preserve"> е изразено по-специално в препоръка 1 по-д</w:t>
      </w:r>
      <w:r>
        <w:rPr>
          <w:noProof/>
        </w:rPr>
        <w:t>олу.</w:t>
      </w:r>
    </w:p>
    <w:p w:rsidR="00A018C4" w:rsidRDefault="002C75F6">
      <w:pPr>
        <w:pStyle w:val="Point0number"/>
        <w:rPr>
          <w:noProof/>
        </w:rPr>
      </w:pP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 и 3 по-долу.</w:t>
      </w:r>
    </w:p>
    <w:p w:rsidR="00A018C4" w:rsidRDefault="002C75F6">
      <w:pPr>
        <w:pStyle w:val="Formuledadoption"/>
        <w:rPr>
          <w:noProof/>
        </w:rPr>
      </w:pPr>
      <w:r>
        <w:rPr>
          <w:noProof/>
        </w:rPr>
        <w:t>ПР</w:t>
      </w:r>
      <w:r>
        <w:rPr>
          <w:noProof/>
        </w:rPr>
        <w:t>ЕПОРЪЧВА на Ирландия да предприеме следните действия през 2017 г. и 2018 г.:</w:t>
      </w:r>
    </w:p>
    <w:p w:rsidR="00A018C4" w:rsidRDefault="002C75F6">
      <w:pPr>
        <w:pStyle w:val="ManualNumPar1"/>
        <w:rPr>
          <w:noProof/>
        </w:rPr>
      </w:pPr>
      <w:bookmarkStart w:id="1" w:name="_CopyToNewDocument_"/>
      <w:bookmarkEnd w:id="1"/>
      <w:r>
        <w:rPr>
          <w:noProof/>
        </w:rPr>
        <w:t>1.</w:t>
      </w:r>
      <w:r>
        <w:rPr>
          <w:noProof/>
        </w:rPr>
        <w:tab/>
        <w:t>Да продължи да провежда своята фискална политика в съответствие с изискванията на предпазните мерки на Пакта за стабилност и растеж, което означава значителна фискална корекция</w:t>
      </w:r>
      <w:r>
        <w:rPr>
          <w:noProof/>
        </w:rPr>
        <w:t xml:space="preserve"> за 2018 г. Да използва всички извънредни приходи, като например постъпленията от продажби на активи, за да ускори темпа на намаляване на съотношението на консолидирания държавен дълг към БВП. Да ограничи обхвата и броя на данъчните разходи и да разшири да</w:t>
      </w:r>
      <w:r>
        <w:rPr>
          <w:noProof/>
        </w:rPr>
        <w:t xml:space="preserve">нъчната основа. </w:t>
      </w:r>
    </w:p>
    <w:p w:rsidR="00A018C4" w:rsidRDefault="002C75F6">
      <w:pPr>
        <w:pStyle w:val="ManualNumPar1"/>
        <w:rPr>
          <w:noProof/>
        </w:rPr>
      </w:pPr>
      <w:r>
        <w:rPr>
          <w:noProof/>
        </w:rPr>
        <w:t>2.</w:t>
      </w:r>
      <w:r>
        <w:rPr>
          <w:noProof/>
        </w:rPr>
        <w:tab/>
        <w:t>Да насочва по-ефективно правителствените разходи чрез приоритизиране на публичните инвестиции в транспорт, водоснабдяване и иновации, по-специално в подкрепа на МСП. Да подобри социалната инфраструктура, включително осигуряването на соц</w:t>
      </w:r>
      <w:r>
        <w:rPr>
          <w:noProof/>
        </w:rPr>
        <w:t>иални жилища и целодневни детски грижи. Да гарантира интегриран пакет от политики за активизиране с цел увеличаване на перспективите за заетост на нискоквалифицираните работници и да предприеме мерки за справяне с ниския интензитет на икономическа активнос</w:t>
      </w:r>
      <w:r>
        <w:rPr>
          <w:noProof/>
        </w:rPr>
        <w:t>т сред домакинствата.</w:t>
      </w:r>
    </w:p>
    <w:p w:rsidR="00A018C4" w:rsidRDefault="002C75F6">
      <w:pPr>
        <w:pStyle w:val="ManualNumPar1"/>
        <w:rPr>
          <w:noProof/>
        </w:rPr>
      </w:pPr>
      <w:r>
        <w:rPr>
          <w:noProof/>
        </w:rPr>
        <w:t>3.</w:t>
      </w:r>
      <w:r>
        <w:rPr>
          <w:noProof/>
        </w:rPr>
        <w:tab/>
        <w:t>Да насърчи по-трайно намаляване на необслужваните кредити чрез стратегии за тяхното преструктуриране, които включват отписвания за жизнеспособни предприятия и домакинства, със специален акцент върху уреждането на просрочени задълже</w:t>
      </w:r>
      <w:r>
        <w:rPr>
          <w:noProof/>
        </w:rPr>
        <w:t xml:space="preserve">ния в дългосрочен план. </w:t>
      </w:r>
    </w:p>
    <w:p w:rsidR="00A018C4" w:rsidRDefault="00A018C4">
      <w:pPr>
        <w:rPr>
          <w:noProof/>
        </w:rPr>
      </w:pPr>
    </w:p>
    <w:p w:rsidR="00A018C4" w:rsidRDefault="002C75F6">
      <w:pPr>
        <w:pStyle w:val="Fait"/>
        <w:rPr>
          <w:noProof/>
        </w:rPr>
      </w:pPr>
      <w:r>
        <w:rPr>
          <w:noProof/>
        </w:rPr>
        <w:t>Съставено в Брюксел на  година.</w:t>
      </w:r>
    </w:p>
    <w:p w:rsidR="00A018C4" w:rsidRDefault="002C75F6">
      <w:pPr>
        <w:pStyle w:val="Institutionquisigne"/>
        <w:rPr>
          <w:noProof/>
        </w:rPr>
      </w:pPr>
      <w:r>
        <w:rPr>
          <w:noProof/>
        </w:rPr>
        <w:tab/>
        <w:t>За Съвета</w:t>
      </w:r>
    </w:p>
    <w:p w:rsidR="00A018C4" w:rsidRDefault="002C75F6">
      <w:pPr>
        <w:pStyle w:val="Personnequisigne"/>
        <w:rPr>
          <w:noProof/>
        </w:rPr>
      </w:pPr>
      <w:r>
        <w:rPr>
          <w:noProof/>
        </w:rPr>
        <w:tab/>
        <w:t>Председател</w:t>
      </w:r>
    </w:p>
    <w:sectPr w:rsidR="00A018C4">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C4" w:rsidRDefault="002C75F6">
      <w:pPr>
        <w:spacing w:before="0" w:after="0"/>
      </w:pPr>
      <w:r>
        <w:separator/>
      </w:r>
    </w:p>
  </w:endnote>
  <w:endnote w:type="continuationSeparator" w:id="0">
    <w:p w:rsidR="00A018C4" w:rsidRDefault="002C75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C4" w:rsidRDefault="002C75F6">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C4" w:rsidRDefault="002C75F6">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C4" w:rsidRDefault="00A01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C4" w:rsidRDefault="002C75F6">
      <w:pPr>
        <w:spacing w:before="0" w:after="0"/>
      </w:pPr>
      <w:r>
        <w:separator/>
      </w:r>
    </w:p>
  </w:footnote>
  <w:footnote w:type="continuationSeparator" w:id="0">
    <w:p w:rsidR="00A018C4" w:rsidRDefault="002C75F6">
      <w:pPr>
        <w:spacing w:before="0" w:after="0"/>
      </w:pPr>
      <w:r>
        <w:continuationSeparator/>
      </w:r>
    </w:p>
  </w:footnote>
  <w:footnote w:id="1">
    <w:p w:rsidR="00A018C4" w:rsidRDefault="002C75F6">
      <w:pPr>
        <w:pStyle w:val="FootnoteText"/>
        <w:rPr>
          <w:lang w:val="pt-PT"/>
        </w:rPr>
      </w:pPr>
      <w:r>
        <w:rPr>
          <w:rStyle w:val="FootnoteReference"/>
        </w:rPr>
        <w:footnoteRef/>
      </w:r>
      <w:r>
        <w:tab/>
        <w:t>OВ L 209, 2.8.1997 г., стр. 1.</w:t>
      </w:r>
    </w:p>
  </w:footnote>
  <w:footnote w:id="2">
    <w:p w:rsidR="00A018C4" w:rsidRDefault="002C75F6">
      <w:pPr>
        <w:pStyle w:val="FootnoteText"/>
        <w:rPr>
          <w:lang w:val="pt-PT"/>
        </w:rPr>
      </w:pPr>
      <w:r>
        <w:rPr>
          <w:rStyle w:val="FootnoteReference"/>
        </w:rPr>
        <w:footnoteRef/>
      </w:r>
      <w:r>
        <w:tab/>
      </w:r>
      <w:r>
        <w:t>OВ L 306, 23.11.2011 г., стр. 25.</w:t>
      </w:r>
    </w:p>
  </w:footnote>
  <w:footnote w:id="3">
    <w:p w:rsidR="00A018C4" w:rsidRDefault="002C75F6">
      <w:pPr>
        <w:pStyle w:val="FootnoteText"/>
        <w:rPr>
          <w:lang w:val="pt-PT"/>
        </w:rPr>
      </w:pPr>
      <w:r>
        <w:rPr>
          <w:rStyle w:val="FootnoteReference"/>
        </w:rPr>
        <w:footnoteRef/>
      </w:r>
      <w:r>
        <w:tab/>
      </w:r>
      <w:r>
        <w:t xml:space="preserve">COM(2017) </w:t>
      </w:r>
      <w:r>
        <w:rPr>
          <w:lang w:val="fr-BE"/>
        </w:rPr>
        <w:t>507 final</w:t>
      </w:r>
      <w:bookmarkStart w:id="0" w:name="_GoBack"/>
      <w:bookmarkEnd w:id="0"/>
      <w:r>
        <w:t>.</w:t>
      </w:r>
    </w:p>
  </w:footnote>
  <w:footnote w:id="4">
    <w:p w:rsidR="00A018C4" w:rsidRDefault="002C75F6">
      <w:pPr>
        <w:pStyle w:val="FootnoteText"/>
        <w:rPr>
          <w:lang w:val="pt-PT"/>
        </w:rPr>
      </w:pPr>
      <w:r>
        <w:rPr>
          <w:rStyle w:val="FootnoteReference"/>
        </w:rPr>
        <w:footnoteRef/>
      </w:r>
      <w:r>
        <w:tab/>
      </w:r>
      <w:r>
        <w:t>P8_ TA(2017)0038, P8_ TA(2017)0039 и P8_ TA(2017)0040.</w:t>
      </w:r>
    </w:p>
  </w:footnote>
  <w:footnote w:id="5">
    <w:p w:rsidR="00A018C4" w:rsidRDefault="002C75F6">
      <w:pPr>
        <w:pStyle w:val="FootnoteText"/>
        <w:rPr>
          <w:lang w:val="pt-PT"/>
        </w:rPr>
      </w:pPr>
      <w:r>
        <w:rPr>
          <w:rStyle w:val="FootnoteReference"/>
        </w:rPr>
        <w:footnoteRef/>
      </w:r>
      <w:r>
        <w:tab/>
      </w:r>
      <w:r>
        <w:t xml:space="preserve">COM(2016) 725 </w:t>
      </w:r>
      <w:proofErr w:type="spellStart"/>
      <w:r>
        <w:t>final</w:t>
      </w:r>
      <w:proofErr w:type="spellEnd"/>
      <w:r>
        <w:t>.</w:t>
      </w:r>
    </w:p>
  </w:footnote>
  <w:footnote w:id="6">
    <w:p w:rsidR="00A018C4" w:rsidRDefault="002C75F6">
      <w:pPr>
        <w:pStyle w:val="FootnoteText"/>
        <w:rPr>
          <w:lang w:val="pt-PT"/>
        </w:rPr>
      </w:pPr>
      <w:r>
        <w:rPr>
          <w:rStyle w:val="FootnoteReference"/>
        </w:rPr>
        <w:footnoteRef/>
      </w:r>
      <w:r>
        <w:tab/>
      </w:r>
      <w:r>
        <w:t xml:space="preserve">COM(2016) 728 </w:t>
      </w:r>
      <w:proofErr w:type="spellStart"/>
      <w:r>
        <w:t>final</w:t>
      </w:r>
      <w:proofErr w:type="spellEnd"/>
      <w:r>
        <w:t>.</w:t>
      </w:r>
    </w:p>
  </w:footnote>
  <w:footnote w:id="7">
    <w:p w:rsidR="00A018C4" w:rsidRDefault="002C75F6">
      <w:pPr>
        <w:pStyle w:val="FootnoteText"/>
        <w:rPr>
          <w:lang w:val="pt-PT"/>
        </w:rPr>
      </w:pPr>
      <w:r>
        <w:rPr>
          <w:rStyle w:val="FootnoteReference"/>
        </w:rPr>
        <w:footnoteRef/>
      </w:r>
      <w:r>
        <w:tab/>
      </w:r>
      <w:r>
        <w:t>OВ C92/01, 24.3.2017 г., стр. 1.</w:t>
      </w:r>
    </w:p>
  </w:footnote>
  <w:footnote w:id="8">
    <w:p w:rsidR="00A018C4" w:rsidRDefault="002C75F6">
      <w:pPr>
        <w:pStyle w:val="FootnoteText"/>
      </w:pPr>
      <w:r>
        <w:rPr>
          <w:rStyle w:val="FootnoteReference"/>
        </w:rPr>
        <w:footnoteRef/>
      </w:r>
      <w:r>
        <w:tab/>
      </w:r>
      <w:r>
        <w:t xml:space="preserve">SWD(2017) 73 </w:t>
      </w:r>
      <w:proofErr w:type="spellStart"/>
      <w:r>
        <w:t>final</w:t>
      </w:r>
      <w:proofErr w:type="spellEnd"/>
      <w:r>
        <w:t>.</w:t>
      </w:r>
    </w:p>
  </w:footnote>
  <w:footnote w:id="9">
    <w:p w:rsidR="00A018C4" w:rsidRDefault="002C75F6">
      <w:pPr>
        <w:pStyle w:val="FootnoteText"/>
        <w:tabs>
          <w:tab w:val="left" w:pos="709"/>
        </w:tabs>
      </w:pPr>
      <w:r>
        <w:rPr>
          <w:rStyle w:val="FootnoteReference"/>
        </w:rPr>
        <w:footnoteRef/>
      </w:r>
      <w:r>
        <w:tab/>
      </w:r>
      <w:r>
        <w:t xml:space="preserve">COM(2017) 90 </w:t>
      </w:r>
      <w:proofErr w:type="spellStart"/>
      <w:r>
        <w:t>final</w:t>
      </w:r>
      <w:proofErr w:type="spellEnd"/>
      <w:r>
        <w:t>.</w:t>
      </w:r>
    </w:p>
  </w:footnote>
  <w:footnote w:id="10">
    <w:p w:rsidR="00A018C4" w:rsidRDefault="002C75F6">
      <w:pPr>
        <w:pStyle w:val="FootnoteText"/>
      </w:pPr>
      <w:r>
        <w:rPr>
          <w:rStyle w:val="FootnoteReference"/>
        </w:rPr>
        <w:footnoteRef/>
      </w:r>
      <w:r>
        <w:tab/>
      </w:r>
      <w:r>
        <w:t>Член 23 от Регламент (ЕС) № 1303/2013 на Европейския парламент и на Съве</w:t>
      </w:r>
      <w:r>
        <w:t xml:space="preserve">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w:t>
      </w:r>
      <w:r>
        <w:t xml:space="preserve">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 (ОВ L 347, 20.12.2013 г., ст</w:t>
      </w:r>
      <w:r>
        <w:t>р. 320).</w:t>
      </w:r>
    </w:p>
  </w:footnote>
  <w:footnote w:id="11">
    <w:p w:rsidR="00A018C4" w:rsidRDefault="002C75F6">
      <w:pPr>
        <w:pStyle w:val="FootnoteText"/>
      </w:pPr>
      <w:r>
        <w:rPr>
          <w:rStyle w:val="FootnoteReference"/>
        </w:rPr>
        <w:footnoteRef/>
      </w:r>
      <w:r>
        <w:tab/>
      </w:r>
      <w:r>
        <w:t xml:space="preserve">COM(2014) 494 </w:t>
      </w:r>
      <w:proofErr w:type="spellStart"/>
      <w:r>
        <w:t>final</w:t>
      </w:r>
      <w:proofErr w:type="spellEnd"/>
      <w:r>
        <w:t>.</w:t>
      </w:r>
    </w:p>
  </w:footnote>
  <w:footnote w:id="12">
    <w:p w:rsidR="00A018C4" w:rsidRDefault="002C75F6">
      <w:pPr>
        <w:pStyle w:val="FootnoteText"/>
      </w:pPr>
      <w:r>
        <w:rPr>
          <w:rStyle w:val="FootnoteReference"/>
        </w:rPr>
        <w:footnoteRef/>
      </w:r>
      <w:r>
        <w:tab/>
      </w:r>
      <w:r>
        <w:t xml:space="preserve">Нетните държавни разходи включват общите държавни разходи, от които са изключени разходите за лихви, разходите по програми на Съюза, които изцяло се покриват от приходи от средства на Съюза, и </w:t>
      </w:r>
      <w:proofErr w:type="spellStart"/>
      <w:r>
        <w:t>недискреционните</w:t>
      </w:r>
      <w:proofErr w:type="spellEnd"/>
      <w:r>
        <w:t xml:space="preserve"> промени в ра</w:t>
      </w:r>
      <w:r>
        <w:t xml:space="preserve">зходите за обезщетения при безработица. Национално финансираното бруто образуване на основен капитал се изглажда за период от 4 години. </w:t>
      </w:r>
      <w:proofErr w:type="spellStart"/>
      <w:r>
        <w:t>Дискреционните</w:t>
      </w:r>
      <w:proofErr w:type="spellEnd"/>
      <w:r>
        <w:t xml:space="preserve"> мерки по отношение на приходите и предвиденото от закона увеличение на приходите са отчетени. Еднократнит</w:t>
      </w:r>
      <w:r>
        <w:t xml:space="preserve">е мерки по отношение както на приходите, така и на разходите, се </w:t>
      </w:r>
      <w:proofErr w:type="spellStart"/>
      <w:r>
        <w:t>нетират</w:t>
      </w:r>
      <w:proofErr w:type="spellEnd"/>
      <w:r>
        <w:t>.</w:t>
      </w:r>
    </w:p>
  </w:footnote>
  <w:footnote w:id="13">
    <w:p w:rsidR="00A018C4" w:rsidRDefault="002C75F6">
      <w:pPr>
        <w:pStyle w:val="FootnoteText"/>
      </w:pPr>
      <w:r>
        <w:rPr>
          <w:rStyle w:val="FootnoteReference"/>
        </w:rPr>
        <w:footnoteRef/>
      </w:r>
      <w:r>
        <w:tab/>
      </w:r>
      <w:r>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C66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1A04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A8A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1AF1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4E76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E8D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FC5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E924C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0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9B2FF9047094C659E6C27E48FA50A55"/>
    <w:docVar w:name="LW_CROSSREFERENCE" w:val="&lt;UNUSED&gt;"/>
    <w:docVar w:name="LW_DocType" w:val="COM"/>
    <w:docVar w:name="LW_EMISSION" w:val="22.5.2017"/>
    <w:docVar w:name="LW_EMISSION_ISODATE" w:val="2017-05-22"/>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7"/>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88?\u1083?\u1072?\u1085?\u1076?\u1080?\u1103? \u1079?\u1072? 2017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8?\u1083?\u1072?\u1085?\u1076?\u1080?\u1103? \u1079?\u1072? 2017 \u1075?."/>
    <w:docVar w:name="LW_TYPE.DOC.CP" w:val="\u1055?\u1056?\u1045?\u1055?\u1054?\u1056?\u1066?\u1050?\u1040? \u1053?\u1040? \u1057?\u1066?\u1042?\u1045?\u1058?\u1040?"/>
  </w:docVars>
  <w:rsids>
    <w:rsidRoot w:val="00A018C4"/>
    <w:rsid w:val="002C75F6"/>
    <w:rsid w:val="00A0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A865-A184-42FA-9ED8-B08F1D91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3356</Words>
  <Characters>19636</Characters>
  <Application>Microsoft Office Word</Application>
  <DocSecurity>0</DocSecurity>
  <Lines>350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2017-05-26T08:39:00Z</dcterms:created>
  <dcterms:modified xsi:type="dcterms:W3CDTF">2017-05-29T14:09:00Z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