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0B" w:rsidRDefault="00F038F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6EFC7011D8147E79C878A864D82CFC3" style="width:450.75pt;height:366pt">
            <v:imagedata r:id="rId9" o:title=""/>
          </v:shape>
        </w:pict>
      </w:r>
    </w:p>
    <w:p w:rsidR="00223E0B" w:rsidRDefault="00223E0B">
      <w:pPr>
        <w:rPr>
          <w:noProof/>
        </w:rPr>
        <w:sectPr w:rsidR="00223E0B">
          <w:footerReference w:type="default" r:id="rId10"/>
          <w:pgSz w:w="11907" w:h="16839"/>
          <w:pgMar w:top="1134" w:right="1417" w:bottom="1134" w:left="1417" w:header="709" w:footer="709" w:gutter="0"/>
          <w:pgNumType w:start="1"/>
          <w:cols w:space="720"/>
          <w:docGrid w:linePitch="360"/>
        </w:sectPr>
      </w:pPr>
    </w:p>
    <w:p w:rsidR="00223E0B" w:rsidRDefault="00223E0B">
      <w:pPr>
        <w:pStyle w:val="Exposdesmotifstitre"/>
        <w:rPr>
          <w:noProof/>
        </w:rPr>
      </w:pPr>
    </w:p>
    <w:p w:rsidR="00223E0B" w:rsidRDefault="00223E0B">
      <w:pPr>
        <w:rPr>
          <w:noProof/>
        </w:rPr>
      </w:pPr>
    </w:p>
    <w:p w:rsidR="00223E0B" w:rsidRDefault="00F038F0">
      <w:pPr>
        <w:pStyle w:val="Statut"/>
        <w:rPr>
          <w:noProof/>
        </w:rPr>
      </w:pPr>
      <w:r>
        <w:rPr>
          <w:noProof/>
        </w:rPr>
        <w:t>Препоръка за</w:t>
      </w:r>
    </w:p>
    <w:p w:rsidR="00223E0B" w:rsidRDefault="00F038F0">
      <w:pPr>
        <w:pStyle w:val="Typedudocument"/>
        <w:rPr>
          <w:noProof/>
        </w:rPr>
      </w:pPr>
      <w:r>
        <w:rPr>
          <w:noProof/>
        </w:rPr>
        <w:t>ПРЕПОРЪКА НА СЪВЕТА</w:t>
      </w:r>
    </w:p>
    <w:p w:rsidR="00223E0B" w:rsidRDefault="00F038F0">
      <w:pPr>
        <w:pStyle w:val="Titreobjet"/>
        <w:rPr>
          <w:noProof/>
        </w:rPr>
      </w:pPr>
      <w:r>
        <w:rPr>
          <w:noProof/>
        </w:rPr>
        <w:t>относно националната програма за реформи на Словения за 2017 г.</w:t>
      </w:r>
      <w:r>
        <w:rPr>
          <w:noProof/>
        </w:rPr>
        <w:br/>
      </w:r>
      <w:r>
        <w:rPr>
          <w:noProof/>
        </w:rPr>
        <w:br/>
        <w:t xml:space="preserve">и </w:t>
      </w:r>
      <w:r>
        <w:rPr>
          <w:noProof/>
        </w:rPr>
        <w:t>съдържаща становище на Съвета относно програмата за стабилност на Словения за 2017 г.</w:t>
      </w:r>
    </w:p>
    <w:p w:rsidR="00223E0B" w:rsidRDefault="00F038F0">
      <w:pPr>
        <w:pStyle w:val="Institutionquiagit"/>
        <w:rPr>
          <w:noProof/>
        </w:rPr>
      </w:pPr>
      <w:r>
        <w:rPr>
          <w:noProof/>
        </w:rPr>
        <w:t>СЪВЕТЪТ НА ЕВРОПЕЙСКИЯ СЪЮЗ,</w:t>
      </w:r>
    </w:p>
    <w:p w:rsidR="00223E0B" w:rsidRDefault="00F038F0">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223E0B" w:rsidRDefault="00F038F0">
      <w:pPr>
        <w:rPr>
          <w:noProof/>
        </w:rPr>
      </w:pPr>
      <w:r>
        <w:rPr>
          <w:noProof/>
        </w:rPr>
        <w:t>като вз</w:t>
      </w:r>
      <w:r>
        <w:rPr>
          <w:noProof/>
        </w:rPr>
        <w:t>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rsidR="00223E0B" w:rsidRDefault="00F038F0">
      <w:pPr>
        <w:rPr>
          <w:noProof/>
        </w:rPr>
      </w:pPr>
      <w:r>
        <w:rPr>
          <w:noProof/>
        </w:rPr>
        <w:t>като взе предвид Регламент (ЕС) № 1176/2</w:t>
      </w:r>
      <w:r>
        <w:rPr>
          <w:noProof/>
        </w:rPr>
        <w:t>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rsidR="00223E0B" w:rsidRDefault="00F038F0">
      <w:pPr>
        <w:rPr>
          <w:noProof/>
        </w:rPr>
      </w:pPr>
      <w:r>
        <w:rPr>
          <w:noProof/>
        </w:rPr>
        <w:t>като взе предвид препоръката на Европейската комисия</w:t>
      </w:r>
      <w:r>
        <w:rPr>
          <w:rStyle w:val="FootnoteReference"/>
          <w:noProof/>
        </w:rPr>
        <w:footnoteReference w:id="3"/>
      </w:r>
      <w:r>
        <w:rPr>
          <w:noProof/>
        </w:rPr>
        <w:t>,</w:t>
      </w:r>
    </w:p>
    <w:p w:rsidR="00223E0B" w:rsidRDefault="00F038F0">
      <w:pPr>
        <w:rPr>
          <w:noProof/>
        </w:rPr>
      </w:pPr>
      <w:r>
        <w:rPr>
          <w:noProof/>
        </w:rPr>
        <w:t>като взе предвид р</w:t>
      </w:r>
      <w:r>
        <w:rPr>
          <w:noProof/>
        </w:rPr>
        <w:t>езолюциите на Европейския парламент</w:t>
      </w:r>
      <w:r>
        <w:rPr>
          <w:rStyle w:val="FootnoteReference"/>
          <w:noProof/>
        </w:rPr>
        <w:footnoteReference w:id="4"/>
      </w:r>
      <w:r>
        <w:rPr>
          <w:noProof/>
        </w:rPr>
        <w:t>,</w:t>
      </w:r>
    </w:p>
    <w:p w:rsidR="00223E0B" w:rsidRDefault="00F038F0">
      <w:pPr>
        <w:outlineLvl w:val="0"/>
        <w:rPr>
          <w:noProof/>
        </w:rPr>
      </w:pPr>
      <w:r>
        <w:rPr>
          <w:noProof/>
        </w:rPr>
        <w:t>като взе предвид заключенията на Европейския съвет,</w:t>
      </w:r>
    </w:p>
    <w:p w:rsidR="00223E0B" w:rsidRDefault="00F038F0">
      <w:pPr>
        <w:rPr>
          <w:noProof/>
        </w:rPr>
      </w:pPr>
      <w:r>
        <w:rPr>
          <w:noProof/>
        </w:rPr>
        <w:t>като взе предвид становището на Комитета по заетостта,</w:t>
      </w:r>
    </w:p>
    <w:p w:rsidR="00223E0B" w:rsidRDefault="00F038F0">
      <w:pPr>
        <w:rPr>
          <w:noProof/>
        </w:rPr>
      </w:pPr>
      <w:r>
        <w:rPr>
          <w:noProof/>
        </w:rPr>
        <w:t>като взе предвид становището на Икономическия и финансов комитет,</w:t>
      </w:r>
    </w:p>
    <w:p w:rsidR="00223E0B" w:rsidRDefault="00F038F0">
      <w:pPr>
        <w:rPr>
          <w:noProof/>
        </w:rPr>
      </w:pPr>
      <w:r>
        <w:rPr>
          <w:noProof/>
        </w:rPr>
        <w:t>като взе предвид становището на Комитета за с</w:t>
      </w:r>
      <w:r>
        <w:rPr>
          <w:noProof/>
        </w:rPr>
        <w:t>оциална закрила,</w:t>
      </w:r>
    </w:p>
    <w:p w:rsidR="00223E0B" w:rsidRDefault="00F038F0">
      <w:pPr>
        <w:rPr>
          <w:noProof/>
        </w:rPr>
      </w:pPr>
      <w:r>
        <w:rPr>
          <w:noProof/>
        </w:rPr>
        <w:t>като взе предвид становището на Комитета за икономическа политика,</w:t>
      </w:r>
    </w:p>
    <w:p w:rsidR="00223E0B" w:rsidRDefault="00F038F0">
      <w:pPr>
        <w:rPr>
          <w:noProof/>
        </w:rPr>
      </w:pPr>
      <w:r>
        <w:rPr>
          <w:noProof/>
        </w:rPr>
        <w:t>като има предвид, че:</w:t>
      </w:r>
    </w:p>
    <w:p w:rsidR="00223E0B" w:rsidRDefault="00F038F0">
      <w:pPr>
        <w:pStyle w:val="Point0number"/>
        <w:numPr>
          <w:ilvl w:val="0"/>
          <w:numId w:val="1"/>
        </w:numPr>
        <w:rPr>
          <w:noProof/>
        </w:rPr>
      </w:pPr>
      <w:r>
        <w:rPr>
          <w:noProof/>
        </w:rPr>
        <w:t>На 16 ноември 2016 г. Комисията прие годишния обзор на растежа</w:t>
      </w:r>
      <w:r>
        <w:rPr>
          <w:rStyle w:val="FootnoteReference"/>
          <w:noProof/>
        </w:rPr>
        <w:footnoteReference w:id="5"/>
      </w:r>
      <w:r>
        <w:rPr>
          <w:noProof/>
        </w:rPr>
        <w:t xml:space="preserve">, с което постави началото на европейския семестър за координация на икономическите </w:t>
      </w:r>
      <w:r>
        <w:rPr>
          <w:noProof/>
        </w:rPr>
        <w:t>политики за 2017 г. Приоритетите на годишния обзор на растежа бяха одобрени от Европейския съвет на 9—10 март 2017 г. Въз основа на Регламент (ЕС) № 1176/2011 на 16 ноември 2016 г. Комисията прие Доклад за механизма за предупреждение</w:t>
      </w:r>
      <w:r>
        <w:rPr>
          <w:rStyle w:val="FootnoteReference"/>
          <w:noProof/>
        </w:rPr>
        <w:footnoteReference w:id="6"/>
      </w:r>
      <w:r>
        <w:rPr>
          <w:noProof/>
        </w:rPr>
        <w:t>, в който беше посочен</w:t>
      </w:r>
      <w:r>
        <w:rPr>
          <w:noProof/>
        </w:rPr>
        <w:t xml:space="preserve">о, че Словения е една от държавите членки, за които ще се извърши задълбочен преглед. В същия ден Комисията прие и препоръка за препоръка на Съвета относно икономическата политика на </w:t>
      </w:r>
      <w:r>
        <w:rPr>
          <w:noProof/>
        </w:rPr>
        <w:lastRenderedPageBreak/>
        <w:t>еврозоната. Тази препоръка беше одобрена от Европейския съвет на 9—10 мар</w:t>
      </w:r>
      <w:r>
        <w:rPr>
          <w:noProof/>
        </w:rPr>
        <w:t>т 2017 г. и приета от Съвета на 21 март 2016 г</w:t>
      </w:r>
      <w:r>
        <w:rPr>
          <w:rStyle w:val="FootnoteReference"/>
          <w:noProof/>
        </w:rPr>
        <w:footnoteReference w:id="7"/>
      </w:r>
      <w:r>
        <w:rPr>
          <w:noProof/>
        </w:rPr>
        <w:t xml:space="preserve">. </w:t>
      </w:r>
    </w:p>
    <w:p w:rsidR="00223E0B" w:rsidRDefault="00F038F0">
      <w:pPr>
        <w:pStyle w:val="Point0number"/>
        <w:numPr>
          <w:ilvl w:val="0"/>
          <w:numId w:val="1"/>
        </w:numPr>
        <w:rPr>
          <w:noProof/>
        </w:rPr>
      </w:pPr>
      <w:r>
        <w:rPr>
          <w:noProof/>
        </w:rPr>
        <w:t>Като държава, чиято парична единица е еврото, и с оглед на тесните взаимовръзки между икономиките в икономическия и паричен съюз, Словения следва да гарантира цялостното и навременно изпълнение на препоръка</w:t>
      </w:r>
      <w:r>
        <w:rPr>
          <w:noProof/>
        </w:rPr>
        <w:t>та за еврозоната, отразена в препоръки от 1 до 3 по-долу.</w:t>
      </w:r>
    </w:p>
    <w:p w:rsidR="00223E0B" w:rsidRDefault="00F038F0">
      <w:pPr>
        <w:pStyle w:val="Point0number"/>
        <w:rPr>
          <w:noProof/>
        </w:rPr>
      </w:pPr>
      <w:r>
        <w:rPr>
          <w:noProof/>
        </w:rPr>
        <w:t>Докладът за Словения за 2017 г.</w:t>
      </w:r>
      <w:r>
        <w:rPr>
          <w:rStyle w:val="FootnoteReference"/>
          <w:noProof/>
        </w:rPr>
        <w:footnoteReference w:id="8"/>
      </w:r>
      <w:r>
        <w:rPr>
          <w:noProof/>
        </w:rPr>
        <w:t xml:space="preserve"> беше публикуван на 22 февруари 2017 г. В него бе оценен напредъкът на Словения в изпълнението на специфичните за държавата препоръки, приети от Съвета на 12 юли 2016</w:t>
      </w:r>
      <w:r>
        <w:rPr>
          <w:noProof/>
        </w:rPr>
        <w:t xml:space="preserve"> г., последващите действия във връзка с препоръките, приети през предходните години, и напредъкът на Словения по отношение на националните ѝ цели по стратегията „Европа 2020“. Докладът включваше също така задълбочения преглед по член 5 от Регламент (ЕС) № </w:t>
      </w:r>
      <w:r>
        <w:rPr>
          <w:noProof/>
        </w:rPr>
        <w:t>1176/2011, чиито резултатите също бяха публикувани на 22 февруари 2017 г</w:t>
      </w:r>
      <w:r>
        <w:rPr>
          <w:rStyle w:val="FootnoteReference"/>
          <w:noProof/>
        </w:rPr>
        <w:footnoteReference w:id="9"/>
      </w:r>
      <w:r>
        <w:rPr>
          <w:noProof/>
        </w:rPr>
        <w:t>. Анализът на Комисията ѝ дава основание да заключи, че в Словения са налице макроикономически дисбаланси. По-конкретно, слабостите в банковия сектор, корпоративният дълг и фискалните</w:t>
      </w:r>
      <w:r>
        <w:rPr>
          <w:noProof/>
        </w:rPr>
        <w:t xml:space="preserve"> рискове водят до уязвимост. Дисбалансите се коригират постепенно предвид възобновения растеж. Корпоративният сектор претърпя значително намаляване на дълга, а частните инвестиции бяха възобновени, включително под формата на преки чуждестранни инвестиции, </w:t>
      </w:r>
      <w:r>
        <w:rPr>
          <w:noProof/>
        </w:rPr>
        <w:t>въпреки че входящите преки чуждестранни инвестиции остават ниски в сравнение със сходните държави членки в региона. Публичният дълг достигна своя връх през 2015 г. и през идните години се очаква низходяща корекция. Напредъкът на преструктурирането на банко</w:t>
      </w:r>
      <w:r>
        <w:rPr>
          <w:noProof/>
        </w:rPr>
        <w:t>вия сектор съвпадна с бързия спад на дела на необслужваните кредити, който се очаква да продължи да спада. Правителството взе необходимите мерки за консолидиране и преструктуриране на банковия сектор, както и за подобряване на управлението на държавните пр</w:t>
      </w:r>
      <w:r>
        <w:rPr>
          <w:noProof/>
        </w:rPr>
        <w:t>едприятия. Необходими са обаче допълнителни мерки на политиката за справяне с корпоративния дълг и оставащите слабости във финансовия сектор, за да се гарантира дългосрочната устойчивост на публичните финанси, както и за подобряване на бизнес средата.</w:t>
      </w:r>
    </w:p>
    <w:p w:rsidR="00223E0B" w:rsidRDefault="00F038F0">
      <w:pPr>
        <w:pStyle w:val="Point0number"/>
        <w:rPr>
          <w:noProof/>
          <w:spacing w:val="-4"/>
        </w:rPr>
      </w:pPr>
      <w:r>
        <w:rPr>
          <w:noProof/>
          <w:spacing w:val="-4"/>
        </w:rPr>
        <w:t>На 2</w:t>
      </w:r>
      <w:r>
        <w:rPr>
          <w:noProof/>
          <w:spacing w:val="-4"/>
        </w:rPr>
        <w:t>8 април 2017 г. Словения представи своята програма за стабилност за 2017 г., а на 3 май 2017 г. тя представи своята национална програма за реформи за 2017 г. Двете програми бяха оценени едновременно, за да бъдат отчетени взаимовръзките между тях.</w:t>
      </w:r>
    </w:p>
    <w:p w:rsidR="00223E0B" w:rsidRDefault="00F038F0">
      <w:pPr>
        <w:pStyle w:val="Point0number"/>
        <w:rPr>
          <w:noProof/>
        </w:rPr>
      </w:pPr>
      <w:r>
        <w:rPr>
          <w:noProof/>
        </w:rPr>
        <w:t>Съответни</w:t>
      </w:r>
      <w:r>
        <w:rPr>
          <w:noProof/>
        </w:rPr>
        <w:t xml:space="preserve">те специфични за всяка държава препоръки бяха взети предвид във връзка с програмите на държавите членки за европейските структурни и инвестиционни фондове (ЕСИ фондове), обхващащи периода 2014 — 2020 г. Както е предвидено в законодателството, уреждащо ЕСИ </w:t>
      </w:r>
      <w:r>
        <w:rPr>
          <w:noProof/>
        </w:rPr>
        <w:t>фондовете</w:t>
      </w:r>
      <w:r>
        <w:rPr>
          <w:rStyle w:val="FootnoteReference"/>
          <w:noProof/>
        </w:rPr>
        <w:footnoteReference w:id="10"/>
      </w:r>
      <w:r>
        <w:rPr>
          <w:noProof/>
        </w:rPr>
        <w:t xml:space="preserve">, когато </w:t>
      </w:r>
      <w:r>
        <w:rPr>
          <w:noProof/>
        </w:rPr>
        <w:lastRenderedPageBreak/>
        <w:t>това е необходимо за подпомагане на изпълнението на съответните специфични за всяка държава препоръки, Комисията може да поиска от дадена държава членка да преразгледа и измени съответните си програми по ЕСИ фондовете. Комисията предоста</w:t>
      </w:r>
      <w:r>
        <w:rPr>
          <w:noProof/>
        </w:rPr>
        <w:t>ви допълнителни насоки по отношение на прилагането на тези правила</w:t>
      </w:r>
      <w:r>
        <w:rPr>
          <w:rStyle w:val="FootnoteReference"/>
          <w:noProof/>
        </w:rPr>
        <w:footnoteReference w:id="11"/>
      </w:r>
      <w:r>
        <w:rPr>
          <w:noProof/>
        </w:rPr>
        <w:t>.</w:t>
      </w:r>
    </w:p>
    <w:p w:rsidR="00223E0B" w:rsidRDefault="00F038F0">
      <w:pPr>
        <w:pStyle w:val="Point0number"/>
        <w:rPr>
          <w:noProof/>
        </w:rPr>
      </w:pPr>
      <w:r>
        <w:rPr>
          <w:noProof/>
        </w:rPr>
        <w:t xml:space="preserve">Понастоящем спрямо Словения се прилагат предпазните мерки на Пакта за стабилност и растеж и преходното правило за дълга. В своята програма за стабилност за 2017 г. правителството очаква, </w:t>
      </w:r>
      <w:r>
        <w:rPr>
          <w:noProof/>
        </w:rPr>
        <w:t xml:space="preserve">че номиналният дефицит ще се подобри до 0,8 % от БВП през 2017 г., след което ще достигне излишък от 0,4 % от БВП през 2020 г. Средносрочната бюджетна цел — балансиран бюджет в структурно изражение, което не отговаря на изискванията на Пакта за стабилност </w:t>
      </w:r>
      <w:r>
        <w:rPr>
          <w:noProof/>
        </w:rPr>
        <w:t>и растеж — е планирана да бъде постигната до 2020 г. Въз основа на преизчисленото структурно салдо</w:t>
      </w:r>
      <w:r>
        <w:rPr>
          <w:rStyle w:val="FootnoteReference"/>
          <w:noProof/>
        </w:rPr>
        <w:footnoteReference w:id="12"/>
      </w:r>
      <w:r>
        <w:rPr>
          <w:noProof/>
        </w:rPr>
        <w:t xml:space="preserve"> обаче средносрочната бюджетна цел не би била постигната до края на програмния период. Според програмата за стабилност съотношението на консолидирания държав</w:t>
      </w:r>
      <w:r>
        <w:rPr>
          <w:noProof/>
        </w:rPr>
        <w:t>ен дълг към БВП се очаква да спадне до 77,0 % от БВП през 2017 г. и да продължи да намалява до 67,5 % от БВП през 2020 г. Макроикономическият сценарий в основата на тези бюджетни прогнози е реалистичен. В същото време необходимите мерки в помощ на планиран</w:t>
      </w:r>
      <w:r>
        <w:rPr>
          <w:noProof/>
        </w:rPr>
        <w:t>ите цели от 2017 г. нататък все още не са достатъчно конкретни.</w:t>
      </w:r>
    </w:p>
    <w:p w:rsidR="00223E0B" w:rsidRDefault="00F038F0">
      <w:pPr>
        <w:pStyle w:val="Point0number"/>
        <w:rPr>
          <w:noProof/>
        </w:rPr>
      </w:pPr>
      <w:r>
        <w:rPr>
          <w:noProof/>
        </w:rPr>
        <w:t xml:space="preserve">В програмата за стабилност за 2017 г. се посочва, че въздействието на извънредния приток на бежанци върху бюджета е значително през 2016 г. и 2017 г. и се предоставят достатъчно доказателства </w:t>
      </w:r>
      <w:r>
        <w:rPr>
          <w:noProof/>
        </w:rPr>
        <w:t>за обхвата и естеството на тези допълнителни бюджетни разходи. Според Комисията допустимите допълнителни разходи за извънредния приток на бежанци през 2016 г. възлизат на 0,07 % от БВП. Този размер остава непроменен в сравнение с проекта на бюджетен план з</w:t>
      </w:r>
      <w:r>
        <w:rPr>
          <w:noProof/>
        </w:rPr>
        <w:t>а 2017 г., който потвърди предвижданията на програмата за стабилност за 2016 г. За 2017 г. в програмата за стабилност е включено искане за 0,07 % от БВП, като Комисията ще има предвид допълнителното въздействие в размер на 0,01 % от БВП. Разпоредбите, съдъ</w:t>
      </w:r>
      <w:r>
        <w:rPr>
          <w:noProof/>
        </w:rPr>
        <w:t>ржащи се в член 5, параграф 1 и член 6, параграф 3 от Регламент (ЕО) № 1466/97, позволяват посрещането на тези допълнителни разходи, доколкото притокът на бежанци и мерките във връзка със сигурността са свързани с необичайни събития, отражението им върху п</w:t>
      </w:r>
      <w:r>
        <w:rPr>
          <w:noProof/>
        </w:rPr>
        <w:t xml:space="preserve">убличните финанси на Словения е значително и устойчивостта не би била засегната, ако се разреши временно отклоняване от плана за корекции за постигане на средносрочната бюджетна цел. Ето защо размерът на изискваната корекция за постигане на средносрочната </w:t>
      </w:r>
      <w:r>
        <w:rPr>
          <w:noProof/>
        </w:rPr>
        <w:t>бюджетна цел за 2016 г. бе намален, за да се вземат под внимание тези разходи. Що се отнася до 2017 г., през пролетта на 2018 г. ще бъде направена окончателната оценка, включително относно допустимите суми, въз основа на наблюдаваните данни, предоставени о</w:t>
      </w:r>
      <w:r>
        <w:rPr>
          <w:noProof/>
        </w:rPr>
        <w:t xml:space="preserve">т словенските органи.  </w:t>
      </w:r>
    </w:p>
    <w:p w:rsidR="00223E0B" w:rsidRDefault="00F038F0">
      <w:pPr>
        <w:pStyle w:val="Point0number"/>
        <w:rPr>
          <w:noProof/>
        </w:rPr>
      </w:pPr>
      <w:r>
        <w:rPr>
          <w:noProof/>
        </w:rPr>
        <w:t>На 12 юли 2016 г. Съветът препоръча на Словения да постигне годишна фискална корекция от поне 0,6 % от БВП за постигане на средносрочната бюджетна цел през 2017 г. Според прогнозата на Комисията от пролетта на 2017 г. има риск от из</w:t>
      </w:r>
      <w:r>
        <w:rPr>
          <w:noProof/>
        </w:rPr>
        <w:t xml:space="preserve">вестно отклонение от това изискване през 2017 г. </w:t>
      </w:r>
    </w:p>
    <w:p w:rsidR="00223E0B" w:rsidRDefault="00F038F0">
      <w:pPr>
        <w:pStyle w:val="Point0number"/>
        <w:rPr>
          <w:noProof/>
        </w:rPr>
      </w:pPr>
      <w:r>
        <w:rPr>
          <w:noProof/>
        </w:rPr>
        <w:t>През 2018 г., в оглед на фискалното си положение и особено на равнището на дълга, се очаква Словения да осъществи допълнителни корекции към постигане на подходящата средносрочна бюджетна цел. Според общопри</w:t>
      </w:r>
      <w:r>
        <w:rPr>
          <w:noProof/>
        </w:rPr>
        <w:t>етата таблица за корекциите съгласно Пакта за стабилност и растеж, тези корекции налагат изискването номиналният темп на растеж на нетните първични държавни разходи</w:t>
      </w:r>
      <w:r>
        <w:rPr>
          <w:rStyle w:val="FootnoteReference"/>
          <w:noProof/>
        </w:rPr>
        <w:footnoteReference w:id="13"/>
      </w:r>
      <w:r>
        <w:rPr>
          <w:noProof/>
        </w:rPr>
        <w:t xml:space="preserve"> да не превишава 0,6 %. Това би съответствало на структурна корекция от 1 % от БВП. Ако пол</w:t>
      </w:r>
      <w:r>
        <w:rPr>
          <w:noProof/>
        </w:rPr>
        <w:t xml:space="preserve">итиката не бъде променена, съществува риск от значително отклонение от това изискване през 2018 г. Словения се очаква да се съобрази с правилото за дълга през 2017 г. и 2018 г. Като цяло Съветът е на мнение, че Словения трябва да бъде готова да предприеме </w:t>
      </w:r>
      <w:r>
        <w:rPr>
          <w:noProof/>
        </w:rPr>
        <w:t>допълнителни мерки през 2017 г. и че ще са необходими допълнителни мерки през 2018 г., за да се съобрази с разпоредбите на Пакта за стабилност и растеж. Както е предвидено обаче в Регламент (ЕО) № 1466/97, оценката на бюджетните планове и бюджетните резулт</w:t>
      </w:r>
      <w:r>
        <w:rPr>
          <w:noProof/>
        </w:rPr>
        <w:t xml:space="preserve">ати следва да взема под внимание бюджетния баланс на държавите членки предвид условията на икономическия цикъл. Както се припомня в съобщението на Комисията, придружаващо тези специфични за отделните държави препоръки, при оценката на проекта на бюджетния </w:t>
      </w:r>
      <w:r>
        <w:rPr>
          <w:noProof/>
        </w:rPr>
        <w:t>план за 2018 г. и при последващата оценка на бюджетните резултати за 2018 г. ще трябва надлежно да се вземе предвид целта за постигане на фискална позиция, допринасяща за засилването на процеса на възстановяване и за гарантиране устойчивостта на публичните</w:t>
      </w:r>
      <w:r>
        <w:rPr>
          <w:noProof/>
        </w:rPr>
        <w:t xml:space="preserve"> финанси на Словения. В този контекст Комисията възнамерява да използва приложимата свобода на преценка с оглед на ситуацията на икономическия цикъл в Словения. Освен това е налице значителна несигурност относно цикличната позиция в конкретния случай на Сл</w:t>
      </w:r>
      <w:r>
        <w:rPr>
          <w:noProof/>
        </w:rPr>
        <w:t>овения поради особено голямото свиване на икономиката през периода 2008—2013 г. и големите структурни реформи и реформи във финансовия сектор, които се осъществяват в момента.</w:t>
      </w:r>
    </w:p>
    <w:p w:rsidR="00223E0B" w:rsidRDefault="00F038F0">
      <w:pPr>
        <w:pStyle w:val="Point0number"/>
        <w:rPr>
          <w:noProof/>
        </w:rPr>
      </w:pPr>
      <w:r>
        <w:rPr>
          <w:noProof/>
        </w:rPr>
        <w:t>Със Закона за фискалните правила, приет през юли 2015 г., бе въведена средносроч</w:t>
      </w:r>
      <w:r>
        <w:rPr>
          <w:noProof/>
        </w:rPr>
        <w:t>на бюджетна рамка за сектор „Държавно управление“. За да се осигури функционирането му, са необходими някои изменения на Закона за публичните финанси. Правителството пое отначало ангажимент за това преразгледаният Закон за публичните финанси да се приеме в</w:t>
      </w:r>
      <w:r>
        <w:rPr>
          <w:noProof/>
        </w:rPr>
        <w:t xml:space="preserve"> рамките на шест месеца след приемането на Закона за фискалните правила. Този срок обаче беше отлаган неколкократно, а преразгледаният закон все още не бе предаден на Парламента за обсъждане. Преразгледаният Закон за публичните финанси представлява едно от</w:t>
      </w:r>
      <w:r>
        <w:rPr>
          <w:noProof/>
        </w:rPr>
        <w:t xml:space="preserve"> правните средства, с които се транспонира в националното законодателство Директива 2011/85 на ЕС относно изискванията за националните бюджетни рамки, което държавите членки бяха задължени да извършат до края на 2013 г. Членовете на фискалния съвет бяха на</w:t>
      </w:r>
      <w:r>
        <w:rPr>
          <w:noProof/>
        </w:rPr>
        <w:t>значени на 21 март 2017 г.</w:t>
      </w:r>
    </w:p>
    <w:p w:rsidR="00223E0B" w:rsidRDefault="00F038F0">
      <w:pPr>
        <w:pStyle w:val="Point0number"/>
        <w:rPr>
          <w:noProof/>
        </w:rPr>
      </w:pPr>
      <w:r>
        <w:rPr>
          <w:noProof/>
        </w:rPr>
        <w:t>Големият публичен дълг в размер на 79,7 % от БВП през 2016 г. представлява източник на уязвимост за публичните финанси на Словения. Населението на страната застарява по-бързо от това на повечето държави членки. Словения е изправе</w:t>
      </w:r>
      <w:r>
        <w:rPr>
          <w:noProof/>
        </w:rPr>
        <w:t>на пред сериозни рискове по отношение на дългосрочната устойчивост на публичните финанси, а от всички държави — членки на ЕС, при нея се отчита най-високият показател за дългосрочна липса на устойчивост, произтичащ от прогнозираното увеличение на публичнит</w:t>
      </w:r>
      <w:r>
        <w:rPr>
          <w:noProof/>
        </w:rPr>
        <w:t xml:space="preserve">е разходи, свързани с пенсиите, здравеопазването и дългосрочните грижи. </w:t>
      </w:r>
    </w:p>
    <w:p w:rsidR="00223E0B" w:rsidRDefault="00F038F0">
      <w:pPr>
        <w:pStyle w:val="Point0number"/>
        <w:rPr>
          <w:noProof/>
        </w:rPr>
      </w:pPr>
      <w:r>
        <w:rPr>
          <w:noProof/>
        </w:rPr>
        <w:t>Правителството представи предложения за реформа на здравеопазването. Проектът на закон за здравеопазването и здравното осигуряване, което е основна част на реформата, бе представен за</w:t>
      </w:r>
      <w:r>
        <w:rPr>
          <w:noProof/>
        </w:rPr>
        <w:t xml:space="preserve"> обществена консултация през февруари 2017 г. и е предвиден за внасяне в Народното събрание през лятото на 2017 г. Спазването на предвидения график е важно и би трябвало да позволи законът да влезе в сила още през 2017 г. През декември 2016 г. бяха предста</w:t>
      </w:r>
      <w:r>
        <w:rPr>
          <w:noProof/>
        </w:rPr>
        <w:t>вени предложенията за поправки на Закона за здравните услуги и Закона за правата на пациентите и беше приет новият Закон за аптеките. Оставащите предизвикателства са свързани с управлението и резултатите от дейността на болниците, първичната помощ, която у</w:t>
      </w:r>
      <w:r>
        <w:rPr>
          <w:noProof/>
        </w:rPr>
        <w:t>пражнява контрол на достъпа до болнични грижи, болничните платежни системи, оценките на здравните технологии и информационните системи. Освен това ползите от централизираното възлагане на обществени поръчки за медицински продукти и услуги остават до голяма</w:t>
      </w:r>
      <w:r>
        <w:rPr>
          <w:noProof/>
        </w:rPr>
        <w:t xml:space="preserve"> степен неоползотворени, а се подготвя нова централизация на обществените поръчки за лекарства, която би могла да спомогне за това обществени поръчки да станат по-прозрачни и ефективни по отношение на разходите. Постигането на напредък в реформата на дълго</w:t>
      </w:r>
      <w:r>
        <w:rPr>
          <w:noProof/>
        </w:rPr>
        <w:t>срочни грижи е също и значително предизвикателство. Към този момент в Словения не съществува интегрирана система за дългосрочни грижи. Подготвя се пилотен проект за определяне на нуждите от дългосрочни грижи.</w:t>
      </w:r>
    </w:p>
    <w:p w:rsidR="00223E0B" w:rsidRDefault="00F038F0">
      <w:pPr>
        <w:pStyle w:val="Point0number"/>
        <w:rPr>
          <w:noProof/>
        </w:rPr>
      </w:pPr>
      <w:r>
        <w:rPr>
          <w:noProof/>
        </w:rPr>
        <w:t>Бялата книга за пенсиите беше одобрен от правит</w:t>
      </w:r>
      <w:r>
        <w:rPr>
          <w:noProof/>
        </w:rPr>
        <w:t>елството през април 2016 г. и с нея бе стартирана обществена консултация относно бъдещето на пенсионната система. Все още липсват обаче конкретни законодателни предложения. Предизвикателства за бъдещето са да се осигури дългосрочна устойчивост и адекватнос</w:t>
      </w:r>
      <w:r>
        <w:rPr>
          <w:noProof/>
        </w:rPr>
        <w:t xml:space="preserve">т на пенсионната система чрез адаптиране на законоустановената пенсионна възраст към нарастването на средната продължителност на живота и насърчаването на по-късното пенсиониране, да се увеличи обхватът на допълнителните пенсионни схеми, да се обхванат по </w:t>
      </w:r>
      <w:r>
        <w:rPr>
          <w:noProof/>
        </w:rPr>
        <w:t>подходящ начин различните пътища за професионално развитие и да се намалят рисковете от бедност сред хората в напреднала възраст.</w:t>
      </w:r>
    </w:p>
    <w:p w:rsidR="00223E0B" w:rsidRDefault="00F038F0">
      <w:pPr>
        <w:pStyle w:val="Point0number"/>
        <w:rPr>
          <w:noProof/>
        </w:rPr>
      </w:pPr>
      <w:r>
        <w:rPr>
          <w:noProof/>
        </w:rPr>
        <w:t>Пазарът на труда и социалните тенденции продължиха да се подобряват. Създаването на работни места се ускори и безработицата на</w:t>
      </w:r>
      <w:r>
        <w:rPr>
          <w:noProof/>
        </w:rPr>
        <w:t xml:space="preserve">малява. Процентът на хората, изложени на риск от бедност и социално изключване, намаля, но остава на равнище над средното за ЕС за възрастните хора. Подобрението на пазара на труда предлага възможност за осигуряване на заетост за по-възрастните работници, </w:t>
      </w:r>
      <w:r>
        <w:rPr>
          <w:noProof/>
        </w:rPr>
        <w:t xml:space="preserve">но тяхното равнище на заетост остава ниско. Пенсионирането чрез системата за осигуряване срещу безработица става все по-често през последните години. Дълготрайната безработица остава над равнищата от периода преди кризата и обхваща повече от половината от </w:t>
      </w:r>
      <w:r>
        <w:rPr>
          <w:noProof/>
        </w:rPr>
        <w:t>всички безработни. Повече от 40 % от всички дълготрайно безработни са над 50-годишна възраст и почти половината от тях са без работа в продължение на две или повече години. Със социалните партньори бяха изготвени и обсъждани анализ и план за действие, коит</w:t>
      </w:r>
      <w:r>
        <w:rPr>
          <w:noProof/>
        </w:rPr>
        <w:t>о има за цел да се увеличи равнището на заетост на по-възрастните работници. Навременното изпълнение на плана за действие може да допринесе за подобряване на активизирането на по-възрастните работници. Равнището на заетост на нискоквалифицираните работници</w:t>
      </w:r>
      <w:r>
        <w:rPr>
          <w:noProof/>
        </w:rPr>
        <w:t xml:space="preserve"> продължава да бъде ниско и е значително под равнището отпреди кризата и под средната стойност за ЕС. Планът за изпълнение на активната политика по заетостта, приет през януари 2016 г., продължава текущия подход, а разходите в тази област все още са на нис</w:t>
      </w:r>
      <w:r>
        <w:rPr>
          <w:noProof/>
        </w:rPr>
        <w:t>ко равнище. По-възрастните и нискоквалифицираните работници продължават да бъдат слабо представени при мерките за активна политика по заетостта. Сегментирането на пазара на труда продължава да е предизвикателство въпреки реформата през 2013 г.</w:t>
      </w:r>
    </w:p>
    <w:p w:rsidR="00223E0B" w:rsidRDefault="00F038F0">
      <w:pPr>
        <w:pStyle w:val="Point0number"/>
        <w:rPr>
          <w:noProof/>
        </w:rPr>
      </w:pPr>
      <w:r>
        <w:rPr>
          <w:noProof/>
        </w:rPr>
        <w:t>Въпреки че р</w:t>
      </w:r>
      <w:r>
        <w:rPr>
          <w:noProof/>
        </w:rPr>
        <w:t>авнището на необслужваните кредити все още е високо, то стабилно спада. Националната банка на Словения изпълни редица мерки, които предоставят на банките стимули за намаляване на необслужваните им кредити по устойчив начин. Натискът, оказван от стремежа къ</w:t>
      </w:r>
      <w:r>
        <w:rPr>
          <w:noProof/>
        </w:rPr>
        <w:t>м намаляване на дълга, започна да спада, но потокът от кредити за предприятията да продължава да се свива. Напредъкът в намаляването на дълга е неравномерен при отделните предприятия. Консолидирането и преструктурирането на банковия сектор напредват с обед</w:t>
      </w:r>
      <w:r>
        <w:rPr>
          <w:noProof/>
        </w:rPr>
        <w:t>иняването на три банки през 2016 г. Приватизацията на Nova Ljubljanska Banka е планирана до декември 2017 г. Преразглеждането на законодателната рамка допълнително засили капацитета за корпоративно преструктуриране на Дружеството за управление на банкови а</w:t>
      </w:r>
      <w:r>
        <w:rPr>
          <w:noProof/>
        </w:rPr>
        <w:t>ктиви. Необслужваните кредити остават на високо равнище сред МСП. За да се отстрани проблема, с помощта на Световната банка бе изготвен систематичен подход за преструктуриране на необслужваните кредити на МСП. Освен това правителството прие проектозакон за</w:t>
      </w:r>
      <w:r>
        <w:rPr>
          <w:noProof/>
        </w:rPr>
        <w:t xml:space="preserve"> създаване на централен кредитен регистър, за да се даде възможност за по-ефективно управление на риска и намаляване на риска от задлъжняване. </w:t>
      </w:r>
    </w:p>
    <w:p w:rsidR="00223E0B" w:rsidRDefault="00F038F0">
      <w:pPr>
        <w:pStyle w:val="Point0number"/>
        <w:rPr>
          <w:noProof/>
        </w:rPr>
      </w:pPr>
      <w:r>
        <w:rPr>
          <w:noProof/>
        </w:rPr>
        <w:t>Достъпът до алтернативни източници за финансиране на кредитоспособните предприятия е много ограничен. Предимно С</w:t>
      </w:r>
      <w:r>
        <w:rPr>
          <w:noProof/>
        </w:rPr>
        <w:t xml:space="preserve">ловенският фонд за предприятията и </w:t>
      </w:r>
      <w:r>
        <w:rPr>
          <w:i/>
          <w:noProof/>
        </w:rPr>
        <w:t>Slovenska izvozna in razvojna banka</w:t>
      </w:r>
      <w:r>
        <w:rPr>
          <w:noProof/>
        </w:rPr>
        <w:t xml:space="preserve"> (банка SID) въведоха нови дългови инструменти за МСП, включително мерки, като микрокредити. Една схема за предстартово финансиране бе осъществена през 2016 г. от Словенския фонд за пред</w:t>
      </w:r>
      <w:r>
        <w:rPr>
          <w:noProof/>
        </w:rPr>
        <w:t>приятията с малко под 50 МСП — бенефициери. Други алтернативни инструменти за финансиране, включително фондове за рисков капитал и собствен капитал с използване на европейските структурни и инвестиционни фондове, могат да бъдат важен източник на допълнител</w:t>
      </w:r>
      <w:r>
        <w:rPr>
          <w:noProof/>
        </w:rPr>
        <w:t>но финансиране, но остават до голяма степен неизползвани.</w:t>
      </w:r>
    </w:p>
    <w:p w:rsidR="00223E0B" w:rsidRDefault="00F038F0">
      <w:pPr>
        <w:pStyle w:val="Point0number"/>
        <w:rPr>
          <w:noProof/>
        </w:rPr>
      </w:pPr>
      <w:r>
        <w:rPr>
          <w:noProof/>
        </w:rPr>
        <w:t>Изпълнението на стратегията за развитието на публичната администрация за периода 2015 — 2020 г. е в ход и е постигнат известен напредък. Бяха обаче забавени някои конкретни мерки, като например прие</w:t>
      </w:r>
      <w:r>
        <w:rPr>
          <w:noProof/>
        </w:rPr>
        <w:t>мането на Закона за публичната служба. Очаква се правителствената програма за намаляване на административната тежест да е създал общо икономии в размер на 365 милиона евро между 2009 г. и 2015 г. и са постигнати почти 60 % от 318 мерки за намаляване на адм</w:t>
      </w:r>
      <w:r>
        <w:rPr>
          <w:noProof/>
        </w:rPr>
        <w:t xml:space="preserve">инистративната тежест. Частните инвестиции обаче продължава да бъде възпрепятствани от сложните и дълги административни процедури, особено в строителството и териториалното устройство. Ефективността и качеството на съдебната система бяха подобрени, но при </w:t>
      </w:r>
      <w:r>
        <w:rPr>
          <w:noProof/>
        </w:rPr>
        <w:t>търговските дела все още отнема много време насрочването на първото изслушване и жалбите не могат да бъдат подавани с електронни средства. Въпреки приемането на някои ключови антикорупционни реформи, като програмата за нулева толерантност към корупцията, в</w:t>
      </w:r>
      <w:r>
        <w:rPr>
          <w:noProof/>
        </w:rPr>
        <w:t>ъзприемането на корупцията остава отрицателно и изглежда влияе на бизнес решенията. След като модернизирането на регламентирането на професиите отначало отбеляза напредък, реформите бяха забавени. Премахването на ограничителните бариери във връзка с реглам</w:t>
      </w:r>
      <w:r>
        <w:rPr>
          <w:noProof/>
        </w:rPr>
        <w:t>ентирането на професиите може да подкрепи конкуренцията на тези пазари.</w:t>
      </w:r>
    </w:p>
    <w:p w:rsidR="00223E0B" w:rsidRDefault="00F038F0">
      <w:pPr>
        <w:pStyle w:val="Point0number"/>
        <w:rPr>
          <w:noProof/>
        </w:rPr>
      </w:pPr>
      <w:r>
        <w:rPr>
          <w:noProof/>
        </w:rPr>
        <w:t>Държавното участие в икономиката продължава да е високо въпреки приватизационната програма, стартирана през 2013 г. Държавата е най-големият работодател, управител на активи и държател</w:t>
      </w:r>
      <w:r>
        <w:rPr>
          <w:noProof/>
        </w:rPr>
        <w:t xml:space="preserve"> на корпоративен дълг в Словения. В съчетание със слабото корпоративно управление, големият дял на държавната собственост имаше значителни фискални и икономически последици. Те се оценяват на 13 милиарда евро или около една трета от БВП през периода 2007 —</w:t>
      </w:r>
      <w:r>
        <w:rPr>
          <w:noProof/>
        </w:rPr>
        <w:t xml:space="preserve"> 2014 г., главно поради мерките за стабилизиране на финансовия сектор и нереализираните печалби на държавните предприятия в сравнение със съответните частни предприятия. Резултатите на държавните предприятия започнаха да се подобряват, подкрепени от нова с</w:t>
      </w:r>
      <w:r>
        <w:rPr>
          <w:noProof/>
        </w:rPr>
        <w:t>истема за корпоративно управление, но продължават да съществуват рискове. До края на 2015 г. бяха постигнати резултати на по-добра рентабилност на предприятията под управлението на словенския държавен холдинг, макар и под междинната цел, заложена в стратег</w:t>
      </w:r>
      <w:r>
        <w:rPr>
          <w:noProof/>
        </w:rPr>
        <w:t xml:space="preserve">ията на управление. През януари 2017 г. правителството одобри план за управление на активите за 2017 г., съдържащ количествено определяне на показатели за всяко отделно държавно предприятие и актуализиращ списък на активи за продажба. Същевременно все още </w:t>
      </w:r>
      <w:r>
        <w:rPr>
          <w:noProof/>
        </w:rPr>
        <w:t>не е прието преразглеждането на стратегията за управлението на активите, одобрено за първи път от националния парламент през 2015 г., като правителството отложи решението си за втората половина на 2017 г. Въпреки че в края на февруари 2017 г. бе назначен н</w:t>
      </w:r>
      <w:r>
        <w:rPr>
          <w:noProof/>
        </w:rPr>
        <w:t>ов председател на управителния съвет, пълният надзорен съвет все още не установен.</w:t>
      </w:r>
    </w:p>
    <w:p w:rsidR="00223E0B" w:rsidRDefault="00F038F0">
      <w:pPr>
        <w:pStyle w:val="Point0number"/>
        <w:rPr>
          <w:noProof/>
        </w:rPr>
      </w:pPr>
      <w:r>
        <w:rPr>
          <w:noProof/>
        </w:rPr>
        <w:t>В рамките на европейския семестър Комисията направи цялостен анализ на икономическата политика на Словения и го публикува в доклада за страната от 2017 г. Тя оцени също прог</w:t>
      </w:r>
      <w:r>
        <w:rPr>
          <w:noProof/>
        </w:rPr>
        <w:t>рамата за стабилност и националната програма за реформи, както и предприетите последващи действия във връзка с препоръките към Словения, отправени през предходните години. Комисията взе предвид не само тяхното значение за провеждането на устойчива бюджетна</w:t>
      </w:r>
      <w:r>
        <w:rPr>
          <w:noProof/>
        </w:rPr>
        <w:t xml:space="preserve"> и социално-икономическа политика в Словения, но и тяхното съответствие с правилата и насоките на ЕС предвид необходимостта от засилване на цялостното икономическо управление на Съюза чрез принос на ЕС към бъдещите решения на държавите членки. </w:t>
      </w:r>
    </w:p>
    <w:p w:rsidR="00223E0B" w:rsidRDefault="00F038F0">
      <w:pPr>
        <w:pStyle w:val="Point0number"/>
        <w:rPr>
          <w:noProof/>
        </w:rPr>
      </w:pPr>
      <w:r>
        <w:rPr>
          <w:noProof/>
        </w:rPr>
        <w:t xml:space="preserve">С оглед на </w:t>
      </w:r>
      <w:r>
        <w:rPr>
          <w:noProof/>
        </w:rPr>
        <w:t>тази оценка Съветът разгледа програмата за стабилност, като становището му</w:t>
      </w:r>
      <w:r>
        <w:rPr>
          <w:rStyle w:val="FootnoteReference"/>
          <w:noProof/>
        </w:rPr>
        <w:footnoteReference w:id="14"/>
      </w:r>
      <w:r>
        <w:rPr>
          <w:noProof/>
        </w:rPr>
        <w:t xml:space="preserve"> е изразено по-специално в препоръка 1 по-долу.</w:t>
      </w:r>
    </w:p>
    <w:p w:rsidR="00223E0B" w:rsidRDefault="00F038F0">
      <w:pPr>
        <w:pStyle w:val="Point0number"/>
        <w:rPr>
          <w:noProof/>
        </w:rPr>
      </w:pPr>
      <w:r>
        <w:rPr>
          <w:noProof/>
        </w:rPr>
        <w:t>С оглед на задълбочения преглед, направен от Комисията, и на тази оценка Съветът разгледа националната програма за реформи и програма</w:t>
      </w:r>
      <w:r>
        <w:rPr>
          <w:noProof/>
        </w:rPr>
        <w:t>та за стабилност. Неговите препоръки по член 6 от Регламент (ЕС) № 1176/2011 са отразени в препоръки 1 и 3 по-долу,</w:t>
      </w:r>
    </w:p>
    <w:p w:rsidR="00223E0B" w:rsidRDefault="00F038F0">
      <w:pPr>
        <w:pStyle w:val="Formuledadoption"/>
        <w:rPr>
          <w:noProof/>
        </w:rPr>
      </w:pPr>
      <w:r>
        <w:rPr>
          <w:noProof/>
        </w:rPr>
        <w:t>ПРЕПОРЪЧВА на Словения да предприеме следните действия през 2017 г. и 2018 г.:</w:t>
      </w:r>
    </w:p>
    <w:p w:rsidR="00223E0B" w:rsidRDefault="00F038F0">
      <w:pPr>
        <w:pStyle w:val="ManualNumPar1"/>
        <w:rPr>
          <w:noProof/>
        </w:rPr>
      </w:pPr>
      <w:bookmarkStart w:id="1" w:name="_CopyToNewDocument_"/>
      <w:bookmarkEnd w:id="1"/>
      <w:r>
        <w:rPr>
          <w:noProof/>
        </w:rPr>
        <w:t>1.</w:t>
      </w:r>
      <w:r>
        <w:rPr>
          <w:noProof/>
        </w:rPr>
        <w:tab/>
        <w:t>Да провежда своята фискална политика в съответствие с изис</w:t>
      </w:r>
      <w:r>
        <w:rPr>
          <w:noProof/>
        </w:rPr>
        <w:t>кванията на предпазните мерки на Пакта за стабилност и растеж, което води до значителна структурна корекция за 2018 г. При предприемане на действия на политиката трябва да се обърне внимание на постигането на фискална позиция, допринасяща за укрепването на</w:t>
      </w:r>
      <w:r>
        <w:rPr>
          <w:noProof/>
        </w:rPr>
        <w:t xml:space="preserve"> текущото възстановяване и за гарантиране на устойчивостта на публичните финанси на Словения. Да приеме и изпълнени предложената реформа на системата на здравеопазване и да приеме планираната реформа на дългосрочните грижи, като увеличи ефективността на ра</w:t>
      </w:r>
      <w:r>
        <w:rPr>
          <w:noProof/>
        </w:rPr>
        <w:t>зходите, достъпността и качеството на грижите. Да използва изцяло потенциала на централизираните процедури за възлагане на обществени поръчки в сектора на здравеопазването. Да</w:t>
      </w:r>
      <w:r>
        <w:rPr>
          <w:noProof/>
          <w:lang w:val="ru-RU"/>
        </w:rPr>
        <w:t xml:space="preserve"> </w:t>
      </w:r>
      <w:r>
        <w:rPr>
          <w:noProof/>
        </w:rPr>
        <w:t>приеме необходимите мерки за осигуряване на дългосрочната устойчивост и адекватн</w:t>
      </w:r>
      <w:r>
        <w:rPr>
          <w:noProof/>
        </w:rPr>
        <w:t>ост на пенсионната система.</w:t>
      </w:r>
    </w:p>
    <w:p w:rsidR="00223E0B" w:rsidRDefault="00F038F0">
      <w:pPr>
        <w:pStyle w:val="ManualNumPar1"/>
        <w:rPr>
          <w:noProof/>
        </w:rPr>
      </w:pPr>
      <w:r>
        <w:rPr>
          <w:noProof/>
        </w:rPr>
        <w:t>2.</w:t>
      </w:r>
      <w:r>
        <w:rPr>
          <w:noProof/>
        </w:rPr>
        <w:tab/>
        <w:t>Да увеличи усилията за подобряване на пригодността за заетост на нискоквалифицираните и по-възрастните работници, по-специално посредством целенасочено учене през целия живот и мерки за активизиране.</w:t>
      </w:r>
    </w:p>
    <w:p w:rsidR="00223E0B" w:rsidRDefault="00F038F0">
      <w:pPr>
        <w:pStyle w:val="ManualNumPar1"/>
        <w:rPr>
          <w:noProof/>
        </w:rPr>
      </w:pPr>
      <w:r>
        <w:rPr>
          <w:noProof/>
        </w:rPr>
        <w:t>3.</w:t>
      </w:r>
      <w:r>
        <w:rPr>
          <w:noProof/>
        </w:rPr>
        <w:tab/>
        <w:t>Да подобри условията н</w:t>
      </w:r>
      <w:r>
        <w:rPr>
          <w:noProof/>
        </w:rPr>
        <w:t xml:space="preserve">а финансиране, включително чрез улесняване на трайното преструктуриране на необслужваните кредити и на достъпа до алтернативни източници на финансиране. Да следи за пълното прилагане на стратегията на дружеството за управление на банкови активи. Да намали </w:t>
      </w:r>
      <w:r>
        <w:rPr>
          <w:noProof/>
        </w:rPr>
        <w:t xml:space="preserve">административната тежест за предприятията, произтичаща от правилата относно териториалното устройство и разрешителните за строителство, и да осигури добро управление на държавните предприятия. </w:t>
      </w:r>
    </w:p>
    <w:p w:rsidR="00223E0B" w:rsidRDefault="00F038F0">
      <w:pPr>
        <w:pStyle w:val="ManualNumPar1"/>
        <w:rPr>
          <w:noProof/>
        </w:rPr>
      </w:pPr>
      <w:r>
        <w:rPr>
          <w:noProof/>
        </w:rPr>
        <w:t xml:space="preserve"> </w:t>
      </w:r>
    </w:p>
    <w:p w:rsidR="00223E0B" w:rsidRDefault="00223E0B">
      <w:pPr>
        <w:rPr>
          <w:noProof/>
        </w:rPr>
      </w:pPr>
    </w:p>
    <w:p w:rsidR="00223E0B" w:rsidRDefault="00F038F0">
      <w:pPr>
        <w:pStyle w:val="Fait"/>
        <w:rPr>
          <w:noProof/>
        </w:rPr>
      </w:pPr>
      <w:r>
        <w:rPr>
          <w:noProof/>
        </w:rPr>
        <w:t>Съставено в Брюксел на  година.</w:t>
      </w:r>
    </w:p>
    <w:p w:rsidR="00223E0B" w:rsidRDefault="00F038F0">
      <w:pPr>
        <w:pStyle w:val="Institutionquisigne"/>
        <w:rPr>
          <w:noProof/>
        </w:rPr>
      </w:pPr>
      <w:r>
        <w:rPr>
          <w:noProof/>
        </w:rPr>
        <w:tab/>
        <w:t>За Съвета</w:t>
      </w:r>
    </w:p>
    <w:p w:rsidR="00223E0B" w:rsidRDefault="00F038F0">
      <w:pPr>
        <w:pStyle w:val="Personnequisigne"/>
        <w:rPr>
          <w:noProof/>
        </w:rPr>
      </w:pPr>
      <w:r>
        <w:rPr>
          <w:noProof/>
        </w:rPr>
        <w:tab/>
        <w:t>Председател</w:t>
      </w:r>
    </w:p>
    <w:sectPr w:rsidR="00223E0B">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0B" w:rsidRDefault="00F038F0">
      <w:pPr>
        <w:spacing w:before="0" w:after="0"/>
      </w:pPr>
      <w:r>
        <w:separator/>
      </w:r>
    </w:p>
  </w:endnote>
  <w:endnote w:type="continuationSeparator" w:id="0">
    <w:p w:rsidR="00223E0B" w:rsidRDefault="00F038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0B" w:rsidRDefault="00F038F0">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0B" w:rsidRDefault="00F038F0">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0B" w:rsidRDefault="00223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0B" w:rsidRDefault="00F038F0">
      <w:pPr>
        <w:spacing w:before="0" w:after="0"/>
      </w:pPr>
      <w:r>
        <w:separator/>
      </w:r>
    </w:p>
  </w:footnote>
  <w:footnote w:type="continuationSeparator" w:id="0">
    <w:p w:rsidR="00223E0B" w:rsidRDefault="00F038F0">
      <w:pPr>
        <w:spacing w:before="0" w:after="0"/>
      </w:pPr>
      <w:r>
        <w:continuationSeparator/>
      </w:r>
    </w:p>
  </w:footnote>
  <w:footnote w:id="1">
    <w:p w:rsidR="00223E0B" w:rsidRDefault="00F038F0">
      <w:pPr>
        <w:pStyle w:val="FootnoteText"/>
        <w:rPr>
          <w:lang w:val="ru-RU"/>
        </w:rPr>
      </w:pPr>
      <w:r>
        <w:rPr>
          <w:rStyle w:val="FootnoteReference"/>
        </w:rPr>
        <w:footnoteRef/>
      </w:r>
      <w:r>
        <w:tab/>
        <w:t>ОВ L 209, 2.8.1997 г., стр. 1.</w:t>
      </w:r>
    </w:p>
  </w:footnote>
  <w:footnote w:id="2">
    <w:p w:rsidR="00223E0B" w:rsidRDefault="00F038F0">
      <w:pPr>
        <w:pStyle w:val="FootnoteText"/>
        <w:rPr>
          <w:lang w:val="ru-RU"/>
        </w:rPr>
      </w:pPr>
      <w:r>
        <w:rPr>
          <w:rStyle w:val="FootnoteReference"/>
        </w:rPr>
        <w:footnoteRef/>
      </w:r>
      <w:r>
        <w:tab/>
      </w:r>
      <w:r>
        <w:t>OВ L 306, 23.11.2011 г., стр. 25.</w:t>
      </w:r>
    </w:p>
  </w:footnote>
  <w:footnote w:id="3">
    <w:p w:rsidR="00223E0B" w:rsidRPr="00F038F0" w:rsidRDefault="00F038F0">
      <w:pPr>
        <w:pStyle w:val="FootnoteText"/>
        <w:rPr>
          <w:lang w:val="en-GB"/>
        </w:rPr>
      </w:pPr>
      <w:r>
        <w:rPr>
          <w:rStyle w:val="FootnoteReference"/>
        </w:rPr>
        <w:footnoteRef/>
      </w:r>
      <w:r>
        <w:tab/>
      </w:r>
      <w:r>
        <w:t xml:space="preserve">COM(2017) </w:t>
      </w:r>
      <w:r>
        <w:rPr>
          <w:lang w:val="en-GB"/>
        </w:rPr>
        <w:t>523 final.</w:t>
      </w:r>
      <w:bookmarkStart w:id="0" w:name="_GoBack"/>
      <w:bookmarkEnd w:id="0"/>
    </w:p>
  </w:footnote>
  <w:footnote w:id="4">
    <w:p w:rsidR="00223E0B" w:rsidRDefault="00F038F0">
      <w:pPr>
        <w:pStyle w:val="FootnoteText"/>
        <w:rPr>
          <w:lang w:val="pt-PT"/>
        </w:rPr>
      </w:pPr>
      <w:r>
        <w:rPr>
          <w:rStyle w:val="FootnoteReference"/>
        </w:rPr>
        <w:footnoteRef/>
      </w:r>
      <w:r>
        <w:tab/>
      </w:r>
      <w:r>
        <w:t>P8_TA(2017)0038, P8_TA(2017)0039 и P8_TA(2017)0040.</w:t>
      </w:r>
    </w:p>
  </w:footnote>
  <w:footnote w:id="5">
    <w:p w:rsidR="00223E0B" w:rsidRDefault="00F038F0">
      <w:pPr>
        <w:pStyle w:val="FootnoteText"/>
        <w:rPr>
          <w:lang w:val="pt-PT"/>
        </w:rPr>
      </w:pPr>
      <w:r>
        <w:rPr>
          <w:rStyle w:val="FootnoteReference"/>
        </w:rPr>
        <w:footnoteRef/>
      </w:r>
      <w:r>
        <w:tab/>
      </w:r>
      <w:r>
        <w:t xml:space="preserve">COM (2016) 725 </w:t>
      </w:r>
      <w:proofErr w:type="spellStart"/>
      <w:r>
        <w:t>final</w:t>
      </w:r>
      <w:proofErr w:type="spellEnd"/>
      <w:r>
        <w:t>.</w:t>
      </w:r>
    </w:p>
  </w:footnote>
  <w:footnote w:id="6">
    <w:p w:rsidR="00223E0B" w:rsidRDefault="00F038F0">
      <w:pPr>
        <w:pStyle w:val="FootnoteText"/>
        <w:rPr>
          <w:lang w:val="ru-RU"/>
        </w:rPr>
      </w:pPr>
      <w:r>
        <w:rPr>
          <w:rStyle w:val="FootnoteReference"/>
        </w:rPr>
        <w:footnoteRef/>
      </w:r>
      <w:r>
        <w:tab/>
      </w:r>
      <w:r>
        <w:t xml:space="preserve">COM </w:t>
      </w:r>
      <w:r>
        <w:t xml:space="preserve">(2016) 728 </w:t>
      </w:r>
      <w:proofErr w:type="spellStart"/>
      <w:r>
        <w:t>final</w:t>
      </w:r>
      <w:proofErr w:type="spellEnd"/>
      <w:r>
        <w:t>.</w:t>
      </w:r>
    </w:p>
  </w:footnote>
  <w:footnote w:id="7">
    <w:p w:rsidR="00223E0B" w:rsidRDefault="00F038F0">
      <w:pPr>
        <w:pStyle w:val="FootnoteText"/>
        <w:rPr>
          <w:lang w:val="ru-RU"/>
        </w:rPr>
      </w:pPr>
      <w:r>
        <w:rPr>
          <w:rStyle w:val="FootnoteReference"/>
        </w:rPr>
        <w:footnoteRef/>
      </w:r>
      <w:r>
        <w:tab/>
      </w:r>
      <w:r>
        <w:t>2017/C92/01</w:t>
      </w:r>
    </w:p>
  </w:footnote>
  <w:footnote w:id="8">
    <w:p w:rsidR="00223E0B" w:rsidRDefault="00F038F0">
      <w:pPr>
        <w:pStyle w:val="FootnoteText"/>
        <w:rPr>
          <w:lang w:val="ru-RU"/>
        </w:rPr>
      </w:pPr>
      <w:r>
        <w:rPr>
          <w:rStyle w:val="FootnoteReference"/>
        </w:rPr>
        <w:footnoteRef/>
      </w:r>
      <w:r>
        <w:tab/>
      </w:r>
      <w:r>
        <w:t xml:space="preserve">Работен документ на службите на Комисията SWD (2017) 89 </w:t>
      </w:r>
      <w:proofErr w:type="spellStart"/>
      <w:r>
        <w:t>final</w:t>
      </w:r>
      <w:proofErr w:type="spellEnd"/>
      <w:r>
        <w:t>.</w:t>
      </w:r>
    </w:p>
  </w:footnote>
  <w:footnote w:id="9">
    <w:p w:rsidR="00223E0B" w:rsidRDefault="00F038F0">
      <w:pPr>
        <w:pStyle w:val="FootnoteText"/>
        <w:tabs>
          <w:tab w:val="left" w:pos="709"/>
        </w:tabs>
      </w:pPr>
      <w:r>
        <w:rPr>
          <w:rStyle w:val="FootnoteReference"/>
        </w:rPr>
        <w:footnoteRef/>
      </w:r>
      <w:r>
        <w:tab/>
      </w:r>
      <w:r>
        <w:t xml:space="preserve">COM (2017) 90 </w:t>
      </w:r>
      <w:proofErr w:type="spellStart"/>
      <w:r>
        <w:t>final</w:t>
      </w:r>
      <w:proofErr w:type="spellEnd"/>
      <w:r>
        <w:t>.</w:t>
      </w:r>
    </w:p>
  </w:footnote>
  <w:footnote w:id="10">
    <w:p w:rsidR="00223E0B" w:rsidRDefault="00F038F0">
      <w:pPr>
        <w:pStyle w:val="FootnoteText"/>
      </w:pPr>
      <w:r>
        <w:rPr>
          <w:rStyle w:val="FootnoteReference"/>
        </w:rPr>
        <w:footnoteRef/>
      </w:r>
      <w:r>
        <w:tab/>
      </w:r>
      <w:r>
        <w:t xml:space="preserve">Член 23 от Регламент (ЕС) № 1303/2013 на Европейския парламент и на Съвета от 17 декември 2013 г. за определяне на </w:t>
      </w:r>
      <w:proofErr w:type="spellStart"/>
      <w:r>
        <w:t>общоприложими</w:t>
      </w:r>
      <w:proofErr w:type="spellEnd"/>
      <w:r>
        <w:t xml:space="preserve"> разпо</w:t>
      </w:r>
      <w:r>
        <w:t xml:space="preserve">редби за Европейския фонд за регионално развитие, Европейския социален фонд, </w:t>
      </w:r>
      <w:proofErr w:type="spellStart"/>
      <w:r>
        <w:t>Кохезионния</w:t>
      </w:r>
      <w:proofErr w:type="spellEnd"/>
      <w: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w:t>
      </w:r>
      <w:r>
        <w:t xml:space="preserve">а регионално развитие, Европейския социален фонд, </w:t>
      </w:r>
      <w:proofErr w:type="spellStart"/>
      <w:r>
        <w:t>Кохезионния</w:t>
      </w:r>
      <w:proofErr w:type="spellEnd"/>
      <w:r>
        <w:t xml:space="preserve"> фонд и Европейския фонд за морско дело и рибарство, и за отмяна на Регламент (ЕО) № 1083/2006 на Съвета (ОВ L 347, 20.12.2013 г., стр. 320).</w:t>
      </w:r>
    </w:p>
  </w:footnote>
  <w:footnote w:id="11">
    <w:p w:rsidR="00223E0B" w:rsidRDefault="00F038F0">
      <w:pPr>
        <w:spacing w:before="0" w:after="0"/>
        <w:rPr>
          <w:sz w:val="20"/>
          <w:szCs w:val="20"/>
        </w:rPr>
      </w:pPr>
      <w:r>
        <w:rPr>
          <w:rStyle w:val="FootnoteReference"/>
        </w:rPr>
        <w:footnoteRef/>
      </w:r>
      <w:r>
        <w:tab/>
      </w:r>
      <w:r>
        <w:rPr>
          <w:sz w:val="20"/>
        </w:rPr>
        <w:t xml:space="preserve">COM (2014) 494 </w:t>
      </w:r>
      <w:proofErr w:type="spellStart"/>
      <w:r>
        <w:rPr>
          <w:sz w:val="20"/>
        </w:rPr>
        <w:t>final</w:t>
      </w:r>
      <w:proofErr w:type="spellEnd"/>
      <w:r>
        <w:rPr>
          <w:sz w:val="20"/>
        </w:rPr>
        <w:t>.</w:t>
      </w:r>
    </w:p>
    <w:p w:rsidR="00223E0B" w:rsidRDefault="00223E0B">
      <w:pPr>
        <w:pStyle w:val="FootnoteText"/>
        <w:rPr>
          <w:lang w:val="ru-RU"/>
        </w:rPr>
      </w:pPr>
    </w:p>
  </w:footnote>
  <w:footnote w:id="12">
    <w:p w:rsidR="00223E0B" w:rsidRDefault="00F038F0">
      <w:pPr>
        <w:pStyle w:val="FootnoteText"/>
      </w:pPr>
      <w:r>
        <w:rPr>
          <w:rStyle w:val="FootnoteReference"/>
        </w:rPr>
        <w:footnoteRef/>
      </w:r>
      <w:r>
        <w:tab/>
      </w:r>
      <w:r>
        <w:t>Салдо, коригирано спрямо ф</w:t>
      </w:r>
      <w:r>
        <w:t>азата на икономическия цикъл и без отчитане на еднократните и временните мерки, преизчислено от службите на Комисията с помощта на общоприетата методология.</w:t>
      </w:r>
    </w:p>
  </w:footnote>
  <w:footnote w:id="13">
    <w:p w:rsidR="00223E0B" w:rsidRDefault="00F038F0">
      <w:pPr>
        <w:pStyle w:val="FootnoteText"/>
      </w:pPr>
      <w:r>
        <w:rPr>
          <w:rStyle w:val="FootnoteReference"/>
        </w:rPr>
        <w:footnoteRef/>
      </w:r>
      <w:r>
        <w:tab/>
      </w:r>
      <w:r>
        <w:t>Нетните държавни разходи се състоят от общите държавни разходи без лихвените разходи, разходите п</w:t>
      </w:r>
      <w:r>
        <w:t xml:space="preserve">о програми на Съюза, които изцяло се покриват от приходи от средства на Съюза, и </w:t>
      </w:r>
      <w:proofErr w:type="spellStart"/>
      <w:r>
        <w:t>недискреционните</w:t>
      </w:r>
      <w:proofErr w:type="spellEnd"/>
      <w:r>
        <w:t xml:space="preserve"> промени в разходите за обезщетения при безработица. Брутото образуване на основен капитал, финансирано от държавата, се разсрочва през 4-годишен период. </w:t>
      </w:r>
      <w:proofErr w:type="spellStart"/>
      <w:r>
        <w:t>Дискр</w:t>
      </w:r>
      <w:r>
        <w:t>еционните</w:t>
      </w:r>
      <w:proofErr w:type="spellEnd"/>
      <w:r>
        <w:t xml:space="preserve"> мерки по отношение на приходите или предвиденото от закона увеличаване на приходите са взети под внимание. Еднократните мерки по отношение както на приходите, така и на разходите, се </w:t>
      </w:r>
      <w:proofErr w:type="spellStart"/>
      <w:r>
        <w:t>нетират</w:t>
      </w:r>
      <w:proofErr w:type="spellEnd"/>
      <w:r>
        <w:t>.</w:t>
      </w:r>
    </w:p>
  </w:footnote>
  <w:footnote w:id="14">
    <w:p w:rsidR="00223E0B" w:rsidRDefault="00F038F0">
      <w:pPr>
        <w:pStyle w:val="FootnoteText"/>
      </w:pPr>
      <w:r>
        <w:rPr>
          <w:rStyle w:val="FootnoteReference"/>
        </w:rPr>
        <w:footnoteRef/>
      </w:r>
      <w:r>
        <w:tab/>
      </w:r>
      <w:r>
        <w:t>Съгласно член 5, параграф 2 от Регламент (ЕО) № 1466</w:t>
      </w:r>
      <w:r>
        <w:t>/97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C463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68E9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70F5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A014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EBA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1402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8324FE6"/>
    <w:lvl w:ilvl="0">
      <w:start w:val="1"/>
      <w:numFmt w:val="decimal"/>
      <w:pStyle w:val="ListNumber"/>
      <w:lvlText w:val="%1."/>
      <w:lvlJc w:val="left"/>
      <w:pPr>
        <w:tabs>
          <w:tab w:val="num" w:pos="360"/>
        </w:tabs>
        <w:ind w:left="360" w:hanging="360"/>
      </w:pPr>
    </w:lvl>
  </w:abstractNum>
  <w:abstractNum w:abstractNumId="7">
    <w:nsid w:val="FFFFFF89"/>
    <w:multiLevelType w:val="singleLevel"/>
    <w:tmpl w:val="F7E6CC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9 16:37: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46EFC7011D8147E79C878A864D82CFC3"/>
    <w:docVar w:name="LW_CROSSREFERENCE" w:val="&lt;UNUSED&gt;"/>
    <w:docVar w:name="LW_DocType" w:val="COM"/>
    <w:docVar w:name="LW_EMISSION" w:val="22.5.2017"/>
    <w:docVar w:name="LW_EMISSION_ISODATE" w:val="2017-05-22"/>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3"/>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7?\u1083?\u1086?\u1074?\u1077?\u1085?\u1080?\u1103? \u1079?\u1072? 2017 \u1075?._x000b__x000b_\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7?\u1083?\u1086?\u1074?\u1077?\u1085?\u1080?\u1103? \u1079?\u1072? 2017 \u1075?."/>
    <w:docVar w:name="LW_TYPE.DOC.CP" w:val="\u1055?\u1056?\u1045?\u1055?\u1054?\u1056?\u1066?\u1050?\u1040? \u1053?\u1040? \u1057?\u1066?\u1042?\u1045?\u1058?\u1040?"/>
  </w:docVars>
  <w:rsids>
    <w:rsidRoot w:val="00223E0B"/>
    <w:rsid w:val="00223E0B"/>
    <w:rsid w:val="00F0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45C3-567D-48C0-8B4A-DF05BB26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3266</Words>
  <Characters>18849</Characters>
  <Application>Microsoft Office Word</Application>
  <DocSecurity>0</DocSecurity>
  <Lines>336</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18</cp:revision>
  <dcterms:created xsi:type="dcterms:W3CDTF">2017-05-29T09:45:00Z</dcterms:created>
  <dcterms:modified xsi:type="dcterms:W3CDTF">2017-05-30T09:44:00Z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