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C0" w:rsidRDefault="00E240DD" w:rsidP="00E240D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DA6400441D64545AFB1951D0271E492" style="width:450.75pt;height:366.15pt">
            <v:imagedata r:id="rId9" o:title=""/>
          </v:shape>
        </w:pict>
      </w:r>
    </w:p>
    <w:p w:rsidR="009220C0" w:rsidRDefault="009220C0">
      <w:pPr>
        <w:rPr>
          <w:noProof/>
        </w:rPr>
        <w:sectPr w:rsidR="009220C0" w:rsidSect="00E240D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9220C0" w:rsidRDefault="009220C0">
      <w:pPr>
        <w:pStyle w:val="Exposdesmotifstitre"/>
        <w:rPr>
          <w:noProof/>
        </w:rPr>
      </w:pPr>
    </w:p>
    <w:p w:rsidR="009220C0" w:rsidRDefault="009220C0">
      <w:pPr>
        <w:rPr>
          <w:noProof/>
        </w:rPr>
      </w:pPr>
    </w:p>
    <w:p w:rsidR="009220C0" w:rsidRDefault="00E240DD" w:rsidP="00E240DD">
      <w:pPr>
        <w:pStyle w:val="Statut"/>
        <w:rPr>
          <w:noProof/>
        </w:rPr>
      </w:pPr>
      <w:r w:rsidRPr="00E240DD">
        <w:t>Препоръка за</w:t>
      </w:r>
    </w:p>
    <w:p w:rsidR="009220C0" w:rsidRDefault="00E240DD" w:rsidP="00E240DD">
      <w:pPr>
        <w:pStyle w:val="Typedudocument"/>
        <w:rPr>
          <w:noProof/>
        </w:rPr>
      </w:pPr>
      <w:r w:rsidRPr="00E240DD">
        <w:t>ПРЕПОРЪКА НА СЪВЕТА</w:t>
      </w:r>
    </w:p>
    <w:p w:rsidR="009220C0" w:rsidRDefault="00E240DD" w:rsidP="00E240DD">
      <w:pPr>
        <w:pStyle w:val="Titreobjet"/>
        <w:rPr>
          <w:noProof/>
        </w:rPr>
      </w:pPr>
      <w:r w:rsidRPr="00E240DD">
        <w:t>Относно националната програма за реформи на Чешката република за 2017</w:t>
      </w:r>
      <w:r>
        <w:t> </w:t>
      </w:r>
      <w:r w:rsidRPr="00E240DD">
        <w:t>г.</w:t>
      </w:r>
      <w:r w:rsidRPr="00E240DD">
        <w:br/>
      </w:r>
      <w:r w:rsidRPr="00E240DD">
        <w:br/>
        <w:t>и съдържаща становище на Съвета относно</w:t>
      </w:r>
      <w:r w:rsidRPr="00E240DD">
        <w:br/>
        <w:t>програмата за конвергенция на Чешката република за 2017</w:t>
      </w:r>
      <w:r>
        <w:t> </w:t>
      </w:r>
      <w:r w:rsidRPr="00E240DD">
        <w:t>г.</w:t>
      </w:r>
    </w:p>
    <w:p w:rsidR="009220C0" w:rsidRDefault="00E240DD">
      <w:pPr>
        <w:pStyle w:val="Institutionquiagit"/>
        <w:rPr>
          <w:noProof/>
        </w:rPr>
      </w:pPr>
      <w:r>
        <w:rPr>
          <w:noProof/>
        </w:rPr>
        <w:t>СЪВЕТЪТ НА ЕВРОПЕЙСКИЯ СЪЮЗ,</w:t>
      </w:r>
    </w:p>
    <w:p w:rsidR="009220C0" w:rsidRDefault="00E240DD">
      <w:pPr>
        <w:rPr>
          <w:noProof/>
        </w:rPr>
      </w:pPr>
      <w:r>
        <w:rPr>
          <w:noProof/>
        </w:rPr>
        <w:t>като взе предвид Договора за функционирането на Европейския съюз, и по-специално член 121, параграф 2 и член 148, параг</w:t>
      </w:r>
      <w:r>
        <w:rPr>
          <w:noProof/>
        </w:rPr>
        <w:t>раф 4 от него,</w:t>
      </w:r>
    </w:p>
    <w:p w:rsidR="009220C0" w:rsidRDefault="00E240DD">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rsidR="009220C0" w:rsidRDefault="00E240DD">
      <w:pPr>
        <w:rPr>
          <w:noProof/>
        </w:rPr>
      </w:pPr>
      <w:r>
        <w:rPr>
          <w:noProof/>
        </w:rPr>
        <w:t>като взе предвид п</w:t>
      </w:r>
      <w:r>
        <w:rPr>
          <w:noProof/>
        </w:rPr>
        <w:t>репоръката на Европейската комисия</w:t>
      </w:r>
      <w:r>
        <w:rPr>
          <w:rStyle w:val="FootnoteReference"/>
          <w:noProof/>
        </w:rPr>
        <w:footnoteReference w:id="2"/>
      </w:r>
      <w:r>
        <w:rPr>
          <w:noProof/>
        </w:rPr>
        <w:t>,</w:t>
      </w:r>
    </w:p>
    <w:p w:rsidR="009220C0" w:rsidRDefault="00E240DD">
      <w:pPr>
        <w:rPr>
          <w:noProof/>
        </w:rPr>
      </w:pPr>
      <w:r>
        <w:rPr>
          <w:noProof/>
        </w:rPr>
        <w:t>като взе предвид резолюциите на Европейския парламент</w:t>
      </w:r>
      <w:r>
        <w:rPr>
          <w:rStyle w:val="FootnoteReference"/>
          <w:noProof/>
        </w:rPr>
        <w:footnoteReference w:id="3"/>
      </w:r>
      <w:r>
        <w:rPr>
          <w:noProof/>
        </w:rPr>
        <w:t>,</w:t>
      </w:r>
    </w:p>
    <w:p w:rsidR="009220C0" w:rsidRDefault="00E240DD">
      <w:pPr>
        <w:outlineLvl w:val="0"/>
        <w:rPr>
          <w:noProof/>
        </w:rPr>
      </w:pPr>
      <w:r>
        <w:rPr>
          <w:noProof/>
        </w:rPr>
        <w:t>като взе предвид заключенията на Европейския съвет,</w:t>
      </w:r>
    </w:p>
    <w:p w:rsidR="009220C0" w:rsidRDefault="00E240DD">
      <w:pPr>
        <w:rPr>
          <w:noProof/>
        </w:rPr>
      </w:pPr>
      <w:r>
        <w:rPr>
          <w:noProof/>
        </w:rPr>
        <w:t>като взе предвид становището на Комитета по заетостта,</w:t>
      </w:r>
    </w:p>
    <w:p w:rsidR="009220C0" w:rsidRDefault="00E240DD">
      <w:pPr>
        <w:rPr>
          <w:noProof/>
        </w:rPr>
      </w:pPr>
      <w:r>
        <w:rPr>
          <w:noProof/>
        </w:rPr>
        <w:t>като взе предвид становището на Икономическия и финансов</w:t>
      </w:r>
      <w:r>
        <w:rPr>
          <w:noProof/>
        </w:rPr>
        <w:t xml:space="preserve"> комитет,</w:t>
      </w:r>
    </w:p>
    <w:p w:rsidR="009220C0" w:rsidRDefault="00E240DD">
      <w:pPr>
        <w:rPr>
          <w:noProof/>
        </w:rPr>
      </w:pPr>
      <w:r>
        <w:rPr>
          <w:noProof/>
        </w:rPr>
        <w:t>като взе предвид становището на Комитета за социална закрила,</w:t>
      </w:r>
    </w:p>
    <w:p w:rsidR="009220C0" w:rsidRDefault="00E240DD">
      <w:pPr>
        <w:rPr>
          <w:noProof/>
        </w:rPr>
      </w:pPr>
      <w:r>
        <w:rPr>
          <w:noProof/>
        </w:rPr>
        <w:t>като взе предвид становището на Комитета за икономическа политика,</w:t>
      </w:r>
    </w:p>
    <w:p w:rsidR="009220C0" w:rsidRDefault="00E240DD">
      <w:pPr>
        <w:rPr>
          <w:noProof/>
        </w:rPr>
      </w:pPr>
      <w:r>
        <w:rPr>
          <w:noProof/>
        </w:rPr>
        <w:t>като има предвид, че:</w:t>
      </w:r>
    </w:p>
    <w:p w:rsidR="009220C0" w:rsidRDefault="00E240DD">
      <w:pPr>
        <w:pStyle w:val="Point0number"/>
        <w:numPr>
          <w:ilvl w:val="0"/>
          <w:numId w:val="1"/>
        </w:numPr>
        <w:rPr>
          <w:noProof/>
        </w:rPr>
      </w:pPr>
      <w:r>
        <w:rPr>
          <w:noProof/>
        </w:rPr>
        <w:t>На 16 ноември 2016 г. Комисията прие годишния обзор на растежа</w:t>
      </w:r>
      <w:r>
        <w:rPr>
          <w:rStyle w:val="FootnoteReference"/>
          <w:noProof/>
        </w:rPr>
        <w:footnoteReference w:id="4"/>
      </w:r>
      <w:r>
        <w:rPr>
          <w:noProof/>
        </w:rPr>
        <w:t xml:space="preserve">, с което постави началото на </w:t>
      </w:r>
      <w:r>
        <w:rPr>
          <w:noProof/>
        </w:rPr>
        <w:t>европейския семестър за координация на икономическите политики за 2017</w:t>
      </w:r>
      <w:r>
        <w:rPr>
          <w:noProof/>
          <w:lang w:val="it-IT"/>
        </w:rPr>
        <w:t> </w:t>
      </w:r>
      <w:r>
        <w:rPr>
          <w:noProof/>
        </w:rPr>
        <w:t>г. Приоритетите на годишния обзор на растежа бяха одобрени от Европейския съвет на 9—10 март 2017 г. На 16 ноември 2016 г., въз основа на Регламент (ЕС) № 1176/2011, Комисията прие Докл</w:t>
      </w:r>
      <w:r>
        <w:rPr>
          <w:noProof/>
        </w:rPr>
        <w:t>ад за механизма за предупреждение</w:t>
      </w:r>
      <w:r>
        <w:rPr>
          <w:rStyle w:val="FootnoteReference"/>
          <w:noProof/>
        </w:rPr>
        <w:footnoteReference w:id="5"/>
      </w:r>
      <w:r>
        <w:rPr>
          <w:noProof/>
        </w:rPr>
        <w:t xml:space="preserve">, в който Чешката република не беше посочена като една от държавите членки, за които ще се извърши задълбочен преглед. </w:t>
      </w:r>
    </w:p>
    <w:p w:rsidR="009220C0" w:rsidRDefault="00E240DD">
      <w:pPr>
        <w:pStyle w:val="Point0number"/>
        <w:rPr>
          <w:noProof/>
        </w:rPr>
      </w:pPr>
      <w:r>
        <w:rPr>
          <w:noProof/>
        </w:rPr>
        <w:t>Докладът за Чешката република за 2017 г.</w:t>
      </w:r>
      <w:r>
        <w:rPr>
          <w:rStyle w:val="FootnoteReference"/>
          <w:noProof/>
        </w:rPr>
        <w:footnoteReference w:id="6"/>
      </w:r>
      <w:r>
        <w:rPr>
          <w:noProof/>
        </w:rPr>
        <w:t xml:space="preserve"> беше публикуван на 22 февруари 2017 г. В него бе оценен напр</w:t>
      </w:r>
      <w:r>
        <w:rPr>
          <w:noProof/>
        </w:rPr>
        <w:t xml:space="preserve">едъкът на Чешката република в изпълнението на специфичните за държавата препоръки, приети от Съвета на 12 юли 2016 г., последващите действия във връзка с препоръките, отправени към Чешката </w:t>
      </w:r>
      <w:r>
        <w:rPr>
          <w:noProof/>
        </w:rPr>
        <w:lastRenderedPageBreak/>
        <w:t>република през предходните години, както и напредъкът на страната п</w:t>
      </w:r>
      <w:r>
        <w:rPr>
          <w:noProof/>
        </w:rPr>
        <w:t>о националните ѝ цели по стратегията „Европа 2020“. Анализът на Комисията ѝ дава основание да заключи, че в Чешката република не са налице макроикономически дисбаланси.</w:t>
      </w:r>
    </w:p>
    <w:p w:rsidR="009220C0" w:rsidRDefault="00E240DD">
      <w:pPr>
        <w:pStyle w:val="Point0number"/>
        <w:rPr>
          <w:noProof/>
        </w:rPr>
      </w:pPr>
      <w:r>
        <w:rPr>
          <w:noProof/>
        </w:rPr>
        <w:t>На 25 април 2017 г. Чешката република представи своята национална програма за реформи з</w:t>
      </w:r>
      <w:r>
        <w:rPr>
          <w:noProof/>
        </w:rPr>
        <w:t>а 2017 г., а на 28 април 2017 г. своята програма за конвергенция. Двете програми бяха оценени едновременно, за да бъдат отчетени взаимовръзките между тях.</w:t>
      </w:r>
    </w:p>
    <w:p w:rsidR="009220C0" w:rsidRDefault="00E240DD">
      <w:pPr>
        <w:pStyle w:val="Point0number"/>
        <w:rPr>
          <w:noProof/>
        </w:rPr>
      </w:pPr>
      <w:r>
        <w:rPr>
          <w:noProof/>
        </w:rPr>
        <w:t>Съответните специфични за всяка държава препоръки бяха взети предвид в програмите на държавите членки</w:t>
      </w:r>
      <w:r>
        <w:rPr>
          <w:noProof/>
        </w:rPr>
        <w:t xml:space="preserve"> при програмирането на европейските структурни и инвестиционни фондове (ЕСИ фондове) за периода 2014—2020 г. Както е предвидено в законодателството, уреждащо ЕСИ фондовете</w:t>
      </w:r>
      <w:r>
        <w:rPr>
          <w:rStyle w:val="FootnoteReference"/>
          <w:noProof/>
        </w:rPr>
        <w:footnoteReference w:id="7"/>
      </w:r>
      <w:r>
        <w:rPr>
          <w:noProof/>
        </w:rPr>
        <w:t xml:space="preserve">, когато това е необходимо за подпомагане на изпълнението на съответните специфични </w:t>
      </w:r>
      <w:r>
        <w:rPr>
          <w:noProof/>
        </w:rPr>
        <w:t>за държавата препоръки, Комисията може да поиска от държава членка да преразгледа и измени съответните си програми за ЕСИ фондовете. Комисията предостави допълнителни насоки за прилагането на тези правила</w:t>
      </w:r>
      <w:r>
        <w:rPr>
          <w:rStyle w:val="FootnoteReference"/>
          <w:noProof/>
        </w:rPr>
        <w:footnoteReference w:id="8"/>
      </w:r>
      <w:r>
        <w:rPr>
          <w:noProof/>
        </w:rPr>
        <w:t>.</w:t>
      </w:r>
    </w:p>
    <w:p w:rsidR="009220C0" w:rsidRDefault="00E240DD">
      <w:pPr>
        <w:pStyle w:val="Point0number"/>
        <w:rPr>
          <w:noProof/>
          <w:spacing w:val="-2"/>
        </w:rPr>
      </w:pPr>
      <w:r>
        <w:rPr>
          <w:noProof/>
          <w:spacing w:val="-2"/>
        </w:rPr>
        <w:t xml:space="preserve">Спрямо Чешката република понастоящем се прилагат </w:t>
      </w:r>
      <w:r>
        <w:rPr>
          <w:noProof/>
          <w:spacing w:val="-2"/>
        </w:rPr>
        <w:t>предпазните мерки на Пакта за стабилност и растеж. В своята програма за конвергенция за 2017 г. правителството планира бюджетен излишък в номиналното изражение за периода 2016—2020 г. Средносрочната бюджетна цел — структурен дефицит от 1,0 % от БВП — продъ</w:t>
      </w:r>
      <w:r>
        <w:rPr>
          <w:noProof/>
          <w:spacing w:val="-2"/>
        </w:rPr>
        <w:t>лжава да се спазва с марж през целия период на програмата. Съгласно Конвергентната програмата съотношението държавен дълг/БВП се очаква да спадне постепенно до 32,7 % през 2020 г. Макроикономическият сценарий в основата на тези бюджетни прогнози е реалисти</w:t>
      </w:r>
      <w:r>
        <w:rPr>
          <w:noProof/>
          <w:spacing w:val="-2"/>
        </w:rPr>
        <w:t>чен. Въпреки че рисковете пред постигането на бюджетните цели изглеждат като цяло уравновесени, ясно изразеното свиване на публичните инвестиции през 2016 г., свързано с началото на нов цикъл на европейските фондове, би могло да доведе до по-силно от очакв</w:t>
      </w:r>
      <w:r>
        <w:rPr>
          <w:noProof/>
          <w:spacing w:val="-2"/>
        </w:rPr>
        <w:t>аното съживяване на публичните инвестиции през 2017 г. Според прогнозата на Комисията от пролетта на 2017 г. структурното салдо се понижи до около 0 % от БВП през 2017 г. и -0,2 % от БВП през 2018 г., което остава над средносрочната бюджетна цел. Като цяло</w:t>
      </w:r>
      <w:r>
        <w:rPr>
          <w:noProof/>
          <w:spacing w:val="-2"/>
        </w:rPr>
        <w:t xml:space="preserve"> Съветът е на мнение, че се предвижда Чешката република да спази разпоредбите на Пакта за стабилност и растеж през 2017 и 2018 г.</w:t>
      </w:r>
    </w:p>
    <w:p w:rsidR="009220C0" w:rsidRDefault="00E240DD">
      <w:pPr>
        <w:pStyle w:val="Point0number"/>
        <w:rPr>
          <w:noProof/>
          <w:spacing w:val="-2"/>
        </w:rPr>
      </w:pPr>
      <w:r>
        <w:rPr>
          <w:noProof/>
          <w:spacing w:val="-2"/>
        </w:rPr>
        <w:t>В дългосрочен план са налице средни по тежест рискове за фискалната устойчивост в Чешката република. Те са свързани главно с п</w:t>
      </w:r>
      <w:r>
        <w:rPr>
          <w:noProof/>
          <w:spacing w:val="-2"/>
        </w:rPr>
        <w:t>редвижданото въздействие на публичните разходи, свързани със застаряването на населението, главно в здравеопазването и пенсиите. Прогнозираното увеличение на дългосрочните разходи за здравни грижи е източник на загриженост, както от гледна точка на управле</w:t>
      </w:r>
      <w:r>
        <w:rPr>
          <w:noProof/>
          <w:spacing w:val="-2"/>
        </w:rPr>
        <w:t xml:space="preserve">нието, така и за икономическата ефективността на разходите в здравеопазването, което до голяма степен разчита на по-скъпа болнична помощ. Някои мерки понастоящем се намират на различни етапи на </w:t>
      </w:r>
      <w:r>
        <w:rPr>
          <w:noProof/>
          <w:spacing w:val="-2"/>
        </w:rPr>
        <w:lastRenderedPageBreak/>
        <w:t>изпълнение, но резултатите все още не са осезаеми. Ако бъдат и</w:t>
      </w:r>
      <w:r>
        <w:rPr>
          <w:noProof/>
          <w:spacing w:val="-2"/>
        </w:rPr>
        <w:t xml:space="preserve">зпълнени, наскоро приетите и планираните мерки за изменение на пенсионната система могат да доведат до влошаване на състоянието на публичните финанси в дългосрочен план. Първо, парламентът прие законодателство, даващо на правителството правото да адаптира </w:t>
      </w:r>
      <w:r>
        <w:rPr>
          <w:noProof/>
          <w:spacing w:val="-2"/>
        </w:rPr>
        <w:t>с повече гъвкавост механизма за индексиране на пенсиите. Второ, в парламента се обсъждат също предложения за таван на законоустановената пенсионна възраст от 65 години и за създаването на механизъм за редовно преразглеждане на пенсионната възраст. Понастоя</w:t>
      </w:r>
      <w:r>
        <w:rPr>
          <w:noProof/>
          <w:spacing w:val="-2"/>
        </w:rPr>
        <w:t>щем също са в процес на обсъждане допълнителни промени, като например формула за по-щедро индексиране на пенсиите и диференцирани социалноосигурителни ставки в зависимост от броя на децата.</w:t>
      </w:r>
    </w:p>
    <w:p w:rsidR="009220C0" w:rsidRDefault="00E240DD">
      <w:pPr>
        <w:pStyle w:val="Point0number"/>
        <w:rPr>
          <w:noProof/>
        </w:rPr>
      </w:pPr>
      <w:r>
        <w:rPr>
          <w:noProof/>
        </w:rPr>
        <w:t>Законът за фискалната отговорност, приет от парламента през януари</w:t>
      </w:r>
      <w:r>
        <w:rPr>
          <w:noProof/>
        </w:rPr>
        <w:t xml:space="preserve"> 2017 г., има за цел да отстрани основните недостатъци във фискалната уредба на Чешката република, която наскоро бе оценена като една от най-слабите в ЕС. Въпреки това тепърва предстои да бъде назначен независим фискален съвет, който да наблюдава прилагане</w:t>
      </w:r>
      <w:r>
        <w:rPr>
          <w:noProof/>
        </w:rPr>
        <w:t>то на правилата. Освен това изпълнението на нововъведените мерки ще бъде от решаващо значение при изготвянето на по-ефективна и стабилна фискална уредба.</w:t>
      </w:r>
    </w:p>
    <w:p w:rsidR="009220C0" w:rsidRDefault="00E240DD">
      <w:pPr>
        <w:pStyle w:val="Point0number"/>
        <w:rPr>
          <w:noProof/>
          <w:spacing w:val="-2"/>
        </w:rPr>
      </w:pPr>
      <w:r>
        <w:rPr>
          <w:noProof/>
          <w:spacing w:val="-2"/>
        </w:rPr>
        <w:t>Чешката република е изправена пред предизвикателства, свързани с предотвратяването на корупцията, какт</w:t>
      </w:r>
      <w:r>
        <w:rPr>
          <w:noProof/>
          <w:spacing w:val="-2"/>
        </w:rPr>
        <w:t>о и с липсата на ефективност в обществените поръчки. Въпреки че голям брой мерки в правителствената програма за борба с корупцията бяха изпълнени, а други реформи предстои да бъдат изпълнени, на практика корупцията не се преследва системно. Като цяло, на п</w:t>
      </w:r>
      <w:r>
        <w:rPr>
          <w:noProof/>
          <w:spacing w:val="-2"/>
        </w:rPr>
        <w:t>рактиките за възлагане на обществени поръчки в Чешката република все още им липсва достатъчна конкуренция, което личи от големия брой процедури, приключили само с една оферта, и от прякото възлагане на обществени поръчки, особено в сектора на информационни</w:t>
      </w:r>
      <w:r>
        <w:rPr>
          <w:noProof/>
          <w:spacing w:val="-2"/>
        </w:rPr>
        <w:t>те технологии. Недостатъчната подкрепа за обучение, липсата на съвкупни структури за закупуване и на центрове по компетентност възпрепятстват професионализирането и затрудняват възможностите за постигане на добро съотношение между качество и разходи в обще</w:t>
      </w:r>
      <w:r>
        <w:rPr>
          <w:noProof/>
          <w:spacing w:val="-2"/>
        </w:rPr>
        <w:t xml:space="preserve">ствените поръчки. Силно ограниченото използване на качеството като критерий за възлагане на поръчката също е показателно в това отношение. Преминаване към електронни обществени поръчки все още е изправено пред големи предизвикателства. Сред тях са нуждата </w:t>
      </w:r>
      <w:r>
        <w:rPr>
          <w:noProof/>
          <w:spacing w:val="-2"/>
        </w:rPr>
        <w:t>от подобряване на държавната национална електронна платформа за електронно възлагане на обществени поръчки и нуждата от изясняване на правната уредба за предоставянето на услуги от частни доставчици, които вече развиват дейност на чешкия пазар на електронн</w:t>
      </w:r>
      <w:r>
        <w:rPr>
          <w:noProof/>
          <w:spacing w:val="-2"/>
        </w:rPr>
        <w:t xml:space="preserve">о възлагане на обществени поръчки. </w:t>
      </w:r>
    </w:p>
    <w:p w:rsidR="009220C0" w:rsidRDefault="00E240DD">
      <w:pPr>
        <w:pStyle w:val="Point0number"/>
        <w:rPr>
          <w:noProof/>
        </w:rPr>
      </w:pPr>
      <w:r>
        <w:rPr>
          <w:noProof/>
        </w:rPr>
        <w:t>Стопанската среда в Чешката република се усложнява от голямата регулаторна тежест и множеството административни пречки, по-специално процедурите за издаване на разрешения и плащането на данъци. През септември 2016 г. пра</w:t>
      </w:r>
      <w:r>
        <w:rPr>
          <w:noProof/>
        </w:rPr>
        <w:t xml:space="preserve">вителството представи изменение на Закона за строителството и свързаното с него законодателство с цел да ускори и опрости процедурата за издаване на разрешителни за строеж, като в нея бъде включена оценка на въздействието върху околната среда. Понастоящем </w:t>
      </w:r>
      <w:r>
        <w:rPr>
          <w:noProof/>
        </w:rPr>
        <w:t xml:space="preserve">изменението е обект на парламентарен контрол. Разходите за предприятията за спазване на данъчното законодателство продължават да са над средните за ЕС. Сред недостатъците са също честите изменения на данъчния кодекс. Справянето с неспазването на данъчното </w:t>
      </w:r>
      <w:r>
        <w:rPr>
          <w:noProof/>
        </w:rPr>
        <w:t>законодателство продължава да бъде приоритет за органите на Чешката република. Въпреки това върху опростяването не се поставя силен акцент. Предстои да бъде представен закон за подоходния данък, чиято цел е да опрости данъчния кодекс, но проектозаконът все</w:t>
      </w:r>
      <w:r>
        <w:rPr>
          <w:noProof/>
        </w:rPr>
        <w:t xml:space="preserve"> още не е наличен.</w:t>
      </w:r>
    </w:p>
    <w:p w:rsidR="009220C0" w:rsidRDefault="00E240DD">
      <w:pPr>
        <w:pStyle w:val="Point0number"/>
        <w:rPr>
          <w:noProof/>
        </w:rPr>
      </w:pPr>
      <w:r>
        <w:rPr>
          <w:noProof/>
        </w:rPr>
        <w:t>Използването на услуги за електронно управление в Чешката република е едно от най-сланите в ЕС, но се е увеличило от 2015 г. Чешките органи предприеха стъпки за подобряване на достъпността на услугите за електронно управление, но много д</w:t>
      </w:r>
      <w:r>
        <w:rPr>
          <w:noProof/>
        </w:rPr>
        <w:t>руги все още предстоят, а някои конкретни мерки все още не са започнали. Отговорността за въвеждането на услуги са разпръснати между няколко министерства и възприятието на заинтересовани страни е за ограничено междусекторно сътрудничество.</w:t>
      </w:r>
    </w:p>
    <w:p w:rsidR="009220C0" w:rsidRDefault="00E240DD">
      <w:pPr>
        <w:pStyle w:val="Point0number"/>
        <w:rPr>
          <w:noProof/>
        </w:rPr>
      </w:pPr>
      <w:r>
        <w:rPr>
          <w:noProof/>
        </w:rPr>
        <w:t xml:space="preserve">Интензитетът на </w:t>
      </w:r>
      <w:r>
        <w:rPr>
          <w:noProof/>
        </w:rPr>
        <w:t>НИРД се увеличи значително през последните години, но това не бе придружено от съответните подобрения в качеството на резултатите от НИРД. Продължават реформите в управлението на НИРД, но те все още не са изпълнени изцяло. През февруари 2017 г. правителств</w:t>
      </w:r>
      <w:r>
        <w:rPr>
          <w:noProof/>
        </w:rPr>
        <w:t>ото одобри нова методика на оценяване (Metodika 17 +), която има за цел да укрепи механизмите, свързани с отпускането на финансиране за основни и приложни научни изследвания. Предприемат се редица мерки за улесняване на по-тесните връзки между академичните</w:t>
      </w:r>
      <w:r>
        <w:rPr>
          <w:noProof/>
        </w:rPr>
        <w:t xml:space="preserve"> среди и деловите среди, които се основават на структуриращия ефект на чешката платформи за иновации.</w:t>
      </w:r>
    </w:p>
    <w:p w:rsidR="009220C0" w:rsidRDefault="00E240DD">
      <w:pPr>
        <w:pStyle w:val="Point0number"/>
        <w:rPr>
          <w:noProof/>
          <w:spacing w:val="-6"/>
        </w:rPr>
      </w:pPr>
      <w:r>
        <w:rPr>
          <w:noProof/>
          <w:spacing w:val="-6"/>
        </w:rPr>
        <w:t>Образователните резултати като цяло са добри, но основните умения са се влошили. Резултатите са силно повлияни от социално-икономически произход на студен</w:t>
      </w:r>
      <w:r>
        <w:rPr>
          <w:noProof/>
          <w:spacing w:val="-6"/>
        </w:rPr>
        <w:t xml:space="preserve">тите. Ниските резултати в образованието на групите в неравностойно положение, особено на ромската общност, са очевидна причина за безпокойство. Според прогнозите значителна част от децата от ромски произход напускат преждевременно училище. Предприети бяха </w:t>
      </w:r>
      <w:r>
        <w:rPr>
          <w:noProof/>
          <w:spacing w:val="-6"/>
        </w:rPr>
        <w:t>значителен брой законодателни и административни мерки за стимулиране на приобщаващо образование, които вече започват да се изпълняват. Очаква се те да спомогнат за намаляването на разликите в образователните постижения между децата от ромски произход и ост</w:t>
      </w:r>
      <w:r>
        <w:rPr>
          <w:noProof/>
          <w:spacing w:val="-6"/>
        </w:rPr>
        <w:t xml:space="preserve">аналите деца. През март 2016 г. парламентът прие изменения в Закона за образованието, които предвиждат удължаване на срока на задължителното образование до последната година на предучилищно образование и гарантиране на право на място в детската градина на </w:t>
      </w:r>
      <w:r>
        <w:rPr>
          <w:noProof/>
          <w:spacing w:val="-6"/>
        </w:rPr>
        <w:t>по-малките деца. Въпреки това неравенствата в образователната система пречат на подобряването на качеството на човешкия капитал и възпрепятстват резултатите на пазара на труда на по-късен житейски етап. Повишените изисквания към учителите и застаряващият п</w:t>
      </w:r>
      <w:r>
        <w:rPr>
          <w:noProof/>
          <w:spacing w:val="-6"/>
        </w:rPr>
        <w:t>реподавателски състав означават, че привлекателността на учителската професия продължава да бъде предизвикателство. Въпреки че заплатите се увеличиха през последните години, отчасти това се дължи на сравнително ниското заплащане. След неколкократни отлаган</w:t>
      </w:r>
      <w:r>
        <w:rPr>
          <w:noProof/>
          <w:spacing w:val="-6"/>
        </w:rPr>
        <w:t>ия правителството одобри окончателно нова система за професионално развитие на преподавателите и педагогическия персонал, разработена с цел да бъде повишена привлекателността на професията. Възможностите за непрекъснато професионално развитие на учители се</w:t>
      </w:r>
      <w:r>
        <w:rPr>
          <w:noProof/>
          <w:spacing w:val="-6"/>
        </w:rPr>
        <w:t xml:space="preserve"> развиват със значителна подкрепа от европейските фондове, по-специално дейностите за професионално развитие, свързани с преподаване на смесени групи и приобщаващо образование. През януари 2016 г. парламентът прие реформата на висшето образование и резулта</w:t>
      </w:r>
      <w:r>
        <w:rPr>
          <w:noProof/>
          <w:spacing w:val="-6"/>
        </w:rPr>
        <w:t>тите от нея трябва да бъдат контролирани. Предвидена е също реформа на системата на финансиране на висшите учебни заведения.</w:t>
      </w:r>
    </w:p>
    <w:p w:rsidR="009220C0" w:rsidRDefault="00E240DD">
      <w:pPr>
        <w:pStyle w:val="Point0number"/>
        <w:rPr>
          <w:noProof/>
          <w:spacing w:val="-6"/>
        </w:rPr>
      </w:pPr>
      <w:r>
        <w:rPr>
          <w:noProof/>
          <w:spacing w:val="-6"/>
        </w:rPr>
        <w:t>Безработицата в Чешката република продължава да спада. Затягането на условията на пазара на труда затрудняват работодателите да нае</w:t>
      </w:r>
      <w:r>
        <w:rPr>
          <w:noProof/>
          <w:spacing w:val="-6"/>
        </w:rPr>
        <w:t xml:space="preserve">мат работници. Все още има известен потенциал за компенсиране на недостига чрез мобилизиране на по-слабо представените групи, като например жените с малки деца, нискоквалифицираните работници и членовете на ромската общност. Увеличаването на способностите </w:t>
      </w:r>
      <w:r>
        <w:rPr>
          <w:noProof/>
          <w:spacing w:val="-6"/>
        </w:rPr>
        <w:t xml:space="preserve">за информиране и активиране на населението на публичните служби по заетостта в съчетание с подходящи и целенасочени политики за активен пазар на труда и индивидуализирани услуги ще спомогнат за стимулирането на участието на неактивните групи. Участието на </w:t>
      </w:r>
      <w:r>
        <w:rPr>
          <w:noProof/>
          <w:spacing w:val="-6"/>
        </w:rPr>
        <w:t>пазара на труда на жените с малки деца е възпрепятствано от продължаващата липса на достъпни и качествени услуги за грижи за деца, по-специално за децата до 3 години, поради дълготрайните надбавки при родителски отпуск, както и от ограниченото използване о</w:t>
      </w:r>
      <w:r>
        <w:rPr>
          <w:noProof/>
          <w:spacing w:val="-6"/>
        </w:rPr>
        <w:t>т страна на двамата родители на договорености за гъвкаво работно време и недостатъчния брой родителски отпуски, вземани от бащите. През последните години бяха предприети някои мерки за справяне с тези проблеми. Въпреки това, резултатите на пазара на труда,</w:t>
      </w:r>
      <w:r>
        <w:rPr>
          <w:noProof/>
          <w:spacing w:val="-6"/>
        </w:rPr>
        <w:t xml:space="preserve"> касаещи ниско квалифицираните работници, са чувствително по-слаби, отколкото за всички други групи. Понастоящем парламентът обсъжда законодателната уредба за социално жилищно настаняване, от която се очаква да определи национални стандарти и целеви групи.</w:t>
      </w:r>
    </w:p>
    <w:p w:rsidR="009220C0" w:rsidRDefault="00E240DD">
      <w:pPr>
        <w:pStyle w:val="Point0number"/>
        <w:rPr>
          <w:noProof/>
        </w:rPr>
      </w:pPr>
      <w:r>
        <w:rPr>
          <w:noProof/>
        </w:rPr>
        <w:t>В рамките на европейския семестър Комисията направи цялостен анализ на икономическата политика на Чешката република и го публикува в доклада за страната за 2017 г. Тя оцени също програмата за конвергенция и националната програма за реформи, както и послед</w:t>
      </w:r>
      <w:r>
        <w:rPr>
          <w:noProof/>
        </w:rPr>
        <w:t>ващите действия във връзка с препоръките към Чешката република,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Чешката република, но и тяхното съотв</w:t>
      </w:r>
      <w:r>
        <w:rPr>
          <w:noProof/>
        </w:rPr>
        <w:t xml:space="preserve">етствие с правилата и насоките на ЕС предвид необходимостта от засилване на цялостното икономическо управление на ЕС чрез принос на равнище ЕС към бъдещите решения на държавите членки. </w:t>
      </w:r>
    </w:p>
    <w:p w:rsidR="009220C0" w:rsidRDefault="00E240DD">
      <w:pPr>
        <w:pStyle w:val="Point0number"/>
        <w:rPr>
          <w:noProof/>
        </w:rPr>
      </w:pPr>
      <w:r>
        <w:rPr>
          <w:noProof/>
        </w:rPr>
        <w:t>С оглед на тази оценка Съветът разгледа програмата за конвергенция и и</w:t>
      </w:r>
      <w:r>
        <w:rPr>
          <w:noProof/>
        </w:rPr>
        <w:t>зрази становище, че Чешката република ще спази Пакта за стабилност и растеж.</w:t>
      </w:r>
    </w:p>
    <w:p w:rsidR="009220C0" w:rsidRDefault="00E240DD">
      <w:pPr>
        <w:pStyle w:val="Formuledadoption"/>
        <w:rPr>
          <w:noProof/>
        </w:rPr>
      </w:pPr>
      <w:r>
        <w:rPr>
          <w:noProof/>
        </w:rPr>
        <w:t>ПРЕПОРЪЧВА на Чешката република да предприеме следните действия през периода 2017—2018 г.:</w:t>
      </w:r>
    </w:p>
    <w:p w:rsidR="009220C0" w:rsidRDefault="00E240DD">
      <w:pPr>
        <w:pStyle w:val="ManualNumPar1"/>
        <w:rPr>
          <w:noProof/>
        </w:rPr>
      </w:pPr>
      <w:bookmarkStart w:id="1" w:name="_CopyToNewDocument_"/>
      <w:bookmarkEnd w:id="1"/>
      <w:r>
        <w:rPr>
          <w:noProof/>
        </w:rPr>
        <w:t>1.</w:t>
      </w:r>
      <w:r>
        <w:rPr>
          <w:noProof/>
        </w:rPr>
        <w:tab/>
        <w:t>Да гарантира дългосрочната устойчивост на публичните финанси с оглед на застаряването</w:t>
      </w:r>
      <w:r>
        <w:rPr>
          <w:noProof/>
        </w:rPr>
        <w:t xml:space="preserve"> на населението. Да повиши ефективността на публичните разходи, по-специално чрез борба с корупцията и неефективните практики в областта на обществените поръчки.</w:t>
      </w:r>
    </w:p>
    <w:p w:rsidR="009220C0" w:rsidRDefault="00E240DD">
      <w:pPr>
        <w:pStyle w:val="ManualNumPar1"/>
        <w:rPr>
          <w:noProof/>
        </w:rPr>
      </w:pPr>
      <w:r>
        <w:rPr>
          <w:noProof/>
        </w:rPr>
        <w:t>2.</w:t>
      </w:r>
      <w:r>
        <w:rPr>
          <w:noProof/>
        </w:rPr>
        <w:tab/>
        <w:t>Да премахне пречките пред растежа, по-специално чрез опростяване на процедурите за издаване</w:t>
      </w:r>
      <w:r>
        <w:rPr>
          <w:noProof/>
        </w:rPr>
        <w:t xml:space="preserve"> на разрешителни за строеж и допълнително намаляване на административната тежест за предприятията, чрез въвеждането на ключови услуги за електронно управление, чрез подобряване на качеството на НИРД и чрез насърчаване на заетостта на по-слабо представените</w:t>
      </w:r>
      <w:r>
        <w:rPr>
          <w:noProof/>
        </w:rPr>
        <w:t xml:space="preserve"> групи. </w:t>
      </w:r>
    </w:p>
    <w:p w:rsidR="009220C0" w:rsidRDefault="009220C0">
      <w:pPr>
        <w:rPr>
          <w:noProof/>
        </w:rPr>
      </w:pPr>
    </w:p>
    <w:p w:rsidR="009220C0" w:rsidRDefault="00E240DD" w:rsidP="00E240DD">
      <w:pPr>
        <w:pStyle w:val="Fait"/>
        <w:rPr>
          <w:noProof/>
        </w:rPr>
      </w:pPr>
      <w:r w:rsidRPr="00E240DD">
        <w:t xml:space="preserve">Съставено в Брюксел на </w:t>
      </w:r>
      <w:r w:rsidRPr="00E240DD">
        <w:rPr>
          <w:rStyle w:val="Marker2"/>
        </w:rPr>
        <w:t>[…]</w:t>
      </w:r>
      <w:r w:rsidRPr="00E240DD">
        <w:t xml:space="preserve"> година.</w:t>
      </w:r>
    </w:p>
    <w:p w:rsidR="009220C0" w:rsidRDefault="00E240DD">
      <w:pPr>
        <w:pStyle w:val="Institutionquisigne"/>
        <w:rPr>
          <w:noProof/>
        </w:rPr>
      </w:pPr>
      <w:r>
        <w:rPr>
          <w:noProof/>
        </w:rPr>
        <w:tab/>
        <w:t>За Съвета</w:t>
      </w:r>
    </w:p>
    <w:p w:rsidR="009220C0" w:rsidRDefault="00E240DD">
      <w:pPr>
        <w:pStyle w:val="Personnequisigne"/>
        <w:rPr>
          <w:noProof/>
        </w:rPr>
      </w:pPr>
      <w:r>
        <w:rPr>
          <w:noProof/>
        </w:rPr>
        <w:tab/>
        <w:t>Председател</w:t>
      </w:r>
    </w:p>
    <w:sectPr w:rsidR="009220C0" w:rsidSect="00E240DD">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0C0" w:rsidRDefault="00E240DD">
      <w:pPr>
        <w:spacing w:before="0" w:after="0"/>
      </w:pPr>
      <w:r>
        <w:separator/>
      </w:r>
    </w:p>
  </w:endnote>
  <w:endnote w:type="continuationSeparator" w:id="0">
    <w:p w:rsidR="009220C0" w:rsidRDefault="00E2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0C0" w:rsidRPr="00E240DD" w:rsidRDefault="00E240DD" w:rsidP="00E240DD">
    <w:pPr>
      <w:pStyle w:val="Footer"/>
      <w:rPr>
        <w:rFonts w:ascii="Arial" w:hAnsi="Arial" w:cs="Arial"/>
        <w:b/>
        <w:sz w:val="48"/>
      </w:rPr>
    </w:pPr>
    <w:r w:rsidRPr="00E240DD">
      <w:rPr>
        <w:rFonts w:ascii="Arial" w:hAnsi="Arial" w:cs="Arial"/>
        <w:b/>
        <w:sz w:val="48"/>
      </w:rPr>
      <w:t>BG</w:t>
    </w:r>
    <w:r w:rsidRPr="00E240DD">
      <w:rPr>
        <w:rFonts w:ascii="Arial" w:hAnsi="Arial" w:cs="Arial"/>
        <w:b/>
        <w:sz w:val="48"/>
      </w:rPr>
      <w:tab/>
    </w:r>
    <w:r w:rsidRPr="00E240DD">
      <w:rPr>
        <w:rFonts w:ascii="Arial" w:hAnsi="Arial" w:cs="Arial"/>
        <w:b/>
        <w:sz w:val="48"/>
      </w:rPr>
      <w:tab/>
    </w:r>
    <w:fldSimple w:instr=" DOCVARIABLE &quot;LW_Confidence&quot; \* MERGEFORMAT ">
      <w:r>
        <w:t xml:space="preserve"> </w:t>
      </w:r>
    </w:fldSimple>
    <w:r w:rsidRPr="00E240DD">
      <w:tab/>
    </w:r>
    <w:proofErr w:type="spellStart"/>
    <w:r w:rsidRPr="00E240DD">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Footer"/>
      <w:rPr>
        <w:rFonts w:ascii="Arial" w:hAnsi="Arial" w:cs="Arial"/>
        <w:b/>
        <w:sz w:val="48"/>
      </w:rPr>
    </w:pPr>
    <w:r w:rsidRPr="00E240DD">
      <w:rPr>
        <w:rFonts w:ascii="Arial" w:hAnsi="Arial" w:cs="Arial"/>
        <w:b/>
        <w:sz w:val="48"/>
      </w:rPr>
      <w:t>BG</w:t>
    </w:r>
    <w:r w:rsidRPr="00E240D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240DD">
      <w:tab/>
    </w:r>
    <w:r w:rsidRPr="00E240DD">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0C0" w:rsidRDefault="00E240DD">
      <w:pPr>
        <w:spacing w:before="0" w:after="0"/>
      </w:pPr>
      <w:r>
        <w:separator/>
      </w:r>
    </w:p>
  </w:footnote>
  <w:footnote w:type="continuationSeparator" w:id="0">
    <w:p w:rsidR="009220C0" w:rsidRDefault="00E240DD">
      <w:pPr>
        <w:spacing w:before="0" w:after="0"/>
      </w:pPr>
      <w:r>
        <w:continuationSeparator/>
      </w:r>
    </w:p>
  </w:footnote>
  <w:footnote w:id="1">
    <w:p w:rsidR="009220C0" w:rsidRDefault="00E240DD">
      <w:pPr>
        <w:pStyle w:val="FootnoteText"/>
        <w:rPr>
          <w:lang w:val="pt-PT"/>
        </w:rPr>
      </w:pPr>
      <w:r>
        <w:rPr>
          <w:rStyle w:val="FootnoteReference"/>
        </w:rPr>
        <w:footnoteRef/>
      </w:r>
      <w:r>
        <w:rPr>
          <w:lang w:val="pt-PT"/>
        </w:rPr>
        <w:tab/>
      </w:r>
      <w:r>
        <w:t>ОВ</w:t>
      </w:r>
      <w:r>
        <w:rPr>
          <w:lang w:val="pt-PT"/>
        </w:rPr>
        <w:t xml:space="preserve"> L 209, 2.8.1997 </w:t>
      </w:r>
      <w:r>
        <w:t>г</w:t>
      </w:r>
      <w:r>
        <w:rPr>
          <w:lang w:val="pt-PT"/>
        </w:rPr>
        <w:t xml:space="preserve">., </w:t>
      </w:r>
      <w:proofErr w:type="spellStart"/>
      <w:r>
        <w:t>стр</w:t>
      </w:r>
      <w:proofErr w:type="spellEnd"/>
      <w:r>
        <w:rPr>
          <w:lang w:val="pt-PT"/>
        </w:rPr>
        <w:t>. 1.</w:t>
      </w:r>
    </w:p>
  </w:footnote>
  <w:footnote w:id="2">
    <w:p w:rsidR="009220C0" w:rsidRDefault="00E240DD">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bookmarkStart w:id="0" w:name="_GoBack"/>
      <w:r>
        <w:rPr>
          <w:lang w:val="fr-BE"/>
        </w:rPr>
        <w:t>50</w:t>
      </w:r>
      <w:r>
        <w:rPr>
          <w:lang w:val="fr-BE"/>
        </w:rPr>
        <w:t>3</w:t>
      </w:r>
      <w:r>
        <w:rPr>
          <w:lang w:val="fr-BE"/>
        </w:rPr>
        <w:t xml:space="preserve"> final</w:t>
      </w:r>
      <w:bookmarkEnd w:id="0"/>
      <w:r>
        <w:rPr>
          <w:lang w:val="pt-PT"/>
        </w:rPr>
        <w:t>.</w:t>
      </w:r>
    </w:p>
  </w:footnote>
  <w:footnote w:id="3">
    <w:p w:rsidR="009220C0" w:rsidRDefault="00E240DD">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r>
        <w:t>и</w:t>
      </w:r>
      <w:r>
        <w:rPr>
          <w:lang w:val="pt-PT"/>
        </w:rPr>
        <w:t xml:space="preserve"> P8_ TA(2017)0040.</w:t>
      </w:r>
    </w:p>
  </w:footnote>
  <w:footnote w:id="4">
    <w:p w:rsidR="009220C0" w:rsidRDefault="00E240D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9220C0" w:rsidRDefault="00E240D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6">
    <w:p w:rsidR="009220C0" w:rsidRDefault="00E240DD">
      <w:pPr>
        <w:pStyle w:val="FootnoteText"/>
        <w:rPr>
          <w:lang w:val="pt-PT"/>
        </w:rPr>
      </w:pPr>
      <w:r>
        <w:rPr>
          <w:rStyle w:val="FootnoteReference"/>
        </w:rPr>
        <w:footnoteRef/>
      </w:r>
      <w:r>
        <w:rPr>
          <w:lang w:val="pt-PT"/>
        </w:rPr>
        <w:tab/>
      </w:r>
      <w:r>
        <w:t>Работен</w:t>
      </w:r>
      <w:r>
        <w:rPr>
          <w:lang w:val="pt-PT"/>
        </w:rPr>
        <w:t xml:space="preserve"> </w:t>
      </w:r>
      <w:r>
        <w:t>документ</w:t>
      </w:r>
      <w:r>
        <w:rPr>
          <w:lang w:val="pt-PT"/>
        </w:rPr>
        <w:t xml:space="preserve"> </w:t>
      </w:r>
      <w:r>
        <w:t>на</w:t>
      </w:r>
      <w:r>
        <w:rPr>
          <w:lang w:val="pt-PT"/>
        </w:rPr>
        <w:t xml:space="preserve"> </w:t>
      </w:r>
      <w:r>
        <w:t>службите</w:t>
      </w:r>
      <w:r>
        <w:rPr>
          <w:lang w:val="pt-PT"/>
        </w:rPr>
        <w:t xml:space="preserve"> </w:t>
      </w:r>
      <w:r>
        <w:t>на</w:t>
      </w:r>
      <w:r>
        <w:rPr>
          <w:lang w:val="pt-PT"/>
        </w:rPr>
        <w:t xml:space="preserve"> </w:t>
      </w:r>
      <w:r>
        <w:t>Комисията</w:t>
      </w:r>
      <w:r>
        <w:rPr>
          <w:lang w:val="pt-PT"/>
        </w:rPr>
        <w:t xml:space="preserve"> SWD (2017) 69 final.</w:t>
      </w:r>
    </w:p>
  </w:footnote>
  <w:footnote w:id="7">
    <w:p w:rsidR="009220C0" w:rsidRDefault="00E240DD">
      <w:pPr>
        <w:pStyle w:val="FootnoteText"/>
        <w:rPr>
          <w:lang w:val="pt-PT"/>
        </w:rPr>
      </w:pPr>
      <w:r>
        <w:rPr>
          <w:rStyle w:val="FootnoteReference"/>
        </w:rPr>
        <w:footnoteRef/>
      </w:r>
      <w:r>
        <w:rPr>
          <w:lang w:val="pt-PT"/>
        </w:rPr>
        <w:tab/>
      </w:r>
      <w:r>
        <w:t>Член</w:t>
      </w:r>
      <w:r>
        <w:rPr>
          <w:lang w:val="pt-PT"/>
        </w:rPr>
        <w:t xml:space="preserve"> 23 </w:t>
      </w:r>
      <w:r>
        <w:t>от</w:t>
      </w:r>
      <w:r>
        <w:rPr>
          <w:lang w:val="pt-PT"/>
        </w:rPr>
        <w:t xml:space="preserve"> </w:t>
      </w:r>
      <w:r>
        <w:t>Регламент</w:t>
      </w:r>
      <w:r>
        <w:rPr>
          <w:lang w:val="pt-PT"/>
        </w:rPr>
        <w:t xml:space="preserve"> (</w:t>
      </w:r>
      <w:r>
        <w:t>ЕС</w:t>
      </w:r>
      <w:r>
        <w:rPr>
          <w:lang w:val="pt-PT"/>
        </w:rPr>
        <w:t xml:space="preserve">) № 1303/2013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декември</w:t>
      </w:r>
      <w:r>
        <w:rPr>
          <w:lang w:val="pt-PT"/>
        </w:rPr>
        <w:t xml:space="preserve"> 2013 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proofErr w:type="spellStart"/>
      <w:r>
        <w:t>общоприложими</w:t>
      </w:r>
      <w:proofErr w:type="spellEnd"/>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proofErr w:type="spellStart"/>
      <w:r>
        <w:t>Кохезионния</w:t>
      </w:r>
      <w:proofErr w:type="spellEnd"/>
      <w:r>
        <w:rPr>
          <w:lang w:val="pt-PT"/>
        </w:rPr>
        <w:t xml:space="preserve"> </w:t>
      </w:r>
      <w:r>
        <w:t>фонд</w:t>
      </w:r>
      <w:r>
        <w:rPr>
          <w:lang w:val="pt-PT"/>
        </w:rPr>
        <w:t xml:space="preserve">, </w:t>
      </w:r>
      <w:r>
        <w:t>Европейския</w:t>
      </w:r>
      <w:r>
        <w:rPr>
          <w:lang w:val="pt-PT"/>
        </w:rPr>
        <w:t xml:space="preserve"> </w:t>
      </w:r>
      <w:r>
        <w:t>земеделски</w:t>
      </w:r>
      <w:r>
        <w:rPr>
          <w:lang w:val="pt-PT"/>
        </w:rPr>
        <w:t xml:space="preserve"> </w:t>
      </w:r>
      <w:r>
        <w:t>фонд</w:t>
      </w:r>
      <w:r>
        <w:rPr>
          <w:lang w:val="pt-PT"/>
        </w:rPr>
        <w:t xml:space="preserve"> </w:t>
      </w:r>
      <w:r>
        <w:t>за</w:t>
      </w:r>
      <w:r>
        <w:rPr>
          <w:lang w:val="pt-PT"/>
        </w:rPr>
        <w:t xml:space="preserve"> </w:t>
      </w:r>
      <w:r>
        <w:t>развитие</w:t>
      </w:r>
      <w:r>
        <w:rPr>
          <w:lang w:val="pt-PT"/>
        </w:rPr>
        <w:t xml:space="preserve"> </w:t>
      </w:r>
      <w:r>
        <w:t>на</w:t>
      </w:r>
      <w:r>
        <w:rPr>
          <w:lang w:val="pt-PT"/>
        </w:rPr>
        <w:t xml:space="preserve"> </w:t>
      </w:r>
      <w:r>
        <w:t>селските</w:t>
      </w:r>
      <w:r>
        <w:rPr>
          <w:lang w:val="pt-PT"/>
        </w:rPr>
        <w:t xml:space="preserve"> </w:t>
      </w:r>
      <w:r>
        <w:t>райони</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общи</w:t>
      </w:r>
      <w:r>
        <w:rPr>
          <w:lang w:val="pt-PT"/>
        </w:rPr>
        <w:t xml:space="preserve"> </w:t>
      </w:r>
      <w:r>
        <w:t>разпоредби</w:t>
      </w:r>
      <w:r>
        <w:rPr>
          <w:lang w:val="pt-PT"/>
        </w:rPr>
        <w:t xml:space="preserve"> </w:t>
      </w:r>
      <w:r>
        <w:t>за</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регионално</w:t>
      </w:r>
      <w:r>
        <w:rPr>
          <w:lang w:val="pt-PT"/>
        </w:rPr>
        <w:t xml:space="preserve"> </w:t>
      </w:r>
      <w:r>
        <w:t>развитие</w:t>
      </w:r>
      <w:r>
        <w:rPr>
          <w:lang w:val="pt-PT"/>
        </w:rPr>
        <w:t xml:space="preserve">, </w:t>
      </w:r>
      <w:r>
        <w:t>Европейския</w:t>
      </w:r>
      <w:r>
        <w:rPr>
          <w:lang w:val="pt-PT"/>
        </w:rPr>
        <w:t xml:space="preserve"> </w:t>
      </w:r>
      <w:r>
        <w:t>социален</w:t>
      </w:r>
      <w:r>
        <w:rPr>
          <w:lang w:val="pt-PT"/>
        </w:rPr>
        <w:t xml:space="preserve"> </w:t>
      </w:r>
      <w:r>
        <w:t>фонд</w:t>
      </w:r>
      <w:r>
        <w:rPr>
          <w:lang w:val="pt-PT"/>
        </w:rPr>
        <w:t xml:space="preserve">, </w:t>
      </w:r>
      <w:proofErr w:type="spellStart"/>
      <w:r>
        <w:t>Кохезионния</w:t>
      </w:r>
      <w:proofErr w:type="spellEnd"/>
      <w:r>
        <w:rPr>
          <w:lang w:val="pt-PT"/>
        </w:rPr>
        <w:t xml:space="preserve"> </w:t>
      </w:r>
      <w:r>
        <w:t>фонд</w:t>
      </w:r>
      <w:r>
        <w:rPr>
          <w:lang w:val="pt-PT"/>
        </w:rPr>
        <w:t xml:space="preserve"> </w:t>
      </w:r>
      <w:r>
        <w:t>и</w:t>
      </w:r>
      <w:r>
        <w:rPr>
          <w:lang w:val="pt-PT"/>
        </w:rPr>
        <w:t xml:space="preserve"> </w:t>
      </w:r>
      <w:r>
        <w:t>Европейския</w:t>
      </w:r>
      <w:r>
        <w:rPr>
          <w:lang w:val="pt-PT"/>
        </w:rPr>
        <w:t xml:space="preserve"> </w:t>
      </w:r>
      <w:r>
        <w:t>фонд</w:t>
      </w:r>
      <w:r>
        <w:rPr>
          <w:lang w:val="pt-PT"/>
        </w:rPr>
        <w:t xml:space="preserve"> </w:t>
      </w:r>
      <w:r>
        <w:t>за</w:t>
      </w:r>
      <w:r>
        <w:rPr>
          <w:lang w:val="pt-PT"/>
        </w:rPr>
        <w:t xml:space="preserve"> </w:t>
      </w:r>
      <w:r>
        <w:t>морско</w:t>
      </w:r>
      <w:r>
        <w:rPr>
          <w:lang w:val="pt-PT"/>
        </w:rPr>
        <w:t xml:space="preserve"> </w:t>
      </w:r>
      <w:r>
        <w:t>дело</w:t>
      </w:r>
      <w:r>
        <w:rPr>
          <w:lang w:val="pt-PT"/>
        </w:rPr>
        <w:t xml:space="preserve"> </w:t>
      </w:r>
      <w:r>
        <w:t>и</w:t>
      </w:r>
      <w:r>
        <w:rPr>
          <w:lang w:val="pt-PT"/>
        </w:rPr>
        <w:t xml:space="preserve"> </w:t>
      </w:r>
      <w:r>
        <w:t>рибарство</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ЕО</w:t>
      </w:r>
      <w:r>
        <w:rPr>
          <w:lang w:val="pt-PT"/>
        </w:rPr>
        <w:t xml:space="preserve">) № 1083/2006 </w:t>
      </w:r>
      <w:r>
        <w:t>на</w:t>
      </w:r>
      <w:r>
        <w:rPr>
          <w:lang w:val="pt-PT"/>
        </w:rPr>
        <w:t xml:space="preserve"> </w:t>
      </w:r>
      <w:r>
        <w:t>Съвета</w:t>
      </w:r>
      <w:r>
        <w:rPr>
          <w:lang w:val="pt-PT"/>
        </w:rPr>
        <w:t xml:space="preserve"> (</w:t>
      </w:r>
      <w:r>
        <w:t>ОВ</w:t>
      </w:r>
      <w:r>
        <w:rPr>
          <w:lang w:val="pt-PT"/>
        </w:rPr>
        <w:t xml:space="preserve"> L 347, 20.12.2013 </w:t>
      </w:r>
      <w:r>
        <w:t>г</w:t>
      </w:r>
      <w:r>
        <w:rPr>
          <w:lang w:val="pt-PT"/>
        </w:rPr>
        <w:t xml:space="preserve">., </w:t>
      </w:r>
      <w:proofErr w:type="spellStart"/>
      <w:r>
        <w:t>стр</w:t>
      </w:r>
      <w:proofErr w:type="spellEnd"/>
      <w:r>
        <w:rPr>
          <w:lang w:val="pt-PT"/>
        </w:rPr>
        <w:t>. 320).</w:t>
      </w:r>
    </w:p>
  </w:footnote>
  <w:footnote w:id="8">
    <w:p w:rsidR="009220C0" w:rsidRDefault="00E240DD">
      <w:pPr>
        <w:pStyle w:val="FootnoteText"/>
        <w:rPr>
          <w:lang w:val="fr-BE"/>
        </w:rPr>
      </w:pPr>
      <w:r>
        <w:rPr>
          <w:rStyle w:val="FootnoteReference"/>
        </w:rPr>
        <w:footnoteRef/>
      </w:r>
      <w:r>
        <w:tab/>
      </w:r>
      <w:r>
        <w:t xml:space="preserve">COM(2014)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DD" w:rsidRPr="00E240DD" w:rsidRDefault="00E240DD" w:rsidP="00E24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9EE0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261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82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E2F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A40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C4CB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38BA86"/>
    <w:lvl w:ilvl="0">
      <w:start w:val="1"/>
      <w:numFmt w:val="decimal"/>
      <w:pStyle w:val="ListNumber"/>
      <w:lvlText w:val="%1."/>
      <w:lvlJc w:val="left"/>
      <w:pPr>
        <w:tabs>
          <w:tab w:val="num" w:pos="360"/>
        </w:tabs>
        <w:ind w:left="360" w:hanging="360"/>
      </w:pPr>
    </w:lvl>
  </w:abstractNum>
  <w:abstractNum w:abstractNumId="7">
    <w:nsid w:val="FFFFFF89"/>
    <w:multiLevelType w:val="singleLevel"/>
    <w:tmpl w:val="EC96F7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6:17: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DA6400441D64545AFB1951D0271E492"/>
    <w:docVar w:name="LW_CROSSREFERENCE" w:val="&lt;UNUSED&gt;"/>
    <w:docVar w:name="LW_DocType" w:val="COM"/>
    <w:docVar w:name="LW_EMISSION" w:val="22.5.2017"/>
    <w:docVar w:name="LW_EMISSION_ISODATE" w:val="2017-05-22"/>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3"/>
    <w:docVar w:name="LW_REF.INTERNE" w:val="&lt;UNUSED&gt;"/>
    <w:docVar w:name="LW_SOUS.TITRE.OBJ.CP" w:val="&lt;UNUSED&gt;"/>
    <w:docVar w:name="LW_STATUT.CP" w:val="\u1055?\u1088?\u1077?\u1087?\u1086?\u1088?\u1098?\u1082?\u1072? \u1079?\u1072?"/>
    <w:docVar w:name="LW_SUPERTITRE" w:val="&lt;UNUSED&gt;"/>
    <w:docVar w:name="LW_TITRE.OBJ.CP" w:val="\u1054?\u1090?\u1085?\u1086?\u1089?\u1085?\u1086? \u1085?\u1072?\u1094?\u1080?\u1086?\u1085?\u1072?\u1083?\u1085?\u1072?\u1090?\u1072? \u1087?\u1088?\u1086?\u1075?\u1088?\u1072?\u1084?\u1072? \u1079?\u1072? \u1088?\u1077?\u1092?\u1086?\u1088?\u1084?\u1080? \u1085?\u1072? \u1063?\u1077?\u1096?\u1082?\u1072?\u1090?\u1072? \u1088?\u1077?\u1087?\u1091?\u1073?\u1083?\u1080?\u1082?\u1072? \u1079?\u1072? 2017 \u1075?._x000b__x000b_\u1080? \u1089?\u1098?\u1076?\u1098?\u1088?\u1078?\u1072?\u1097?\u1072? \u1089?\u1090?\u1072?\u1085?\u1086?\u1074?\u1080?\u1097?\u1077? \u1085?\u1072? \u1057?\u1098?\u1074?\u1077?\u1090?\u1072? \u1086?\u1090?\u1085?\u1086?\u1089?\u1085?\u1086?_x000b_\u1087?\u1088?\u1086?\u1075?\u1088?\u1072?\u1084?\u1072?\u1090?\u1072? \u1079?\u1072? \u1082?\u1086?\u1085?\u1074?\u1077?\u1088?\u1075?\u1077?\u1085?\u1094?\u1080?\u1103? \u1085?\u1072? \u1063?\u1077?\u1096?\u1082?\u1072?\u1090?\u1072? \u1088?\u1077?\u1087?\u1091?\u1073?\u1083?\u1080?\u1082?\u1072? \u1079?\u1072? 2017 \u1075?."/>
    <w:docVar w:name="LW_TYPE.DOC.CP" w:val="\u1055?\u1056?\u1045?\u1055?\u1054?\u1056?\u1066?\u1050?\u1040? \u1053?\u1040? \u1057?\u1066?\u1042?\u1045?\u1058?\u1040?"/>
  </w:docVars>
  <w:rsids>
    <w:rsidRoot w:val="009220C0"/>
    <w:rsid w:val="009220C0"/>
    <w:rsid w:val="00E24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240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240D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240D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rsid w:val="00E240D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240D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240D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2E9C-6F14-437B-B3A1-7084EFFC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2081</Words>
  <Characters>12425</Characters>
  <Application>Microsoft Office Word</Application>
  <DocSecurity>0</DocSecurity>
  <Lines>217</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GALAN Maria Serena (SG)</cp:lastModifiedBy>
  <cp:revision>18</cp:revision>
  <dcterms:created xsi:type="dcterms:W3CDTF">2017-05-23T14:47:00Z</dcterms:created>
  <dcterms:modified xsi:type="dcterms:W3CDTF">2017-05-30T15:13:00Z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