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A558A8571BA64C80AD6E5A2406E6A0CE" style="width:451.25pt;height:379.25pt">
            <v:imagedata r:id="rId8" o:title=""/>
          </v:shape>
        </w:pict>
      </w:r>
    </w:p>
    <w:p>
      <w:pPr>
        <w:rPr>
          <w:noProof/>
        </w:rPr>
        <w:sectPr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 бе подписано на 27 юни 2014 г. В приложение XXVI към Споразумението се определя, че Република Молдова трябва да осъществи сближаване на своя Митнически кодекс с Регламент (ЕИО) № 2913/92 на Съвета от 12 октомври 1992 г. относно създаване на Митнически кодекс на Общността (наричан по-нататък „Митническият кодекс на Общността“).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Към момента на подписване на Споразумението за асоцииране Митническият кодекс на Общността се прилагаше в Европейския съюз.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На 9 октомври 2013 г. с Регламент (ЕС) № 952/2013 беше приет Митническият кодекс на Съюза, а на 1 май 2016 г. основните му разпоредби започнаха да се прилагат в Европейския съюз, отменяйки Митническия кодекс на Общността.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Предназначението на приложение XXVI бе да се гарантира, че Митническият кодекс на Република Молдова е съобразен с действащите разпоредби в Европейския съюз. Различията в определени области между разпоредбите на Митническия кодекс на Общността и заменилия го Митнически кодекс на Съюза предполагат, че горепосоченото предназначение може да бъде изпълнено само ако Република Молдова сближи своя Митнически кодекс с този на Съюза.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На заседанието на Митническия подкомитет ЕС – Република Молдова от 6 октомври 2016 г. бе договорено, че поради това следва да се обнови препратката към митническия регламент, който се прилага в Европейския съюз. Договорено бе също така, че това изменение не засяга крайния срок за сближаването, който е определен в приложение XXVI към Споразумението за асоцииране.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действащите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Главното предназначение на предложеното изменение е да се установи правна сигурност по отношение на посоката на сближаването, което Република Молдова е задължена да осъществи по силата на Споразумението за асоцииране. По този начин ще бъде осигурена съгласуваност с действащите разпоредби в областта на митническото сътрудничество между ЕС и Република Молдова.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другите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С член 436, параграф 3 от Споразумението за асоцииране между ЕС и Република Молдова се определя, че Съветът за асоцииране има правомощието да изменя приложенията към Споразумението.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lastRenderedPageBreak/>
        <w:t>Член 207 и член 218, параграф 9 от Договора за функционирането на ЕС (ДФЕС).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Субсидиарност (при неизключителна компетентност)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е от изключителната компетентност на Европейския съюз. Следователно принципът на субсидиарност 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Предложението не надхвърля рамките на необходимото или целесъобразното за постигането на очакваните резултати.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  <w:sectPr>
          <w:footerReference w:type="default" r:id="rId10"/>
          <w:footerReference w:type="first" r:id="rId1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  <w:r>
        <w:rPr>
          <w:noProof/>
        </w:rPr>
        <w:t>Настоящото предложение няма отражение върху бюджета на Европейския съюз.</w:t>
      </w:r>
    </w:p>
    <w:p>
      <w:pPr>
        <w:pStyle w:val="Rfrenceinterinstitutionnelle"/>
        <w:rPr>
          <w:noProof/>
        </w:rPr>
      </w:pPr>
      <w:r>
        <w:rPr>
          <w:noProof/>
        </w:rPr>
        <w:t>2017/0109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позицията, която трябва да се заеме от името на Европейския съюз в рамките на Съвета за асоцииране ЕС – Република Молдова по отношение на изменението на приложение ХХVІ към Споразумението за асоцииране между ЕС и Република Молдова от 27 юни 2014 г.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 xml:space="preserve">като взе предвид Договора за функционирането на Европейския съюз, и по-специално член 207 и член 218, параграф 9 от него, </w:t>
      </w:r>
    </w:p>
    <w:p>
      <w:pPr>
        <w:rPr>
          <w:rFonts w:eastAsia="Arial Unicode MS"/>
          <w:noProof/>
        </w:rPr>
      </w:pPr>
      <w:r>
        <w:rPr>
          <w:noProof/>
        </w:rPr>
        <w:t>като взе предвид Регламент (ЕС) № 952/2013 за създаване на Митнически кодекс на Съюза,</w:t>
      </w:r>
    </w:p>
    <w:p>
      <w:pPr>
        <w:rPr>
          <w:rFonts w:eastAsia="Arial Unicode MS"/>
          <w:noProof/>
        </w:rPr>
      </w:pPr>
      <w:r>
        <w:rPr>
          <w:noProof/>
        </w:rPr>
        <w:t>като взе предвид 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 от 27 юни 2014 г., и по-специално член 436, параграф 3 от него,</w:t>
      </w:r>
    </w:p>
    <w:p>
      <w:pPr>
        <w:rPr>
          <w:noProof/>
        </w:rPr>
      </w:pPr>
      <w:r>
        <w:rPr>
          <w:noProof/>
        </w:rPr>
        <w:t>като взе предвид заключенията от заседанието на Митническия подкомитет Европейски съюз – Република Молдова от 6 октомври 2016 г.,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 xml:space="preserve">като има предвид, че: 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 бе подписано на 27 юни 2014 г.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 член 201 от Споразумението за асоцииране се въвежда задължение за постепенно сближаване в посока към митническото законодателство на Съюза и някои международни правни актове съгласно приложение ХХVІ към Споразумението.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В приложение ХХVІ към Споразумението се предвижда сближаването да се осъществява по отношение на разпоредбите на Регламент (ЕИО) № 2913/92 на Съвета от 12 октомври 1992 г. относно създаване на Митнически кодекс на Общността.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Регламент (ЕИО) № 2913/92 бе отменен и от 1 май 2016 г. основните разпоредби на Регламент (ЕС) № 952/2013 за създаване на Митнически кодекс на Съюза се прилагат в Европейския съюз.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На заседанието на Митническия подкомитет Европейски съюз – Република Молдова от 6 октомври 2016 г. бе заключено, че приложение ХХVІ към Споразумението следва да бъде съответно изменено,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1. Позицията, която трябва да се заеме от името на Европейския съюз в рамките на Съвета за асоцииране ЕС – Република Молдова по отношение на изменението на приложение ХХVІ към Споразумението за асоцииране, се основава на проекта на решение, приложен към настоящото решение.</w:t>
      </w:r>
    </w:p>
    <w:p>
      <w:pPr>
        <w:rPr>
          <w:noProof/>
        </w:rPr>
      </w:pPr>
      <w:r>
        <w:rPr>
          <w:noProof/>
        </w:rPr>
        <w:t>2. Представителите на Съюза в Съвета за асоцииране ЕС – Република Молдова могат да одобрят несъществени технически поправки на проекта на решение по параграф 1 без допълнително решение на Съвета.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keepLines/>
        <w:rPr>
          <w:noProof/>
        </w:rPr>
      </w:pPr>
      <w:r>
        <w:rPr>
          <w:noProof/>
        </w:rPr>
        <w:t xml:space="preserve">Настоящото решение влиза в сила в деня след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A2E821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81ADB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264EB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D1262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4EC72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6B8DA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326C4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0C49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5-30 14:25:3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A558A8571BA64C80AD6E5A2406E6A0CE"/>
    <w:docVar w:name="LW_CROSSREFERENCE" w:val="&lt;UNUSED&gt;"/>
    <w:docVar w:name="LW_DocType" w:val="COM"/>
    <w:docVar w:name="LW_EMISSION" w:val="31.5.2017"/>
    <w:docVar w:name="LW_EMISSION_ISODATE" w:val="2017-05-31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09"/>
    <w:docVar w:name="LW_REF.II.NEW.CP_YEAR" w:val="2017"/>
    <w:docVar w:name="LW_REF.INST.NEW" w:val="COM"/>
    <w:docVar w:name="LW_REF.INST.NEW_ADOPTED" w:val="final"/>
    <w:docVar w:name="LW_REF.INST.NEW_TEXT" w:val="(2017) 269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77?\u1090?\u1072? \u1079?\u1072? \u1072?\u1089?\u1086?\u1094?\u1080?\u1080?\u1088?\u1072?\u1085?\u1077? \u1045?\u1057? \u8211? \u1056?\u1077?\u1087?\u1091?\u1073?\u1083?\u1080?\u1082?\u1072? \u1052?\u1086?\u1083?\u1076?\u1086?\u1074?\u1072? \u1087?\u1086? \u1086?\u1090?\u1085?\u1086?\u1096?\u1077?\u1085?\u1080?\u1077? \u1085?\u1072? \u1080?\u1079?\u1084?\u1077?\u1085?\u1077?\u1085?\u1080?\u1077?\u1090?\u1086? \u1085?\u1072? \u1087?\u1088?\u1080?\u1083?\u1086?\u1078?\u1077?\u1085?\u1080?\u1077? \u1061?\u1061?V\u1030? \u1082?\u1098?\u1084? \u1057?\u1087?\u1086?\u1088?\u1072?\u1079?\u1091?\u1084?\u1077?\u1085?\u1080?\u1077?\u1090?\u1086? \u1079?\u1072? \u1072?\u1089?\u1086?\u1094?\u1080?\u1080?\u1088?\u1072?\u1085?\u1077? \u1084?\u1077?\u1078?\u1076?\u1091? \u1045?\u1057? \u1080? \u1056?\u1077?\u1087?\u1091?\u1073?\u1083?\u1080?\u1082?\u1072? \u1052?\u1086?\u1083?\u1076?\u1086?\u1074?\u1072? \u1086?\u1090? 27 \u1102?\u1085?\u1080? 2014 \u1075?.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5</Pages>
  <Words>840</Words>
  <Characters>4832</Characters>
  <Application>Microsoft Office Word</Application>
  <DocSecurity>0</DocSecurity>
  <Lines>105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2017-03-07T14:15:00Z</cp:lastPrinted>
  <dcterms:created xsi:type="dcterms:W3CDTF">2017-05-17T08:27:00Z</dcterms:created>
  <dcterms:modified xsi:type="dcterms:W3CDTF">2017-05-30T12:25:00Z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