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E12F7D429EF41AD98B9595937CEF549" style="width:451.25pt;height:397.6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autoSpaceDE w:val="0"/>
        <w:autoSpaceDN w:val="0"/>
        <w:adjustRightInd w:val="0"/>
        <w:spacing w:before="0" w:after="0"/>
        <w:jc w:val="center"/>
        <w:rPr>
          <w:rFonts w:eastAsia="Times New Roman"/>
          <w:b/>
          <w:bCs/>
          <w:noProof/>
          <w:color w:val="000000"/>
          <w:szCs w:val="24"/>
          <w:lang w:val="en-US" w:eastAsia="es-ES"/>
        </w:rPr>
      </w:pPr>
      <w:bookmarkStart w:id="0" w:name="_GoBack"/>
      <w:bookmarkEnd w:id="0"/>
    </w:p>
    <w:p>
      <w:pPr>
        <w:autoSpaceDE w:val="0"/>
        <w:autoSpaceDN w:val="0"/>
        <w:adjustRightInd w:val="0"/>
        <w:spacing w:before="0" w:after="0"/>
        <w:jc w:val="center"/>
        <w:rPr>
          <w:rFonts w:eastAsia="Times New Roman"/>
          <w:noProof/>
          <w:color w:val="000000"/>
          <w:szCs w:val="24"/>
          <w:lang w:val="en-US" w:eastAsia="es-ES"/>
        </w:rPr>
      </w:pPr>
      <w:r>
        <w:rPr>
          <w:rFonts w:eastAsia="Times New Roman"/>
          <w:b/>
          <w:bCs/>
          <w:noProof/>
          <w:color w:val="000000"/>
          <w:szCs w:val="24"/>
          <w:lang w:val="en-US" w:eastAsia="es-ES"/>
        </w:rPr>
        <w:t>DECISION No X/2017 OF THE EUROPEAN UNION-REPUBLIC OF MOLDOVA ASSOCIATION COUNCIL</w:t>
      </w:r>
    </w:p>
    <w:p>
      <w:pPr>
        <w:autoSpaceDE w:val="0"/>
        <w:autoSpaceDN w:val="0"/>
        <w:adjustRightInd w:val="0"/>
        <w:spacing w:before="0" w:after="0"/>
        <w:jc w:val="center"/>
        <w:rPr>
          <w:rFonts w:eastAsia="Times New Roman"/>
          <w:b/>
          <w:bCs/>
          <w:noProof/>
          <w:color w:val="000000"/>
          <w:szCs w:val="24"/>
          <w:lang w:val="en-US" w:eastAsia="es-ES"/>
        </w:rPr>
      </w:pPr>
    </w:p>
    <w:p>
      <w:pPr>
        <w:autoSpaceDE w:val="0"/>
        <w:autoSpaceDN w:val="0"/>
        <w:adjustRightInd w:val="0"/>
        <w:spacing w:before="0" w:after="0"/>
        <w:jc w:val="center"/>
        <w:rPr>
          <w:rFonts w:eastAsia="Times New Roman"/>
          <w:noProof/>
          <w:color w:val="000000"/>
          <w:szCs w:val="24"/>
          <w:lang w:val="en-US" w:eastAsia="es-ES"/>
        </w:rPr>
      </w:pPr>
      <w:r>
        <w:rPr>
          <w:rFonts w:eastAsia="Times New Roman"/>
          <w:b/>
          <w:bCs/>
          <w:noProof/>
          <w:color w:val="000000"/>
          <w:szCs w:val="24"/>
          <w:lang w:val="en-US" w:eastAsia="es-ES"/>
        </w:rPr>
        <w:t>of XX XXXXXX 2017</w:t>
      </w:r>
    </w:p>
    <w:p>
      <w:pPr>
        <w:autoSpaceDE w:val="0"/>
        <w:autoSpaceDN w:val="0"/>
        <w:adjustRightInd w:val="0"/>
        <w:spacing w:before="0" w:after="0"/>
        <w:jc w:val="center"/>
        <w:rPr>
          <w:rFonts w:eastAsia="Times New Roman"/>
          <w:b/>
          <w:bCs/>
          <w:noProof/>
          <w:color w:val="000000"/>
          <w:szCs w:val="24"/>
          <w:lang w:val="en-US" w:eastAsia="es-ES"/>
        </w:rPr>
      </w:pPr>
    </w:p>
    <w:p>
      <w:pPr>
        <w:autoSpaceDE w:val="0"/>
        <w:autoSpaceDN w:val="0"/>
        <w:adjustRightInd w:val="0"/>
        <w:spacing w:before="0" w:after="0"/>
        <w:jc w:val="center"/>
        <w:rPr>
          <w:rFonts w:eastAsia="Times New Roman"/>
          <w:b/>
          <w:noProof/>
          <w:color w:val="000000"/>
          <w:szCs w:val="24"/>
          <w:lang w:val="en-US" w:eastAsia="es-ES"/>
        </w:rPr>
      </w:pPr>
      <w:r>
        <w:rPr>
          <w:rFonts w:eastAsia="Times New Roman"/>
          <w:b/>
          <w:bCs/>
          <w:noProof/>
          <w:color w:val="000000"/>
          <w:szCs w:val="24"/>
          <w:lang w:val="en-US" w:eastAsia="es-ES"/>
        </w:rPr>
        <w:t xml:space="preserve">relating to the amendment to Annex XXVI </w:t>
      </w:r>
      <w:r>
        <w:rPr>
          <w:b/>
          <w:noProof/>
        </w:rPr>
        <w:t>to the EU-Republic of Moldova Association Agreement of  27 June 2014</w:t>
      </w:r>
    </w:p>
    <w:p>
      <w:pPr>
        <w:autoSpaceDE w:val="0"/>
        <w:autoSpaceDN w:val="0"/>
        <w:adjustRightInd w:val="0"/>
        <w:spacing w:before="0" w:after="0"/>
        <w:rPr>
          <w:rFonts w:eastAsia="Times New Roman"/>
          <w:b/>
          <w:noProof/>
          <w:color w:val="000000"/>
          <w:szCs w:val="24"/>
          <w:lang w:val="en-US" w:eastAsia="es-ES"/>
        </w:rPr>
      </w:pPr>
    </w:p>
    <w:p>
      <w:pPr>
        <w:autoSpaceDE w:val="0"/>
        <w:autoSpaceDN w:val="0"/>
        <w:adjustRightInd w:val="0"/>
        <w:spacing w:before="0" w:after="0"/>
        <w:rPr>
          <w:rFonts w:eastAsia="Times New Roman"/>
          <w:noProof/>
          <w:color w:val="000000"/>
          <w:szCs w:val="24"/>
          <w:lang w:val="en-US" w:eastAsia="es-ES"/>
        </w:rPr>
      </w:pPr>
      <w:r>
        <w:rPr>
          <w:rFonts w:eastAsia="Times New Roman"/>
          <w:noProof/>
          <w:color w:val="000000"/>
          <w:szCs w:val="24"/>
          <w:lang w:val="en-US" w:eastAsia="es-ES"/>
        </w:rPr>
        <w:t xml:space="preserve">THE EUROPEAN UNION – REPUBLIC OF MOLDOVA ASSOCIATION COUNCIL, </w:t>
      </w:r>
    </w:p>
    <w:p>
      <w:pPr>
        <w:autoSpaceDE w:val="0"/>
        <w:autoSpaceDN w:val="0"/>
        <w:adjustRightInd w:val="0"/>
        <w:spacing w:before="0" w:after="0"/>
        <w:jc w:val="left"/>
        <w:rPr>
          <w:rFonts w:eastAsia="Times New Roman"/>
          <w:noProof/>
          <w:color w:val="000000"/>
          <w:szCs w:val="24"/>
          <w:lang w:val="en-US" w:eastAsia="es-ES"/>
        </w:rPr>
      </w:pP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val="en-US" w:eastAsia="es-ES"/>
        </w:rPr>
        <w:t xml:space="preserve">Having regard to </w:t>
      </w:r>
      <w:r>
        <w:rPr>
          <w:rFonts w:eastAsia="Times New Roman"/>
          <w:noProof/>
          <w:color w:val="000000"/>
          <w:szCs w:val="24"/>
          <w:lang w:eastAsia="es-ES"/>
        </w:rPr>
        <w:t xml:space="preserve">the Association Agreement between the European Union and the European Atomic Energy Community and their Member States, of the one part, and the Republic of Moldova, of the other part, and in particular </w:t>
      </w:r>
      <w:r>
        <w:rPr>
          <w:rFonts w:eastAsia="Times New Roman"/>
          <w:noProof/>
          <w:color w:val="000000"/>
          <w:szCs w:val="24"/>
          <w:lang w:val="en-US" w:eastAsia="es-ES"/>
        </w:rPr>
        <w:t xml:space="preserve">Article 436(3) thereof, </w:t>
      </w:r>
    </w:p>
    <w:p>
      <w:pPr>
        <w:autoSpaceDE w:val="0"/>
        <w:autoSpaceDN w:val="0"/>
        <w:adjustRightInd w:val="0"/>
        <w:spacing w:before="0" w:after="0"/>
        <w:rPr>
          <w:rFonts w:eastAsia="Times New Roman"/>
          <w:noProof/>
          <w:color w:val="000000"/>
          <w:szCs w:val="24"/>
          <w:lang w:val="en-US" w:eastAsia="es-ES"/>
        </w:rPr>
      </w:pP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 xml:space="preserve">Whereas: </w:t>
      </w:r>
    </w:p>
    <w:p>
      <w:pPr>
        <w:autoSpaceDE w:val="0"/>
        <w:autoSpaceDN w:val="0"/>
        <w:adjustRightInd w:val="0"/>
        <w:spacing w:before="0" w:after="0"/>
        <w:rPr>
          <w:rFonts w:eastAsia="Times New Roman"/>
          <w:noProof/>
          <w:color w:val="000000"/>
          <w:szCs w:val="24"/>
          <w:lang w:eastAsia="es-ES"/>
        </w:rPr>
      </w:pPr>
    </w:p>
    <w:p>
      <w:pPr>
        <w:pStyle w:val="Considrant"/>
        <w:numPr>
          <w:ilvl w:val="0"/>
          <w:numId w:val="9"/>
        </w:numPr>
        <w:rPr>
          <w:noProof/>
        </w:rPr>
      </w:pPr>
      <w:r>
        <w:rPr>
          <w:rFonts w:eastAsia="Arial Unicode MS"/>
          <w:noProof/>
        </w:rPr>
        <w:t xml:space="preserve">The Association Agreement between the European Union and the European Atomic Energy Community and their Member States, of the one part, and the Republic of Moldova, of the other part, was signed on 27 June 2014, </w:t>
      </w:r>
    </w:p>
    <w:p>
      <w:pPr>
        <w:pStyle w:val="Considrant"/>
        <w:rPr>
          <w:noProof/>
        </w:rPr>
      </w:pPr>
      <w:r>
        <w:rPr>
          <w:rFonts w:eastAsia="Arial Unicode MS"/>
          <w:noProof/>
        </w:rPr>
        <w:t>Article 201 of the Association Agreement provides for the obligation for the gradual approximation to the Union's customs law and certain international law as set out in Annex XXVI to the Agreement,</w:t>
      </w:r>
    </w:p>
    <w:p>
      <w:pPr>
        <w:pStyle w:val="Considrant"/>
        <w:rPr>
          <w:noProof/>
        </w:rPr>
      </w:pPr>
      <w:r>
        <w:rPr>
          <w:rFonts w:eastAsia="Arial Unicode MS"/>
          <w:noProof/>
        </w:rPr>
        <w:t>Annex XXVI to the Agreement specifies that the approximation shall be carried out with the provisions of Council Regulation (EEC) No 2913/92 of 12 October 1992 establishing the Community Customs Code</w:t>
      </w:r>
      <w:r>
        <w:rPr>
          <w:noProof/>
        </w:rPr>
        <w:t>,</w:t>
      </w:r>
    </w:p>
    <w:p>
      <w:pPr>
        <w:pStyle w:val="Considrant"/>
        <w:rPr>
          <w:noProof/>
        </w:rPr>
      </w:pPr>
      <w:r>
        <w:rPr>
          <w:rFonts w:eastAsia="Arial Unicode MS"/>
          <w:noProof/>
        </w:rPr>
        <w:t xml:space="preserve">Regulation (EEC) No 2913/92 has been repealed and </w:t>
      </w:r>
      <w:r>
        <w:rPr>
          <w:noProof/>
        </w:rPr>
        <w:t>since 1 May 2016 the substantive provisions of Regulation (EU) No 952/2013 establishing the Union Customs Code are in application in the European Union,</w:t>
      </w:r>
    </w:p>
    <w:p>
      <w:pPr>
        <w:pStyle w:val="Considrant"/>
        <w:rPr>
          <w:noProof/>
        </w:rPr>
      </w:pPr>
      <w:r>
        <w:rPr>
          <w:noProof/>
        </w:rPr>
        <w:t>It was concluded at the 6 October 2016 meeting of the European Union - Republic of Moldova Customs Sub-Committee that Annex XXVI of the Agreement should be amended accordingly,</w:t>
      </w:r>
    </w:p>
    <w:p>
      <w:pPr>
        <w:autoSpaceDE w:val="0"/>
        <w:autoSpaceDN w:val="0"/>
        <w:adjustRightInd w:val="0"/>
        <w:spacing w:before="0" w:after="0"/>
        <w:rPr>
          <w:rFonts w:eastAsia="Times New Roman"/>
          <w:noProof/>
          <w:color w:val="000000"/>
          <w:szCs w:val="24"/>
          <w:lang w:eastAsia="es-ES"/>
        </w:rPr>
      </w:pPr>
    </w:p>
    <w:p>
      <w:pPr>
        <w:autoSpaceDE w:val="0"/>
        <w:autoSpaceDN w:val="0"/>
        <w:adjustRightInd w:val="0"/>
        <w:spacing w:before="0" w:after="0"/>
        <w:rPr>
          <w:rFonts w:eastAsia="Times New Roman"/>
          <w:noProof/>
          <w:color w:val="000000"/>
          <w:szCs w:val="24"/>
          <w:lang w:eastAsia="es-ES"/>
        </w:rPr>
      </w:pPr>
    </w:p>
    <w:p>
      <w:pPr>
        <w:autoSpaceDE w:val="0"/>
        <w:autoSpaceDN w:val="0"/>
        <w:adjustRightInd w:val="0"/>
        <w:spacing w:before="0" w:after="0"/>
        <w:rPr>
          <w:rFonts w:eastAsia="Times New Roman"/>
          <w:i/>
          <w:iCs/>
          <w:noProof/>
          <w:color w:val="000000"/>
          <w:szCs w:val="24"/>
          <w:lang w:val="en-US" w:eastAsia="es-ES"/>
        </w:rPr>
      </w:pPr>
      <w:r>
        <w:rPr>
          <w:rFonts w:eastAsia="Times New Roman"/>
          <w:noProof/>
          <w:color w:val="000000"/>
          <w:szCs w:val="24"/>
          <w:lang w:val="en-US" w:eastAsia="es-ES"/>
        </w:rPr>
        <w:t xml:space="preserve">HAS DECIDED AS FOLLOWS: </w:t>
      </w:r>
    </w:p>
    <w:p>
      <w:pPr>
        <w:spacing w:before="0" w:after="200" w:line="276" w:lineRule="auto"/>
        <w:jc w:val="left"/>
        <w:rPr>
          <w:rFonts w:eastAsia="Times New Roman"/>
          <w:i/>
          <w:iCs/>
          <w:noProof/>
          <w:color w:val="000000"/>
          <w:szCs w:val="24"/>
          <w:lang w:val="en-US" w:eastAsia="es-ES"/>
        </w:rPr>
      </w:pPr>
    </w:p>
    <w:p>
      <w:pPr>
        <w:autoSpaceDE w:val="0"/>
        <w:autoSpaceDN w:val="0"/>
        <w:adjustRightInd w:val="0"/>
        <w:spacing w:before="0" w:after="0"/>
        <w:jc w:val="center"/>
        <w:rPr>
          <w:rFonts w:eastAsia="Times New Roman"/>
          <w:i/>
          <w:iCs/>
          <w:noProof/>
          <w:color w:val="000000"/>
          <w:szCs w:val="24"/>
          <w:lang w:val="en-US" w:eastAsia="es-ES"/>
        </w:rPr>
      </w:pPr>
      <w:r>
        <w:rPr>
          <w:rFonts w:eastAsia="Times New Roman"/>
          <w:i/>
          <w:iCs/>
          <w:noProof/>
          <w:color w:val="000000"/>
          <w:szCs w:val="24"/>
          <w:lang w:val="en-US" w:eastAsia="es-ES"/>
        </w:rPr>
        <w:t>Article 1</w:t>
      </w:r>
    </w:p>
    <w:p>
      <w:pPr>
        <w:autoSpaceDE w:val="0"/>
        <w:autoSpaceDN w:val="0"/>
        <w:adjustRightInd w:val="0"/>
        <w:spacing w:before="0" w:after="0"/>
        <w:rPr>
          <w:rFonts w:eastAsia="Times New Roman"/>
          <w:noProof/>
          <w:color w:val="000000"/>
          <w:szCs w:val="24"/>
          <w:lang w:val="en-US" w:eastAsia="es-ES"/>
        </w:rPr>
      </w:pPr>
    </w:p>
    <w:p>
      <w:pPr>
        <w:autoSpaceDE w:val="0"/>
        <w:autoSpaceDN w:val="0"/>
        <w:adjustRightInd w:val="0"/>
        <w:spacing w:before="0" w:after="0"/>
        <w:rPr>
          <w:rFonts w:eastAsia="Times New Roman"/>
          <w:noProof/>
          <w:color w:val="000000"/>
          <w:szCs w:val="24"/>
          <w:lang w:val="en-US" w:eastAsia="es-ES"/>
        </w:rPr>
      </w:pPr>
      <w:r>
        <w:rPr>
          <w:rFonts w:eastAsia="Times New Roman"/>
          <w:noProof/>
          <w:color w:val="000000"/>
          <w:szCs w:val="24"/>
          <w:lang w:val="en-US" w:eastAsia="es-ES"/>
        </w:rPr>
        <w:t>Annex XXVI to EU-Republic of Moldova Association Agreement of 27 June 2014 is amended as set out in Annex I to this Decision.</w:t>
      </w:r>
    </w:p>
    <w:p>
      <w:pPr>
        <w:autoSpaceDE w:val="0"/>
        <w:autoSpaceDN w:val="0"/>
        <w:adjustRightInd w:val="0"/>
        <w:spacing w:before="0" w:after="0"/>
        <w:jc w:val="left"/>
        <w:rPr>
          <w:rFonts w:eastAsia="Times New Roman"/>
          <w:noProof/>
          <w:color w:val="000000"/>
          <w:szCs w:val="24"/>
          <w:lang w:val="en-US" w:eastAsia="es-ES"/>
        </w:rPr>
      </w:pPr>
    </w:p>
    <w:p>
      <w:pPr>
        <w:autoSpaceDE w:val="0"/>
        <w:autoSpaceDN w:val="0"/>
        <w:adjustRightInd w:val="0"/>
        <w:spacing w:before="0" w:after="0"/>
        <w:rPr>
          <w:rFonts w:eastAsia="Calibri"/>
          <w:noProof/>
          <w:color w:val="000000"/>
          <w:lang w:val="en-US" w:eastAsia="en-GB"/>
        </w:rPr>
      </w:pPr>
    </w:p>
    <w:p>
      <w:pPr>
        <w:autoSpaceDE w:val="0"/>
        <w:autoSpaceDN w:val="0"/>
        <w:adjustRightInd w:val="0"/>
        <w:spacing w:before="0" w:after="0"/>
        <w:jc w:val="center"/>
        <w:rPr>
          <w:rFonts w:eastAsia="Times New Roman"/>
          <w:i/>
          <w:iCs/>
          <w:noProof/>
          <w:color w:val="000000"/>
          <w:szCs w:val="24"/>
          <w:lang w:val="en-US" w:eastAsia="es-ES"/>
        </w:rPr>
      </w:pPr>
      <w:r>
        <w:rPr>
          <w:rFonts w:eastAsia="Times New Roman"/>
          <w:i/>
          <w:iCs/>
          <w:noProof/>
          <w:color w:val="000000"/>
          <w:szCs w:val="24"/>
          <w:lang w:val="en-US" w:eastAsia="es-ES"/>
        </w:rPr>
        <w:t>Article 2</w:t>
      </w:r>
    </w:p>
    <w:p>
      <w:pPr>
        <w:autoSpaceDE w:val="0"/>
        <w:autoSpaceDN w:val="0"/>
        <w:adjustRightInd w:val="0"/>
        <w:spacing w:before="0" w:after="0"/>
        <w:rPr>
          <w:rFonts w:eastAsia="Times New Roman"/>
          <w:noProof/>
          <w:color w:val="000000"/>
          <w:szCs w:val="24"/>
          <w:lang w:val="en-US" w:eastAsia="es-ES"/>
        </w:rPr>
      </w:pPr>
    </w:p>
    <w:p>
      <w:pPr>
        <w:autoSpaceDE w:val="0"/>
        <w:autoSpaceDN w:val="0"/>
        <w:adjustRightInd w:val="0"/>
        <w:spacing w:before="0" w:after="0"/>
        <w:rPr>
          <w:rFonts w:eastAsia="Times New Roman"/>
          <w:noProof/>
          <w:color w:val="000000"/>
          <w:szCs w:val="24"/>
          <w:lang w:val="en-US" w:eastAsia="es-ES"/>
        </w:rPr>
      </w:pPr>
      <w:r>
        <w:rPr>
          <w:rFonts w:eastAsia="Times New Roman"/>
          <w:noProof/>
          <w:color w:val="000000"/>
          <w:szCs w:val="24"/>
          <w:lang w:val="en-US" w:eastAsia="es-ES"/>
        </w:rPr>
        <w:t>This Decision shall enter into force on the day of its adoption.</w:t>
      </w:r>
    </w:p>
    <w:p>
      <w:pPr>
        <w:autoSpaceDE w:val="0"/>
        <w:autoSpaceDN w:val="0"/>
        <w:adjustRightInd w:val="0"/>
        <w:spacing w:before="0" w:after="0"/>
        <w:rPr>
          <w:rFonts w:eastAsia="Times New Roman"/>
          <w:noProof/>
          <w:color w:val="000000"/>
          <w:szCs w:val="24"/>
          <w:lang w:val="en-US" w:eastAsia="es-ES"/>
        </w:rPr>
      </w:pPr>
    </w:p>
    <w:p>
      <w:pPr>
        <w:autoSpaceDE w:val="0"/>
        <w:autoSpaceDN w:val="0"/>
        <w:adjustRightInd w:val="0"/>
        <w:spacing w:before="0" w:after="0"/>
        <w:rPr>
          <w:rFonts w:eastAsia="Times New Roman"/>
          <w:noProof/>
          <w:color w:val="000000"/>
          <w:szCs w:val="24"/>
          <w:lang w:val="en-US" w:eastAsia="es-ES"/>
        </w:rPr>
      </w:pPr>
    </w:p>
    <w:p>
      <w:pPr>
        <w:spacing w:before="0" w:after="200" w:line="276" w:lineRule="auto"/>
        <w:jc w:val="left"/>
        <w:rPr>
          <w:rFonts w:ascii="EUAlbertina" w:eastAsia="Times New Roman" w:hAnsi="EUAlbertina" w:cs="EUAlbertina"/>
          <w:noProof/>
          <w:color w:val="000000"/>
          <w:szCs w:val="24"/>
          <w:lang w:val="en-US" w:eastAsia="es-ES"/>
        </w:rPr>
      </w:pPr>
    </w:p>
    <w:p>
      <w:pPr>
        <w:autoSpaceDE w:val="0"/>
        <w:autoSpaceDN w:val="0"/>
        <w:adjustRightInd w:val="0"/>
        <w:spacing w:before="0" w:after="0"/>
        <w:jc w:val="left"/>
        <w:rPr>
          <w:rFonts w:eastAsia="Times New Roman"/>
          <w:noProof/>
          <w:color w:val="000000"/>
          <w:szCs w:val="24"/>
          <w:lang w:val="en-US" w:eastAsia="es-ES"/>
        </w:rPr>
      </w:pPr>
      <w:r>
        <w:rPr>
          <w:rFonts w:eastAsia="Times New Roman"/>
          <w:noProof/>
          <w:color w:val="000000"/>
          <w:szCs w:val="24"/>
          <w:lang w:val="en-US" w:eastAsia="es-ES"/>
        </w:rPr>
        <w:t>Done at Brussels, XX XXXX 2017</w:t>
      </w:r>
    </w:p>
    <w:p>
      <w:pPr>
        <w:autoSpaceDE w:val="0"/>
        <w:autoSpaceDN w:val="0"/>
        <w:adjustRightInd w:val="0"/>
        <w:spacing w:before="0" w:after="0"/>
        <w:jc w:val="center"/>
        <w:rPr>
          <w:rFonts w:ascii="EUAlbertina" w:eastAsia="Times New Roman" w:hAnsi="EUAlbertina" w:cs="EUAlbertina"/>
          <w:noProof/>
          <w:color w:val="000000"/>
          <w:szCs w:val="24"/>
          <w:lang w:val="en-US" w:eastAsia="es-ES"/>
        </w:rPr>
      </w:pPr>
    </w:p>
    <w:p>
      <w:pPr>
        <w:autoSpaceDE w:val="0"/>
        <w:autoSpaceDN w:val="0"/>
        <w:adjustRightInd w:val="0"/>
        <w:spacing w:before="0" w:after="0"/>
        <w:jc w:val="center"/>
        <w:rPr>
          <w:rFonts w:ascii="EUAlbertina" w:eastAsia="Times New Roman" w:hAnsi="EUAlbertina" w:cs="EUAlbertina"/>
          <w:noProof/>
          <w:color w:val="000000"/>
          <w:szCs w:val="24"/>
          <w:lang w:val="en-US" w:eastAsia="es-ES"/>
        </w:rPr>
      </w:pPr>
    </w:p>
    <w:p>
      <w:pPr>
        <w:autoSpaceDE w:val="0"/>
        <w:autoSpaceDN w:val="0"/>
        <w:adjustRightInd w:val="0"/>
        <w:spacing w:before="0" w:after="0"/>
        <w:jc w:val="right"/>
        <w:rPr>
          <w:rFonts w:ascii="EUAlbertina" w:eastAsia="Times New Roman" w:hAnsi="EUAlbertina" w:cs="EUAlbertina"/>
          <w:i/>
          <w:noProof/>
          <w:color w:val="000000"/>
          <w:szCs w:val="24"/>
          <w:lang w:val="en-US" w:eastAsia="es-ES"/>
        </w:rPr>
      </w:pPr>
    </w:p>
    <w:p>
      <w:pPr>
        <w:autoSpaceDE w:val="0"/>
        <w:autoSpaceDN w:val="0"/>
        <w:adjustRightInd w:val="0"/>
        <w:spacing w:before="0" w:after="0"/>
        <w:jc w:val="center"/>
        <w:rPr>
          <w:rFonts w:eastAsia="Times New Roman"/>
          <w:i/>
          <w:noProof/>
          <w:color w:val="000000"/>
          <w:szCs w:val="24"/>
          <w:lang w:val="en-US" w:eastAsia="es-ES"/>
        </w:rPr>
      </w:pPr>
      <w:r>
        <w:rPr>
          <w:rFonts w:eastAsia="Times New Roman"/>
          <w:i/>
          <w:noProof/>
          <w:color w:val="000000"/>
          <w:szCs w:val="24"/>
          <w:lang w:val="en-US" w:eastAsia="es-ES"/>
        </w:rPr>
        <w:t>For the Association Council</w:t>
      </w:r>
    </w:p>
    <w:p>
      <w:pPr>
        <w:autoSpaceDE w:val="0"/>
        <w:autoSpaceDN w:val="0"/>
        <w:adjustRightInd w:val="0"/>
        <w:spacing w:before="0" w:after="0"/>
        <w:jc w:val="center"/>
        <w:rPr>
          <w:rFonts w:ascii="EUAlbertina" w:eastAsia="Times New Roman" w:hAnsi="EUAlbertina" w:cs="EUAlbertina"/>
          <w:noProof/>
          <w:color w:val="000000"/>
          <w:szCs w:val="24"/>
          <w:lang w:val="en-US" w:eastAsia="es-ES"/>
        </w:rPr>
      </w:pPr>
    </w:p>
    <w:p>
      <w:pPr>
        <w:autoSpaceDE w:val="0"/>
        <w:autoSpaceDN w:val="0"/>
        <w:adjustRightInd w:val="0"/>
        <w:spacing w:before="0" w:after="0"/>
        <w:jc w:val="center"/>
        <w:rPr>
          <w:rFonts w:ascii="EUAlbertina" w:eastAsia="Times New Roman" w:hAnsi="EUAlbertina" w:cs="EUAlbertina"/>
          <w:noProof/>
          <w:color w:val="000000"/>
          <w:szCs w:val="24"/>
          <w:lang w:val="en-US" w:eastAsia="es-ES"/>
        </w:rPr>
      </w:pPr>
    </w:p>
    <w:p>
      <w:pPr>
        <w:autoSpaceDE w:val="0"/>
        <w:autoSpaceDN w:val="0"/>
        <w:adjustRightInd w:val="0"/>
        <w:spacing w:before="0" w:after="0"/>
        <w:jc w:val="center"/>
        <w:rPr>
          <w:rFonts w:ascii="EUAlbertina" w:eastAsia="Times New Roman" w:hAnsi="EUAlbertina" w:cs="EUAlbertina"/>
          <w:noProof/>
          <w:color w:val="000000"/>
          <w:szCs w:val="24"/>
          <w:lang w:val="en-US" w:eastAsia="es-ES"/>
        </w:rPr>
      </w:pPr>
    </w:p>
    <w:p>
      <w:pPr>
        <w:autoSpaceDE w:val="0"/>
        <w:autoSpaceDN w:val="0"/>
        <w:adjustRightInd w:val="0"/>
        <w:spacing w:before="0" w:after="0"/>
        <w:jc w:val="center"/>
        <w:rPr>
          <w:rFonts w:ascii="EUAlbertina" w:eastAsia="Times New Roman" w:hAnsi="EUAlbertina" w:cs="EUAlbertina"/>
          <w:noProof/>
          <w:color w:val="000000"/>
          <w:szCs w:val="24"/>
          <w:lang w:val="en-US" w:eastAsia="es-ES"/>
        </w:rPr>
      </w:pPr>
    </w:p>
    <w:p>
      <w:pPr>
        <w:autoSpaceDE w:val="0"/>
        <w:autoSpaceDN w:val="0"/>
        <w:adjustRightInd w:val="0"/>
        <w:spacing w:before="0" w:after="0"/>
        <w:jc w:val="center"/>
        <w:rPr>
          <w:rFonts w:eastAsia="Times New Roman"/>
          <w:b/>
          <w:noProof/>
          <w:color w:val="000000"/>
          <w:szCs w:val="24"/>
          <w:lang w:eastAsia="es-ES"/>
        </w:rPr>
      </w:pPr>
      <w:r>
        <w:rPr>
          <w:rFonts w:ascii="EUAlbertina" w:eastAsia="Times New Roman" w:hAnsi="EUAlbertina" w:cs="EUAlbertina"/>
          <w:noProof/>
          <w:color w:val="000000"/>
          <w:szCs w:val="24"/>
          <w:lang w:eastAsia="es-ES"/>
        </w:rPr>
        <w:br w:type="page"/>
      </w:r>
      <w:r>
        <w:rPr>
          <w:rFonts w:eastAsia="Times New Roman"/>
          <w:b/>
          <w:noProof/>
          <w:color w:val="000000"/>
          <w:szCs w:val="24"/>
          <w:lang w:eastAsia="es-ES"/>
        </w:rPr>
        <w:lastRenderedPageBreak/>
        <w:t>ANNEX</w:t>
      </w:r>
    </w:p>
    <w:p>
      <w:pPr>
        <w:autoSpaceDE w:val="0"/>
        <w:autoSpaceDN w:val="0"/>
        <w:adjustRightInd w:val="0"/>
        <w:spacing w:before="0" w:after="0"/>
        <w:rPr>
          <w:rFonts w:eastAsia="Times New Roman"/>
          <w:noProof/>
          <w:color w:val="000000"/>
          <w:szCs w:val="24"/>
          <w:lang w:eastAsia="es-ES"/>
        </w:rPr>
      </w:pPr>
    </w:p>
    <w:p>
      <w:pPr>
        <w:autoSpaceDE w:val="0"/>
        <w:autoSpaceDN w:val="0"/>
        <w:adjustRightInd w:val="0"/>
        <w:spacing w:before="0" w:after="0"/>
        <w:rPr>
          <w:rFonts w:eastAsia="Times New Roman"/>
          <w:noProof/>
          <w:color w:val="000000"/>
          <w:szCs w:val="24"/>
          <w:lang w:eastAsia="es-ES"/>
        </w:rPr>
      </w:pPr>
      <w:r>
        <w:rPr>
          <w:rFonts w:eastAsia="Times New Roman"/>
          <w:noProof/>
          <w:color w:val="000000"/>
          <w:szCs w:val="24"/>
          <w:lang w:eastAsia="es-ES"/>
        </w:rPr>
        <w:t>The first section of Annex XXVI to the EU-Republic of Moldova Association Agreement of 27 June 2014 shall be  amended as follows:</w:t>
      </w:r>
    </w:p>
    <w:p>
      <w:pPr>
        <w:autoSpaceDE w:val="0"/>
        <w:autoSpaceDN w:val="0"/>
        <w:adjustRightInd w:val="0"/>
        <w:spacing w:before="0" w:after="0"/>
        <w:rPr>
          <w:rFonts w:eastAsia="Times New Roman"/>
          <w:noProof/>
          <w:color w:val="000000"/>
          <w:szCs w:val="24"/>
          <w:lang w:eastAsia="es-ES"/>
        </w:rPr>
      </w:pPr>
    </w:p>
    <w:p>
      <w:pPr>
        <w:rPr>
          <w:noProof/>
          <w:lang w:val="en-US"/>
        </w:rPr>
      </w:pPr>
      <w:r>
        <w:rPr>
          <w:rFonts w:eastAsia="Times New Roman"/>
          <w:noProof/>
          <w:szCs w:val="20"/>
          <w:lang w:eastAsia="es-MX"/>
        </w:rPr>
        <w:t xml:space="preserve">The reference </w:t>
      </w:r>
      <w:r>
        <w:rPr>
          <w:rFonts w:eastAsia="Times New Roman"/>
          <w:b/>
          <w:noProof/>
          <w:szCs w:val="20"/>
          <w:lang w:eastAsia="es-MX"/>
        </w:rPr>
        <w:t>'</w:t>
      </w:r>
      <w:r>
        <w:rPr>
          <w:rFonts w:eastAsia="Times New Roman"/>
          <w:b/>
          <w:noProof/>
          <w:szCs w:val="20"/>
          <w:lang w:val="en-US" w:eastAsia="es-MX"/>
        </w:rPr>
        <w:t>Council Regulation (EEC) No 2913/92 of 12 October 1992 establishing the Community Customs Code</w:t>
      </w:r>
      <w:r>
        <w:rPr>
          <w:rFonts w:eastAsia="Times New Roman"/>
          <w:noProof/>
          <w:szCs w:val="20"/>
          <w:lang w:val="en-US" w:eastAsia="es-MX"/>
        </w:rPr>
        <w:t xml:space="preserve">' shall be replaced by the reference </w:t>
      </w:r>
      <w:r>
        <w:rPr>
          <w:rFonts w:eastAsia="Times New Roman"/>
          <w:b/>
          <w:noProof/>
          <w:szCs w:val="20"/>
          <w:lang w:val="en-US" w:eastAsia="es-MX"/>
        </w:rPr>
        <w:t>'</w:t>
      </w:r>
      <w:r>
        <w:rPr>
          <w:rFonts w:eastAsia="Arial Unicode MS"/>
          <w:b/>
          <w:noProof/>
        </w:rPr>
        <w:t>Regulation (EU) No 952/2013 establishing the Union Customs Code</w:t>
      </w:r>
      <w:r>
        <w:rPr>
          <w:rFonts w:eastAsia="Arial Unicode MS"/>
          <w:noProof/>
        </w:rPr>
        <w:t>'</w:t>
      </w:r>
      <w:r>
        <w:rPr>
          <w:noProof/>
          <w:lang w:val="en-US"/>
        </w:rPr>
        <w:t>.</w:t>
      </w:r>
    </w:p>
    <w:sectPr>
      <w:footerReference w:type="default" r:id="rId16"/>
      <w:footerReference w:type="first" r:id="rId17"/>
      <w:pgSz w:w="11906" w:h="16838"/>
      <w:pgMar w:top="1417" w:right="1701" w:bottom="1417"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E406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E2B7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E464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20F2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603A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E8E66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8CCBDE"/>
    <w:lvl w:ilvl="0">
      <w:start w:val="1"/>
      <w:numFmt w:val="decimal"/>
      <w:pStyle w:val="ListNumber"/>
      <w:lvlText w:val="%1."/>
      <w:lvlJc w:val="left"/>
      <w:pPr>
        <w:tabs>
          <w:tab w:val="num" w:pos="360"/>
        </w:tabs>
        <w:ind w:left="360" w:hanging="360"/>
      </w:pPr>
    </w:lvl>
  </w:abstractNum>
  <w:abstractNum w:abstractNumId="7">
    <w:nsid w:val="FFFFFF89"/>
    <w:multiLevelType w:val="singleLevel"/>
    <w:tmpl w:val="9E2CA20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4:25: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7"/>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FE12F7D429EF41AD98B9595937CEF549"/>
    <w:docVar w:name="LW_CROSSREFERENCE" w:val="&lt;UNUSED&gt;"/>
    <w:docVar w:name="LW_DocType" w:val="ANNEX"/>
    <w:docVar w:name="LW_EMISSION" w:val="31.5.2017"/>
    <w:docVar w:name="LW_EMISSION_ISODATE" w:val="2017-05-3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within the EU \u8211? Republic of Moldova Association Council relating to the amendment to Annex XXVI to the EU-Republic of Moldova Association Agreement of  27 June 2014"/>
    <w:docVar w:name="LW_PART_NBR" w:val="1"/>
    <w:docVar w:name="LW_PART_NBR_TOTAL" w:val="1"/>
    <w:docVar w:name="LW_REF.INST.NEW" w:val="COM"/>
    <w:docVar w:name="LW_REF.INST.NEW_ADOPTED" w:val="final"/>
    <w:docVar w:name="LW_REF.INST.NEW_TEXT" w:val="(2017) 269"/>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5D0E-B605-4155-A894-1E0D1D10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356</Words>
  <Characters>1836</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Gary (TAXUD)</dc:creator>
  <cp:lastModifiedBy>DIGIT/A3</cp:lastModifiedBy>
  <cp:revision>7</cp:revision>
  <cp:lastPrinted>2017-03-31T15:06:00Z</cp:lastPrinted>
  <dcterms:created xsi:type="dcterms:W3CDTF">2017-05-05T13:54:00Z</dcterms:created>
  <dcterms:modified xsi:type="dcterms:W3CDTF">2017-05-30T12:25:00Z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