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s-ES_tradnl"/>
        </w:rPr>
      </w:pPr>
      <w:r>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8E3723EE1E54C9BBC2C45A32010DCD0" style="width:450.75pt;height:411pt">
            <v:imagedata r:id="rId9" o:title=""/>
          </v:shape>
        </w:pict>
      </w:r>
    </w:p>
    <w:p>
      <w:pPr>
        <w:rPr>
          <w:noProof/>
          <w:lang w:val="es-ES_tradnl"/>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before="0" w:after="200" w:line="276" w:lineRule="auto"/>
        <w:jc w:val="center"/>
        <w:rPr>
          <w:b/>
          <w:noProof/>
          <w:sz w:val="28"/>
          <w:szCs w:val="28"/>
          <w:lang w:val="fr-BE"/>
        </w:rPr>
      </w:pPr>
      <w:bookmarkStart w:id="0" w:name="_GoBack"/>
      <w:bookmarkEnd w:id="0"/>
      <w:r>
        <w:rPr>
          <w:b/>
          <w:noProof/>
          <w:sz w:val="28"/>
          <w:lang w:val="fr-BE"/>
        </w:rPr>
        <w:lastRenderedPageBreak/>
        <w:t>Annexe I</w:t>
      </w:r>
      <w:r>
        <w:rPr>
          <w:b/>
          <w:noProof/>
          <w:sz w:val="28"/>
          <w:szCs w:val="28"/>
          <w:lang w:val="fr-BE"/>
        </w:rPr>
        <w:br/>
      </w:r>
      <w:r>
        <w:rPr>
          <w:b/>
          <w:noProof/>
          <w:sz w:val="28"/>
          <w:lang w:val="fr-BE"/>
        </w:rPr>
        <w:t>Données à surveiller et à communiquer</w:t>
      </w:r>
    </w:p>
    <w:p>
      <w:pPr>
        <w:pStyle w:val="ManualHeading1"/>
        <w:rPr>
          <w:noProof/>
          <w:lang w:val="fr-BE"/>
        </w:rPr>
      </w:pPr>
      <w:r>
        <w:rPr>
          <w:noProof/>
          <w:lang w:val="fr-BE"/>
        </w:rPr>
        <w:t xml:space="preserve">Partie A: </w:t>
      </w:r>
      <w:r>
        <w:rPr>
          <w:noProof/>
          <w:lang w:val="fr-BE"/>
        </w:rPr>
        <w:tab/>
        <w:t xml:space="preserve">Données dont la surveillance et la communication incombent aux États membres </w:t>
      </w:r>
    </w:p>
    <w:p>
      <w:pPr>
        <w:pStyle w:val="Point0"/>
        <w:rPr>
          <w:noProof/>
          <w:lang w:val="fr-BE"/>
        </w:rPr>
      </w:pPr>
      <w:r>
        <w:rPr>
          <w:noProof/>
          <w:lang w:val="fr-BE"/>
        </w:rPr>
        <w:t>a)</w:t>
      </w:r>
      <w:r>
        <w:rPr>
          <w:noProof/>
          <w:lang w:val="fr-BE"/>
        </w:rPr>
        <w:tab/>
        <w:t xml:space="preserve">Numéros d’identification de tous les véhicules neufs visés à l’article 2, points a) et b), qui sont immatriculés sur le territoire de l’État membre; </w:t>
      </w:r>
    </w:p>
    <w:p>
      <w:pPr>
        <w:pStyle w:val="Point0"/>
        <w:rPr>
          <w:noProof/>
          <w:lang w:val="fr-BE"/>
        </w:rPr>
      </w:pPr>
      <w:r>
        <w:rPr>
          <w:noProof/>
          <w:lang w:val="fr-BE"/>
        </w:rPr>
        <w:t>b)</w:t>
      </w:r>
      <w:r>
        <w:rPr>
          <w:noProof/>
          <w:lang w:val="fr-BE"/>
        </w:rPr>
        <w:tab/>
        <w:t>nom du constructeur;</w:t>
      </w:r>
    </w:p>
    <w:p>
      <w:pPr>
        <w:pStyle w:val="Point0"/>
        <w:rPr>
          <w:noProof/>
          <w:lang w:val="fr-BE"/>
        </w:rPr>
      </w:pPr>
      <w:r>
        <w:rPr>
          <w:noProof/>
          <w:lang w:val="fr-BE"/>
        </w:rPr>
        <w:t>c)</w:t>
      </w:r>
      <w:r>
        <w:rPr>
          <w:noProof/>
          <w:lang w:val="fr-BE"/>
        </w:rPr>
        <w:tab/>
        <w:t>marque (raison sociale du constructeur);</w:t>
      </w:r>
    </w:p>
    <w:p>
      <w:pPr>
        <w:pStyle w:val="Point0"/>
        <w:rPr>
          <w:noProof/>
          <w:lang w:val="fr-BE"/>
        </w:rPr>
      </w:pPr>
      <w:r>
        <w:rPr>
          <w:noProof/>
          <w:lang w:val="fr-BE"/>
        </w:rPr>
        <w:t>d)</w:t>
      </w:r>
      <w:r>
        <w:rPr>
          <w:noProof/>
          <w:lang w:val="fr-BE"/>
        </w:rPr>
        <w:tab/>
        <w:t>code de la carrosserie, tel que spécifié à l’entrée 38 du certificat de conformité, si disponible;</w:t>
      </w:r>
    </w:p>
    <w:p>
      <w:pPr>
        <w:pStyle w:val="Point0"/>
        <w:rPr>
          <w:noProof/>
          <w:lang w:val="fr-BE"/>
        </w:rPr>
      </w:pPr>
      <w:r>
        <w:rPr>
          <w:noProof/>
          <w:lang w:val="fr-BE"/>
        </w:rPr>
        <w:t>e)</w:t>
      </w:r>
      <w:r>
        <w:rPr>
          <w:noProof/>
          <w:lang w:val="fr-BE"/>
        </w:rPr>
        <w:tab/>
        <w:t>dans le cas des véhicules visés à l’article 2, point a), informations relatives à la propulsion spécifiées aux entrées 23, 23.1 et 26 du certificat de conformité.</w:t>
      </w:r>
    </w:p>
    <w:p>
      <w:pPr>
        <w:pStyle w:val="ManualHeading1"/>
        <w:ind w:left="1440" w:hanging="1440"/>
        <w:rPr>
          <w:noProof/>
          <w:lang w:val="fr-BE"/>
        </w:rPr>
      </w:pPr>
      <w:r>
        <w:rPr>
          <w:noProof/>
          <w:lang w:val="fr-BE"/>
        </w:rPr>
        <w:t>Partie B:</w:t>
      </w:r>
      <w:r>
        <w:rPr>
          <w:noProof/>
          <w:lang w:val="fr-BE"/>
        </w:rPr>
        <w:tab/>
        <w:t>Données dont la surveillance et la communication incombent aux constructeurs de véhicules utilitaires lourds:</w:t>
      </w:r>
    </w:p>
    <w:p>
      <w:pPr>
        <w:rPr>
          <w:noProof/>
          <w:lang w:val="fr-BE"/>
        </w:rPr>
      </w:pPr>
    </w:p>
    <w:tbl>
      <w:tblPr>
        <w:tblStyle w:val="TableGrid"/>
        <w:tblW w:w="0" w:type="auto"/>
        <w:tblLook w:val="04A0" w:firstRow="1" w:lastRow="0" w:firstColumn="1" w:lastColumn="0" w:noHBand="0" w:noVBand="1"/>
      </w:tblPr>
      <w:tblGrid>
        <w:gridCol w:w="663"/>
        <w:gridCol w:w="4344"/>
        <w:gridCol w:w="1664"/>
        <w:gridCol w:w="2618"/>
      </w:tblGrid>
      <w:tr>
        <w:tc>
          <w:tcPr>
            <w:tcW w:w="687" w:type="dxa"/>
            <w:vAlign w:val="center"/>
          </w:tcPr>
          <w:p>
            <w:pPr>
              <w:spacing w:before="100" w:beforeAutospacing="1" w:after="100" w:afterAutospacing="1" w:line="276" w:lineRule="auto"/>
              <w:jc w:val="left"/>
              <w:rPr>
                <w:b/>
                <w:noProof/>
                <w:szCs w:val="24"/>
                <w:lang w:val="es-ES_tradnl"/>
              </w:rPr>
            </w:pPr>
            <w:r>
              <w:rPr>
                <w:b/>
                <w:noProof/>
                <w:lang w:val="es-ES_tradnl"/>
              </w:rPr>
              <w:t>Nº</w:t>
            </w:r>
          </w:p>
        </w:tc>
        <w:tc>
          <w:tcPr>
            <w:tcW w:w="4661" w:type="dxa"/>
            <w:vAlign w:val="center"/>
          </w:tcPr>
          <w:p>
            <w:pPr>
              <w:spacing w:before="100" w:beforeAutospacing="1" w:after="100" w:afterAutospacing="1" w:line="360" w:lineRule="auto"/>
              <w:jc w:val="left"/>
              <w:rPr>
                <w:rFonts w:eastAsia="Times New Roman"/>
                <w:b/>
                <w:noProof/>
                <w:color w:val="000000"/>
                <w:szCs w:val="24"/>
                <w:lang w:val="es-ES_tradnl"/>
              </w:rPr>
            </w:pPr>
            <w:r>
              <w:rPr>
                <w:b/>
                <w:noProof/>
                <w:color w:val="000000"/>
                <w:lang w:val="es-ES_tradnl"/>
              </w:rPr>
              <w:t>Paramètres de surveillance</w:t>
            </w:r>
          </w:p>
        </w:tc>
        <w:tc>
          <w:tcPr>
            <w:tcW w:w="1725" w:type="dxa"/>
            <w:vAlign w:val="center"/>
          </w:tcPr>
          <w:p>
            <w:pPr>
              <w:spacing w:before="100" w:beforeAutospacing="1" w:after="100" w:afterAutospacing="1" w:line="276" w:lineRule="auto"/>
              <w:jc w:val="left"/>
              <w:rPr>
                <w:noProof/>
                <w:szCs w:val="24"/>
                <w:lang w:val="fr-BE"/>
              </w:rPr>
            </w:pPr>
            <w:r>
              <w:rPr>
                <w:b/>
                <w:noProof/>
                <w:lang w:val="fr-BE"/>
              </w:rPr>
              <w:t>Source</w:t>
            </w:r>
            <w:r>
              <w:rPr>
                <w:noProof/>
                <w:color w:val="000000"/>
                <w:sz w:val="22"/>
                <w:lang w:val="fr-BE"/>
              </w:rPr>
              <w:t xml:space="preserve"> Appendice 1 de l’annexe I du règlement […/…]</w:t>
            </w:r>
            <w:r>
              <w:rPr>
                <w:b/>
                <w:noProof/>
                <w:lang w:val="fr-BE"/>
              </w:rPr>
              <w:t xml:space="preserve"> </w:t>
            </w:r>
          </w:p>
        </w:tc>
        <w:tc>
          <w:tcPr>
            <w:tcW w:w="2216" w:type="dxa"/>
            <w:vAlign w:val="center"/>
          </w:tcPr>
          <w:p>
            <w:pPr>
              <w:spacing w:before="100" w:beforeAutospacing="1" w:after="100" w:afterAutospacing="1" w:line="276" w:lineRule="auto"/>
              <w:jc w:val="left"/>
              <w:rPr>
                <w:b/>
                <w:noProof/>
                <w:szCs w:val="24"/>
                <w:lang w:val="es-ES_tradnl"/>
              </w:rPr>
            </w:pPr>
            <w:r>
              <w:rPr>
                <w:b/>
                <w:noProof/>
                <w:lang w:val="es-ES_tradnl"/>
              </w:rPr>
              <w:t>Description</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1</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d’identification du véhicule (VIN)</w:t>
            </w:r>
          </w:p>
        </w:tc>
        <w:tc>
          <w:tcPr>
            <w:tcW w:w="1725" w:type="dxa"/>
            <w:vAlign w:val="center"/>
          </w:tcPr>
          <w:p>
            <w:pPr>
              <w:spacing w:before="60" w:after="60" w:line="276" w:lineRule="auto"/>
              <w:jc w:val="left"/>
              <w:rPr>
                <w:rFonts w:eastAsia="Times New Roman"/>
                <w:noProof/>
                <w:color w:val="000000"/>
                <w:szCs w:val="24"/>
                <w:lang w:val="es-ES_tradnl"/>
              </w:rPr>
            </w:pPr>
            <w:r>
              <w:rPr>
                <w:noProof/>
                <w:color w:val="000000"/>
                <w:lang w:val="es-ES_tradnl"/>
              </w:rPr>
              <w:t>1.1.1</w:t>
            </w:r>
          </w:p>
        </w:tc>
        <w:tc>
          <w:tcPr>
            <w:tcW w:w="2216" w:type="dxa"/>
            <w:vMerge w:val="restart"/>
            <w:vAlign w:val="center"/>
          </w:tcPr>
          <w:p>
            <w:pPr>
              <w:spacing w:before="100" w:beforeAutospacing="1" w:after="100" w:afterAutospacing="1" w:line="276" w:lineRule="auto"/>
              <w:jc w:val="left"/>
              <w:rPr>
                <w:noProof/>
                <w:szCs w:val="24"/>
                <w:lang w:val="fr-BE"/>
              </w:rPr>
            </w:pPr>
            <w:r>
              <w:rPr>
                <w:noProof/>
                <w:color w:val="000000"/>
                <w:lang w:val="fr-BE"/>
              </w:rPr>
              <w:t>Identification du véhicule et de ses composants</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2</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de certification du moteur</w:t>
            </w:r>
          </w:p>
        </w:tc>
        <w:tc>
          <w:tcPr>
            <w:tcW w:w="1725" w:type="dxa"/>
            <w:vAlign w:val="center"/>
          </w:tcPr>
          <w:p>
            <w:pPr>
              <w:spacing w:before="60" w:after="60" w:line="276" w:lineRule="auto"/>
              <w:jc w:val="left"/>
              <w:rPr>
                <w:noProof/>
                <w:szCs w:val="24"/>
                <w:lang w:val="es-ES_tradnl"/>
              </w:rPr>
            </w:pPr>
            <w:r>
              <w:rPr>
                <w:noProof/>
                <w:lang w:val="es-ES_tradnl"/>
              </w:rPr>
              <w:t>1.2.1</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de certification du CdxA (le cas échéant)</w:t>
            </w:r>
          </w:p>
        </w:tc>
        <w:tc>
          <w:tcPr>
            <w:tcW w:w="1725" w:type="dxa"/>
            <w:vAlign w:val="center"/>
          </w:tcPr>
          <w:p>
            <w:pPr>
              <w:spacing w:before="60" w:after="60" w:line="276" w:lineRule="auto"/>
              <w:jc w:val="left"/>
              <w:rPr>
                <w:noProof/>
                <w:szCs w:val="24"/>
                <w:lang w:val="es-ES_tradnl"/>
              </w:rPr>
            </w:pPr>
            <w:r>
              <w:rPr>
                <w:noProof/>
                <w:lang w:val="es-ES_tradnl"/>
              </w:rPr>
              <w:t>1.8.2</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de certification de la transmission</w:t>
            </w:r>
          </w:p>
        </w:tc>
        <w:tc>
          <w:tcPr>
            <w:tcW w:w="1725" w:type="dxa"/>
            <w:vAlign w:val="center"/>
          </w:tcPr>
          <w:p>
            <w:pPr>
              <w:spacing w:before="60" w:after="60" w:line="276" w:lineRule="auto"/>
              <w:jc w:val="left"/>
              <w:rPr>
                <w:noProof/>
                <w:szCs w:val="24"/>
                <w:lang w:val="es-ES_tradnl"/>
              </w:rPr>
            </w:pPr>
            <w:r>
              <w:rPr>
                <w:noProof/>
                <w:lang w:val="es-ES_tradnl"/>
              </w:rPr>
              <w:t>1.3.2</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de certification des essieux</w:t>
            </w:r>
          </w:p>
        </w:tc>
        <w:tc>
          <w:tcPr>
            <w:tcW w:w="1725" w:type="dxa"/>
            <w:vAlign w:val="center"/>
          </w:tcPr>
          <w:p>
            <w:pPr>
              <w:spacing w:before="60" w:after="60" w:line="276" w:lineRule="auto"/>
              <w:jc w:val="left"/>
              <w:rPr>
                <w:noProof/>
                <w:szCs w:val="24"/>
                <w:lang w:val="es-ES_tradnl"/>
              </w:rPr>
            </w:pPr>
            <w:r>
              <w:rPr>
                <w:noProof/>
                <w:lang w:val="es-ES_tradnl"/>
              </w:rPr>
              <w:t>1.7.2</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de certification des pneumatiques, essieu 1</w:t>
            </w:r>
          </w:p>
        </w:tc>
        <w:tc>
          <w:tcPr>
            <w:tcW w:w="1725" w:type="dxa"/>
            <w:vAlign w:val="center"/>
          </w:tcPr>
          <w:p>
            <w:pPr>
              <w:spacing w:before="60" w:after="60" w:line="276" w:lineRule="auto"/>
              <w:jc w:val="left"/>
              <w:rPr>
                <w:noProof/>
                <w:szCs w:val="24"/>
                <w:lang w:val="es-ES_tradnl"/>
              </w:rPr>
            </w:pPr>
            <w:r>
              <w:rPr>
                <w:noProof/>
                <w:lang w:val="es-ES_tradnl"/>
              </w:rPr>
              <w:t>1.9.2</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7</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de certification des pneumatiques, essieu 2</w:t>
            </w:r>
          </w:p>
        </w:tc>
        <w:tc>
          <w:tcPr>
            <w:tcW w:w="1725" w:type="dxa"/>
            <w:vAlign w:val="center"/>
          </w:tcPr>
          <w:p>
            <w:pPr>
              <w:spacing w:before="60" w:after="60" w:line="276" w:lineRule="auto"/>
              <w:jc w:val="left"/>
              <w:rPr>
                <w:noProof/>
                <w:lang w:val="es-ES_tradnl"/>
              </w:rPr>
            </w:pPr>
            <w:r>
              <w:rPr>
                <w:noProof/>
                <w:lang w:val="es-ES_tradnl"/>
              </w:rPr>
              <w:t>1.9.6</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8</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de certification des pneumatiques, essieu 3</w:t>
            </w:r>
          </w:p>
        </w:tc>
        <w:tc>
          <w:tcPr>
            <w:tcW w:w="1725" w:type="dxa"/>
            <w:vAlign w:val="center"/>
          </w:tcPr>
          <w:p>
            <w:pPr>
              <w:spacing w:before="60" w:after="60" w:line="276" w:lineRule="auto"/>
              <w:jc w:val="left"/>
              <w:rPr>
                <w:noProof/>
                <w:lang w:val="es-ES_tradnl"/>
              </w:rPr>
            </w:pPr>
            <w:r>
              <w:rPr>
                <w:noProof/>
                <w:lang w:val="es-ES_tradnl"/>
              </w:rPr>
              <w:t>1.9.10</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9</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Numéro de certification des pneumatiques, essieu 4</w:t>
            </w:r>
          </w:p>
        </w:tc>
        <w:tc>
          <w:tcPr>
            <w:tcW w:w="1725" w:type="dxa"/>
            <w:vAlign w:val="center"/>
          </w:tcPr>
          <w:p>
            <w:pPr>
              <w:spacing w:before="60" w:after="60" w:line="276" w:lineRule="auto"/>
              <w:jc w:val="left"/>
              <w:rPr>
                <w:noProof/>
                <w:lang w:val="es-ES_tradnl"/>
              </w:rPr>
            </w:pPr>
            <w:r>
              <w:rPr>
                <w:noProof/>
                <w:lang w:val="es-ES_tradnl"/>
              </w:rPr>
              <w:t>1.9.14</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10</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 xml:space="preserve">Catégorie du véhicule </w:t>
            </w:r>
          </w:p>
        </w:tc>
        <w:tc>
          <w:tcPr>
            <w:tcW w:w="1725" w:type="dxa"/>
            <w:vAlign w:val="center"/>
          </w:tcPr>
          <w:p>
            <w:pPr>
              <w:spacing w:before="60" w:after="60" w:line="276" w:lineRule="auto"/>
              <w:jc w:val="left"/>
              <w:rPr>
                <w:noProof/>
                <w:lang w:val="es-ES_tradnl"/>
              </w:rPr>
            </w:pPr>
            <w:r>
              <w:rPr>
                <w:noProof/>
                <w:lang w:val="es-ES_tradnl"/>
              </w:rPr>
              <w:t>1.1.2</w:t>
            </w:r>
          </w:p>
        </w:tc>
        <w:tc>
          <w:tcPr>
            <w:tcW w:w="2216" w:type="dxa"/>
            <w:vMerge w:val="restart"/>
            <w:vAlign w:val="center"/>
          </w:tcPr>
          <w:p>
            <w:pPr>
              <w:spacing w:before="100" w:beforeAutospacing="1" w:after="100" w:afterAutospacing="1" w:line="276" w:lineRule="auto"/>
              <w:jc w:val="left"/>
              <w:rPr>
                <w:noProof/>
                <w:szCs w:val="24"/>
                <w:lang w:val="es-ES_tradnl"/>
              </w:rPr>
            </w:pPr>
            <w:r>
              <w:rPr>
                <w:noProof/>
                <w:lang w:val="es-ES_tradnl"/>
              </w:rPr>
              <w:t>Classification du véhicule</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11</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Configuration des essieux</w:t>
            </w:r>
          </w:p>
        </w:tc>
        <w:tc>
          <w:tcPr>
            <w:tcW w:w="1725" w:type="dxa"/>
            <w:vAlign w:val="center"/>
          </w:tcPr>
          <w:p>
            <w:pPr>
              <w:spacing w:before="60" w:after="60" w:line="276" w:lineRule="auto"/>
              <w:jc w:val="left"/>
              <w:rPr>
                <w:noProof/>
                <w:lang w:val="es-ES_tradnl"/>
              </w:rPr>
            </w:pPr>
            <w:r>
              <w:rPr>
                <w:noProof/>
                <w:lang w:val="es-ES_tradnl"/>
              </w:rPr>
              <w:t>1.1.3</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12</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 xml:space="preserve">Poids maximal autorisé du véhicule en charge </w:t>
            </w:r>
          </w:p>
        </w:tc>
        <w:tc>
          <w:tcPr>
            <w:tcW w:w="1725" w:type="dxa"/>
            <w:vAlign w:val="center"/>
          </w:tcPr>
          <w:p>
            <w:pPr>
              <w:spacing w:before="60" w:after="60" w:line="276" w:lineRule="auto"/>
              <w:jc w:val="left"/>
              <w:rPr>
                <w:noProof/>
                <w:lang w:val="es-ES_tradnl"/>
              </w:rPr>
            </w:pPr>
            <w:r>
              <w:rPr>
                <w:noProof/>
                <w:lang w:val="es-ES_tradnl"/>
              </w:rPr>
              <w:t>1.1.4</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13</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Groupe du véhicule</w:t>
            </w:r>
          </w:p>
        </w:tc>
        <w:tc>
          <w:tcPr>
            <w:tcW w:w="1725" w:type="dxa"/>
            <w:vAlign w:val="center"/>
          </w:tcPr>
          <w:p>
            <w:pPr>
              <w:spacing w:before="60" w:after="60" w:line="276" w:lineRule="auto"/>
              <w:jc w:val="left"/>
              <w:rPr>
                <w:noProof/>
                <w:lang w:val="es-ES_tradnl"/>
              </w:rPr>
            </w:pPr>
            <w:r>
              <w:rPr>
                <w:noProof/>
                <w:lang w:val="es-ES_tradnl"/>
              </w:rPr>
              <w:t>1.1.5</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14</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Nom du constructeur</w:t>
            </w:r>
          </w:p>
        </w:tc>
        <w:tc>
          <w:tcPr>
            <w:tcW w:w="1725" w:type="dxa"/>
            <w:vAlign w:val="center"/>
          </w:tcPr>
          <w:p>
            <w:pPr>
              <w:spacing w:before="60" w:after="60" w:line="276" w:lineRule="auto"/>
              <w:jc w:val="left"/>
              <w:rPr>
                <w:noProof/>
                <w:lang w:val="es-ES_tradnl"/>
              </w:rPr>
            </w:pPr>
            <w:r>
              <w:rPr>
                <w:noProof/>
                <w:lang w:val="es-ES_tradnl"/>
              </w:rPr>
              <w:t>1.1.6</w:t>
            </w:r>
          </w:p>
        </w:tc>
        <w:tc>
          <w:tcPr>
            <w:tcW w:w="2216" w:type="dxa"/>
            <w:vMerge w:val="restart"/>
            <w:vAlign w:val="center"/>
          </w:tcPr>
          <w:p>
            <w:pPr>
              <w:spacing w:before="100" w:beforeAutospacing="1" w:after="100" w:afterAutospacing="1" w:line="276" w:lineRule="auto"/>
              <w:jc w:val="left"/>
              <w:rPr>
                <w:noProof/>
                <w:szCs w:val="24"/>
                <w:lang w:val="fr-BE"/>
              </w:rPr>
            </w:pPr>
            <w:r>
              <w:rPr>
                <w:noProof/>
                <w:lang w:val="fr-BE"/>
              </w:rPr>
              <w:t>Spécifications du véhicule et du châssis</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15</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Marque (raison sociale du constructeur)</w:t>
            </w:r>
          </w:p>
        </w:tc>
        <w:tc>
          <w:tcPr>
            <w:tcW w:w="1725" w:type="dxa"/>
            <w:vAlign w:val="center"/>
          </w:tcPr>
          <w:p>
            <w:pPr>
              <w:spacing w:before="60" w:after="60" w:line="276" w:lineRule="auto"/>
              <w:jc w:val="left"/>
              <w:rPr>
                <w:noProof/>
                <w:lang w:val="es-ES_tradnl"/>
              </w:rPr>
            </w:pPr>
            <w:r>
              <w:rPr>
                <w:noProof/>
                <w:lang w:val="es-ES_tradnl"/>
              </w:rPr>
              <w:t>1.1.7</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16</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 xml:space="preserve">Masse en ordre de marche corrigée  </w:t>
            </w:r>
          </w:p>
        </w:tc>
        <w:tc>
          <w:tcPr>
            <w:tcW w:w="1725" w:type="dxa"/>
            <w:vAlign w:val="center"/>
          </w:tcPr>
          <w:p>
            <w:pPr>
              <w:spacing w:before="60" w:after="60" w:line="276" w:lineRule="auto"/>
              <w:jc w:val="left"/>
              <w:rPr>
                <w:noProof/>
                <w:lang w:val="es-ES_tradnl"/>
              </w:rPr>
            </w:pPr>
            <w:r>
              <w:rPr>
                <w:noProof/>
                <w:lang w:val="es-ES_tradnl"/>
              </w:rPr>
              <w:t>1.1.8</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17</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Puissance nominale du moteur</w:t>
            </w:r>
          </w:p>
        </w:tc>
        <w:tc>
          <w:tcPr>
            <w:tcW w:w="1725" w:type="dxa"/>
            <w:vAlign w:val="center"/>
          </w:tcPr>
          <w:p>
            <w:pPr>
              <w:spacing w:before="60" w:after="60" w:line="276" w:lineRule="auto"/>
              <w:jc w:val="left"/>
              <w:rPr>
                <w:noProof/>
                <w:lang w:val="es-ES_tradnl"/>
              </w:rPr>
            </w:pPr>
            <w:r>
              <w:rPr>
                <w:noProof/>
                <w:lang w:val="es-ES_tradnl"/>
              </w:rPr>
              <w:t>1.2.2</w:t>
            </w:r>
          </w:p>
        </w:tc>
        <w:tc>
          <w:tcPr>
            <w:tcW w:w="2216" w:type="dxa"/>
            <w:vMerge w:val="restart"/>
            <w:vAlign w:val="center"/>
          </w:tcPr>
          <w:p>
            <w:pPr>
              <w:spacing w:before="100" w:beforeAutospacing="1" w:after="100" w:afterAutospacing="1" w:line="276" w:lineRule="auto"/>
              <w:jc w:val="left"/>
              <w:rPr>
                <w:noProof/>
                <w:szCs w:val="24"/>
                <w:lang w:val="es-ES_tradnl"/>
              </w:rPr>
            </w:pPr>
            <w:r>
              <w:rPr>
                <w:noProof/>
                <w:lang w:val="es-ES_tradnl"/>
              </w:rPr>
              <w:t>Principales spécifications du moteur</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18</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Régime de ralenti moteur</w:t>
            </w:r>
          </w:p>
        </w:tc>
        <w:tc>
          <w:tcPr>
            <w:tcW w:w="1725" w:type="dxa"/>
            <w:vAlign w:val="center"/>
          </w:tcPr>
          <w:p>
            <w:pPr>
              <w:spacing w:before="60" w:after="60" w:line="276" w:lineRule="auto"/>
              <w:jc w:val="left"/>
              <w:rPr>
                <w:noProof/>
                <w:lang w:val="es-ES_tradnl"/>
              </w:rPr>
            </w:pPr>
            <w:r>
              <w:rPr>
                <w:noProof/>
                <w:lang w:val="es-ES_tradnl"/>
              </w:rPr>
              <w:t>1.2.3</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19</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Régime nominal du moteur</w:t>
            </w:r>
          </w:p>
        </w:tc>
        <w:tc>
          <w:tcPr>
            <w:tcW w:w="1725" w:type="dxa"/>
            <w:vAlign w:val="center"/>
          </w:tcPr>
          <w:p>
            <w:pPr>
              <w:spacing w:before="60" w:after="60" w:line="276" w:lineRule="auto"/>
              <w:jc w:val="left"/>
              <w:rPr>
                <w:noProof/>
                <w:lang w:val="es-ES_tradnl"/>
              </w:rPr>
            </w:pPr>
            <w:r>
              <w:rPr>
                <w:noProof/>
                <w:lang w:val="es-ES_tradnl"/>
              </w:rPr>
              <w:t>1.2.4</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20</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Cylindrée</w:t>
            </w:r>
          </w:p>
        </w:tc>
        <w:tc>
          <w:tcPr>
            <w:tcW w:w="1725" w:type="dxa"/>
            <w:vAlign w:val="center"/>
          </w:tcPr>
          <w:p>
            <w:pPr>
              <w:spacing w:before="60" w:after="60" w:line="276" w:lineRule="auto"/>
              <w:jc w:val="left"/>
              <w:rPr>
                <w:noProof/>
                <w:lang w:val="es-ES_tradnl"/>
              </w:rPr>
            </w:pPr>
            <w:r>
              <w:rPr>
                <w:noProof/>
                <w:lang w:val="es-ES_tradnl"/>
              </w:rPr>
              <w:t>1.2.5</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21</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 xml:space="preserve">Type de carburant de référence pour le moteur </w:t>
            </w:r>
          </w:p>
        </w:tc>
        <w:tc>
          <w:tcPr>
            <w:tcW w:w="1725" w:type="dxa"/>
            <w:vAlign w:val="center"/>
          </w:tcPr>
          <w:p>
            <w:pPr>
              <w:spacing w:before="60" w:after="60" w:line="276" w:lineRule="auto"/>
              <w:jc w:val="left"/>
              <w:rPr>
                <w:noProof/>
                <w:lang w:val="es-ES_tradnl"/>
              </w:rPr>
            </w:pPr>
            <w:r>
              <w:rPr>
                <w:noProof/>
                <w:lang w:val="es-ES_tradnl"/>
              </w:rPr>
              <w:t>1.2.6</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22</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Type de certification utilisé pour l’obtention du CdxA (valeur par défaut ou mesure)</w:t>
            </w:r>
          </w:p>
        </w:tc>
        <w:tc>
          <w:tcPr>
            <w:tcW w:w="1725" w:type="dxa"/>
            <w:vAlign w:val="center"/>
          </w:tcPr>
          <w:p>
            <w:pPr>
              <w:spacing w:before="60" w:after="60" w:line="276" w:lineRule="auto"/>
              <w:jc w:val="left"/>
              <w:rPr>
                <w:noProof/>
                <w:lang w:val="es-ES_tradnl"/>
              </w:rPr>
            </w:pPr>
            <w:r>
              <w:rPr>
                <w:noProof/>
                <w:lang w:val="es-ES_tradnl"/>
              </w:rPr>
              <w:t>1.8.1</w:t>
            </w:r>
          </w:p>
        </w:tc>
        <w:tc>
          <w:tcPr>
            <w:tcW w:w="2216" w:type="dxa"/>
            <w:vMerge w:val="restart"/>
            <w:vAlign w:val="center"/>
          </w:tcPr>
          <w:p>
            <w:pPr>
              <w:spacing w:before="100" w:beforeAutospacing="1" w:after="100" w:afterAutospacing="1" w:line="276" w:lineRule="auto"/>
              <w:jc w:val="left"/>
              <w:rPr>
                <w:noProof/>
                <w:szCs w:val="24"/>
                <w:lang w:val="es-ES_tradnl"/>
              </w:rPr>
            </w:pPr>
            <w:r>
              <w:rPr>
                <w:noProof/>
                <w:lang w:val="es-ES_tradnl"/>
              </w:rPr>
              <w:t>Aérodynamique</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23</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Valeur du CdxA</w:t>
            </w:r>
          </w:p>
        </w:tc>
        <w:tc>
          <w:tcPr>
            <w:tcW w:w="1725" w:type="dxa"/>
            <w:vAlign w:val="center"/>
          </w:tcPr>
          <w:p>
            <w:pPr>
              <w:spacing w:before="60" w:after="60" w:line="276" w:lineRule="auto"/>
              <w:jc w:val="left"/>
              <w:rPr>
                <w:noProof/>
                <w:lang w:val="es-ES_tradnl"/>
              </w:rPr>
            </w:pPr>
            <w:r>
              <w:rPr>
                <w:noProof/>
                <w:lang w:val="es-ES_tradnl"/>
              </w:rPr>
              <w:t>1.8.3</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24</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Nom et adresse du constructeur</w:t>
            </w:r>
          </w:p>
        </w:tc>
        <w:tc>
          <w:tcPr>
            <w:tcW w:w="1725" w:type="dxa"/>
            <w:vAlign w:val="center"/>
          </w:tcPr>
          <w:p>
            <w:pPr>
              <w:spacing w:before="60" w:after="60" w:line="276" w:lineRule="auto"/>
              <w:jc w:val="left"/>
              <w:rPr>
                <w:noProof/>
                <w:lang w:val="es-ES_tradnl"/>
              </w:rPr>
            </w:pPr>
            <w:r>
              <w:rPr>
                <w:noProof/>
                <w:lang w:val="es-ES_tradnl"/>
              </w:rPr>
              <w:t>-</w:t>
            </w:r>
          </w:p>
        </w:tc>
        <w:tc>
          <w:tcPr>
            <w:tcW w:w="2216" w:type="dxa"/>
            <w:vMerge w:val="restart"/>
            <w:vAlign w:val="center"/>
          </w:tcPr>
          <w:p>
            <w:pPr>
              <w:spacing w:before="100" w:beforeAutospacing="1" w:after="100" w:afterAutospacing="1" w:line="276" w:lineRule="auto"/>
              <w:jc w:val="left"/>
              <w:rPr>
                <w:noProof/>
                <w:szCs w:val="24"/>
                <w:lang w:val="fr-BE"/>
              </w:rPr>
            </w:pPr>
            <w:r>
              <w:rPr>
                <w:noProof/>
                <w:lang w:val="fr-BE"/>
              </w:rPr>
              <w:t>Principales spécifications de la transmission</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25</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Marque (raison sociale du constructeur)</w:t>
            </w:r>
          </w:p>
        </w:tc>
        <w:tc>
          <w:tcPr>
            <w:tcW w:w="1725" w:type="dxa"/>
            <w:vAlign w:val="center"/>
          </w:tcPr>
          <w:p>
            <w:pPr>
              <w:spacing w:before="60" w:after="60" w:line="276" w:lineRule="auto"/>
              <w:jc w:val="left"/>
              <w:rPr>
                <w:noProof/>
                <w:lang w:val="es-ES_tradnl"/>
              </w:rPr>
            </w:pPr>
            <w:r>
              <w:rPr>
                <w:noProof/>
                <w:lang w:val="es-ES_tradnl"/>
              </w:rPr>
              <w:t>-</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26</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Type de certification choisi pour l’obtention de la carte des pertes d’énergie destinée à l’outil de calcul de la consommation énergétique des véhicules (valeurs standard/méthode 1/méthode 2)</w:t>
            </w:r>
          </w:p>
        </w:tc>
        <w:tc>
          <w:tcPr>
            <w:tcW w:w="1725" w:type="dxa"/>
            <w:vAlign w:val="center"/>
          </w:tcPr>
          <w:p>
            <w:pPr>
              <w:spacing w:before="60" w:after="60" w:line="276" w:lineRule="auto"/>
              <w:jc w:val="left"/>
              <w:rPr>
                <w:noProof/>
                <w:lang w:val="es-ES_tradnl"/>
              </w:rPr>
            </w:pPr>
            <w:r>
              <w:rPr>
                <w:noProof/>
                <w:lang w:val="es-ES_tradnl"/>
              </w:rPr>
              <w:t>1.3.1</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27</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 xml:space="preserve">Type de transmission </w:t>
            </w:r>
          </w:p>
        </w:tc>
        <w:tc>
          <w:tcPr>
            <w:tcW w:w="1725" w:type="dxa"/>
            <w:vAlign w:val="center"/>
          </w:tcPr>
          <w:p>
            <w:pPr>
              <w:spacing w:before="60" w:after="60" w:line="276" w:lineRule="auto"/>
              <w:jc w:val="left"/>
              <w:rPr>
                <w:noProof/>
                <w:lang w:val="es-ES_tradnl"/>
              </w:rPr>
            </w:pPr>
            <w:r>
              <w:rPr>
                <w:noProof/>
                <w:lang w:val="es-ES_tradnl"/>
              </w:rPr>
              <w:t>1.3.3</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28</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Nombre de rapports</w:t>
            </w:r>
          </w:p>
        </w:tc>
        <w:tc>
          <w:tcPr>
            <w:tcW w:w="1725" w:type="dxa"/>
            <w:vAlign w:val="center"/>
          </w:tcPr>
          <w:p>
            <w:pPr>
              <w:spacing w:before="60" w:after="60" w:line="276" w:lineRule="auto"/>
              <w:jc w:val="left"/>
              <w:rPr>
                <w:noProof/>
                <w:lang w:val="es-ES_tradnl"/>
              </w:rPr>
            </w:pPr>
            <w:r>
              <w:rPr>
                <w:noProof/>
                <w:lang w:val="es-ES_tradnl"/>
              </w:rPr>
              <w:t>1.3.4</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29</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Rapport de transmission final</w:t>
            </w:r>
          </w:p>
        </w:tc>
        <w:tc>
          <w:tcPr>
            <w:tcW w:w="1725" w:type="dxa"/>
            <w:vAlign w:val="center"/>
          </w:tcPr>
          <w:p>
            <w:pPr>
              <w:spacing w:before="60" w:after="60" w:line="276" w:lineRule="auto"/>
              <w:jc w:val="left"/>
              <w:rPr>
                <w:noProof/>
                <w:lang w:val="es-ES_tradnl"/>
              </w:rPr>
            </w:pPr>
            <w:r>
              <w:rPr>
                <w:noProof/>
                <w:lang w:val="es-ES_tradnl"/>
              </w:rPr>
              <w:t>1.3.5</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30</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Ralentisseur (oui/non)</w:t>
            </w:r>
          </w:p>
        </w:tc>
        <w:tc>
          <w:tcPr>
            <w:tcW w:w="1725" w:type="dxa"/>
            <w:vAlign w:val="center"/>
          </w:tcPr>
          <w:p>
            <w:pPr>
              <w:spacing w:before="60" w:after="60" w:line="276" w:lineRule="auto"/>
              <w:jc w:val="left"/>
              <w:rPr>
                <w:noProof/>
                <w:lang w:val="es-ES_tradnl"/>
              </w:rPr>
            </w:pPr>
            <w:r>
              <w:rPr>
                <w:noProof/>
                <w:lang w:val="es-ES_tradnl"/>
              </w:rPr>
              <w:t>1.3.6</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31</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Prise de force (oui/non)</w:t>
            </w:r>
          </w:p>
        </w:tc>
        <w:tc>
          <w:tcPr>
            <w:tcW w:w="1725" w:type="dxa"/>
            <w:vAlign w:val="center"/>
          </w:tcPr>
          <w:p>
            <w:pPr>
              <w:spacing w:before="60" w:after="60" w:line="276" w:lineRule="auto"/>
              <w:jc w:val="left"/>
              <w:rPr>
                <w:noProof/>
                <w:lang w:val="es-ES_tradnl"/>
              </w:rPr>
            </w:pPr>
            <w:r>
              <w:rPr>
                <w:noProof/>
                <w:lang w:val="es-ES_tradnl"/>
              </w:rPr>
              <w:t>1.3.7</w:t>
            </w:r>
          </w:p>
        </w:tc>
        <w:tc>
          <w:tcPr>
            <w:tcW w:w="2216" w:type="dxa"/>
            <w:vMerge/>
            <w:vAlign w:val="center"/>
          </w:tcPr>
          <w:p>
            <w:pPr>
              <w:spacing w:before="100" w:beforeAutospacing="1" w:after="100" w:afterAutospacing="1" w:line="276" w:lineRule="auto"/>
              <w:jc w:val="left"/>
              <w:rPr>
                <w:noProof/>
                <w:szCs w:val="24"/>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32</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Nom et adresse du constructeur</w:t>
            </w:r>
          </w:p>
        </w:tc>
        <w:tc>
          <w:tcPr>
            <w:tcW w:w="1725" w:type="dxa"/>
            <w:vAlign w:val="center"/>
          </w:tcPr>
          <w:p>
            <w:pPr>
              <w:spacing w:before="60" w:after="60" w:line="276" w:lineRule="auto"/>
              <w:jc w:val="left"/>
              <w:rPr>
                <w:noProof/>
                <w:lang w:val="es-ES_tradnl"/>
              </w:rPr>
            </w:pPr>
            <w:r>
              <w:rPr>
                <w:noProof/>
                <w:lang w:val="es-ES_tradnl"/>
              </w:rPr>
              <w:t>-</w:t>
            </w:r>
          </w:p>
        </w:tc>
        <w:tc>
          <w:tcPr>
            <w:tcW w:w="2216" w:type="dxa"/>
            <w:vMerge w:val="restart"/>
            <w:vAlign w:val="center"/>
          </w:tcPr>
          <w:p>
            <w:pPr>
              <w:spacing w:before="100" w:beforeAutospacing="1" w:after="100" w:afterAutospacing="1" w:line="276" w:lineRule="auto"/>
              <w:jc w:val="left"/>
              <w:rPr>
                <w:noProof/>
                <w:szCs w:val="24"/>
                <w:lang w:val="es-ES_tradnl"/>
              </w:rPr>
            </w:pPr>
          </w:p>
          <w:p>
            <w:pPr>
              <w:spacing w:before="100" w:beforeAutospacing="1" w:after="100" w:afterAutospacing="1" w:line="276" w:lineRule="auto"/>
              <w:jc w:val="left"/>
              <w:rPr>
                <w:noProof/>
                <w:szCs w:val="24"/>
                <w:lang w:val="es-ES_tradnl"/>
              </w:rPr>
            </w:pPr>
            <w:r>
              <w:rPr>
                <w:noProof/>
                <w:lang w:val="es-ES_tradnl"/>
              </w:rPr>
              <w:t>Principales spécifications des essieux</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33</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Marque (raison sociale du constructeur)</w:t>
            </w:r>
          </w:p>
        </w:tc>
        <w:tc>
          <w:tcPr>
            <w:tcW w:w="1725" w:type="dxa"/>
            <w:vAlign w:val="center"/>
          </w:tcPr>
          <w:p>
            <w:pPr>
              <w:spacing w:before="60" w:after="60" w:line="276" w:lineRule="auto"/>
              <w:jc w:val="left"/>
              <w:rPr>
                <w:noProof/>
                <w:lang w:val="es-ES_tradnl"/>
              </w:rPr>
            </w:pPr>
            <w:r>
              <w:rPr>
                <w:noProof/>
                <w:lang w:val="es-ES_tradnl"/>
              </w:rPr>
              <w:t>-</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34</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Type de certification choisi pour l’obtention de la carte des pertes d’énergie destinée à l’outil de calcul de la consommation énergétique des véhicules (valeurs standard/mesure)</w:t>
            </w:r>
          </w:p>
        </w:tc>
        <w:tc>
          <w:tcPr>
            <w:tcW w:w="1725" w:type="dxa"/>
            <w:vAlign w:val="center"/>
          </w:tcPr>
          <w:p>
            <w:pPr>
              <w:spacing w:before="60" w:after="60" w:line="276" w:lineRule="auto"/>
              <w:jc w:val="left"/>
              <w:rPr>
                <w:noProof/>
                <w:lang w:val="es-ES_tradnl"/>
              </w:rPr>
            </w:pPr>
            <w:r>
              <w:rPr>
                <w:noProof/>
                <w:lang w:val="es-ES_tradnl"/>
              </w:rPr>
              <w:t>1.7.1</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35</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 xml:space="preserve">Type d’essieux </w:t>
            </w:r>
          </w:p>
        </w:tc>
        <w:tc>
          <w:tcPr>
            <w:tcW w:w="1725" w:type="dxa"/>
            <w:vAlign w:val="center"/>
          </w:tcPr>
          <w:p>
            <w:pPr>
              <w:spacing w:before="60" w:after="60" w:line="276" w:lineRule="auto"/>
              <w:jc w:val="left"/>
              <w:rPr>
                <w:noProof/>
                <w:lang w:val="es-ES_tradnl"/>
              </w:rPr>
            </w:pPr>
            <w:r>
              <w:rPr>
                <w:noProof/>
                <w:lang w:val="es-ES_tradnl"/>
              </w:rPr>
              <w:t>1.7.3</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36</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Rapport de pont</w:t>
            </w:r>
          </w:p>
        </w:tc>
        <w:tc>
          <w:tcPr>
            <w:tcW w:w="1725" w:type="dxa"/>
            <w:vAlign w:val="center"/>
          </w:tcPr>
          <w:p>
            <w:pPr>
              <w:spacing w:before="60" w:after="60" w:line="276" w:lineRule="auto"/>
              <w:jc w:val="left"/>
              <w:rPr>
                <w:noProof/>
                <w:lang w:val="es-ES_tradnl"/>
              </w:rPr>
            </w:pPr>
            <w:r>
              <w:rPr>
                <w:noProof/>
                <w:lang w:val="es-ES_tradnl"/>
              </w:rPr>
              <w:t>1.7.4</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37</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Type de certification choisi pour l’obtention de la carte des pertes d’énergie destinée à l’outil de calcul de la consommation énergétique des véhicules (valeurs standard/mesure)</w:t>
            </w:r>
          </w:p>
        </w:tc>
        <w:tc>
          <w:tcPr>
            <w:tcW w:w="1725" w:type="dxa"/>
            <w:vAlign w:val="center"/>
          </w:tcPr>
          <w:p>
            <w:pPr>
              <w:spacing w:before="60" w:after="60" w:line="276" w:lineRule="auto"/>
              <w:jc w:val="left"/>
              <w:rPr>
                <w:noProof/>
                <w:lang w:val="es-ES_tradnl"/>
              </w:rPr>
            </w:pPr>
            <w:r>
              <w:rPr>
                <w:noProof/>
                <w:lang w:val="es-ES_tradnl"/>
              </w:rPr>
              <w:t>1.6.1</w:t>
            </w:r>
          </w:p>
        </w:tc>
        <w:tc>
          <w:tcPr>
            <w:tcW w:w="2216" w:type="dxa"/>
            <w:vMerge w:val="restart"/>
            <w:vAlign w:val="center"/>
          </w:tcPr>
          <w:p>
            <w:pPr>
              <w:spacing w:before="100" w:beforeAutospacing="1" w:after="100" w:afterAutospacing="1" w:line="276" w:lineRule="auto"/>
              <w:jc w:val="left"/>
              <w:rPr>
                <w:noProof/>
                <w:lang w:val="fr-BE"/>
              </w:rPr>
            </w:pPr>
            <w:r>
              <w:rPr>
                <w:noProof/>
                <w:lang w:val="fr-BE"/>
              </w:rPr>
              <w:t>Spécifications du renvoi d’angle réducteur</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38</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Rapport du renvoi d’angle réducteur</w:t>
            </w:r>
          </w:p>
        </w:tc>
        <w:tc>
          <w:tcPr>
            <w:tcW w:w="1725" w:type="dxa"/>
            <w:vAlign w:val="center"/>
          </w:tcPr>
          <w:p>
            <w:pPr>
              <w:spacing w:before="60" w:after="60" w:line="276" w:lineRule="auto"/>
              <w:jc w:val="left"/>
              <w:rPr>
                <w:noProof/>
                <w:lang w:val="es-ES_tradnl"/>
              </w:rPr>
            </w:pPr>
            <w:r>
              <w:rPr>
                <w:noProof/>
                <w:lang w:val="es-ES_tradnl"/>
              </w:rPr>
              <w:t>1.6.2</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39</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Nom et adresse du constructeur</w:t>
            </w:r>
          </w:p>
        </w:tc>
        <w:tc>
          <w:tcPr>
            <w:tcW w:w="1725" w:type="dxa"/>
            <w:vAlign w:val="center"/>
          </w:tcPr>
          <w:p>
            <w:pPr>
              <w:spacing w:before="60" w:after="60" w:line="276" w:lineRule="auto"/>
              <w:jc w:val="left"/>
              <w:rPr>
                <w:noProof/>
                <w:lang w:val="es-ES_tradnl"/>
              </w:rPr>
            </w:pPr>
            <w:r>
              <w:rPr>
                <w:noProof/>
                <w:lang w:val="es-ES_tradnl"/>
              </w:rPr>
              <w:t>-</w:t>
            </w:r>
          </w:p>
        </w:tc>
        <w:tc>
          <w:tcPr>
            <w:tcW w:w="2216" w:type="dxa"/>
            <w:vMerge w:val="restart"/>
            <w:vAlign w:val="center"/>
          </w:tcPr>
          <w:p>
            <w:pPr>
              <w:spacing w:before="100" w:beforeAutospacing="1" w:after="100" w:afterAutospacing="1" w:line="276" w:lineRule="auto"/>
              <w:jc w:val="left"/>
              <w:rPr>
                <w:noProof/>
                <w:lang w:val="es-ES_tradnl"/>
              </w:rPr>
            </w:pPr>
            <w:r>
              <w:rPr>
                <w:noProof/>
                <w:lang w:val="es-ES_tradnl"/>
              </w:rPr>
              <w:t>Principales spécifications des pneumatiques</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40</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Marque (raison sociale du constructeur)</w:t>
            </w:r>
          </w:p>
        </w:tc>
        <w:tc>
          <w:tcPr>
            <w:tcW w:w="1725" w:type="dxa"/>
            <w:vAlign w:val="center"/>
          </w:tcPr>
          <w:p>
            <w:pPr>
              <w:spacing w:before="60" w:after="60" w:line="276" w:lineRule="auto"/>
              <w:jc w:val="left"/>
              <w:rPr>
                <w:noProof/>
                <w:lang w:val="es-ES_tradnl"/>
              </w:rPr>
            </w:pPr>
            <w:r>
              <w:rPr>
                <w:noProof/>
                <w:lang w:val="es-ES_tradnl"/>
              </w:rPr>
              <w:t>-</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41</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Dimensions des pneumatiques, essieu 1</w:t>
            </w:r>
          </w:p>
        </w:tc>
        <w:tc>
          <w:tcPr>
            <w:tcW w:w="1725" w:type="dxa"/>
            <w:vAlign w:val="center"/>
          </w:tcPr>
          <w:p>
            <w:pPr>
              <w:spacing w:before="60" w:after="60" w:line="276" w:lineRule="auto"/>
              <w:jc w:val="left"/>
              <w:rPr>
                <w:noProof/>
                <w:lang w:val="es-ES_tradnl"/>
              </w:rPr>
            </w:pPr>
            <w:r>
              <w:rPr>
                <w:noProof/>
                <w:lang w:val="es-ES_tradnl"/>
              </w:rPr>
              <w:t>1.9.1</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42</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Coefficient spécifique de résistance au roulement de tous les pneumatiques de l’essieu 1 (gauche/droite)</w:t>
            </w:r>
          </w:p>
        </w:tc>
        <w:tc>
          <w:tcPr>
            <w:tcW w:w="1725" w:type="dxa"/>
            <w:vAlign w:val="center"/>
          </w:tcPr>
          <w:p>
            <w:pPr>
              <w:spacing w:before="60" w:after="60" w:line="276" w:lineRule="auto"/>
              <w:jc w:val="left"/>
              <w:rPr>
                <w:noProof/>
                <w:lang w:val="es-ES_tradnl"/>
              </w:rPr>
            </w:pPr>
            <w:r>
              <w:rPr>
                <w:noProof/>
                <w:lang w:val="es-ES_tradnl"/>
              </w:rPr>
              <w:t>1.9.3</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43</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Dimensions des pneumatiques, essieu 2</w:t>
            </w:r>
          </w:p>
        </w:tc>
        <w:tc>
          <w:tcPr>
            <w:tcW w:w="1725" w:type="dxa"/>
            <w:vAlign w:val="center"/>
          </w:tcPr>
          <w:p>
            <w:pPr>
              <w:spacing w:before="60" w:after="60" w:line="276" w:lineRule="auto"/>
              <w:jc w:val="left"/>
              <w:rPr>
                <w:noProof/>
                <w:lang w:val="es-ES_tradnl"/>
              </w:rPr>
            </w:pPr>
            <w:r>
              <w:rPr>
                <w:noProof/>
                <w:lang w:val="es-ES_tradnl"/>
              </w:rPr>
              <w:t>1.9.4</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44</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 xml:space="preserve">Essieu tandem (oui/non), essieu 2 </w:t>
            </w:r>
          </w:p>
        </w:tc>
        <w:tc>
          <w:tcPr>
            <w:tcW w:w="1725" w:type="dxa"/>
            <w:vAlign w:val="center"/>
          </w:tcPr>
          <w:p>
            <w:pPr>
              <w:spacing w:before="60" w:after="60" w:line="276" w:lineRule="auto"/>
              <w:jc w:val="left"/>
              <w:rPr>
                <w:noProof/>
                <w:lang w:val="es-ES_tradnl"/>
              </w:rPr>
            </w:pPr>
            <w:r>
              <w:rPr>
                <w:noProof/>
                <w:lang w:val="es-ES_tradnl"/>
              </w:rPr>
              <w:t>1.9.5</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45</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Coefficient spécifique de résistance au roulement de tous les pneumatiques de l’essieu 2 (gauche/droite)</w:t>
            </w:r>
          </w:p>
        </w:tc>
        <w:tc>
          <w:tcPr>
            <w:tcW w:w="1725" w:type="dxa"/>
            <w:vAlign w:val="center"/>
          </w:tcPr>
          <w:p>
            <w:pPr>
              <w:spacing w:before="60" w:after="60" w:line="276" w:lineRule="auto"/>
              <w:jc w:val="left"/>
              <w:rPr>
                <w:noProof/>
                <w:lang w:val="es-ES_tradnl"/>
              </w:rPr>
            </w:pPr>
            <w:r>
              <w:rPr>
                <w:noProof/>
                <w:lang w:val="es-ES_tradnl"/>
              </w:rPr>
              <w:t>1.9.7</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46</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Dimensions des pneumatiques, essieu 3</w:t>
            </w:r>
          </w:p>
        </w:tc>
        <w:tc>
          <w:tcPr>
            <w:tcW w:w="1725" w:type="dxa"/>
            <w:vAlign w:val="center"/>
          </w:tcPr>
          <w:p>
            <w:pPr>
              <w:spacing w:before="60" w:after="60" w:line="276" w:lineRule="auto"/>
              <w:jc w:val="left"/>
              <w:rPr>
                <w:noProof/>
                <w:lang w:val="es-ES_tradnl"/>
              </w:rPr>
            </w:pPr>
            <w:r>
              <w:rPr>
                <w:noProof/>
                <w:lang w:val="es-ES_tradnl"/>
              </w:rPr>
              <w:t>1.9.8</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47</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 xml:space="preserve">Essieu tandem (oui/non), essieu 3 </w:t>
            </w:r>
          </w:p>
        </w:tc>
        <w:tc>
          <w:tcPr>
            <w:tcW w:w="1725" w:type="dxa"/>
            <w:vAlign w:val="center"/>
          </w:tcPr>
          <w:p>
            <w:pPr>
              <w:spacing w:before="60" w:after="60" w:line="276" w:lineRule="auto"/>
              <w:jc w:val="left"/>
              <w:rPr>
                <w:noProof/>
                <w:lang w:val="es-ES_tradnl"/>
              </w:rPr>
            </w:pPr>
            <w:r>
              <w:rPr>
                <w:noProof/>
                <w:lang w:val="es-ES_tradnl"/>
              </w:rPr>
              <w:t>1.9.9</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48</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Coefficient spécifique de résistance au roulement de tous les pneumatiques de l’essieu 3 (gauche/droite)</w:t>
            </w:r>
          </w:p>
        </w:tc>
        <w:tc>
          <w:tcPr>
            <w:tcW w:w="1725" w:type="dxa"/>
            <w:vAlign w:val="center"/>
          </w:tcPr>
          <w:p>
            <w:pPr>
              <w:spacing w:before="60" w:after="60" w:line="276" w:lineRule="auto"/>
              <w:jc w:val="left"/>
              <w:rPr>
                <w:noProof/>
                <w:lang w:val="es-ES_tradnl"/>
              </w:rPr>
            </w:pPr>
            <w:r>
              <w:rPr>
                <w:noProof/>
                <w:lang w:val="es-ES_tradnl"/>
              </w:rPr>
              <w:t>1.9.11</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49</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Dimensions des pneumatiques, essieu 4</w:t>
            </w:r>
          </w:p>
        </w:tc>
        <w:tc>
          <w:tcPr>
            <w:tcW w:w="1725" w:type="dxa"/>
            <w:vAlign w:val="center"/>
          </w:tcPr>
          <w:p>
            <w:pPr>
              <w:spacing w:before="60" w:after="60" w:line="276" w:lineRule="auto"/>
              <w:jc w:val="left"/>
              <w:rPr>
                <w:noProof/>
                <w:lang w:val="es-ES_tradnl"/>
              </w:rPr>
            </w:pPr>
            <w:r>
              <w:rPr>
                <w:noProof/>
                <w:lang w:val="es-ES_tradnl"/>
              </w:rPr>
              <w:t>1.9.12</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50</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 xml:space="preserve">Essieu tandem (oui/non), essieu 4 </w:t>
            </w:r>
          </w:p>
        </w:tc>
        <w:tc>
          <w:tcPr>
            <w:tcW w:w="1725" w:type="dxa"/>
            <w:vAlign w:val="center"/>
          </w:tcPr>
          <w:p>
            <w:pPr>
              <w:spacing w:before="60" w:after="60" w:line="276" w:lineRule="auto"/>
              <w:jc w:val="left"/>
              <w:rPr>
                <w:noProof/>
                <w:lang w:val="es-ES_tradnl"/>
              </w:rPr>
            </w:pPr>
            <w:r>
              <w:rPr>
                <w:noProof/>
                <w:lang w:val="es-ES_tradnl"/>
              </w:rPr>
              <w:t>1.9.13</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51</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 xml:space="preserve">Coefficient de résistance au roulement, essieu 4 (gauche/droite) </w:t>
            </w:r>
          </w:p>
        </w:tc>
        <w:tc>
          <w:tcPr>
            <w:tcW w:w="1725" w:type="dxa"/>
            <w:vAlign w:val="center"/>
          </w:tcPr>
          <w:p>
            <w:pPr>
              <w:spacing w:before="60" w:after="60" w:line="276" w:lineRule="auto"/>
              <w:jc w:val="left"/>
              <w:rPr>
                <w:noProof/>
                <w:lang w:val="es-ES_tradnl"/>
              </w:rPr>
            </w:pPr>
            <w:r>
              <w:rPr>
                <w:noProof/>
                <w:lang w:val="es-ES_tradnl"/>
              </w:rPr>
              <w:t>1.9.15</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52</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Ventilateur de refroidissement moteur (oui/non - si oui, préciser le type de technologie)</w:t>
            </w:r>
          </w:p>
        </w:tc>
        <w:tc>
          <w:tcPr>
            <w:tcW w:w="1725" w:type="dxa"/>
            <w:vAlign w:val="center"/>
          </w:tcPr>
          <w:p>
            <w:pPr>
              <w:spacing w:before="60" w:after="60" w:line="276" w:lineRule="auto"/>
              <w:jc w:val="left"/>
              <w:rPr>
                <w:noProof/>
                <w:lang w:val="es-ES_tradnl"/>
              </w:rPr>
            </w:pPr>
            <w:r>
              <w:rPr>
                <w:noProof/>
                <w:lang w:val="es-ES_tradnl"/>
              </w:rPr>
              <w:t>1.10.1</w:t>
            </w:r>
          </w:p>
        </w:tc>
        <w:tc>
          <w:tcPr>
            <w:tcW w:w="2216" w:type="dxa"/>
            <w:vMerge w:val="restart"/>
            <w:vAlign w:val="center"/>
          </w:tcPr>
          <w:p>
            <w:pPr>
              <w:spacing w:before="100" w:beforeAutospacing="1" w:after="100" w:afterAutospacing="1" w:line="276" w:lineRule="auto"/>
              <w:jc w:val="left"/>
              <w:rPr>
                <w:noProof/>
                <w:lang w:val="fr-BE"/>
              </w:rPr>
            </w:pPr>
            <w:r>
              <w:rPr>
                <w:noProof/>
                <w:lang w:val="fr-BE"/>
              </w:rPr>
              <w:t>Principales spécifications des organes auxiliaires</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53</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Pompe d’assistance de direction (oui/non - si oui, préciser le type de technologie)</w:t>
            </w:r>
          </w:p>
        </w:tc>
        <w:tc>
          <w:tcPr>
            <w:tcW w:w="1725" w:type="dxa"/>
            <w:vAlign w:val="center"/>
          </w:tcPr>
          <w:p>
            <w:pPr>
              <w:spacing w:before="60" w:after="60" w:line="276" w:lineRule="auto"/>
              <w:jc w:val="left"/>
              <w:rPr>
                <w:noProof/>
                <w:lang w:val="es-ES_tradnl"/>
              </w:rPr>
            </w:pPr>
            <w:r>
              <w:rPr>
                <w:noProof/>
                <w:lang w:val="es-ES_tradnl"/>
              </w:rPr>
              <w:t>1.10.2</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54</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Systèmes électriques (oui/non - si oui, préciser le type de technologie)</w:t>
            </w:r>
          </w:p>
        </w:tc>
        <w:tc>
          <w:tcPr>
            <w:tcW w:w="1725" w:type="dxa"/>
            <w:vAlign w:val="center"/>
          </w:tcPr>
          <w:p>
            <w:pPr>
              <w:spacing w:before="60" w:after="60" w:line="276" w:lineRule="auto"/>
              <w:jc w:val="left"/>
              <w:rPr>
                <w:noProof/>
                <w:lang w:val="es-ES_tradnl"/>
              </w:rPr>
            </w:pPr>
            <w:r>
              <w:rPr>
                <w:noProof/>
                <w:lang w:val="es-ES_tradnl"/>
              </w:rPr>
              <w:t>1.10.3</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55</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Systèmes pneumatiques (oui/non - si oui, préciser le type de technologie)</w:t>
            </w:r>
          </w:p>
        </w:tc>
        <w:tc>
          <w:tcPr>
            <w:tcW w:w="1725" w:type="dxa"/>
            <w:vAlign w:val="center"/>
          </w:tcPr>
          <w:p>
            <w:pPr>
              <w:spacing w:before="60" w:after="60" w:line="276" w:lineRule="auto"/>
              <w:jc w:val="left"/>
              <w:rPr>
                <w:noProof/>
                <w:lang w:val="es-ES_tradnl"/>
              </w:rPr>
            </w:pPr>
            <w:r>
              <w:rPr>
                <w:noProof/>
                <w:lang w:val="es-ES_tradnl"/>
              </w:rPr>
              <w:t>1.10.4</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56</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Type de mission prévu (longue distance, régional, urbain, construction)</w:t>
            </w:r>
          </w:p>
        </w:tc>
        <w:tc>
          <w:tcPr>
            <w:tcW w:w="1725" w:type="dxa"/>
            <w:vAlign w:val="center"/>
          </w:tcPr>
          <w:p>
            <w:pPr>
              <w:spacing w:before="60" w:after="60" w:line="276" w:lineRule="auto"/>
              <w:jc w:val="left"/>
              <w:rPr>
                <w:noProof/>
                <w:lang w:val="es-ES_tradnl"/>
              </w:rPr>
            </w:pPr>
            <w:r>
              <w:rPr>
                <w:noProof/>
                <w:lang w:val="es-ES_tradnl"/>
              </w:rPr>
              <w:t>2.1.1</w:t>
            </w:r>
          </w:p>
        </w:tc>
        <w:tc>
          <w:tcPr>
            <w:tcW w:w="2216" w:type="dxa"/>
            <w:vMerge w:val="restart"/>
            <w:vAlign w:val="center"/>
          </w:tcPr>
          <w:p>
            <w:pPr>
              <w:spacing w:before="100" w:beforeAutospacing="1" w:after="100" w:afterAutospacing="1" w:line="276" w:lineRule="auto"/>
              <w:jc w:val="left"/>
              <w:rPr>
                <w:noProof/>
                <w:lang w:val="fr-BE"/>
              </w:rPr>
            </w:pPr>
            <w:r>
              <w:rPr>
                <w:noProof/>
                <w:sz w:val="23"/>
                <w:lang w:val="fr-BE"/>
              </w:rPr>
              <w:t>Paramètres de simulation (pour chaque combinaison type de mission/charge/carburant)</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57</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Charge (telle que définie dans l’outil de calcul de la consommation énergétique des véhicules)</w:t>
            </w:r>
          </w:p>
        </w:tc>
        <w:tc>
          <w:tcPr>
            <w:tcW w:w="1725" w:type="dxa"/>
            <w:vAlign w:val="center"/>
          </w:tcPr>
          <w:p>
            <w:pPr>
              <w:spacing w:before="60" w:after="60" w:line="276" w:lineRule="auto"/>
              <w:jc w:val="left"/>
              <w:rPr>
                <w:noProof/>
                <w:lang w:val="es-ES_tradnl"/>
              </w:rPr>
            </w:pPr>
            <w:r>
              <w:rPr>
                <w:noProof/>
                <w:lang w:val="es-ES_tradnl"/>
              </w:rPr>
              <w:t>2.1.2</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58</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Masse totale du véhicule dans la simulation</w:t>
            </w:r>
          </w:p>
        </w:tc>
        <w:tc>
          <w:tcPr>
            <w:tcW w:w="1725" w:type="dxa"/>
            <w:vAlign w:val="center"/>
          </w:tcPr>
          <w:p>
            <w:pPr>
              <w:spacing w:before="60" w:after="60" w:line="276" w:lineRule="auto"/>
              <w:jc w:val="left"/>
              <w:rPr>
                <w:noProof/>
                <w:lang w:val="es-ES_tradnl"/>
              </w:rPr>
            </w:pPr>
            <w:r>
              <w:rPr>
                <w:noProof/>
                <w:lang w:val="es-ES_tradnl"/>
              </w:rPr>
              <w:t>2.1.4</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59</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Vitesse moyenne</w:t>
            </w:r>
          </w:p>
        </w:tc>
        <w:tc>
          <w:tcPr>
            <w:tcW w:w="1725" w:type="dxa"/>
            <w:vAlign w:val="center"/>
          </w:tcPr>
          <w:p>
            <w:pPr>
              <w:spacing w:before="60" w:after="60" w:line="276" w:lineRule="auto"/>
              <w:jc w:val="left"/>
              <w:rPr>
                <w:noProof/>
                <w:lang w:val="es-ES_tradnl"/>
              </w:rPr>
            </w:pPr>
            <w:r>
              <w:rPr>
                <w:noProof/>
                <w:lang w:val="es-ES_tradnl"/>
              </w:rPr>
              <w:t>2.2.1</w:t>
            </w:r>
          </w:p>
        </w:tc>
        <w:tc>
          <w:tcPr>
            <w:tcW w:w="2216" w:type="dxa"/>
            <w:vMerge w:val="restart"/>
            <w:vAlign w:val="center"/>
          </w:tcPr>
          <w:p>
            <w:pPr>
              <w:spacing w:before="100" w:beforeAutospacing="1" w:after="100" w:afterAutospacing="1" w:line="276" w:lineRule="auto"/>
              <w:jc w:val="left"/>
              <w:rPr>
                <w:noProof/>
                <w:lang w:val="fr-BE"/>
              </w:rPr>
            </w:pPr>
            <w:r>
              <w:rPr>
                <w:noProof/>
                <w:lang w:val="fr-BE"/>
              </w:rPr>
              <w:t>Performances du véhicule</w:t>
            </w:r>
            <w:r>
              <w:rPr>
                <w:noProof/>
                <w:sz w:val="23"/>
                <w:lang w:val="fr-BE"/>
              </w:rPr>
              <w:t xml:space="preserve"> (pour chaque combinaison type de mission/charge/carburant)</w:t>
            </w:r>
            <w:r>
              <w:rPr>
                <w:noProof/>
                <w:lang w:val="fr-BE"/>
              </w:rPr>
              <w:t xml:space="preserve"> </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60</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Vitesse minimale instantanée</w:t>
            </w:r>
          </w:p>
        </w:tc>
        <w:tc>
          <w:tcPr>
            <w:tcW w:w="1725" w:type="dxa"/>
            <w:vAlign w:val="center"/>
          </w:tcPr>
          <w:p>
            <w:pPr>
              <w:spacing w:before="60" w:after="60" w:line="276" w:lineRule="auto"/>
              <w:jc w:val="left"/>
              <w:rPr>
                <w:noProof/>
                <w:lang w:val="es-ES_tradnl"/>
              </w:rPr>
            </w:pPr>
            <w:r>
              <w:rPr>
                <w:noProof/>
                <w:lang w:val="es-ES_tradnl"/>
              </w:rPr>
              <w:t>2.2.2</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61</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Vitesse maximale instantanée</w:t>
            </w:r>
          </w:p>
        </w:tc>
        <w:tc>
          <w:tcPr>
            <w:tcW w:w="1725" w:type="dxa"/>
            <w:vAlign w:val="center"/>
          </w:tcPr>
          <w:p>
            <w:pPr>
              <w:spacing w:before="60" w:after="60" w:line="276" w:lineRule="auto"/>
              <w:jc w:val="left"/>
              <w:rPr>
                <w:noProof/>
                <w:lang w:val="es-ES_tradnl"/>
              </w:rPr>
            </w:pPr>
            <w:r>
              <w:rPr>
                <w:noProof/>
                <w:lang w:val="es-ES_tradnl"/>
              </w:rPr>
              <w:t>2.2.3</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62</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Décélération maximale</w:t>
            </w:r>
          </w:p>
        </w:tc>
        <w:tc>
          <w:tcPr>
            <w:tcW w:w="1725" w:type="dxa"/>
            <w:vAlign w:val="center"/>
          </w:tcPr>
          <w:p>
            <w:pPr>
              <w:spacing w:before="60" w:after="60" w:line="276" w:lineRule="auto"/>
              <w:jc w:val="left"/>
              <w:rPr>
                <w:noProof/>
                <w:lang w:val="es-ES_tradnl"/>
              </w:rPr>
            </w:pPr>
            <w:r>
              <w:rPr>
                <w:noProof/>
                <w:lang w:val="es-ES_tradnl"/>
              </w:rPr>
              <w:t>2.2.4</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63</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Accélération maximale</w:t>
            </w:r>
          </w:p>
        </w:tc>
        <w:tc>
          <w:tcPr>
            <w:tcW w:w="1725" w:type="dxa"/>
            <w:vAlign w:val="center"/>
          </w:tcPr>
          <w:p>
            <w:pPr>
              <w:spacing w:before="60" w:after="60" w:line="276" w:lineRule="auto"/>
              <w:jc w:val="left"/>
              <w:rPr>
                <w:noProof/>
                <w:lang w:val="es-ES_tradnl"/>
              </w:rPr>
            </w:pPr>
            <w:r>
              <w:rPr>
                <w:noProof/>
                <w:lang w:val="es-ES_tradnl"/>
              </w:rPr>
              <w:t>2.2.5</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64</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Pourcentage de temps de conduite à pleine charge</w:t>
            </w:r>
          </w:p>
        </w:tc>
        <w:tc>
          <w:tcPr>
            <w:tcW w:w="1725" w:type="dxa"/>
            <w:vAlign w:val="center"/>
          </w:tcPr>
          <w:p>
            <w:pPr>
              <w:spacing w:before="60" w:after="60" w:line="276" w:lineRule="auto"/>
              <w:jc w:val="left"/>
              <w:rPr>
                <w:noProof/>
                <w:lang w:val="es-ES_tradnl"/>
              </w:rPr>
            </w:pPr>
            <w:r>
              <w:rPr>
                <w:noProof/>
                <w:lang w:val="es-ES_tradnl"/>
              </w:rPr>
              <w:t>2.2.6</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65</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Nombre total de changements de vitesse</w:t>
            </w:r>
          </w:p>
        </w:tc>
        <w:tc>
          <w:tcPr>
            <w:tcW w:w="1725" w:type="dxa"/>
            <w:vAlign w:val="center"/>
          </w:tcPr>
          <w:p>
            <w:pPr>
              <w:spacing w:before="60" w:after="60" w:line="276" w:lineRule="auto"/>
              <w:jc w:val="left"/>
              <w:rPr>
                <w:noProof/>
                <w:lang w:val="es-ES_tradnl"/>
              </w:rPr>
            </w:pPr>
            <w:r>
              <w:rPr>
                <w:noProof/>
                <w:lang w:val="es-ES_tradnl"/>
              </w:rPr>
              <w:t>2.2.7</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66</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Distance totale parcourue</w:t>
            </w:r>
          </w:p>
        </w:tc>
        <w:tc>
          <w:tcPr>
            <w:tcW w:w="1725" w:type="dxa"/>
            <w:vAlign w:val="center"/>
          </w:tcPr>
          <w:p>
            <w:pPr>
              <w:spacing w:before="60" w:after="60" w:line="276" w:lineRule="auto"/>
              <w:jc w:val="left"/>
              <w:rPr>
                <w:noProof/>
                <w:lang w:val="es-ES_tradnl"/>
              </w:rPr>
            </w:pPr>
            <w:r>
              <w:rPr>
                <w:noProof/>
                <w:lang w:val="es-ES_tradnl"/>
              </w:rPr>
              <w:t>2.2.8</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67</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Émissions de CO</w:t>
            </w:r>
            <w:r>
              <w:rPr>
                <w:noProof/>
                <w:color w:val="000000"/>
                <w:sz w:val="22"/>
                <w:vertAlign w:val="subscript"/>
                <w:lang w:val="fr-BE"/>
              </w:rPr>
              <w:t>2</w:t>
            </w:r>
            <w:r>
              <w:rPr>
                <w:noProof/>
                <w:color w:val="000000"/>
                <w:sz w:val="22"/>
                <w:lang w:val="fr-BE"/>
              </w:rPr>
              <w:t xml:space="preserve"> </w:t>
            </w:r>
          </w:p>
          <w:p>
            <w:pPr>
              <w:spacing w:before="60" w:after="60"/>
              <w:jc w:val="left"/>
              <w:rPr>
                <w:rFonts w:eastAsia="Times New Roman"/>
                <w:noProof/>
                <w:color w:val="000000"/>
                <w:sz w:val="22"/>
                <w:lang w:val="fr-BE"/>
              </w:rPr>
            </w:pPr>
            <w:r>
              <w:rPr>
                <w:noProof/>
                <w:color w:val="000000"/>
                <w:sz w:val="22"/>
                <w:lang w:val="fr-BE"/>
              </w:rPr>
              <w:t>(exprimées en g/km, g/t-km, g/p-km, g/m</w:t>
            </w:r>
            <w:r>
              <w:rPr>
                <w:noProof/>
                <w:color w:val="000000"/>
                <w:sz w:val="22"/>
                <w:vertAlign w:val="superscript"/>
                <w:lang w:val="fr-BE"/>
              </w:rPr>
              <w:t>3</w:t>
            </w:r>
            <w:r>
              <w:rPr>
                <w:noProof/>
                <w:color w:val="000000"/>
                <w:sz w:val="22"/>
                <w:lang w:val="fr-BE"/>
              </w:rPr>
              <w:t>-km)</w:t>
            </w:r>
          </w:p>
          <w:p>
            <w:pPr>
              <w:spacing w:before="60" w:after="60"/>
              <w:jc w:val="left"/>
              <w:rPr>
                <w:rFonts w:eastAsia="Times New Roman"/>
                <w:noProof/>
                <w:color w:val="000000"/>
                <w:sz w:val="22"/>
                <w:lang w:val="fr-BE"/>
              </w:rPr>
            </w:pPr>
          </w:p>
        </w:tc>
        <w:tc>
          <w:tcPr>
            <w:tcW w:w="1725" w:type="dxa"/>
            <w:vAlign w:val="center"/>
          </w:tcPr>
          <w:p>
            <w:pPr>
              <w:spacing w:before="60" w:after="60" w:line="276" w:lineRule="auto"/>
              <w:jc w:val="left"/>
              <w:rPr>
                <w:noProof/>
                <w:lang w:val="es-ES_tradnl"/>
              </w:rPr>
            </w:pPr>
            <w:r>
              <w:rPr>
                <w:noProof/>
                <w:lang w:val="es-ES_tradnl"/>
              </w:rPr>
              <w:t>2.3.13-2.3.16</w:t>
            </w:r>
          </w:p>
        </w:tc>
        <w:tc>
          <w:tcPr>
            <w:tcW w:w="2216" w:type="dxa"/>
            <w:vMerge w:val="restart"/>
            <w:vAlign w:val="center"/>
          </w:tcPr>
          <w:p>
            <w:pPr>
              <w:spacing w:before="100" w:beforeAutospacing="1" w:after="100" w:afterAutospacing="1" w:line="276" w:lineRule="auto"/>
              <w:jc w:val="left"/>
              <w:rPr>
                <w:noProof/>
                <w:lang w:val="fr-BE"/>
              </w:rPr>
            </w:pPr>
            <w:r>
              <w:rPr>
                <w:noProof/>
                <w:lang w:val="fr-BE"/>
              </w:rPr>
              <w:t>Émissions de CO</w:t>
            </w:r>
            <w:r>
              <w:rPr>
                <w:noProof/>
                <w:vertAlign w:val="subscript"/>
                <w:lang w:val="fr-BE"/>
              </w:rPr>
              <w:t>2</w:t>
            </w:r>
            <w:r>
              <w:rPr>
                <w:noProof/>
                <w:lang w:val="fr-BE"/>
              </w:rPr>
              <w:t xml:space="preserve"> et consommation de carburant </w:t>
            </w:r>
            <w:r>
              <w:rPr>
                <w:noProof/>
                <w:sz w:val="23"/>
                <w:lang w:val="fr-BE"/>
              </w:rPr>
              <w:t>(pour chaque combinaison type de mission/charge/carburant)</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68</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 xml:space="preserve">Consommation de carburant </w:t>
            </w:r>
          </w:p>
          <w:p>
            <w:pPr>
              <w:spacing w:before="60" w:after="60"/>
              <w:jc w:val="left"/>
              <w:rPr>
                <w:rFonts w:eastAsia="Times New Roman"/>
                <w:noProof/>
                <w:color w:val="000000"/>
                <w:sz w:val="22"/>
                <w:lang w:val="es-ES_tradnl"/>
              </w:rPr>
            </w:pPr>
            <w:r>
              <w:rPr>
                <w:noProof/>
                <w:color w:val="000000"/>
                <w:sz w:val="22"/>
                <w:lang w:val="es-ES_tradnl"/>
              </w:rPr>
              <w:t>(exprimée en l/100km, l/t-km, l/p-km, l/m³-km, MJ/km, MJ/t-km, MJ/p-km, MJ/m³-km)</w:t>
            </w:r>
          </w:p>
        </w:tc>
        <w:tc>
          <w:tcPr>
            <w:tcW w:w="1725" w:type="dxa"/>
            <w:vAlign w:val="center"/>
          </w:tcPr>
          <w:p>
            <w:pPr>
              <w:spacing w:before="60" w:after="60" w:line="276" w:lineRule="auto"/>
              <w:jc w:val="left"/>
              <w:rPr>
                <w:noProof/>
                <w:lang w:val="es-ES_tradnl"/>
              </w:rPr>
            </w:pPr>
            <w:r>
              <w:rPr>
                <w:noProof/>
                <w:lang w:val="es-ES_tradnl"/>
              </w:rPr>
              <w:t>2.3.1-2.3.12</w:t>
            </w:r>
          </w:p>
        </w:tc>
        <w:tc>
          <w:tcPr>
            <w:tcW w:w="2216" w:type="dxa"/>
            <w:vMerge/>
            <w:vAlign w:val="center"/>
          </w:tcPr>
          <w:p>
            <w:pPr>
              <w:spacing w:before="100" w:beforeAutospacing="1" w:after="100" w:afterAutospacing="1"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69</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Version de l’outil de calcul de la consommation énergétique des véhicules</w:t>
            </w:r>
          </w:p>
        </w:tc>
        <w:tc>
          <w:tcPr>
            <w:tcW w:w="1725" w:type="dxa"/>
            <w:vAlign w:val="center"/>
          </w:tcPr>
          <w:p>
            <w:pPr>
              <w:spacing w:before="60" w:after="60" w:line="276" w:lineRule="auto"/>
              <w:jc w:val="left"/>
              <w:rPr>
                <w:noProof/>
                <w:lang w:val="es-ES_tradnl"/>
              </w:rPr>
            </w:pPr>
            <w:r>
              <w:rPr>
                <w:noProof/>
                <w:lang w:val="es-ES_tradnl"/>
              </w:rPr>
              <w:t>3.1.1</w:t>
            </w:r>
          </w:p>
        </w:tc>
        <w:tc>
          <w:tcPr>
            <w:tcW w:w="2216" w:type="dxa"/>
            <w:vMerge w:val="restart"/>
            <w:vAlign w:val="center"/>
          </w:tcPr>
          <w:p>
            <w:pPr>
              <w:spacing w:before="100" w:beforeAutospacing="1" w:after="100" w:afterAutospacing="1" w:line="276" w:lineRule="auto"/>
              <w:jc w:val="left"/>
              <w:rPr>
                <w:noProof/>
                <w:lang w:val="fr-BE"/>
              </w:rPr>
            </w:pPr>
            <w:r>
              <w:rPr>
                <w:noProof/>
                <w:lang w:val="fr-BE"/>
              </w:rPr>
              <w:t>Logiciel et informations destinées à l’utilisateur</w:t>
            </w:r>
          </w:p>
        </w:tc>
      </w:tr>
      <w:tr>
        <w:tc>
          <w:tcPr>
            <w:tcW w:w="687" w:type="dxa"/>
            <w:vAlign w:val="center"/>
          </w:tcPr>
          <w:p>
            <w:pPr>
              <w:spacing w:before="100" w:beforeAutospacing="1" w:after="100" w:afterAutospacing="1" w:line="276" w:lineRule="auto"/>
              <w:jc w:val="left"/>
              <w:rPr>
                <w:noProof/>
                <w:lang w:val="es-ES_tradnl"/>
              </w:rPr>
            </w:pPr>
            <w:r>
              <w:rPr>
                <w:noProof/>
                <w:lang w:val="es-ES_tradnl"/>
              </w:rPr>
              <w:t>70</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Date et heure de la simulation par l’outil de calcul de la consommation énergétique des véhicules</w:t>
            </w:r>
          </w:p>
        </w:tc>
        <w:tc>
          <w:tcPr>
            <w:tcW w:w="1725" w:type="dxa"/>
            <w:vAlign w:val="center"/>
          </w:tcPr>
          <w:p>
            <w:pPr>
              <w:spacing w:before="60" w:after="60" w:line="276" w:lineRule="auto"/>
              <w:jc w:val="left"/>
              <w:rPr>
                <w:noProof/>
                <w:lang w:val="es-ES_tradnl"/>
              </w:rPr>
            </w:pPr>
            <w:r>
              <w:rPr>
                <w:noProof/>
                <w:lang w:val="es-ES_tradnl"/>
              </w:rPr>
              <w:t>3.1.2</w:t>
            </w:r>
          </w:p>
        </w:tc>
        <w:tc>
          <w:tcPr>
            <w:tcW w:w="2216" w:type="dxa"/>
            <w:vMerge/>
            <w:vAlign w:val="center"/>
          </w:tcPr>
          <w:p>
            <w:pPr>
              <w:spacing w:before="0" w:after="200"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71</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Référence utilisateur ou numéro de licence de l’outil de calcul de la consommation énergétique des véhicules</w:t>
            </w:r>
          </w:p>
        </w:tc>
        <w:tc>
          <w:tcPr>
            <w:tcW w:w="1725" w:type="dxa"/>
            <w:vAlign w:val="center"/>
          </w:tcPr>
          <w:p>
            <w:pPr>
              <w:spacing w:before="60" w:after="60" w:line="276" w:lineRule="auto"/>
              <w:jc w:val="left"/>
              <w:rPr>
                <w:noProof/>
                <w:lang w:val="es-ES_tradnl"/>
              </w:rPr>
            </w:pPr>
            <w:r>
              <w:rPr>
                <w:noProof/>
                <w:lang w:val="es-ES_tradnl"/>
              </w:rPr>
              <w:t>3.1.3</w:t>
            </w:r>
          </w:p>
        </w:tc>
        <w:tc>
          <w:tcPr>
            <w:tcW w:w="2216" w:type="dxa"/>
            <w:vMerge/>
            <w:vAlign w:val="center"/>
          </w:tcPr>
          <w:p>
            <w:pPr>
              <w:spacing w:before="0" w:after="200"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72</w:t>
            </w:r>
          </w:p>
        </w:tc>
        <w:tc>
          <w:tcPr>
            <w:tcW w:w="4661" w:type="dxa"/>
            <w:vAlign w:val="center"/>
          </w:tcPr>
          <w:p>
            <w:pPr>
              <w:spacing w:before="60" w:after="60"/>
              <w:jc w:val="left"/>
              <w:rPr>
                <w:rFonts w:eastAsia="Times New Roman"/>
                <w:noProof/>
                <w:color w:val="000000"/>
                <w:sz w:val="22"/>
                <w:lang w:val="es-ES_tradnl"/>
              </w:rPr>
            </w:pPr>
            <w:r>
              <w:rPr>
                <w:noProof/>
                <w:color w:val="000000"/>
                <w:sz w:val="22"/>
                <w:lang w:val="es-ES_tradnl"/>
              </w:rPr>
              <w:t>Algorithme cryptographique</w:t>
            </w:r>
          </w:p>
        </w:tc>
        <w:tc>
          <w:tcPr>
            <w:tcW w:w="1725" w:type="dxa"/>
            <w:vAlign w:val="center"/>
          </w:tcPr>
          <w:p>
            <w:pPr>
              <w:spacing w:before="60" w:after="60" w:line="276" w:lineRule="auto"/>
              <w:jc w:val="left"/>
              <w:rPr>
                <w:noProof/>
                <w:lang w:val="es-ES_tradnl"/>
              </w:rPr>
            </w:pPr>
            <w:r>
              <w:rPr>
                <w:noProof/>
                <w:lang w:val="es-ES_tradnl"/>
              </w:rPr>
              <w:t>3.1.4</w:t>
            </w:r>
          </w:p>
        </w:tc>
        <w:tc>
          <w:tcPr>
            <w:tcW w:w="2216" w:type="dxa"/>
            <w:vMerge/>
            <w:vAlign w:val="center"/>
          </w:tcPr>
          <w:p>
            <w:pPr>
              <w:spacing w:before="0" w:after="200" w:line="276" w:lineRule="auto"/>
              <w:jc w:val="left"/>
              <w:rPr>
                <w:noProof/>
                <w:lang w:val="es-ES_tradnl"/>
              </w:rPr>
            </w:pPr>
          </w:p>
        </w:tc>
      </w:tr>
      <w:tr>
        <w:tc>
          <w:tcPr>
            <w:tcW w:w="687" w:type="dxa"/>
            <w:vAlign w:val="center"/>
          </w:tcPr>
          <w:p>
            <w:pPr>
              <w:spacing w:before="100" w:beforeAutospacing="1" w:after="100" w:afterAutospacing="1" w:line="276" w:lineRule="auto"/>
              <w:jc w:val="left"/>
              <w:rPr>
                <w:noProof/>
                <w:lang w:val="es-ES_tradnl"/>
              </w:rPr>
            </w:pPr>
            <w:r>
              <w:rPr>
                <w:noProof/>
                <w:lang w:val="es-ES_tradnl"/>
              </w:rPr>
              <w:t>73</w:t>
            </w:r>
          </w:p>
        </w:tc>
        <w:tc>
          <w:tcPr>
            <w:tcW w:w="4661" w:type="dxa"/>
            <w:vAlign w:val="center"/>
          </w:tcPr>
          <w:p>
            <w:pPr>
              <w:spacing w:before="60" w:after="60"/>
              <w:jc w:val="left"/>
              <w:rPr>
                <w:rFonts w:eastAsia="Times New Roman"/>
                <w:noProof/>
                <w:color w:val="000000"/>
                <w:sz w:val="22"/>
                <w:lang w:val="fr-BE"/>
              </w:rPr>
            </w:pPr>
            <w:r>
              <w:rPr>
                <w:noProof/>
                <w:color w:val="000000"/>
                <w:sz w:val="22"/>
                <w:lang w:val="fr-BE"/>
              </w:rPr>
              <w:t>Technologies avancées de réduction des émissions de CO</w:t>
            </w:r>
            <w:r>
              <w:rPr>
                <w:noProof/>
                <w:color w:val="000000"/>
                <w:sz w:val="22"/>
                <w:vertAlign w:val="subscript"/>
                <w:lang w:val="fr-BE"/>
              </w:rPr>
              <w:t>2</w:t>
            </w:r>
          </w:p>
        </w:tc>
        <w:tc>
          <w:tcPr>
            <w:tcW w:w="1725" w:type="dxa"/>
            <w:vAlign w:val="center"/>
          </w:tcPr>
          <w:p>
            <w:pPr>
              <w:spacing w:before="60" w:after="60" w:line="276" w:lineRule="auto"/>
              <w:jc w:val="left"/>
              <w:rPr>
                <w:noProof/>
                <w:lang w:val="es-ES_tradnl"/>
              </w:rPr>
            </w:pPr>
            <w:r>
              <w:rPr>
                <w:noProof/>
                <w:lang w:val="es-ES_tradnl"/>
              </w:rPr>
              <w:t>-</w:t>
            </w:r>
          </w:p>
        </w:tc>
        <w:tc>
          <w:tcPr>
            <w:tcW w:w="2216" w:type="dxa"/>
            <w:vAlign w:val="center"/>
          </w:tcPr>
          <w:p>
            <w:pPr>
              <w:spacing w:before="60" w:after="60"/>
              <w:jc w:val="left"/>
              <w:rPr>
                <w:noProof/>
                <w:lang w:val="fr-BE"/>
              </w:rPr>
            </w:pPr>
            <w:r>
              <w:rPr>
                <w:noProof/>
                <w:lang w:val="fr-BE"/>
              </w:rPr>
              <w:t>Technologies de réduction des émissions de CO</w:t>
            </w:r>
            <w:r>
              <w:rPr>
                <w:noProof/>
                <w:vertAlign w:val="subscript"/>
                <w:lang w:val="fr-BE"/>
              </w:rPr>
              <w:t>2</w:t>
            </w:r>
            <w:r>
              <w:rPr>
                <w:noProof/>
                <w:lang w:val="fr-BE"/>
              </w:rPr>
              <w:t xml:space="preserve"> des véhicules</w:t>
            </w:r>
          </w:p>
        </w:tc>
      </w:tr>
    </w:tbl>
    <w:p>
      <w:pPr>
        <w:spacing w:before="0" w:after="200" w:line="276" w:lineRule="auto"/>
        <w:jc w:val="left"/>
        <w:rPr>
          <w:noProof/>
          <w:lang w:val="fr-BE"/>
        </w:rPr>
      </w:pPr>
    </w:p>
    <w:p>
      <w:pPr>
        <w:rPr>
          <w:noProof/>
          <w:lang w:val="fr-BE"/>
        </w:rPr>
        <w:sectPr>
          <w:footerReference w:type="default" r:id="rId16"/>
          <w:footerReference w:type="first" r:id="rId17"/>
          <w:pgSz w:w="11907" w:h="16839"/>
          <w:pgMar w:top="1134" w:right="1417" w:bottom="1134" w:left="1417" w:header="709" w:footer="709" w:gutter="0"/>
          <w:pgNumType w:start="2"/>
          <w:cols w:space="708"/>
          <w:docGrid w:linePitch="360"/>
        </w:sectPr>
      </w:pPr>
      <w:r>
        <w:rPr>
          <w:noProof/>
          <w:lang w:val="fr-BE"/>
        </w:rPr>
        <w:br w:type="page"/>
      </w:r>
    </w:p>
    <w:p>
      <w:pPr>
        <w:rPr>
          <w:noProof/>
          <w:lang w:val="fr-BE"/>
        </w:rPr>
      </w:pPr>
    </w:p>
    <w:p>
      <w:pPr>
        <w:jc w:val="center"/>
        <w:rPr>
          <w:b/>
          <w:noProof/>
          <w:lang w:val="fr-BE"/>
        </w:rPr>
      </w:pPr>
      <w:r>
        <w:rPr>
          <w:b/>
          <w:noProof/>
          <w:lang w:val="fr-BE"/>
        </w:rPr>
        <w:t>ANNEXE II</w:t>
      </w:r>
    </w:p>
    <w:p>
      <w:pPr>
        <w:jc w:val="center"/>
        <w:rPr>
          <w:b/>
          <w:noProof/>
          <w:lang w:val="fr-BE"/>
        </w:rPr>
      </w:pPr>
      <w:r>
        <w:rPr>
          <w:b/>
          <w:noProof/>
          <w:lang w:val="fr-BE"/>
        </w:rPr>
        <w:t>Communication et gestion des données</w:t>
      </w:r>
    </w:p>
    <w:p>
      <w:pPr>
        <w:pStyle w:val="Heading1"/>
        <w:numPr>
          <w:ilvl w:val="0"/>
          <w:numId w:val="9"/>
        </w:numPr>
        <w:rPr>
          <w:noProof/>
          <w:lang w:val="fr-BE"/>
        </w:rPr>
      </w:pPr>
      <w:r>
        <w:rPr>
          <w:noProof/>
          <w:lang w:val="fr-BE"/>
        </w:rPr>
        <w:t>Informations communiquées par les États membres</w:t>
      </w:r>
    </w:p>
    <w:p>
      <w:pPr>
        <w:ind w:left="720" w:hanging="720"/>
        <w:rPr>
          <w:noProof/>
          <w:lang w:val="fr-BE"/>
        </w:rPr>
      </w:pPr>
      <w:r>
        <w:rPr>
          <w:noProof/>
          <w:lang w:val="fr-BE"/>
        </w:rPr>
        <w:t>1.1</w:t>
      </w:r>
      <w:r>
        <w:rPr>
          <w:noProof/>
          <w:lang w:val="fr-BE"/>
        </w:rPr>
        <w:tab/>
        <w:t>À partir du 1</w:t>
      </w:r>
      <w:r>
        <w:rPr>
          <w:noProof/>
          <w:vertAlign w:val="superscript"/>
          <w:lang w:val="fr-BE"/>
        </w:rPr>
        <w:t>er</w:t>
      </w:r>
      <w:r>
        <w:rPr>
          <w:noProof/>
          <w:lang w:val="fr-BE"/>
        </w:rPr>
        <w:t xml:space="preserve"> janvier 2019, les États membres surveillent les données spécifiées dans la partie A de l’annexe I, par année civile. </w:t>
      </w:r>
    </w:p>
    <w:p>
      <w:pPr>
        <w:ind w:left="720" w:hanging="720"/>
        <w:rPr>
          <w:noProof/>
          <w:szCs w:val="24"/>
          <w:lang w:val="fr-BE"/>
        </w:rPr>
      </w:pPr>
      <w:r>
        <w:rPr>
          <w:noProof/>
          <w:lang w:val="fr-BE"/>
        </w:rPr>
        <w:t>1.2</w:t>
      </w:r>
      <w:r>
        <w:rPr>
          <w:noProof/>
          <w:lang w:val="fr-BE"/>
        </w:rPr>
        <w:tab/>
        <w:t xml:space="preserve">Conformément à l’article 4, le point de contact de l’autorité compétente transmet ces données par voie électronique au référentiel central de données (Central Data Repository) géré par l’AEE. </w:t>
      </w:r>
    </w:p>
    <w:p>
      <w:pPr>
        <w:ind w:left="720"/>
        <w:jc w:val="left"/>
        <w:rPr>
          <w:noProof/>
          <w:lang w:val="fr-BE"/>
        </w:rPr>
      </w:pPr>
      <w:r>
        <w:rPr>
          <w:noProof/>
          <w:lang w:val="fr-BE"/>
        </w:rPr>
        <w:t>Le point de contact notifie la transmission des données à la Commission en envoyant un courrier électronique aux adresses suivantes:</w:t>
      </w:r>
      <w:r>
        <w:rPr>
          <w:noProof/>
          <w:lang w:val="fr-BE"/>
        </w:rPr>
        <w:br/>
      </w:r>
    </w:p>
    <w:p>
      <w:pPr>
        <w:ind w:left="720"/>
        <w:jc w:val="left"/>
        <w:rPr>
          <w:noProof/>
          <w:lang w:val="fr-BE"/>
        </w:rPr>
      </w:pPr>
      <w:r>
        <w:rPr>
          <w:noProof/>
          <w:lang w:val="fr-BE"/>
        </w:rPr>
        <w:t>[</w:t>
      </w:r>
      <w:hyperlink r:id="rId18">
        <w:r>
          <w:rPr>
            <w:noProof/>
            <w:color w:val="0000FF" w:themeColor="hyperlink"/>
            <w:u w:val="single"/>
            <w:lang w:val="fr-BE"/>
          </w:rPr>
          <w:t>EC-CO2-HDV-IMPLEMENTATION@ec.europa.eu</w:t>
        </w:r>
      </w:hyperlink>
      <w:r>
        <w:rPr>
          <w:noProof/>
          <w:lang w:val="fr-BE"/>
        </w:rPr>
        <w:t>] et</w:t>
      </w:r>
    </w:p>
    <w:p>
      <w:pPr>
        <w:ind w:left="720"/>
        <w:jc w:val="left"/>
        <w:rPr>
          <w:noProof/>
          <w:lang w:val="fr-BE"/>
        </w:rPr>
      </w:pPr>
      <w:hyperlink r:id="rId19">
        <w:r>
          <w:rPr>
            <w:noProof/>
            <w:color w:val="0000FF" w:themeColor="hyperlink"/>
            <w:u w:val="single"/>
            <w:lang w:val="fr-BE"/>
          </w:rPr>
          <w:t>HDV-monitoring@eea.europa.eu</w:t>
        </w:r>
      </w:hyperlink>
      <w:r>
        <w:rPr>
          <w:noProof/>
          <w:lang w:val="fr-BE"/>
        </w:rPr>
        <w:t>.</w:t>
      </w:r>
    </w:p>
    <w:p>
      <w:pPr>
        <w:pStyle w:val="Heading1"/>
        <w:rPr>
          <w:noProof/>
          <w:lang w:val="es-ES_tradnl"/>
        </w:rPr>
      </w:pPr>
      <w:r>
        <w:rPr>
          <w:noProof/>
          <w:lang w:val="es-ES_tradnl"/>
        </w:rPr>
        <w:t>Informations communiquées par les constructeurs</w:t>
      </w:r>
    </w:p>
    <w:p>
      <w:pPr>
        <w:ind w:left="850" w:hanging="850"/>
        <w:rPr>
          <w:noProof/>
          <w:lang w:val="fr-BE"/>
        </w:rPr>
      </w:pPr>
      <w:r>
        <w:rPr>
          <w:noProof/>
          <w:lang w:val="fr-BE"/>
        </w:rPr>
        <w:t>2.1</w:t>
      </w:r>
      <w:r>
        <w:rPr>
          <w:noProof/>
          <w:lang w:val="fr-BE"/>
        </w:rPr>
        <w:tab/>
        <w:t>Les constructeurs communiquent sans délai à la Commission et au plus tard le [31 décembre 2018] les informations suivantes:</w:t>
      </w:r>
    </w:p>
    <w:p>
      <w:pPr>
        <w:pStyle w:val="Point1"/>
        <w:rPr>
          <w:noProof/>
          <w:lang w:val="fr-BE"/>
        </w:rPr>
      </w:pPr>
      <w:r>
        <w:rPr>
          <w:noProof/>
          <w:lang w:val="fr-BE"/>
        </w:rPr>
        <w:t>a)</w:t>
      </w:r>
      <w:r>
        <w:rPr>
          <w:noProof/>
          <w:lang w:val="fr-BE"/>
        </w:rPr>
        <w:tab/>
        <w:t>le nom du constructeur indiqué dans le certificat de conformité ou la fiche de réception individuelle;</w:t>
      </w:r>
    </w:p>
    <w:p>
      <w:pPr>
        <w:pStyle w:val="Point1"/>
        <w:rPr>
          <w:noProof/>
          <w:lang w:val="fr-BE"/>
        </w:rPr>
      </w:pPr>
      <w:r>
        <w:rPr>
          <w:noProof/>
          <w:lang w:val="fr-BE"/>
        </w:rPr>
        <w:t>b)</w:t>
      </w:r>
      <w:r>
        <w:rPr>
          <w:noProof/>
          <w:lang w:val="fr-BE"/>
        </w:rPr>
        <w:tab/>
        <w:t>le code d’identification mondiale du constructeur (WMI), tel que défini dans le règlement (UE) n° 19/2011 de la Commission</w:t>
      </w:r>
      <w:r>
        <w:rPr>
          <w:rStyle w:val="FootnoteReference"/>
          <w:noProof/>
          <w:lang w:val="es-ES_tradnl"/>
        </w:rPr>
        <w:footnoteReference w:id="2"/>
      </w:r>
      <w:r>
        <w:rPr>
          <w:noProof/>
          <w:lang w:val="fr-BE"/>
        </w:rPr>
        <w:t>, qui doit être utilisé dans les numéros d’identification des véhicules utilitaires lourds neufs destinés à être mis sur le marché;</w:t>
      </w:r>
    </w:p>
    <w:p>
      <w:pPr>
        <w:pStyle w:val="Point1"/>
        <w:rPr>
          <w:noProof/>
          <w:lang w:val="fr-BE"/>
        </w:rPr>
      </w:pPr>
      <w:r>
        <w:rPr>
          <w:noProof/>
          <w:lang w:val="fr-BE"/>
        </w:rPr>
        <w:t>c)</w:t>
      </w:r>
      <w:r>
        <w:rPr>
          <w:noProof/>
          <w:lang w:val="fr-BE"/>
        </w:rPr>
        <w:tab/>
        <w:t>le point de contact responsable du chargement des données dans le référentiel de données d’entreprise (Business Data Repository) de l'AEE.</w:t>
      </w:r>
    </w:p>
    <w:p>
      <w:pPr>
        <w:ind w:left="850"/>
        <w:rPr>
          <w:noProof/>
          <w:lang w:val="fr-BE"/>
        </w:rPr>
      </w:pPr>
      <w:r>
        <w:rPr>
          <w:noProof/>
          <w:lang w:val="fr-BE"/>
        </w:rPr>
        <w:t xml:space="preserve">Ils notifient sans délai à la Commission toute modification apportée à ces informations. </w:t>
      </w:r>
    </w:p>
    <w:p>
      <w:pPr>
        <w:ind w:left="850"/>
        <w:rPr>
          <w:noProof/>
          <w:lang w:val="fr-BE"/>
        </w:rPr>
      </w:pPr>
      <w:r>
        <w:rPr>
          <w:noProof/>
          <w:lang w:val="fr-BE"/>
        </w:rPr>
        <w:t xml:space="preserve">Ces notifications sont à envoyer aux adresses mentionnées au point 1.2. </w:t>
      </w:r>
    </w:p>
    <w:p>
      <w:pPr>
        <w:ind w:left="850" w:hanging="850"/>
        <w:rPr>
          <w:noProof/>
          <w:lang w:val="fr-BE"/>
        </w:rPr>
      </w:pPr>
      <w:r>
        <w:rPr>
          <w:noProof/>
          <w:lang w:val="fr-BE"/>
        </w:rPr>
        <w:t>2.2</w:t>
      </w:r>
      <w:r>
        <w:rPr>
          <w:noProof/>
          <w:lang w:val="fr-BE"/>
        </w:rPr>
        <w:tab/>
        <w:t>Les nouveaux constructeurs qui accèdent au marché doivent communiquer sans délai à la Commission les informations visées au point 2.1.</w:t>
      </w:r>
    </w:p>
    <w:p>
      <w:pPr>
        <w:ind w:left="850" w:hanging="850"/>
        <w:rPr>
          <w:noProof/>
          <w:lang w:val="fr-BE"/>
        </w:rPr>
      </w:pPr>
      <w:r>
        <w:rPr>
          <w:noProof/>
          <w:lang w:val="fr-BE"/>
        </w:rPr>
        <w:t>2.3</w:t>
      </w:r>
      <w:r>
        <w:rPr>
          <w:noProof/>
          <w:lang w:val="fr-BE"/>
        </w:rPr>
        <w:tab/>
        <w:t>À partir du [1</w:t>
      </w:r>
      <w:r>
        <w:rPr>
          <w:noProof/>
          <w:vertAlign w:val="superscript"/>
          <w:lang w:val="fr-BE"/>
        </w:rPr>
        <w:t>er</w:t>
      </w:r>
      <w:r>
        <w:rPr>
          <w:noProof/>
          <w:lang w:val="fr-BE"/>
        </w:rPr>
        <w:t> janvier 2019] et chaque année civile par la suite, chaque constructeur enregistre, pour chaque véhicule utilitaire lourd neuf produit, les données spécifiées dans la partie B de l’annexe I.</w:t>
      </w:r>
    </w:p>
    <w:p>
      <w:pPr>
        <w:ind w:left="850" w:hanging="850"/>
        <w:rPr>
          <w:noProof/>
          <w:lang w:val="fr-BE"/>
        </w:rPr>
      </w:pPr>
      <w:r>
        <w:rPr>
          <w:noProof/>
          <w:lang w:val="fr-BE"/>
        </w:rPr>
        <w:t>2.4</w:t>
      </w:r>
      <w:r>
        <w:rPr>
          <w:noProof/>
          <w:lang w:val="fr-BE"/>
        </w:rPr>
        <w:tab/>
        <w:t xml:space="preserve">Conformément à l’article 5, paragraphe 1, le point de contact du constructeur transmet les données visées au point 2.3 par voie électronique au référentiel de données d’entreprise géré par l’AEE.  </w:t>
      </w:r>
    </w:p>
    <w:p>
      <w:pPr>
        <w:ind w:left="850"/>
        <w:rPr>
          <w:noProof/>
          <w:lang w:val="fr-BE"/>
        </w:rPr>
      </w:pPr>
      <w:r>
        <w:rPr>
          <w:noProof/>
          <w:lang w:val="fr-BE"/>
        </w:rPr>
        <w:t>Le point de contact notifie la transmission des données à la Commission et à l’AEE par courrier électronique adressé aux boîtes fonctionnelles spécifiées au point 1.2 de la présente annexe.</w:t>
      </w:r>
    </w:p>
    <w:p>
      <w:pPr>
        <w:pStyle w:val="Heading1"/>
        <w:rPr>
          <w:noProof/>
          <w:lang w:val="es-ES_tradnl"/>
        </w:rPr>
      </w:pPr>
      <w:r>
        <w:rPr>
          <w:noProof/>
          <w:lang w:val="es-ES_tradnl"/>
        </w:rPr>
        <w:t xml:space="preserve">Traitement des données </w:t>
      </w:r>
    </w:p>
    <w:p>
      <w:pPr>
        <w:pStyle w:val="Point1"/>
        <w:ind w:left="850" w:hanging="850"/>
        <w:rPr>
          <w:noProof/>
          <w:lang w:val="fr-BE"/>
        </w:rPr>
      </w:pPr>
      <w:r>
        <w:rPr>
          <w:noProof/>
          <w:lang w:val="fr-BE"/>
        </w:rPr>
        <w:t>3.1</w:t>
      </w:r>
      <w:r>
        <w:rPr>
          <w:noProof/>
          <w:lang w:val="fr-BE"/>
        </w:rPr>
        <w:tab/>
        <w:t>L’AEE traite les données transmises conformément aux points 1.2 et 2.4 et consigne les données traitées dans le registre central des données relatives aux véhicules utilitaires lourds.</w:t>
      </w:r>
    </w:p>
    <w:p>
      <w:pPr>
        <w:pStyle w:val="Point0"/>
        <w:rPr>
          <w:noProof/>
          <w:lang w:val="fr-BE"/>
        </w:rPr>
      </w:pPr>
      <w:r>
        <w:rPr>
          <w:noProof/>
          <w:lang w:val="fr-BE"/>
        </w:rPr>
        <w:t>3.2</w:t>
      </w:r>
      <w:r>
        <w:rPr>
          <w:noProof/>
          <w:lang w:val="fr-BE"/>
        </w:rPr>
        <w:tab/>
        <w:t>Chaque année à partir de [2020], les données relatives aux véhicules immatriculés au cours de l’année civile précédente qui sont consignées dans le registre sont rendues publiques au plus tard le [31 octobre], à l’exception des données visées à l’article 6, paragraphe 1.</w:t>
      </w:r>
    </w:p>
    <w:p>
      <w:pPr>
        <w:pStyle w:val="Point0"/>
        <w:rPr>
          <w:noProof/>
          <w:lang w:val="fr-BE"/>
        </w:rPr>
      </w:pPr>
      <w:r>
        <w:rPr>
          <w:noProof/>
          <w:lang w:val="fr-BE"/>
        </w:rPr>
        <w:t>3.3</w:t>
      </w:r>
      <w:r>
        <w:rPr>
          <w:noProof/>
          <w:lang w:val="fr-BE"/>
        </w:rPr>
        <w:tab/>
        <w:t>Lorsqu’une autorité compétente ou des constructeurs constatent des erreurs dans les données communiquées, ils en informent immédiatement la Commission et l’AEE en soumettant un rapport de notification d’erreur au référentiel central de données ou au référentiel de données d’entreprise et en adressant un courrier électronique aux boîtes fonctionnelles visées au point 1.2.</w:t>
      </w:r>
    </w:p>
    <w:p>
      <w:pPr>
        <w:pStyle w:val="Point0"/>
        <w:rPr>
          <w:noProof/>
          <w:lang w:val="fr-BE"/>
        </w:rPr>
      </w:pPr>
      <w:r>
        <w:rPr>
          <w:noProof/>
          <w:lang w:val="fr-BE"/>
        </w:rPr>
        <w:t>3.4</w:t>
      </w:r>
      <w:r>
        <w:rPr>
          <w:noProof/>
          <w:lang w:val="fr-BE"/>
        </w:rPr>
        <w:tab/>
        <w:t>La Commission vérifie, avec l’aide de l’AEE, les erreurs notifiées et, s’il y a lieu, corrige les données dans le référentiel.</w:t>
      </w:r>
    </w:p>
    <w:p>
      <w:pPr>
        <w:pStyle w:val="Point0"/>
        <w:rPr>
          <w:noProof/>
          <w:lang w:val="fr-BE"/>
        </w:rPr>
      </w:pPr>
      <w:r>
        <w:rPr>
          <w:noProof/>
          <w:lang w:val="fr-BE"/>
        </w:rPr>
        <w:t>3.5</w:t>
      </w:r>
      <w:r>
        <w:rPr>
          <w:noProof/>
          <w:lang w:val="fr-BE"/>
        </w:rPr>
        <w:tab/>
        <w:t>La Commission, assistée de l’AEE, met à disposition des formats électroniques pour la transmission des données visées aux points 1.2 et 2.4, en temps utile avant les dates limites de transmission.</w:t>
      </w:r>
    </w:p>
    <w:p>
      <w:pPr>
        <w:pStyle w:val="Point0"/>
        <w:rPr>
          <w:noProof/>
          <w:lang w:val="fr-BE"/>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lang w:val="es-ES"/>
        </w:rPr>
        <w:footnoteRef/>
      </w:r>
      <w:r>
        <w:rPr>
          <w:lang w:val="fr-BE"/>
        </w:rPr>
        <w:tab/>
        <w:t>Règlement (UE) n° 19/2011 de la Commission du 11 janvier 2011 concernant les exigences pour la réception de la plaque réglementaire du constructeur et du numéro d’identification des véhicules à moteur et de leurs remorques et mettant en œuvre le règlement (CE) n  661/2009 du Parlement européen et du Conseil concernant les prescriptions pour l’homologation relatives à la sécurité générale des véhicules à moteur, de leurs remorques et des systèmes, composants et entités techniques distinctes qui leur sont destinés (JO L 8 du 12.1.2011,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7ED6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4EA4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C696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C224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7A1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F213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460F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50023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7:02: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FigNum" w:val="1"/>
    <w:docVar w:name="LW_ACCOMPAGNANT.CP" w:val="à la proposition de"/>
    <w:docVar w:name="LW_ANNEX_NBR_FIRST" w:val="1"/>
    <w:docVar w:name="LW_ANNEX_NBR_LAST" w:val="2"/>
    <w:docVar w:name="LW_CONFIDENCE" w:val=" "/>
    <w:docVar w:name="LW_CONST_RESTREINT_UE" w:val="RESTREINT UE"/>
    <w:docVar w:name="LW_CORRIGENDUM" w:val="&lt;UNUSED&gt;"/>
    <w:docVar w:name="LW_COVERPAGE_GUID" w:val="18E3723EE1E54C9BBC2C45A32010DCD0"/>
    <w:docVar w:name="LW_CROSSREFERENCE" w:val="{SWD(2017) 188 final}_x000b_{SWD(2017) 189 final}"/>
    <w:docVar w:name="LW_DocType" w:val="ANNEX"/>
    <w:docVar w:name="LW_EMISSION" w:val="31.5.2017"/>
    <w:docVar w:name="LW_EMISSION_ISODATE" w:val="2017-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cernant la surveillance et la communication des données relatives aux émissions de CO2 et à la consommation de carburant des véhicules utilitaires neufs"/>
    <w:docVar w:name="LW_OBJETACTEPRINCIPAL_CONTENT_FMTD" w:val="concernant la surveillance et la communication des données relatives aux émissions de CO2 et à la consommation de carburant des véhicules utilitaires neufs"/>
    <w:docVar w:name="LW_OBJETACTEPRINCIPAL_USEMAINTEXTFORCP" w:val="1"/>
    <w:docVar w:name="LW_PART_NBR" w:val="&lt;UNUSED&gt;"/>
    <w:docVar w:name="LW_PART_NBR_TOTAL" w:val="&lt;UNUSED&gt;"/>
    <w:docVar w:name="LW_REF.INST.NEW" w:val="COM"/>
    <w:docVar w:name="LW_REF.INST.NEW_ADOPTED" w:val="final"/>
    <w:docVar w:name="LW_REF.INST.NEW_TEXT" w:val="(2017) 279"/>
    <w:docVar w:name="LW_REF.INTERNE" w:val="&lt;UNUSED&gt;"/>
    <w:docVar w:name="LW_SUPERTITRE" w:val="&lt;UNUSED&gt;"/>
    <w:docVar w:name="LW_TITRE.OBJ.CP" w:val="&lt;UNUSED&gt;"/>
    <w:docVar w:name="LW_TYPE.DOC.CP" w:val="ANNEXES"/>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ListNumber3">
    <w:name w:val="List Number 3"/>
    <w:basedOn w:val="Normal"/>
    <w:uiPriority w:val="99"/>
    <w:semiHidden/>
    <w:unhideWhenUsed/>
    <w:pPr>
      <w:numPr>
        <w:numId w:val="1"/>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ManualHa">
    <w:name w:val="Manual Ha"/>
    <w:basedOn w:val="Normal"/>
    <w:pPr>
      <w:keepNext/>
      <w:tabs>
        <w:tab w:val="num" w:pos="850"/>
      </w:tabs>
      <w:spacing w:before="360"/>
      <w:ind w:left="850" w:hanging="850"/>
      <w:outlineLvl w:val="0"/>
    </w:pPr>
    <w:rPr>
      <w:rFonts w:eastAsiaTheme="majorEastAsia"/>
      <w:b/>
      <w:bCs/>
      <w:smallCaps/>
      <w:szCs w:val="28"/>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ListNumber3">
    <w:name w:val="List Number 3"/>
    <w:basedOn w:val="Normal"/>
    <w:uiPriority w:val="99"/>
    <w:semiHidden/>
    <w:unhideWhenUsed/>
    <w:pPr>
      <w:numPr>
        <w:numId w:val="1"/>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ManualHa">
    <w:name w:val="Manual Ha"/>
    <w:basedOn w:val="Normal"/>
    <w:pPr>
      <w:keepNext/>
      <w:tabs>
        <w:tab w:val="num" w:pos="850"/>
      </w:tabs>
      <w:spacing w:before="360"/>
      <w:ind w:left="850" w:hanging="850"/>
      <w:outlineLvl w:val="0"/>
    </w:pPr>
    <w:rPr>
      <w:rFonts w:eastAsiaTheme="majorEastAsia"/>
      <w:b/>
      <w:bCs/>
      <w:smallCaps/>
      <w:szCs w:val="28"/>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EC-CO2-HDV-IMPLEMENTATION@ec.europa.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O2-monitoring@eea.europa.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4033623-ED78-4052-971A-608BBD9F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1452</Words>
  <Characters>8238</Characters>
  <Application>Microsoft Office Word</Application>
  <DocSecurity>0</DocSecurity>
  <Lines>484</Lines>
  <Paragraphs>322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LINDVALL Susanna (CLIMA)</dc:creator>
  <cp:lastModifiedBy>DIGIT/A3</cp:lastModifiedBy>
  <cp:revision>8</cp:revision>
  <cp:lastPrinted>2017-05-22T11:29:00Z</cp:lastPrinted>
  <dcterms:created xsi:type="dcterms:W3CDTF">2017-05-30T07:33:00Z</dcterms:created>
  <dcterms:modified xsi:type="dcterms:W3CDTF">2017-05-30T15:02:00Z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