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D479B759D9244539D0680C79ACECCD9" style="width:450.7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DIRECTIVE DU PARLEMENT EUROPÉEN ET DU CONSEIL</w:t>
      </w:r>
    </w:p>
    <w:p>
      <w:pPr>
        <w:pStyle w:val="Objetacteprincipal"/>
        <w:rPr>
          <w:noProof/>
        </w:rPr>
      </w:pPr>
      <w:r>
        <w:rPr>
          <w:noProof/>
        </w:rPr>
        <w:t>modifiant la directive 1999/62/CE relative à la taxation des poids lourds pour l’utilisation de certaines infrastructures</w:t>
      </w:r>
      <w:r>
        <w:rPr>
          <w:noProof/>
        </w:rPr>
        <w:br/>
        <w:t>(Texte présentant de l'intérêt pour l'EEE)</w:t>
      </w:r>
    </w:p>
    <w:p>
      <w:pPr>
        <w:rPr>
          <w:noProof/>
        </w:rPr>
      </w:pPr>
    </w:p>
    <w:p>
      <w:pPr>
        <w:rPr>
          <w:noProof/>
        </w:rPr>
      </w:pPr>
      <w:r>
        <w:rPr>
          <w:noProof/>
        </w:rPr>
        <w:t>(1)</w:t>
      </w:r>
      <w:r>
        <w:rPr>
          <w:noProof/>
        </w:rPr>
        <w:tab/>
        <w:t>Les annexes 0, III, III </w:t>
      </w:r>
      <w:r>
        <w:rPr>
          <w:i/>
          <w:noProof/>
        </w:rPr>
        <w:t>bis</w:t>
      </w:r>
      <w:r>
        <w:rPr>
          <w:noProof/>
        </w:rPr>
        <w:t>, III </w:t>
      </w:r>
      <w:r>
        <w:rPr>
          <w:i/>
          <w:noProof/>
        </w:rPr>
        <w:t>ter</w:t>
      </w:r>
      <w:r>
        <w:rPr>
          <w:noProof/>
        </w:rPr>
        <w:t xml:space="preserve"> et IV sont modifiées comme suit:</w:t>
      </w:r>
    </w:p>
    <w:p>
      <w:pPr>
        <w:rPr>
          <w:noProof/>
        </w:rPr>
      </w:pPr>
      <w:r>
        <w:rPr>
          <w:noProof/>
        </w:rPr>
        <w:t>a)</w:t>
      </w:r>
      <w:r>
        <w:rPr>
          <w:noProof/>
        </w:rPr>
        <w:tab/>
        <w:t>à l'annexe 0, la section 3 est modifiée comme suit:</w:t>
      </w:r>
    </w:p>
    <w:p>
      <w:pPr>
        <w:ind w:firstLine="720"/>
        <w:rPr>
          <w:noProof/>
        </w:rPr>
      </w:pPr>
      <w:r>
        <w:rPr>
          <w:noProof/>
        </w:rPr>
        <w:t>i)</w:t>
      </w:r>
      <w:r>
        <w:rPr>
          <w:noProof/>
        </w:rPr>
        <w:tab/>
        <w:t>le titre est remplacé par le texte suivant:</w:t>
      </w:r>
    </w:p>
    <w:p>
      <w:pPr>
        <w:ind w:left="130" w:firstLine="720"/>
        <w:rPr>
          <w:noProof/>
        </w:rPr>
      </w:pPr>
      <w:r>
        <w:rPr>
          <w:noProof/>
        </w:rPr>
        <w:t>«3. Véhicules "EURO III"/"EURO IV"/"EURO V"»;</w:t>
      </w:r>
    </w:p>
    <w:p>
      <w:pPr>
        <w:ind w:firstLine="720"/>
        <w:rPr>
          <w:noProof/>
        </w:rPr>
      </w:pPr>
      <w:r>
        <w:rPr>
          <w:noProof/>
        </w:rPr>
        <w:t>ii)</w:t>
      </w:r>
      <w:r>
        <w:rPr>
          <w:noProof/>
        </w:rPr>
        <w:tab/>
        <w:t>dans le tableau, la ligne concernant le véhicule «VRE» est supprimée;</w:t>
      </w:r>
    </w:p>
    <w:p>
      <w:pPr>
        <w:ind w:left="720"/>
        <w:rPr>
          <w:noProof/>
        </w:rPr>
      </w:pPr>
      <w:r>
        <w:rPr>
          <w:noProof/>
        </w:rPr>
        <w:t>iii)</w:t>
      </w:r>
      <w:r>
        <w:rPr>
          <w:noProof/>
        </w:rPr>
        <w:tab/>
        <w:t>le texte suivant est ajouté:</w:t>
      </w:r>
    </w:p>
    <w:p>
      <w:pPr>
        <w:pStyle w:val="NormalCentered"/>
        <w:rPr>
          <w:b/>
          <w:noProof/>
          <w:u w:val="single"/>
        </w:rPr>
      </w:pPr>
      <w:r>
        <w:rPr>
          <w:b/>
          <w:noProof/>
          <w:u w:val="single"/>
        </w:rPr>
        <w:t>«Limites d’émissions Euro VI</w:t>
      </w:r>
    </w:p>
    <w:tbl>
      <w:tblPr>
        <w:tblW w:w="102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4"/>
        <w:gridCol w:w="1080"/>
        <w:gridCol w:w="1080"/>
        <w:gridCol w:w="1200"/>
        <w:gridCol w:w="1080"/>
        <w:gridCol w:w="1080"/>
        <w:gridCol w:w="840"/>
        <w:gridCol w:w="1320"/>
        <w:gridCol w:w="1304"/>
      </w:tblGrid>
      <w:tr>
        <w:trPr>
          <w:trHeight w:val="562"/>
        </w:trPr>
        <w:tc>
          <w:tcPr>
            <w:tcW w:w="1244" w:type="dxa"/>
            <w:tcBorders>
              <w:bottom w:val="nil"/>
            </w:tcBorders>
          </w:tcPr>
          <w:p>
            <w:pPr>
              <w:rPr>
                <w:noProof/>
              </w:rPr>
            </w:pPr>
          </w:p>
        </w:tc>
        <w:tc>
          <w:tcPr>
            <w:tcW w:w="8984" w:type="dxa"/>
            <w:gridSpan w:val="8"/>
            <w:hideMark/>
          </w:tcPr>
          <w:p>
            <w:pPr>
              <w:rPr>
                <w:noProof/>
              </w:rPr>
            </w:pPr>
            <w:r>
              <w:rPr>
                <w:noProof/>
              </w:rPr>
              <w:t>Valeurs limites</w:t>
            </w:r>
          </w:p>
        </w:tc>
      </w:tr>
      <w:tr>
        <w:trPr>
          <w:trHeight w:val="991"/>
        </w:trPr>
        <w:tc>
          <w:tcPr>
            <w:tcW w:w="1244" w:type="dxa"/>
            <w:tcBorders>
              <w:top w:val="nil"/>
            </w:tcBorders>
          </w:tcPr>
          <w:p>
            <w:pPr>
              <w:rPr>
                <w:noProof/>
              </w:rPr>
            </w:pPr>
          </w:p>
        </w:tc>
        <w:tc>
          <w:tcPr>
            <w:tcW w:w="1080" w:type="dxa"/>
            <w:hideMark/>
          </w:tcPr>
          <w:p>
            <w:pPr>
              <w:rPr>
                <w:noProof/>
              </w:rPr>
            </w:pPr>
            <w:r>
              <w:rPr>
                <w:noProof/>
              </w:rPr>
              <w:t>CO</w:t>
            </w:r>
          </w:p>
          <w:p>
            <w:pPr>
              <w:rPr>
                <w:noProof/>
                <w:sz w:val="20"/>
                <w:szCs w:val="20"/>
              </w:rPr>
            </w:pPr>
            <w:r>
              <w:rPr>
                <w:noProof/>
                <w:sz w:val="20"/>
                <w:szCs w:val="20"/>
              </w:rPr>
              <w:t>(mg/kWh)</w:t>
            </w:r>
          </w:p>
        </w:tc>
        <w:tc>
          <w:tcPr>
            <w:tcW w:w="1080" w:type="dxa"/>
            <w:hideMark/>
          </w:tcPr>
          <w:p>
            <w:pPr>
              <w:rPr>
                <w:noProof/>
              </w:rPr>
            </w:pPr>
            <w:r>
              <w:rPr>
                <w:noProof/>
              </w:rPr>
              <w:t>HCT</w:t>
            </w:r>
          </w:p>
          <w:p>
            <w:pPr>
              <w:rPr>
                <w:noProof/>
              </w:rPr>
            </w:pPr>
            <w:r>
              <w:rPr>
                <w:noProof/>
                <w:sz w:val="20"/>
                <w:szCs w:val="20"/>
              </w:rPr>
              <w:t>(mg/kWh)</w:t>
            </w:r>
          </w:p>
        </w:tc>
        <w:tc>
          <w:tcPr>
            <w:tcW w:w="1200" w:type="dxa"/>
            <w:hideMark/>
          </w:tcPr>
          <w:p>
            <w:pPr>
              <w:rPr>
                <w:noProof/>
              </w:rPr>
            </w:pPr>
            <w:r>
              <w:rPr>
                <w:noProof/>
              </w:rPr>
              <w:t>HCNM</w:t>
            </w:r>
          </w:p>
          <w:p>
            <w:pPr>
              <w:rPr>
                <w:noProof/>
              </w:rPr>
            </w:pPr>
            <w:r>
              <w:rPr>
                <w:noProof/>
                <w:sz w:val="20"/>
                <w:szCs w:val="20"/>
              </w:rPr>
              <w:t>(mg/kWh)</w:t>
            </w:r>
          </w:p>
        </w:tc>
        <w:tc>
          <w:tcPr>
            <w:tcW w:w="1080" w:type="dxa"/>
            <w:hideMark/>
          </w:tcPr>
          <w:p>
            <w:pPr>
              <w:rPr>
                <w:noProof/>
                <w:vertAlign w:val="subscript"/>
              </w:rPr>
            </w:pPr>
            <w:r>
              <w:rPr>
                <w:noProof/>
              </w:rPr>
              <w:t>CH</w:t>
            </w:r>
            <w:r>
              <w:rPr>
                <w:noProof/>
                <w:vertAlign w:val="subscript"/>
              </w:rPr>
              <w:t>4</w:t>
            </w:r>
          </w:p>
          <w:p>
            <w:pPr>
              <w:rPr>
                <w:noProof/>
              </w:rPr>
            </w:pPr>
            <w:r>
              <w:rPr>
                <w:noProof/>
                <w:sz w:val="20"/>
                <w:szCs w:val="20"/>
              </w:rPr>
              <w:t>(mg/kWh)</w:t>
            </w:r>
          </w:p>
        </w:tc>
        <w:tc>
          <w:tcPr>
            <w:tcW w:w="1080" w:type="dxa"/>
            <w:hideMark/>
          </w:tcPr>
          <w:p>
            <w:pPr>
              <w:rPr>
                <w:noProof/>
              </w:rPr>
            </w:pPr>
            <w:r>
              <w:rPr>
                <w:noProof/>
              </w:rPr>
              <w:t>NO</w:t>
            </w:r>
            <w:r>
              <w:rPr>
                <w:noProof/>
                <w:vertAlign w:val="subscript"/>
              </w:rPr>
              <w:t>x</w:t>
            </w:r>
            <w:r>
              <w:rPr>
                <w:noProof/>
              </w:rPr>
              <w:t xml:space="preserve"> </w:t>
            </w:r>
            <w:r>
              <w:rPr>
                <w:noProof/>
                <w:vertAlign w:val="superscript"/>
              </w:rPr>
              <w:t>(1)</w:t>
            </w:r>
          </w:p>
          <w:p>
            <w:pPr>
              <w:rPr>
                <w:noProof/>
              </w:rPr>
            </w:pPr>
            <w:r>
              <w:rPr>
                <w:noProof/>
                <w:sz w:val="20"/>
                <w:szCs w:val="20"/>
              </w:rPr>
              <w:t>(mg/kWh)</w:t>
            </w:r>
          </w:p>
        </w:tc>
        <w:tc>
          <w:tcPr>
            <w:tcW w:w="840" w:type="dxa"/>
            <w:hideMark/>
          </w:tcPr>
          <w:p>
            <w:pPr>
              <w:rPr>
                <w:noProof/>
                <w:vertAlign w:val="subscript"/>
              </w:rPr>
            </w:pPr>
            <w:r>
              <w:rPr>
                <w:noProof/>
              </w:rPr>
              <w:t>NH</w:t>
            </w:r>
            <w:r>
              <w:rPr>
                <w:noProof/>
                <w:vertAlign w:val="subscript"/>
              </w:rPr>
              <w:t>3</w:t>
            </w:r>
          </w:p>
          <w:p>
            <w:pPr>
              <w:rPr>
                <w:noProof/>
              </w:rPr>
            </w:pPr>
            <w:r>
              <w:rPr>
                <w:noProof/>
                <w:sz w:val="20"/>
                <w:szCs w:val="20"/>
              </w:rPr>
              <w:t>(ppm)</w:t>
            </w:r>
          </w:p>
        </w:tc>
        <w:tc>
          <w:tcPr>
            <w:tcW w:w="1320" w:type="dxa"/>
            <w:hideMark/>
          </w:tcPr>
          <w:p>
            <w:pPr>
              <w:rPr>
                <w:noProof/>
              </w:rPr>
            </w:pPr>
            <w:r>
              <w:rPr>
                <w:noProof/>
              </w:rPr>
              <w:t>Masse de particules</w:t>
            </w:r>
          </w:p>
          <w:p>
            <w:pPr>
              <w:rPr>
                <w:noProof/>
                <w:vertAlign w:val="subscript"/>
              </w:rPr>
            </w:pPr>
            <w:r>
              <w:rPr>
                <w:noProof/>
                <w:sz w:val="20"/>
                <w:szCs w:val="20"/>
              </w:rPr>
              <w:t>(mg/kWh)</w:t>
            </w:r>
          </w:p>
        </w:tc>
        <w:tc>
          <w:tcPr>
            <w:tcW w:w="1304" w:type="dxa"/>
            <w:hideMark/>
          </w:tcPr>
          <w:p>
            <w:pPr>
              <w:rPr>
                <w:noProof/>
              </w:rPr>
            </w:pPr>
            <w:r>
              <w:rPr>
                <w:noProof/>
              </w:rPr>
              <w:t>Nombre de particules</w:t>
            </w:r>
          </w:p>
          <w:p>
            <w:pPr>
              <w:rPr>
                <w:noProof/>
                <w:vertAlign w:val="subscript"/>
              </w:rPr>
            </w:pPr>
            <w:r>
              <w:rPr>
                <w:noProof/>
                <w:sz w:val="20"/>
                <w:szCs w:val="20"/>
              </w:rPr>
              <w:t>(#/kWh)</w:t>
            </w:r>
          </w:p>
        </w:tc>
      </w:tr>
      <w:tr>
        <w:trPr>
          <w:trHeight w:val="876"/>
        </w:trPr>
        <w:tc>
          <w:tcPr>
            <w:tcW w:w="1244" w:type="dxa"/>
            <w:hideMark/>
          </w:tcPr>
          <w:p>
            <w:pPr>
              <w:rPr>
                <w:noProof/>
              </w:rPr>
            </w:pPr>
            <w:r>
              <w:rPr>
                <w:noProof/>
              </w:rPr>
              <w:t>Procédure d’essai WHSC (APC)</w:t>
            </w:r>
          </w:p>
        </w:tc>
        <w:tc>
          <w:tcPr>
            <w:tcW w:w="1080" w:type="dxa"/>
            <w:hideMark/>
          </w:tcPr>
          <w:p>
            <w:pPr>
              <w:rPr>
                <w:noProof/>
              </w:rPr>
            </w:pPr>
            <w:r>
              <w:rPr>
                <w:noProof/>
              </w:rPr>
              <w:t>1500</w:t>
            </w:r>
          </w:p>
        </w:tc>
        <w:tc>
          <w:tcPr>
            <w:tcW w:w="1080" w:type="dxa"/>
            <w:hideMark/>
          </w:tcPr>
          <w:p>
            <w:pPr>
              <w:rPr>
                <w:noProof/>
              </w:rPr>
            </w:pPr>
            <w:r>
              <w:rPr>
                <w:noProof/>
              </w:rPr>
              <w:t>130</w:t>
            </w:r>
          </w:p>
        </w:tc>
        <w:tc>
          <w:tcPr>
            <w:tcW w:w="1200" w:type="dxa"/>
          </w:tcPr>
          <w:p>
            <w:pPr>
              <w:rPr>
                <w:noProof/>
              </w:rPr>
            </w:pPr>
          </w:p>
        </w:tc>
        <w:tc>
          <w:tcPr>
            <w:tcW w:w="1080" w:type="dxa"/>
          </w:tcPr>
          <w:p>
            <w:pPr>
              <w:rPr>
                <w:noProof/>
              </w:rPr>
            </w:pPr>
          </w:p>
        </w:tc>
        <w:tc>
          <w:tcPr>
            <w:tcW w:w="1080" w:type="dxa"/>
            <w:hideMark/>
          </w:tcPr>
          <w:p>
            <w:pPr>
              <w:rPr>
                <w:noProof/>
              </w:rPr>
            </w:pPr>
            <w:r>
              <w:rPr>
                <w:noProof/>
              </w:rPr>
              <w:t>400</w:t>
            </w:r>
          </w:p>
        </w:tc>
        <w:tc>
          <w:tcPr>
            <w:tcW w:w="840" w:type="dxa"/>
            <w:hideMark/>
          </w:tcPr>
          <w:p>
            <w:pPr>
              <w:rPr>
                <w:noProof/>
              </w:rPr>
            </w:pPr>
            <w:r>
              <w:rPr>
                <w:noProof/>
              </w:rPr>
              <w:t>10</w:t>
            </w:r>
          </w:p>
        </w:tc>
        <w:tc>
          <w:tcPr>
            <w:tcW w:w="1320" w:type="dxa"/>
            <w:hideMark/>
          </w:tcPr>
          <w:p>
            <w:pPr>
              <w:rPr>
                <w:noProof/>
              </w:rPr>
            </w:pPr>
            <w:r>
              <w:rPr>
                <w:noProof/>
              </w:rPr>
              <w:t>10</w:t>
            </w:r>
          </w:p>
        </w:tc>
        <w:tc>
          <w:tcPr>
            <w:tcW w:w="1304" w:type="dxa"/>
            <w:hideMark/>
          </w:tcPr>
          <w:p>
            <w:pPr>
              <w:rPr>
                <w:noProof/>
                <w:vertAlign w:val="superscript"/>
              </w:rPr>
            </w:pPr>
            <w:r>
              <w:rPr>
                <w:noProof/>
              </w:rPr>
              <w:t>8,0 x 10</w:t>
            </w:r>
            <w:r>
              <w:rPr>
                <w:noProof/>
                <w:vertAlign w:val="superscript"/>
              </w:rPr>
              <w:t>11</w:t>
            </w:r>
          </w:p>
        </w:tc>
      </w:tr>
      <w:tr>
        <w:trPr>
          <w:trHeight w:val="859"/>
        </w:trPr>
        <w:tc>
          <w:tcPr>
            <w:tcW w:w="1244" w:type="dxa"/>
            <w:hideMark/>
          </w:tcPr>
          <w:p>
            <w:pPr>
              <w:rPr>
                <w:noProof/>
              </w:rPr>
            </w:pPr>
            <w:r>
              <w:rPr>
                <w:noProof/>
              </w:rPr>
              <w:t>Procédure d’essai WHTC (APC)</w:t>
            </w:r>
          </w:p>
        </w:tc>
        <w:tc>
          <w:tcPr>
            <w:tcW w:w="1080" w:type="dxa"/>
            <w:hideMark/>
          </w:tcPr>
          <w:p>
            <w:pPr>
              <w:rPr>
                <w:noProof/>
              </w:rPr>
            </w:pPr>
            <w:r>
              <w:rPr>
                <w:noProof/>
              </w:rPr>
              <w:t>4000</w:t>
            </w:r>
          </w:p>
        </w:tc>
        <w:tc>
          <w:tcPr>
            <w:tcW w:w="1080" w:type="dxa"/>
            <w:hideMark/>
          </w:tcPr>
          <w:p>
            <w:pPr>
              <w:rPr>
                <w:noProof/>
              </w:rPr>
            </w:pPr>
            <w:r>
              <w:rPr>
                <w:noProof/>
              </w:rPr>
              <w:t>160</w:t>
            </w:r>
          </w:p>
        </w:tc>
        <w:tc>
          <w:tcPr>
            <w:tcW w:w="1200" w:type="dxa"/>
          </w:tcPr>
          <w:p>
            <w:pPr>
              <w:rPr>
                <w:noProof/>
              </w:rPr>
            </w:pPr>
          </w:p>
        </w:tc>
        <w:tc>
          <w:tcPr>
            <w:tcW w:w="1080" w:type="dxa"/>
          </w:tcPr>
          <w:p>
            <w:pPr>
              <w:rPr>
                <w:noProof/>
              </w:rPr>
            </w:pPr>
          </w:p>
        </w:tc>
        <w:tc>
          <w:tcPr>
            <w:tcW w:w="1080" w:type="dxa"/>
            <w:hideMark/>
          </w:tcPr>
          <w:p>
            <w:pPr>
              <w:rPr>
                <w:noProof/>
              </w:rPr>
            </w:pPr>
            <w:r>
              <w:rPr>
                <w:noProof/>
              </w:rPr>
              <w:t>460</w:t>
            </w:r>
          </w:p>
        </w:tc>
        <w:tc>
          <w:tcPr>
            <w:tcW w:w="840" w:type="dxa"/>
            <w:hideMark/>
          </w:tcPr>
          <w:p>
            <w:pPr>
              <w:rPr>
                <w:noProof/>
              </w:rPr>
            </w:pPr>
            <w:r>
              <w:rPr>
                <w:noProof/>
              </w:rPr>
              <w:t>10</w:t>
            </w:r>
          </w:p>
        </w:tc>
        <w:tc>
          <w:tcPr>
            <w:tcW w:w="1320" w:type="dxa"/>
            <w:hideMark/>
          </w:tcPr>
          <w:p>
            <w:pPr>
              <w:rPr>
                <w:noProof/>
              </w:rPr>
            </w:pPr>
            <w:r>
              <w:rPr>
                <w:noProof/>
              </w:rPr>
              <w:t>10</w:t>
            </w:r>
          </w:p>
        </w:tc>
        <w:tc>
          <w:tcPr>
            <w:tcW w:w="1304" w:type="dxa"/>
            <w:hideMark/>
          </w:tcPr>
          <w:p>
            <w:pPr>
              <w:rPr>
                <w:noProof/>
                <w:vertAlign w:val="superscript"/>
              </w:rPr>
            </w:pPr>
            <w:r>
              <w:rPr>
                <w:noProof/>
              </w:rPr>
              <w:t>6,0 x 10</w:t>
            </w:r>
            <w:r>
              <w:rPr>
                <w:noProof/>
                <w:vertAlign w:val="superscript"/>
              </w:rPr>
              <w:t>11</w:t>
            </w:r>
          </w:p>
        </w:tc>
      </w:tr>
      <w:tr>
        <w:trPr>
          <w:trHeight w:val="876"/>
        </w:trPr>
        <w:tc>
          <w:tcPr>
            <w:tcW w:w="1244" w:type="dxa"/>
            <w:hideMark/>
          </w:tcPr>
          <w:p>
            <w:pPr>
              <w:rPr>
                <w:noProof/>
              </w:rPr>
            </w:pPr>
            <w:r>
              <w:rPr>
                <w:noProof/>
              </w:rPr>
              <w:t xml:space="preserve">Procédure d’essai WHTC (AC) </w:t>
            </w:r>
          </w:p>
        </w:tc>
        <w:tc>
          <w:tcPr>
            <w:tcW w:w="1080" w:type="dxa"/>
            <w:hideMark/>
          </w:tcPr>
          <w:p>
            <w:pPr>
              <w:rPr>
                <w:noProof/>
              </w:rPr>
            </w:pPr>
            <w:r>
              <w:rPr>
                <w:noProof/>
              </w:rPr>
              <w:t>4000</w:t>
            </w:r>
          </w:p>
        </w:tc>
        <w:tc>
          <w:tcPr>
            <w:tcW w:w="1080" w:type="dxa"/>
          </w:tcPr>
          <w:p>
            <w:pPr>
              <w:rPr>
                <w:noProof/>
              </w:rPr>
            </w:pPr>
          </w:p>
        </w:tc>
        <w:tc>
          <w:tcPr>
            <w:tcW w:w="1200" w:type="dxa"/>
            <w:hideMark/>
          </w:tcPr>
          <w:p>
            <w:pPr>
              <w:rPr>
                <w:noProof/>
              </w:rPr>
            </w:pPr>
            <w:r>
              <w:rPr>
                <w:noProof/>
              </w:rPr>
              <w:t>160</w:t>
            </w:r>
          </w:p>
        </w:tc>
        <w:tc>
          <w:tcPr>
            <w:tcW w:w="1080" w:type="dxa"/>
            <w:hideMark/>
          </w:tcPr>
          <w:p>
            <w:pPr>
              <w:rPr>
                <w:noProof/>
              </w:rPr>
            </w:pPr>
            <w:r>
              <w:rPr>
                <w:noProof/>
              </w:rPr>
              <w:t>500</w:t>
            </w:r>
          </w:p>
        </w:tc>
        <w:tc>
          <w:tcPr>
            <w:tcW w:w="1080" w:type="dxa"/>
            <w:hideMark/>
          </w:tcPr>
          <w:p>
            <w:pPr>
              <w:rPr>
                <w:noProof/>
              </w:rPr>
            </w:pPr>
            <w:r>
              <w:rPr>
                <w:noProof/>
              </w:rPr>
              <w:t>460</w:t>
            </w:r>
          </w:p>
        </w:tc>
        <w:tc>
          <w:tcPr>
            <w:tcW w:w="840" w:type="dxa"/>
            <w:hideMark/>
          </w:tcPr>
          <w:p>
            <w:pPr>
              <w:rPr>
                <w:noProof/>
              </w:rPr>
            </w:pPr>
            <w:r>
              <w:rPr>
                <w:noProof/>
              </w:rPr>
              <w:t>10</w:t>
            </w:r>
          </w:p>
        </w:tc>
        <w:tc>
          <w:tcPr>
            <w:tcW w:w="1320" w:type="dxa"/>
            <w:hideMark/>
          </w:tcPr>
          <w:p>
            <w:pPr>
              <w:rPr>
                <w:noProof/>
              </w:rPr>
            </w:pPr>
            <w:r>
              <w:rPr>
                <w:noProof/>
              </w:rPr>
              <w:t>10</w:t>
            </w:r>
          </w:p>
        </w:tc>
        <w:tc>
          <w:tcPr>
            <w:tcW w:w="1304" w:type="dxa"/>
            <w:hideMark/>
          </w:tcPr>
          <w:p>
            <w:pPr>
              <w:rPr>
                <w:noProof/>
              </w:rPr>
            </w:pPr>
            <w:r>
              <w:rPr>
                <w:noProof/>
              </w:rPr>
              <w:t>6,0 x 10</w:t>
            </w:r>
            <w:r>
              <w:rPr>
                <w:noProof/>
                <w:vertAlign w:val="superscript"/>
              </w:rPr>
              <w:t>11</w:t>
            </w:r>
          </w:p>
        </w:tc>
      </w:tr>
    </w:tbl>
    <w:p>
      <w:pPr>
        <w:rPr>
          <w:noProof/>
        </w:rPr>
      </w:pPr>
      <w:r>
        <w:rPr>
          <w:noProof/>
        </w:rPr>
        <w:t>Remarque:</w:t>
      </w:r>
    </w:p>
    <w:p>
      <w:pPr>
        <w:pStyle w:val="Point0"/>
        <w:spacing w:before="0" w:after="0"/>
        <w:rPr>
          <w:noProof/>
        </w:rPr>
      </w:pPr>
      <w:r>
        <w:rPr>
          <w:noProof/>
        </w:rPr>
        <w:t>AC=</w:t>
      </w:r>
      <w:r>
        <w:rPr>
          <w:noProof/>
        </w:rPr>
        <w:tab/>
        <w:t>allumage commandé.</w:t>
      </w:r>
    </w:p>
    <w:p>
      <w:pPr>
        <w:pStyle w:val="Point0"/>
        <w:spacing w:before="0" w:after="0"/>
        <w:rPr>
          <w:noProof/>
        </w:rPr>
      </w:pPr>
      <w:r>
        <w:rPr>
          <w:noProof/>
        </w:rPr>
        <w:t>APC=</w:t>
      </w:r>
      <w:r>
        <w:rPr>
          <w:noProof/>
        </w:rPr>
        <w:tab/>
        <w:t>allumage par compression.</w:t>
      </w:r>
    </w:p>
    <w:p>
      <w:pPr>
        <w:rPr>
          <w:noProof/>
        </w:rPr>
      </w:pPr>
      <w:r>
        <w:rPr>
          <w:noProof/>
          <w:vertAlign w:val="superscript"/>
        </w:rPr>
        <w:lastRenderedPageBreak/>
        <w:t>(1)</w:t>
      </w:r>
      <w:r>
        <w:rPr>
          <w:noProof/>
        </w:rPr>
        <w:tab/>
        <w:t>Le niveau admissible de la composante NO</w:t>
      </w:r>
      <w:r>
        <w:rPr>
          <w:noProof/>
          <w:vertAlign w:val="subscript"/>
        </w:rPr>
        <w:t>2</w:t>
      </w:r>
      <w:r>
        <w:rPr>
          <w:noProof/>
        </w:rPr>
        <w:t xml:space="preserve"> dans la valeur limite des NO</w:t>
      </w:r>
      <w:r>
        <w:rPr>
          <w:noProof/>
          <w:vertAlign w:val="subscript"/>
        </w:rPr>
        <w:t>x</w:t>
      </w:r>
      <w:r>
        <w:rPr>
          <w:noProof/>
        </w:rPr>
        <w:t xml:space="preserve"> peut être défini à un stade ultérieur.»;</w:t>
      </w:r>
    </w:p>
    <w:p>
      <w:pPr>
        <w:rPr>
          <w:noProof/>
        </w:rPr>
      </w:pPr>
      <w:r>
        <w:rPr>
          <w:noProof/>
        </w:rPr>
        <w:t>b)</w:t>
      </w:r>
      <w:r>
        <w:rPr>
          <w:noProof/>
        </w:rPr>
        <w:tab/>
        <w:t>L’annexe III est modifiée comme suit:</w:t>
      </w:r>
    </w:p>
    <w:p>
      <w:pPr>
        <w:ind w:firstLine="720"/>
        <w:rPr>
          <w:noProof/>
        </w:rPr>
      </w:pPr>
      <w:r>
        <w:rPr>
          <w:noProof/>
        </w:rPr>
        <w:t>i)</w:t>
      </w:r>
      <w:r>
        <w:rPr>
          <w:noProof/>
        </w:rPr>
        <w:tab/>
        <w:t>la section 2 est modifiée comme suit:</w:t>
      </w:r>
    </w:p>
    <w:p>
      <w:pPr>
        <w:ind w:left="131" w:firstLine="578"/>
        <w:rPr>
          <w:noProof/>
        </w:rPr>
      </w:pPr>
      <w:r>
        <w:rPr>
          <w:noProof/>
        </w:rPr>
        <w:t xml:space="preserve">— au point 2.1, le sixième tiret est remplacé par le texte suivant:  </w:t>
      </w:r>
    </w:p>
    <w:p>
      <w:pPr>
        <w:ind w:left="709"/>
        <w:rPr>
          <w:noProof/>
        </w:rPr>
      </w:pPr>
      <w:r>
        <w:rPr>
          <w:noProof/>
        </w:rPr>
        <w:t>«—</w:t>
      </w:r>
      <w:r>
        <w:rPr>
          <w:noProof/>
        </w:rPr>
        <w:tab/>
        <w:t>La part des coûts imputable aux véhicules utilitaires lourds est déterminée de manière objective et transparente en tenant compte de la part du trafic que représenteront les véhicules utilitaires lourds empruntant le réseau et des coûts associés. Les véhicules-kilomètres parcourus par les véhicules utilitaires lourds peuvent, à cette fin, être adaptés au moyen de "coefficients d'équivalence" justifiés objectivement, tels que ceux prévus au point 4 [*].</w:t>
      </w:r>
    </w:p>
    <w:p>
      <w:pPr>
        <w:rPr>
          <w:noProof/>
        </w:rPr>
      </w:pPr>
      <w:r>
        <w:rPr>
          <w:noProof/>
        </w:rPr>
        <w:t>________</w:t>
      </w:r>
    </w:p>
    <w:p>
      <w:pPr>
        <w:rPr>
          <w:noProof/>
        </w:rPr>
      </w:pPr>
      <w:r>
        <w:rPr>
          <w:noProof/>
        </w:rPr>
        <w:t>*</w:t>
      </w:r>
      <w:r>
        <w:rPr>
          <w:noProof/>
        </w:rPr>
        <w:tab/>
        <w:t>L'application de coefficients d'équivalence par les États membres peut tenir compte de travaux de construction routière réalisés d'une façon graduelle ou fondés sur une approche de cycle de vie long.»;</w:t>
      </w:r>
    </w:p>
    <w:p>
      <w:pPr>
        <w:ind w:left="709"/>
        <w:rPr>
          <w:noProof/>
        </w:rPr>
      </w:pPr>
      <w:r>
        <w:rPr>
          <w:noProof/>
        </w:rPr>
        <w:t>— au point 2.2, le deuxième tiret est remplacé par le texte suivant:</w:t>
      </w:r>
    </w:p>
    <w:p>
      <w:pPr>
        <w:ind w:left="709"/>
        <w:rPr>
          <w:noProof/>
        </w:rPr>
      </w:pPr>
      <w:r>
        <w:rPr>
          <w:noProof/>
        </w:rPr>
        <w:t>«—</w:t>
      </w:r>
      <w:r>
        <w:rPr>
          <w:noProof/>
        </w:rPr>
        <w:tab/>
        <w:t>De tels coûts sont répartis entre les véhicules utilitaires lourds et les autres véhicules sur la base des parts de véhicules kilomètres réelles et prévisionnelles et peuvent être adaptés au moyen de "coefficients d'équivalence" justifiés objectivement, tels que ceux prévus au point 4.»;</w:t>
      </w:r>
    </w:p>
    <w:p>
      <w:pPr>
        <w:ind w:left="709"/>
        <w:rPr>
          <w:noProof/>
        </w:rPr>
      </w:pPr>
      <w:r>
        <w:rPr>
          <w:noProof/>
        </w:rPr>
        <w:t>ii)</w:t>
      </w:r>
      <w:r>
        <w:rPr>
          <w:noProof/>
        </w:rPr>
        <w:tab/>
        <w:t>à la section 4, le titre et le premier tiret sont remplacés par le texte suivant:</w:t>
      </w:r>
    </w:p>
    <w:p>
      <w:pPr>
        <w:ind w:left="720" w:hanging="720"/>
        <w:rPr>
          <w:noProof/>
        </w:rPr>
      </w:pPr>
      <w:r>
        <w:rPr>
          <w:noProof/>
        </w:rPr>
        <w:t>«4.</w:t>
      </w:r>
      <w:r>
        <w:rPr>
          <w:noProof/>
        </w:rPr>
        <w:tab/>
        <w:t>PART DES VÉHICULES UTILITAIRES LOURDS DANS LE TRAFIC, COEFFICIENTS D'ÉQUIVALENCE ET MÉCANISME DE CORRECTION</w:t>
      </w:r>
    </w:p>
    <w:p>
      <w:pPr>
        <w:ind w:left="720" w:hanging="720"/>
        <w:rPr>
          <w:noProof/>
        </w:rPr>
      </w:pPr>
      <w:r>
        <w:rPr>
          <w:noProof/>
        </w:rPr>
        <w:t>–</w:t>
      </w:r>
      <w:r>
        <w:rPr>
          <w:noProof/>
        </w:rPr>
        <w:tab/>
        <w:t>Le calcul des péages est fondé sur les parts de véhicules kilomètres, réelles et prévisionnelles, des véhicules utilitaires lourds, adaptées, le cas échéant, au moyen de coefficients d'équivalence, en vue de prendre dûment en compte le surcoût de la construction et de la réparation des infrastructures destinées à être utilisées par des véhicules utilitaires lourds.»;</w:t>
      </w:r>
    </w:p>
    <w:p>
      <w:pPr>
        <w:rPr>
          <w:noProof/>
        </w:rPr>
      </w:pPr>
      <w:r>
        <w:rPr>
          <w:noProof/>
        </w:rPr>
        <w:t>c)</w:t>
      </w:r>
      <w:r>
        <w:rPr>
          <w:noProof/>
        </w:rPr>
        <w:tab/>
        <w:t>l'annexe III </w:t>
      </w:r>
      <w:r>
        <w:rPr>
          <w:i/>
          <w:noProof/>
        </w:rPr>
        <w:t>bis</w:t>
      </w:r>
      <w:r>
        <w:rPr>
          <w:noProof/>
        </w:rPr>
        <w:t xml:space="preserve"> est remplacée par le texte suivant:</w:t>
      </w:r>
    </w:p>
    <w:p>
      <w:pPr>
        <w:pStyle w:val="Annexetitreacte"/>
        <w:rPr>
          <w:noProof/>
        </w:rPr>
      </w:pPr>
      <w:r>
        <w:rPr>
          <w:noProof/>
        </w:rPr>
        <w:t>«ANNEXE III </w:t>
      </w:r>
      <w:r>
        <w:rPr>
          <w:i/>
          <w:noProof/>
        </w:rPr>
        <w:t>bis</w:t>
      </w:r>
    </w:p>
    <w:p>
      <w:pPr>
        <w:pStyle w:val="ManualHeading1"/>
        <w:ind w:left="851" w:hanging="851"/>
        <w:rPr>
          <w:noProof/>
        </w:rPr>
      </w:pPr>
      <w:r>
        <w:rPr>
          <w:i/>
          <w:noProof/>
        </w:rPr>
        <w:t>EXIGENCES MINIMALES POUR LA PERCEPTION D’UNE REDEVANCE</w:t>
      </w:r>
    </w:p>
    <w:p>
      <w:pPr>
        <w:rPr>
          <w:noProof/>
        </w:rPr>
      </w:pPr>
      <w:r>
        <w:rPr>
          <w:noProof/>
        </w:rPr>
        <w:t>La présente annexe définit les exigences minimales applicables à la perception d’une redevance pour coûts externes et, le cas échéant, au calcul de la redevance pour coûts externes maximale.</w:t>
      </w:r>
    </w:p>
    <w:p>
      <w:pPr>
        <w:pStyle w:val="ManualHeading2"/>
        <w:ind w:left="851" w:hanging="851"/>
        <w:rPr>
          <w:noProof/>
        </w:rPr>
      </w:pPr>
      <w:r>
        <w:rPr>
          <w:noProof/>
        </w:rPr>
        <w:t>1.</w:t>
      </w:r>
      <w:r>
        <w:rPr>
          <w:noProof/>
        </w:rPr>
        <w:tab/>
      </w:r>
      <w:r>
        <w:rPr>
          <w:i/>
          <w:noProof/>
        </w:rPr>
        <w:t>Les parties du réseau routier concernées</w:t>
      </w:r>
    </w:p>
    <w:p>
      <w:pPr>
        <w:rPr>
          <w:noProof/>
        </w:rPr>
      </w:pPr>
      <w:r>
        <w:rPr>
          <w:noProof/>
        </w:rPr>
        <w:t>Les États membres définissent précisément la ou les parties de leur réseau routier qui sont soumises à une redevance pour coûts externes.</w:t>
      </w:r>
    </w:p>
    <w:p>
      <w:pPr>
        <w:rPr>
          <w:noProof/>
        </w:rPr>
      </w:pPr>
      <w:r>
        <w:rPr>
          <w:noProof/>
        </w:rPr>
        <w:t xml:space="preserve">Lorsqu’un État membre envisage de percevoir une redevance pour coûts externes portant uniquement sur une ou plusieurs parties du réseau routier composé de sa part du réseau </w:t>
      </w:r>
      <w:r>
        <w:rPr>
          <w:noProof/>
        </w:rPr>
        <w:lastRenderedPageBreak/>
        <w:t>transeuropéen et de ses autoroutes, la ou les parties sont choisies après une analyse permettant d’établir que:</w:t>
      </w:r>
    </w:p>
    <w:p>
      <w:pPr>
        <w:pStyle w:val="Tiret0"/>
        <w:numPr>
          <w:ilvl w:val="0"/>
          <w:numId w:val="5"/>
        </w:numPr>
        <w:ind w:left="851"/>
        <w:rPr>
          <w:noProof/>
        </w:rPr>
      </w:pPr>
      <w:r>
        <w:rPr>
          <w:noProof/>
        </w:rPr>
        <w:t>l’utilisation de véhicules sur les axes sur lesquels la redevance pour coûts externes est prélevée cause des dommages à l’environnement plus importants que ceux générés en moyenne, évalués d'après les rapports sur la qualité de l’air, les inventaires nationaux des émissions, les volumes de trafic et, pour ce qui est du bruit, conformément à la directive 2002/49/CE, ou</w:t>
      </w:r>
    </w:p>
    <w:p>
      <w:pPr>
        <w:pStyle w:val="Tiret0"/>
        <w:ind w:left="851"/>
        <w:rPr>
          <w:noProof/>
        </w:rPr>
      </w:pPr>
      <w:r>
        <w:rPr>
          <w:noProof/>
        </w:rPr>
        <w:t>la perception d’une redevance pour coûts externes sur d’autres parties dudit réseau routier pourrait avoir des incidences négatives sur l’environnement ou la sécurité routière, ou que la perception et le recouvrement d’une telle redevance sur ces autres parties entraîneraient des coûts disproportionnés.</w:t>
      </w:r>
    </w:p>
    <w:p>
      <w:pPr>
        <w:pStyle w:val="ManualHeading2"/>
        <w:ind w:left="851" w:hanging="851"/>
        <w:rPr>
          <w:noProof/>
        </w:rPr>
      </w:pPr>
      <w:r>
        <w:rPr>
          <w:noProof/>
        </w:rPr>
        <w:t>2.</w:t>
      </w:r>
      <w:r>
        <w:rPr>
          <w:noProof/>
        </w:rPr>
        <w:tab/>
      </w:r>
      <w:r>
        <w:rPr>
          <w:i/>
          <w:noProof/>
        </w:rPr>
        <w:t>Les véhicules, axes routiers et périodes de temps concernés</w:t>
      </w:r>
    </w:p>
    <w:p>
      <w:pPr>
        <w:rPr>
          <w:noProof/>
        </w:rPr>
      </w:pPr>
      <w:r>
        <w:rPr>
          <w:noProof/>
        </w:rPr>
        <w:t>Lorsqu’un État membre envisage d’appliquer des redevances pour coûts externes plus élevées que les valeurs de référence figurant à l’annexe III </w:t>
      </w:r>
      <w:r>
        <w:rPr>
          <w:i/>
          <w:noProof/>
        </w:rPr>
        <w:t>ter</w:t>
      </w:r>
      <w:r>
        <w:rPr>
          <w:noProof/>
        </w:rPr>
        <w:t>, il notifie à la Commission la classification des véhicules en fonction de laquelle la redevance pour coûts externes varie. Ils indiquent également à la Commission la localisation des axes routiers soumis à des redevances pour coûts externes plus élevées [ci-après dénommés «axes suburbains (autoroutes comprises)»] et celle des axes routiers soumis à des redevances pour coûts externes moins élevées [ci-après dénommés «axes interurbains (autoroutes comprises)»].</w:t>
      </w:r>
    </w:p>
    <w:p>
      <w:pPr>
        <w:rPr>
          <w:noProof/>
        </w:rPr>
      </w:pPr>
      <w:r>
        <w:rPr>
          <w:noProof/>
        </w:rPr>
        <w:t>Le cas échéant, ils notifient également à la Commission les heures exactes qui correspondent à la période nocturne pendant laquelle une redevance pour coûts externes liés au bruit plus élevée peut être perçue pour tenir compte d’une augmentation des nuisances sonores.</w:t>
      </w:r>
    </w:p>
    <w:p>
      <w:pPr>
        <w:rPr>
          <w:noProof/>
        </w:rPr>
      </w:pPr>
      <w:r>
        <w:rPr>
          <w:noProof/>
        </w:rPr>
        <w:t>La classification des routes en axes suburbains (autoroutes comprises) et axes interurbains (autoroutes comprises) et la définition des périodes de temps reposent sur des critères objectifs en rapport avec le niveau d’exposition des routes et de leurs abords à la pollution, tels que la densité de la population, la moyenne annuelle de la pollution atmosphérique (en particulier pour les PM</w:t>
      </w:r>
      <w:r>
        <w:rPr>
          <w:noProof/>
          <w:vertAlign w:val="subscript"/>
        </w:rPr>
        <w:t>10</w:t>
      </w:r>
      <w:r>
        <w:rPr>
          <w:noProof/>
        </w:rPr>
        <w:t xml:space="preserve"> et le NO</w:t>
      </w:r>
      <w:r>
        <w:rPr>
          <w:noProof/>
          <w:vertAlign w:val="subscript"/>
        </w:rPr>
        <w:t>2</w:t>
      </w:r>
      <w:r>
        <w:rPr>
          <w:noProof/>
        </w:rPr>
        <w:t>) ainsi que le nombre de jours (pour les PM</w:t>
      </w:r>
      <w:r>
        <w:rPr>
          <w:noProof/>
          <w:vertAlign w:val="subscript"/>
        </w:rPr>
        <w:t>10</w:t>
      </w:r>
      <w:r>
        <w:rPr>
          <w:noProof/>
        </w:rPr>
        <w:t>) et d'heures (NO</w:t>
      </w:r>
      <w:r>
        <w:rPr>
          <w:noProof/>
          <w:vertAlign w:val="subscript"/>
        </w:rPr>
        <w:t>2</w:t>
      </w:r>
      <w:r>
        <w:rPr>
          <w:noProof/>
        </w:rPr>
        <w:t>) de dépassement des valeurs limites établies en vertu de la directive 2008/50/CE. Les critères retenus sont indiqués dans la notification.</w:t>
      </w:r>
    </w:p>
    <w:p>
      <w:pPr>
        <w:pStyle w:val="ManualHeading2"/>
        <w:ind w:left="851" w:hanging="851"/>
        <w:rPr>
          <w:noProof/>
        </w:rPr>
      </w:pPr>
      <w:r>
        <w:rPr>
          <w:noProof/>
        </w:rPr>
        <w:t>3.</w:t>
      </w:r>
      <w:r>
        <w:rPr>
          <w:noProof/>
        </w:rPr>
        <w:tab/>
      </w:r>
      <w:r>
        <w:rPr>
          <w:i/>
          <w:noProof/>
        </w:rPr>
        <w:t>Montant de la redevance</w:t>
      </w:r>
    </w:p>
    <w:p>
      <w:pPr>
        <w:rPr>
          <w:rFonts w:eastAsia="Arial Unicode MS"/>
          <w:noProof/>
        </w:rPr>
      </w:pPr>
      <w:r>
        <w:rPr>
          <w:noProof/>
        </w:rPr>
        <w:t>La présente section s’applique dans les cas où un État membre a l’intention d’appliquer des redevances pour coûts externes plus élevées que les valeurs de référence indiquées dans l’annexe III </w:t>
      </w:r>
      <w:r>
        <w:rPr>
          <w:i/>
          <w:noProof/>
        </w:rPr>
        <w:t>ter</w:t>
      </w:r>
      <w:r>
        <w:rPr>
          <w:noProof/>
        </w:rPr>
        <w:t>.</w:t>
      </w:r>
    </w:p>
    <w:p>
      <w:pPr>
        <w:rPr>
          <w:noProof/>
        </w:rPr>
      </w:pPr>
      <w:r>
        <w:rPr>
          <w:noProof/>
        </w:rPr>
        <w:t>Pour chaque classe de véhicule, type de route et période de temps, l’État membre concerné ou, le cas échéant, une autorité indépendante détermine un montant unique spécifique. La structure tarifaire qui en résulte est transparente, rendue publique et accessible à tous les usagers aux mêmes conditions. Il y a lieu que cette information soit rendue publique suffisamment longtemps avant sa mise en application. Tous les paramètres, données et autres informations nécessaires pour comprendre comment les différents éléments de coût externe sont calculés sont rendus publics.</w:t>
      </w:r>
    </w:p>
    <w:p>
      <w:pPr>
        <w:rPr>
          <w:noProof/>
        </w:rPr>
      </w:pPr>
      <w:r>
        <w:rPr>
          <w:noProof/>
        </w:rPr>
        <w:t>Lorsqu’il fixe le montant des redevances, l’État membre ou, le cas échéant, une autorité indépendante obéit au principe de tarification efficace, c’est-à-dire qu’il fixe un montant proche du coût social marginal d’utilisation du véhicule soumis à la redevance.</w:t>
      </w:r>
    </w:p>
    <w:p>
      <w:pPr>
        <w:rPr>
          <w:noProof/>
        </w:rPr>
      </w:pPr>
      <w:r>
        <w:rPr>
          <w:noProof/>
        </w:rPr>
        <w:lastRenderedPageBreak/>
        <w:t>Avant de déterminer ce montant, il prend en considération le risque de détournement du trafic ainsi que d’éventuels effets négatifs sur la sécurité routière, l’environnement et la congestion, et les solutions permettant d’atténuer ces risques.</w:t>
      </w:r>
    </w:p>
    <w:p>
      <w:pPr>
        <w:rPr>
          <w:noProof/>
        </w:rPr>
      </w:pPr>
      <w:r>
        <w:rPr>
          <w:noProof/>
        </w:rPr>
        <w:t>L’État membre ou, le cas échéant, une autorité indépendante contrôle l’efficacité du système de tarification sur le plan de la réduction des dommages environnementaux causés par le transport routier. Il adapte tous les deux ans, si nécessaire, la structure tarifaire et le montant spécifique de la redevance fixée pour une classe déterminée de véhicule, un type de route et une période de temps en fonction de l’évolution de l’offre et de la demande de transport.</w:t>
      </w:r>
    </w:p>
    <w:p>
      <w:pPr>
        <w:pStyle w:val="ManualHeading3"/>
        <w:rPr>
          <w:i w:val="0"/>
          <w:iCs/>
          <w:noProof/>
        </w:rPr>
      </w:pPr>
      <w:r>
        <w:rPr>
          <w:b/>
          <w:noProof/>
        </w:rPr>
        <w:t>4.</w:t>
      </w:r>
      <w:r>
        <w:rPr>
          <w:noProof/>
        </w:rPr>
        <w:tab/>
      </w:r>
      <w:r>
        <w:rPr>
          <w:b/>
          <w:i w:val="0"/>
          <w:noProof/>
        </w:rPr>
        <w:t>Éléments de coût externe</w:t>
      </w:r>
      <w:r>
        <w:rPr>
          <w:i w:val="0"/>
          <w:noProof/>
        </w:rPr>
        <w:t xml:space="preserve"> </w:t>
      </w:r>
    </w:p>
    <w:p>
      <w:pPr>
        <w:pStyle w:val="ManualHeading3"/>
        <w:rPr>
          <w:noProof/>
        </w:rPr>
      </w:pPr>
      <w:r>
        <w:rPr>
          <w:noProof/>
        </w:rPr>
        <w:t>4,1.</w:t>
      </w:r>
      <w:r>
        <w:rPr>
          <w:noProof/>
        </w:rPr>
        <w:tab/>
        <w:t>Coût de la pollution atmosphérique due au trafic</w:t>
      </w:r>
    </w:p>
    <w:p>
      <w:pPr>
        <w:rPr>
          <w:noProof/>
        </w:rPr>
      </w:pPr>
      <w:r>
        <w:rPr>
          <w:noProof/>
        </w:rPr>
        <w:t>Lorsqu’un État membre envisage d’appliquer des redevances pour coûts externes plus élevées que les valeurs de référence indiquées à l’annexe III </w:t>
      </w:r>
      <w:r>
        <w:rPr>
          <w:i/>
          <w:noProof/>
        </w:rPr>
        <w:t>ter</w:t>
      </w:r>
      <w:r>
        <w:rPr>
          <w:noProof/>
        </w:rPr>
        <w:t>, ledit État membre ou, le cas échéant, une autorité indépendante calcule le coût imputable à la pollution atmosphérique due au trafic en appliquant la formule suivante:</w:t>
      </w:r>
    </w:p>
    <w:p>
      <w:pPr>
        <w:rPr>
          <w:noProof/>
        </w:rPr>
      </w:pPr>
      <w:r>
        <w:rPr>
          <w:noProof/>
          <w:lang w:val="en-US" w:eastAsia="en-US" w:bidi="ar-SA"/>
        </w:rPr>
        <w:drawing>
          <wp:inline distT="0" distB="0" distL="0" distR="0">
            <wp:extent cx="1714500" cy="2290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14125" cy="229013"/>
                    </a:xfrm>
                    <a:prstGeom prst="rect">
                      <a:avLst/>
                    </a:prstGeom>
                  </pic:spPr>
                </pic:pic>
              </a:graphicData>
            </a:graphic>
          </wp:inline>
        </w:drawing>
      </w:r>
    </w:p>
    <w:p>
      <w:pPr>
        <w:rPr>
          <w:noProof/>
        </w:rPr>
      </w:pPr>
      <w:r>
        <w:rPr>
          <w:noProof/>
        </w:rPr>
        <w:t>dans laquelle:</w:t>
      </w:r>
    </w:p>
    <w:tbl>
      <w:tblPr>
        <w:tblW w:w="0" w:type="auto"/>
        <w:tblLayout w:type="fixed"/>
        <w:tblLook w:val="0000" w:firstRow="0" w:lastRow="0" w:firstColumn="0" w:lastColumn="0" w:noHBand="0" w:noVBand="0"/>
      </w:tblPr>
      <w:tblGrid>
        <w:gridCol w:w="557"/>
        <w:gridCol w:w="1022"/>
        <w:gridCol w:w="557"/>
        <w:gridCol w:w="7150"/>
      </w:tblGrid>
      <w:tr>
        <w:tc>
          <w:tcPr>
            <w:tcW w:w="557" w:type="dxa"/>
          </w:tcPr>
          <w:p>
            <w:pPr>
              <w:pStyle w:val="NormalLeft"/>
              <w:rPr>
                <w:noProof/>
              </w:rPr>
            </w:pPr>
            <w:r>
              <w:rPr>
                <w:noProof/>
              </w:rPr>
              <w:t>—</w:t>
            </w:r>
          </w:p>
        </w:tc>
        <w:tc>
          <w:tcPr>
            <w:tcW w:w="1022" w:type="dxa"/>
          </w:tcPr>
          <w:p>
            <w:pPr>
              <w:pStyle w:val="NormalLeft"/>
              <w:rPr>
                <w:noProof/>
              </w:rPr>
            </w:pPr>
            <w:r>
              <w:rPr>
                <w:noProof/>
              </w:rPr>
              <w:t>PCV</w:t>
            </w:r>
            <w:r>
              <w:rPr>
                <w:noProof/>
                <w:vertAlign w:val="subscript"/>
              </w:rPr>
              <w:t>ij</w:t>
            </w:r>
          </w:p>
        </w:tc>
        <w:tc>
          <w:tcPr>
            <w:tcW w:w="557" w:type="dxa"/>
          </w:tcPr>
          <w:p>
            <w:pPr>
              <w:pStyle w:val="NormalLeft"/>
              <w:rPr>
                <w:noProof/>
              </w:rPr>
            </w:pPr>
            <w:r>
              <w:rPr>
                <w:noProof/>
              </w:rPr>
              <w:t>=</w:t>
            </w:r>
          </w:p>
        </w:tc>
        <w:tc>
          <w:tcPr>
            <w:tcW w:w="7150" w:type="dxa"/>
          </w:tcPr>
          <w:p>
            <w:pPr>
              <w:pStyle w:val="NormalLeft"/>
              <w:rPr>
                <w:noProof/>
              </w:rPr>
            </w:pPr>
            <w:r>
              <w:rPr>
                <w:noProof/>
              </w:rPr>
              <w:t>coût de la pollution atmosphérique émise par le véhicule de classe i sur un type de route j (euro/véhicule.kilomètre)</w:t>
            </w:r>
          </w:p>
        </w:tc>
      </w:tr>
      <w:tr>
        <w:tc>
          <w:tcPr>
            <w:tcW w:w="557" w:type="dxa"/>
          </w:tcPr>
          <w:p>
            <w:pPr>
              <w:pStyle w:val="NormalLeft"/>
              <w:rPr>
                <w:noProof/>
              </w:rPr>
            </w:pPr>
            <w:r>
              <w:rPr>
                <w:noProof/>
              </w:rPr>
              <w:t>—</w:t>
            </w:r>
          </w:p>
        </w:tc>
        <w:tc>
          <w:tcPr>
            <w:tcW w:w="1022" w:type="dxa"/>
          </w:tcPr>
          <w:p>
            <w:pPr>
              <w:pStyle w:val="NormalLeft"/>
              <w:rPr>
                <w:noProof/>
              </w:rPr>
            </w:pPr>
            <w:r>
              <w:rPr>
                <w:noProof/>
              </w:rPr>
              <w:t>EF</w:t>
            </w:r>
            <w:r>
              <w:rPr>
                <w:noProof/>
                <w:vertAlign w:val="subscript"/>
              </w:rPr>
              <w:t>ik</w:t>
            </w:r>
          </w:p>
        </w:tc>
        <w:tc>
          <w:tcPr>
            <w:tcW w:w="557" w:type="dxa"/>
          </w:tcPr>
          <w:p>
            <w:pPr>
              <w:pStyle w:val="NormalLeft"/>
              <w:rPr>
                <w:noProof/>
              </w:rPr>
            </w:pPr>
            <w:r>
              <w:rPr>
                <w:noProof/>
              </w:rPr>
              <w:t>=</w:t>
            </w:r>
          </w:p>
        </w:tc>
        <w:tc>
          <w:tcPr>
            <w:tcW w:w="7150" w:type="dxa"/>
          </w:tcPr>
          <w:p>
            <w:pPr>
              <w:pStyle w:val="NormalLeft"/>
              <w:rPr>
                <w:noProof/>
              </w:rPr>
            </w:pPr>
            <w:r>
              <w:rPr>
                <w:noProof/>
              </w:rPr>
              <w:t>facteur d’émission du polluant k pour le véhicule de classe i (gramme/véhicule.kilomètre)</w:t>
            </w:r>
          </w:p>
        </w:tc>
      </w:tr>
      <w:tr>
        <w:tc>
          <w:tcPr>
            <w:tcW w:w="557" w:type="dxa"/>
          </w:tcPr>
          <w:p>
            <w:pPr>
              <w:pStyle w:val="NormalLeft"/>
              <w:rPr>
                <w:noProof/>
              </w:rPr>
            </w:pPr>
            <w:r>
              <w:rPr>
                <w:noProof/>
              </w:rPr>
              <w:t>—</w:t>
            </w:r>
          </w:p>
        </w:tc>
        <w:tc>
          <w:tcPr>
            <w:tcW w:w="1022" w:type="dxa"/>
          </w:tcPr>
          <w:p>
            <w:pPr>
              <w:pStyle w:val="NormalLeft"/>
              <w:rPr>
                <w:noProof/>
              </w:rPr>
            </w:pPr>
            <w:r>
              <w:rPr>
                <w:noProof/>
              </w:rPr>
              <w:t>PC</w:t>
            </w:r>
            <w:r>
              <w:rPr>
                <w:noProof/>
                <w:vertAlign w:val="subscript"/>
              </w:rPr>
              <w:t>jk</w:t>
            </w:r>
          </w:p>
        </w:tc>
        <w:tc>
          <w:tcPr>
            <w:tcW w:w="557" w:type="dxa"/>
          </w:tcPr>
          <w:p>
            <w:pPr>
              <w:pStyle w:val="NormalLeft"/>
              <w:rPr>
                <w:noProof/>
              </w:rPr>
            </w:pPr>
            <w:r>
              <w:rPr>
                <w:noProof/>
              </w:rPr>
              <w:t>=</w:t>
            </w:r>
          </w:p>
        </w:tc>
        <w:tc>
          <w:tcPr>
            <w:tcW w:w="7150" w:type="dxa"/>
          </w:tcPr>
          <w:p>
            <w:pPr>
              <w:pStyle w:val="NormalLeft"/>
              <w:rPr>
                <w:noProof/>
              </w:rPr>
            </w:pPr>
            <w:r>
              <w:rPr>
                <w:noProof/>
              </w:rPr>
              <w:t>coût monétaire du polluant k pour le type de route j (euro/gramme)</w:t>
            </w:r>
          </w:p>
        </w:tc>
      </w:tr>
    </w:tbl>
    <w:p>
      <w:pPr>
        <w:rPr>
          <w:noProof/>
        </w:rPr>
      </w:pPr>
    </w:p>
    <w:p>
      <w:pPr>
        <w:rPr>
          <w:noProof/>
        </w:rPr>
      </w:pPr>
      <w:r>
        <w:rPr>
          <w:noProof/>
        </w:rPr>
        <w:t>Les facteurs d’émission doivent être les mêmes que ceux utilisés par les États membres lorsqu’ils ont dressé les inventaires nationaux d’émissions prévus par la directive (UE) 2016/2284 du Parlement européen et du Conseil du 14 décembre 2016 concernant la réduction des émissions nationales de certains polluants atmosphériques* (qui exige l’utilisation du guide EMEP/AEE sur l'inventaire des émissions de polluants atmosphériques**). Le coût monétaire des polluants est estimé par l’État membre ou, le cas échéant, par l'autorité indépendante visée à l'article 7 </w:t>
      </w:r>
      <w:r>
        <w:rPr>
          <w:i/>
          <w:noProof/>
        </w:rPr>
        <w:t>quater</w:t>
      </w:r>
      <w:r>
        <w:rPr>
          <w:noProof/>
        </w:rPr>
        <w:t>, paragraphe 4, en appliquant des méthodes scientifiquement prouvées.</w:t>
      </w:r>
    </w:p>
    <w:p>
      <w:pPr>
        <w:rPr>
          <w:noProof/>
        </w:rPr>
      </w:pPr>
      <w:r>
        <w:rPr>
          <w:noProof/>
        </w:rPr>
        <w:t>L’État membre ou, le cas échéant, une autorité indépendante peut appliquer d’autres méthodes scientifiquement prouvées pour calculer la valeur des coûts de la pollution atmosphérique en utilisant des données tirées de mesures de polluants atmosphériques et la valeur locale du coût monétaire de polluants atmosphériques.</w:t>
      </w:r>
    </w:p>
    <w:p>
      <w:pPr>
        <w:pStyle w:val="ManualHeading3"/>
        <w:rPr>
          <w:noProof/>
        </w:rPr>
      </w:pPr>
      <w:r>
        <w:rPr>
          <w:noProof/>
        </w:rPr>
        <w:t>4,2.</w:t>
      </w:r>
      <w:r>
        <w:rPr>
          <w:noProof/>
        </w:rPr>
        <w:tab/>
        <w:t>Coût de la pollution sonore due au trafic</w:t>
      </w:r>
    </w:p>
    <w:p>
      <w:pPr>
        <w:rPr>
          <w:noProof/>
        </w:rPr>
      </w:pPr>
      <w:r>
        <w:rPr>
          <w:noProof/>
        </w:rPr>
        <w:t>Lorsqu’un État membre envisage d’appliquer des redevances pour coûts externes plus élevées que les valeurs de référence indiquées à l’annexe III </w:t>
      </w:r>
      <w:r>
        <w:rPr>
          <w:i/>
          <w:noProof/>
        </w:rPr>
        <w:t>ter</w:t>
      </w:r>
      <w:r>
        <w:rPr>
          <w:noProof/>
        </w:rPr>
        <w:t>, ledit État membre ou, le cas échéant, une autorité indépendante calcule le coût imputable à la pollution sonore due au trafic en appliquant les formules suivantes:</w:t>
      </w:r>
    </w:p>
    <w:p>
      <w:pPr>
        <w:rPr>
          <w:noProof/>
        </w:rPr>
      </w:pPr>
      <w:r>
        <w:rPr>
          <w:noProof/>
          <w:lang w:val="en-US" w:eastAsia="en-US" w:bidi="ar-SA"/>
        </w:rPr>
        <w:lastRenderedPageBreak/>
        <w:drawing>
          <wp:inline distT="0" distB="0" distL="0" distR="0">
            <wp:extent cx="2673997"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67416" cy="959657"/>
                    </a:xfrm>
                    <a:prstGeom prst="rect">
                      <a:avLst/>
                    </a:prstGeom>
                  </pic:spPr>
                </pic:pic>
              </a:graphicData>
            </a:graphic>
          </wp:inline>
        </w:drawing>
      </w:r>
    </w:p>
    <w:p>
      <w:pPr>
        <w:rPr>
          <w:noProof/>
        </w:rPr>
      </w:pPr>
      <w:r>
        <w:rPr>
          <w:noProof/>
        </w:rPr>
        <w:t>dans lesquelles:</w:t>
      </w:r>
    </w:p>
    <w:tbl>
      <w:tblPr>
        <w:tblW w:w="0" w:type="auto"/>
        <w:tblLayout w:type="fixed"/>
        <w:tblLook w:val="0000" w:firstRow="0" w:lastRow="0" w:firstColumn="0" w:lastColumn="0" w:noHBand="0" w:noVBand="0"/>
      </w:tblPr>
      <w:tblGrid>
        <w:gridCol w:w="557"/>
        <w:gridCol w:w="1207"/>
        <w:gridCol w:w="372"/>
        <w:gridCol w:w="7150"/>
      </w:tblGrid>
      <w:tr>
        <w:tc>
          <w:tcPr>
            <w:tcW w:w="5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NCV</w:t>
            </w:r>
            <w:r>
              <w:rPr>
                <w:noProof/>
                <w:vertAlign w:val="subscript"/>
              </w:rPr>
              <w:t>j</w:t>
            </w:r>
            <w:r>
              <w:rPr>
                <w:noProof/>
              </w:rPr>
              <w:t xml:space="preserve"> =</w:t>
            </w:r>
          </w:p>
        </w:tc>
        <w:tc>
          <w:tcPr>
            <w:tcW w:w="37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1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coût de la pollution sonore émise par un poids lourd sur un type de route j (euro/véhicule.kilomètre)</w:t>
            </w:r>
          </w:p>
        </w:tc>
      </w:tr>
      <w:tr>
        <w:tc>
          <w:tcPr>
            <w:tcW w:w="5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NC</w:t>
            </w:r>
            <w:r>
              <w:rPr>
                <w:noProof/>
                <w:vertAlign w:val="subscript"/>
              </w:rPr>
              <w:t>jk</w:t>
            </w:r>
            <w:r>
              <w:rPr>
                <w:noProof/>
              </w:rPr>
              <w:t xml:space="preserve"> =</w:t>
            </w:r>
          </w:p>
        </w:tc>
        <w:tc>
          <w:tcPr>
            <w:tcW w:w="37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1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coût des nuisances sonores par personne exposée sur une route de type j au niveau de bruit k (euro/personne)</w:t>
            </w:r>
          </w:p>
        </w:tc>
      </w:tr>
      <w:tr>
        <w:tc>
          <w:tcPr>
            <w:tcW w:w="5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POP</w:t>
            </w:r>
            <w:r>
              <w:rPr>
                <w:noProof/>
                <w:vertAlign w:val="subscript"/>
              </w:rPr>
              <w:t>k</w:t>
            </w:r>
            <w:r>
              <w:rPr>
                <w:noProof/>
              </w:rPr>
              <w:t xml:space="preserve"> =</w:t>
            </w:r>
          </w:p>
        </w:tc>
        <w:tc>
          <w:tcPr>
            <w:tcW w:w="37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1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population exposée au niveau de bruit journalier k par kilomètre (personne/kilomètre)</w:t>
            </w:r>
          </w:p>
        </w:tc>
      </w:tr>
      <w:tr>
        <w:tc>
          <w:tcPr>
            <w:tcW w:w="5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WADT =</w:t>
            </w:r>
          </w:p>
        </w:tc>
        <w:tc>
          <w:tcPr>
            <w:tcW w:w="37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1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trafic journalier moyen pondéré (en équivalent véhicules particuliers)</w:t>
            </w:r>
          </w:p>
        </w:tc>
      </w:tr>
      <w:tr>
        <w:tc>
          <w:tcPr>
            <w:tcW w:w="5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 et b</w:t>
            </w:r>
          </w:p>
        </w:tc>
        <w:tc>
          <w:tcPr>
            <w:tcW w:w="37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1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sont des facteurs de pondération déterminés par l’État membre de manière que la redevance moyenne pondérée liée au bruit par véhicule kilomètre corresponde à NCV</w:t>
            </w:r>
            <w:r>
              <w:rPr>
                <w:noProof/>
                <w:vertAlign w:val="subscript"/>
              </w:rPr>
              <w:t>j</w:t>
            </w:r>
            <w:r>
              <w:rPr>
                <w:noProof/>
              </w:rPr>
              <w:t xml:space="preserve"> (journalier).</w:t>
            </w:r>
          </w:p>
        </w:tc>
      </w:tr>
    </w:tbl>
    <w:p>
      <w:pPr>
        <w:rPr>
          <w:noProof/>
        </w:rPr>
      </w:pPr>
    </w:p>
    <w:p>
      <w:pPr>
        <w:rPr>
          <w:noProof/>
        </w:rPr>
      </w:pPr>
      <w:r>
        <w:rPr>
          <w:noProof/>
        </w:rPr>
        <w:t>La pollution sonore due au trafic concerne l’incidence du bruit sur la santé des citoyens aux alentours de la route.</w:t>
      </w:r>
    </w:p>
    <w:p>
      <w:pPr>
        <w:rPr>
          <w:noProof/>
        </w:rPr>
      </w:pPr>
      <w:r>
        <w:rPr>
          <w:noProof/>
        </w:rPr>
        <w:t>La population exposée au niveau de bruit k est déterminée d’après les cartes de bruit stratégiques établies en vertu de l’article 7 de la directive 2002/49/CE du Parlement européen et du Conseil***.</w:t>
      </w:r>
    </w:p>
    <w:p>
      <w:pPr>
        <w:rPr>
          <w:noProof/>
        </w:rPr>
      </w:pPr>
      <w:r>
        <w:rPr>
          <w:noProof/>
        </w:rPr>
        <w:t>Le coût par personne exposée au niveau de bruit k est estimé par l’État membre ou, le cas échéant, par une autorité indépendante, en utilisant des méthodes scientifiquement prouvées.</w:t>
      </w:r>
    </w:p>
    <w:p>
      <w:pPr>
        <w:rPr>
          <w:noProof/>
        </w:rPr>
      </w:pPr>
      <w:r>
        <w:rPr>
          <w:noProof/>
        </w:rPr>
        <w:t>Pour le trafic journalier moyen pondéré, un facteur d’équivalence "e" est appliqué entre les poids lourds et les véhicules particuliers, établi sur la base des niveaux des émissions sonores de la moyenne des voitures et de la moyenne des poids lourds et compte tenu du règlement (UE) n° 540/2014 du Parlement européen et du Conseil du 16 avril 2014 concernant le niveau sonore des véhicules à moteur et des systèmes de silencieux de remplacement, et modifiant la directive 2007/46/CE et abrogeant la directive 70/157/CEE.</w:t>
      </w:r>
    </w:p>
    <w:p>
      <w:pPr>
        <w:rPr>
          <w:noProof/>
        </w:rPr>
      </w:pPr>
      <w:r>
        <w:rPr>
          <w:noProof/>
        </w:rPr>
        <w:t>L’État membre ou, le cas échéant, une autorité indépendante peut fixer des redevances différenciées liées au bruit afin de récompenser l’emploi de véhicules plus silencieux, à condition que cela n’aboutisse pas à une discrimination à l’égard des véhicules étrangers.</w:t>
      </w:r>
    </w:p>
    <w:p>
      <w:pPr>
        <w:rPr>
          <w:noProof/>
        </w:rPr>
      </w:pPr>
      <w:r>
        <w:rPr>
          <w:noProof/>
        </w:rPr>
        <w:t>_____________</w:t>
      </w:r>
    </w:p>
    <w:p>
      <w:pPr>
        <w:rPr>
          <w:noProof/>
        </w:rPr>
      </w:pPr>
      <w:r>
        <w:rPr>
          <w:noProof/>
        </w:rPr>
        <w:t>*</w:t>
      </w:r>
      <w:r>
        <w:rPr>
          <w:noProof/>
        </w:rPr>
        <w:tab/>
        <w:t xml:space="preserve">Directive (EU) 2016/2284 du Parlement européen et du Conseil du 14 décembre 2016 concernant la réduction des émissions nationales de certains polluants atmosphériques, modifiant la directive 2003/35/CE et abrogeant la directive 2001/81/CE (OJ L 344 du 17.12.2016, p. 1). </w:t>
      </w:r>
    </w:p>
    <w:p>
      <w:pPr>
        <w:rPr>
          <w:noProof/>
        </w:rPr>
      </w:pPr>
      <w:r>
        <w:rPr>
          <w:noProof/>
        </w:rPr>
        <w:lastRenderedPageBreak/>
        <w:t>**</w:t>
      </w:r>
      <w:r>
        <w:rPr>
          <w:noProof/>
        </w:rPr>
        <w:tab/>
        <w:t>Méthodologie de l’Agence européenne pour l’environnement. http://www.eea.europa.eu//publications/emep-eea-guidebook-2016</w:t>
      </w:r>
    </w:p>
    <w:p>
      <w:pPr>
        <w:rPr>
          <w:noProof/>
        </w:rPr>
      </w:pPr>
      <w:r>
        <w:rPr>
          <w:noProof/>
        </w:rPr>
        <w:t>***</w:t>
      </w:r>
      <w:r>
        <w:rPr>
          <w:noProof/>
        </w:rPr>
        <w:tab/>
        <w:t>Directive 2002/49/CE du Parlement européen et du Conseil du 25 juin 2002 relative à l'évaluation et à la gestion du bruit dans l'environnement (JO L 189 du 18.7.2002, p. 12).»;</w:t>
      </w:r>
    </w:p>
    <w:p>
      <w:pPr>
        <w:rPr>
          <w:noProof/>
        </w:rPr>
      </w:pPr>
    </w:p>
    <w:p>
      <w:pPr>
        <w:rPr>
          <w:noProof/>
        </w:rPr>
      </w:pPr>
      <w:r>
        <w:rPr>
          <w:noProof/>
        </w:rPr>
        <w:t>d)</w:t>
      </w:r>
      <w:r>
        <w:rPr>
          <w:noProof/>
        </w:rPr>
        <w:tab/>
        <w:t>l'annexe III </w:t>
      </w:r>
      <w:r>
        <w:rPr>
          <w:i/>
          <w:noProof/>
        </w:rPr>
        <w:t>ter</w:t>
      </w:r>
      <w:r>
        <w:rPr>
          <w:noProof/>
        </w:rPr>
        <w:t xml:space="preserve"> est remplacée par le texte suivant:</w:t>
      </w:r>
    </w:p>
    <w:p>
      <w:pPr>
        <w:pStyle w:val="Annexetitreacte"/>
        <w:rPr>
          <w:noProof/>
        </w:rPr>
      </w:pPr>
      <w:r>
        <w:rPr>
          <w:noProof/>
        </w:rPr>
        <w:t>«ANNEXE III </w:t>
      </w:r>
      <w:r>
        <w:rPr>
          <w:i/>
          <w:noProof/>
        </w:rPr>
        <w:t>ter</w:t>
      </w:r>
    </w:p>
    <w:p>
      <w:pPr>
        <w:pStyle w:val="NormalCentered"/>
        <w:rPr>
          <w:b/>
          <w:bCs/>
          <w:noProof/>
        </w:rPr>
      </w:pPr>
      <w:r>
        <w:rPr>
          <w:b/>
          <w:noProof/>
        </w:rPr>
        <w:t xml:space="preserve"> VALEURS DE RÉFÉRENCE DE LA REDEVANCE POUR COÛTS EXTERNES</w:t>
      </w:r>
    </w:p>
    <w:p>
      <w:pPr>
        <w:rPr>
          <w:noProof/>
        </w:rPr>
      </w:pPr>
      <w:r>
        <w:rPr>
          <w:noProof/>
        </w:rPr>
        <w:t>La présente annexe fixe les valeurs de référence de la redevance pour coûts externes, y compris les coûts de la pollution atmosphérique et sonore.</w:t>
      </w:r>
    </w:p>
    <w:p>
      <w:pPr>
        <w:spacing w:before="100" w:beforeAutospacing="1" w:after="100" w:afterAutospacing="1"/>
        <w:ind w:left="800" w:hanging="400"/>
        <w:rPr>
          <w:rFonts w:eastAsia="Arial Unicode MS"/>
          <w:noProof/>
        </w:rPr>
      </w:pPr>
      <w:r>
        <w:rPr>
          <w:i/>
          <w:noProof/>
        </w:rPr>
        <w:t>Tableau 1:</w:t>
      </w:r>
      <w:r>
        <w:rPr>
          <w:noProof/>
        </w:rPr>
        <w:t>  </w:t>
      </w:r>
      <w:r>
        <w:rPr>
          <w:i/>
          <w:noProof/>
        </w:rPr>
        <w:t>valeurs de référence de la redevance pour coûts externes pour les poids lourds</w:t>
      </w:r>
    </w:p>
    <w:tbl>
      <w:tblPr>
        <w:tblW w:w="8740" w:type="dxa"/>
        <w:jc w:val="center"/>
        <w:tblCellSpacing w:w="0" w:type="dxa"/>
        <w:tblInd w:w="-278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87"/>
        <w:gridCol w:w="3117"/>
        <w:gridCol w:w="1703"/>
        <w:gridCol w:w="1533"/>
      </w:tblGrid>
      <w:tr>
        <w:trPr>
          <w:tblCellSpacing w:w="0" w:type="dxa"/>
          <w:jc w:val="center"/>
        </w:trPr>
        <w:tc>
          <w:tcPr>
            <w:tcW w:w="1366" w:type="pct"/>
            <w:tcBorders>
              <w:top w:val="outset" w:sz="6" w:space="0" w:color="auto"/>
              <w:left w:val="outset" w:sz="6" w:space="0" w:color="auto"/>
              <w:bottom w:val="outset" w:sz="6" w:space="0" w:color="auto"/>
              <w:right w:val="outset" w:sz="6" w:space="0" w:color="auto"/>
            </w:tcBorders>
          </w:tcPr>
          <w:p>
            <w:pPr>
              <w:spacing w:before="100" w:beforeAutospacing="1" w:after="100" w:afterAutospacing="1"/>
              <w:rPr>
                <w:b/>
                <w:bCs/>
                <w:noProof/>
              </w:rPr>
            </w:pPr>
            <w:r>
              <w:rPr>
                <w:b/>
                <w:noProof/>
              </w:rPr>
              <w:t>Classe</w:t>
            </w: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b/>
                <w:bCs/>
                <w:noProof/>
              </w:rPr>
            </w:pPr>
            <w:r>
              <w:rPr>
                <w:b/>
                <w:noProof/>
              </w:rPr>
              <w:t>Cents/véhicule-kilomètre</w:t>
            </w:r>
          </w:p>
        </w:tc>
        <w:tc>
          <w:tcPr>
            <w:tcW w:w="974"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b/>
                <w:bCs/>
                <w:noProof/>
              </w:rPr>
            </w:pPr>
            <w:r>
              <w:rPr>
                <w:b/>
                <w:noProof/>
              </w:rPr>
              <w:t>Suburbain</w:t>
            </w:r>
            <w:r>
              <w:rPr>
                <w:b/>
                <w:noProof/>
                <w:vertAlign w:val="superscript"/>
              </w:rPr>
              <w:t>(1)</w:t>
            </w:r>
          </w:p>
        </w:tc>
        <w:tc>
          <w:tcPr>
            <w:tcW w:w="877"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b/>
                <w:bCs/>
                <w:noProof/>
              </w:rPr>
            </w:pPr>
            <w:r>
              <w:rPr>
                <w:b/>
                <w:noProof/>
              </w:rPr>
              <w:t>Interurbain</w:t>
            </w:r>
            <w:r>
              <w:rPr>
                <w:b/>
                <w:noProof/>
                <w:vertAlign w:val="superscript"/>
              </w:rPr>
              <w:t>(2)</w:t>
            </w:r>
          </w:p>
        </w:tc>
      </w:tr>
      <w:tr>
        <w:trPr>
          <w:tblCellSpacing w:w="0" w:type="dxa"/>
          <w:jc w:val="center"/>
        </w:trPr>
        <w:tc>
          <w:tcPr>
            <w:tcW w:w="1366" w:type="pct"/>
            <w:vMerge w:val="restart"/>
            <w:tcBorders>
              <w:top w:val="outset" w:sz="6" w:space="0" w:color="auto"/>
              <w:left w:val="outset" w:sz="6" w:space="0" w:color="auto"/>
              <w:right w:val="outset" w:sz="6" w:space="0" w:color="auto"/>
            </w:tcBorders>
          </w:tcPr>
          <w:p>
            <w:pPr>
              <w:spacing w:before="100" w:beforeAutospacing="1" w:after="100" w:afterAutospacing="1"/>
              <w:rPr>
                <w:noProof/>
              </w:rPr>
            </w:pPr>
            <w:r>
              <w:rPr>
                <w:noProof/>
              </w:rPr>
              <w:t xml:space="preserve">Poids lourds ayant un poids maximum autorisé en charge </w:t>
            </w:r>
          </w:p>
          <w:p>
            <w:pPr>
              <w:spacing w:before="100" w:beforeAutospacing="1" w:after="100" w:afterAutospacing="1"/>
              <w:rPr>
                <w:noProof/>
              </w:rPr>
            </w:pPr>
            <w:r>
              <w:rPr>
                <w:noProof/>
              </w:rPr>
              <w:t>inférieur à 14 tonnes</w:t>
            </w:r>
          </w:p>
          <w:p>
            <w:pPr>
              <w:spacing w:before="100" w:beforeAutospacing="1" w:after="100" w:afterAutospacing="1"/>
              <w:rPr>
                <w:noProof/>
              </w:rPr>
            </w:pPr>
            <w:r>
              <w:rPr>
                <w:noProof/>
              </w:rPr>
              <w:t>ou ayant deux essieux</w:t>
            </w: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0</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13,3</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8,3</w:t>
            </w:r>
          </w:p>
        </w:tc>
      </w:tr>
      <w:tr>
        <w:trPr>
          <w:tblCellSpacing w:w="0" w:type="dxa"/>
          <w:jc w:val="center"/>
        </w:trPr>
        <w:tc>
          <w:tcPr>
            <w:tcW w:w="1366" w:type="pct"/>
            <w:vMerge/>
            <w:tcBorders>
              <w:left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9,1</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5,4</w:t>
            </w:r>
          </w:p>
        </w:tc>
      </w:tr>
      <w:tr>
        <w:trPr>
          <w:tblCellSpacing w:w="0" w:type="dxa"/>
          <w:jc w:val="center"/>
        </w:trPr>
        <w:tc>
          <w:tcPr>
            <w:tcW w:w="1366" w:type="pct"/>
            <w:vMerge/>
            <w:tcBorders>
              <w:left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8,8</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5,4</w:t>
            </w:r>
          </w:p>
        </w:tc>
      </w:tr>
      <w:tr>
        <w:trPr>
          <w:tblCellSpacing w:w="0" w:type="dxa"/>
          <w:jc w:val="center"/>
        </w:trPr>
        <w:tc>
          <w:tcPr>
            <w:tcW w:w="1366" w:type="pct"/>
            <w:vMerge/>
            <w:tcBorders>
              <w:left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7,7</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4,3</w:t>
            </w:r>
          </w:p>
        </w:tc>
      </w:tr>
      <w:tr>
        <w:trPr>
          <w:tblCellSpacing w:w="0" w:type="dxa"/>
          <w:jc w:val="center"/>
        </w:trPr>
        <w:tc>
          <w:tcPr>
            <w:tcW w:w="1366" w:type="pct"/>
            <w:vMerge/>
            <w:tcBorders>
              <w:left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IV</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5,9</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3,1</w:t>
            </w:r>
          </w:p>
        </w:tc>
      </w:tr>
      <w:tr>
        <w:trPr>
          <w:tblCellSpacing w:w="0" w:type="dxa"/>
          <w:jc w:val="center"/>
        </w:trPr>
        <w:tc>
          <w:tcPr>
            <w:tcW w:w="1366" w:type="pct"/>
            <w:vMerge/>
            <w:tcBorders>
              <w:left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5,7</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1,9</w:t>
            </w:r>
          </w:p>
        </w:tc>
      </w:tr>
      <w:tr>
        <w:trPr>
          <w:tblCellSpacing w:w="0" w:type="dxa"/>
          <w:jc w:val="center"/>
        </w:trPr>
        <w:tc>
          <w:tcPr>
            <w:tcW w:w="1366" w:type="pct"/>
            <w:vMerge/>
            <w:tcBorders>
              <w:left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3,2</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0,6</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Moins polluant qu’EURO VI</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pPr>
              <w:spacing w:before="100" w:beforeAutospacing="1" w:after="100" w:afterAutospacing="1"/>
              <w:contextualSpacing/>
              <w:jc w:val="center"/>
              <w:rPr>
                <w:noProof/>
              </w:rPr>
            </w:pPr>
            <w:r>
              <w:rPr>
                <w:noProof/>
              </w:rPr>
              <w:t>2,5</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hideMark/>
          </w:tcPr>
          <w:p>
            <w:pPr>
              <w:spacing w:before="100" w:beforeAutospacing="1" w:after="100" w:afterAutospacing="1"/>
              <w:contextualSpacing/>
              <w:jc w:val="center"/>
              <w:rPr>
                <w:noProof/>
              </w:rPr>
            </w:pPr>
            <w:r>
              <w:rPr>
                <w:noProof/>
              </w:rPr>
              <w:t>0,3</w:t>
            </w:r>
          </w:p>
        </w:tc>
      </w:tr>
      <w:tr>
        <w:trPr>
          <w:tblCellSpacing w:w="0" w:type="dxa"/>
          <w:jc w:val="center"/>
        </w:trPr>
        <w:tc>
          <w:tcPr>
            <w:tcW w:w="1366" w:type="pct"/>
            <w:vMerge w:val="restart"/>
            <w:tcBorders>
              <w:left w:val="outset" w:sz="6" w:space="0" w:color="auto"/>
              <w:bottom w:val="outset" w:sz="6" w:space="0" w:color="auto"/>
              <w:right w:val="outset" w:sz="6" w:space="0" w:color="auto"/>
            </w:tcBorders>
          </w:tcPr>
          <w:p>
            <w:pPr>
              <w:spacing w:before="100" w:beforeAutospacing="1" w:after="100" w:afterAutospacing="1"/>
              <w:rPr>
                <w:noProof/>
              </w:rPr>
            </w:pPr>
            <w:r>
              <w:rPr>
                <w:noProof/>
              </w:rPr>
              <w:t xml:space="preserve">Poids lourds ayant un poids maximum autorisé en charge </w:t>
            </w:r>
          </w:p>
          <w:p>
            <w:pPr>
              <w:spacing w:before="100" w:beforeAutospacing="1" w:after="100" w:afterAutospacing="1"/>
              <w:rPr>
                <w:noProof/>
              </w:rPr>
            </w:pPr>
            <w:r>
              <w:rPr>
                <w:noProof/>
              </w:rPr>
              <w:t xml:space="preserve">compris entre 14 et 28 tonnes </w:t>
            </w:r>
          </w:p>
          <w:p>
            <w:pPr>
              <w:spacing w:before="100" w:beforeAutospacing="1" w:after="100" w:afterAutospacing="1"/>
              <w:rPr>
                <w:noProof/>
              </w:rPr>
            </w:pPr>
            <w:r>
              <w:rPr>
                <w:noProof/>
              </w:rPr>
              <w:t>ou ayant trois essieux</w:t>
            </w: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0</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23,3</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15,1</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16,4</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10,1</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15,7</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10,0</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13,5</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8,2</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IV</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9,5</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5,7</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8,9</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3,7</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3,6</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0,8</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Moins polluant qu’EURO VI</w:t>
            </w:r>
          </w:p>
        </w:tc>
        <w:tc>
          <w:tcPr>
            <w:tcW w:w="974"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2,5</w:t>
            </w:r>
          </w:p>
        </w:tc>
        <w:tc>
          <w:tcPr>
            <w:tcW w:w="877"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0,3</w:t>
            </w:r>
          </w:p>
        </w:tc>
      </w:tr>
      <w:tr>
        <w:trPr>
          <w:tblCellSpacing w:w="0" w:type="dxa"/>
          <w:jc w:val="center"/>
        </w:trPr>
        <w:tc>
          <w:tcPr>
            <w:tcW w:w="1366" w:type="pct"/>
            <w:vMerge w:val="restart"/>
            <w:tcBorders>
              <w:left w:val="outset" w:sz="6" w:space="0" w:color="auto"/>
              <w:bottom w:val="outset" w:sz="6" w:space="0" w:color="auto"/>
              <w:right w:val="outset" w:sz="6" w:space="0" w:color="auto"/>
            </w:tcBorders>
          </w:tcPr>
          <w:p>
            <w:pPr>
              <w:spacing w:before="100" w:beforeAutospacing="1" w:after="100" w:afterAutospacing="1"/>
              <w:rPr>
                <w:noProof/>
              </w:rPr>
            </w:pPr>
            <w:r>
              <w:rPr>
                <w:noProof/>
              </w:rPr>
              <w:t xml:space="preserve">Poids lourds ayant un poids maximum autorisé en charge </w:t>
            </w:r>
          </w:p>
          <w:p>
            <w:pPr>
              <w:spacing w:before="100" w:beforeAutospacing="1" w:after="100" w:afterAutospacing="1"/>
              <w:rPr>
                <w:noProof/>
              </w:rPr>
            </w:pPr>
            <w:r>
              <w:rPr>
                <w:noProof/>
              </w:rPr>
              <w:t xml:space="preserve">compris entre 28 et 40 tonnes </w:t>
            </w:r>
          </w:p>
          <w:p>
            <w:pPr>
              <w:spacing w:before="100" w:beforeAutospacing="1" w:after="100" w:afterAutospacing="1"/>
              <w:rPr>
                <w:noProof/>
              </w:rPr>
            </w:pPr>
            <w:r>
              <w:rPr>
                <w:noProof/>
              </w:rPr>
              <w:t>ou ayant quatre essieux</w:t>
            </w: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0</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30,4</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19,7</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22,6</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13,9</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21,3</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13,9</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17,8</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11,2</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IV</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12,2</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7,7</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9,2</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4,0</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3,5</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0,8</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Moins polluant qu’EURO VI</w:t>
            </w:r>
          </w:p>
        </w:tc>
        <w:tc>
          <w:tcPr>
            <w:tcW w:w="974"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2,5</w:t>
            </w:r>
          </w:p>
        </w:tc>
        <w:tc>
          <w:tcPr>
            <w:tcW w:w="877"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0,3</w:t>
            </w:r>
          </w:p>
        </w:tc>
      </w:tr>
      <w:tr>
        <w:trPr>
          <w:tblCellSpacing w:w="0" w:type="dxa"/>
          <w:jc w:val="center"/>
        </w:trPr>
        <w:tc>
          <w:tcPr>
            <w:tcW w:w="1366" w:type="pct"/>
            <w:vMerge w:val="restart"/>
            <w:tcBorders>
              <w:left w:val="outset" w:sz="6" w:space="0" w:color="auto"/>
              <w:bottom w:val="outset" w:sz="6" w:space="0" w:color="auto"/>
              <w:right w:val="outset" w:sz="6" w:space="0" w:color="auto"/>
            </w:tcBorders>
          </w:tcPr>
          <w:p>
            <w:pPr>
              <w:spacing w:before="100" w:beforeAutospacing="1" w:after="100" w:afterAutospacing="1"/>
              <w:rPr>
                <w:noProof/>
              </w:rPr>
            </w:pPr>
            <w:r>
              <w:rPr>
                <w:noProof/>
              </w:rPr>
              <w:t xml:space="preserve">Poids lourds ayant un poids maximum autorisé en charge </w:t>
            </w:r>
          </w:p>
          <w:p>
            <w:pPr>
              <w:spacing w:before="100" w:beforeAutospacing="1" w:after="100" w:afterAutospacing="1"/>
              <w:rPr>
                <w:noProof/>
              </w:rPr>
            </w:pPr>
            <w:r>
              <w:rPr>
                <w:noProof/>
              </w:rPr>
              <w:t xml:space="preserve">supérieur à 40 tonnes </w:t>
            </w:r>
          </w:p>
          <w:p>
            <w:pPr>
              <w:spacing w:before="100" w:beforeAutospacing="1" w:after="100" w:afterAutospacing="1"/>
              <w:rPr>
                <w:noProof/>
              </w:rPr>
            </w:pPr>
            <w:r>
              <w:rPr>
                <w:noProof/>
              </w:rPr>
              <w:t>ou ayant 5 essieux ou plus</w:t>
            </w: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0</w:t>
            </w:r>
          </w:p>
        </w:tc>
        <w:tc>
          <w:tcPr>
            <w:tcW w:w="974"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43,0</w:t>
            </w:r>
          </w:p>
        </w:tc>
        <w:tc>
          <w:tcPr>
            <w:tcW w:w="877"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28,6</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w:t>
            </w:r>
          </w:p>
        </w:tc>
        <w:tc>
          <w:tcPr>
            <w:tcW w:w="974"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31,5</w:t>
            </w:r>
          </w:p>
        </w:tc>
        <w:tc>
          <w:tcPr>
            <w:tcW w:w="877"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19,8</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w:t>
            </w:r>
          </w:p>
        </w:tc>
        <w:tc>
          <w:tcPr>
            <w:tcW w:w="974"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29,2</w:t>
            </w:r>
          </w:p>
        </w:tc>
        <w:tc>
          <w:tcPr>
            <w:tcW w:w="877"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19,4</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III</w:t>
            </w:r>
          </w:p>
        </w:tc>
        <w:tc>
          <w:tcPr>
            <w:tcW w:w="974"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24,0</w:t>
            </w:r>
          </w:p>
        </w:tc>
        <w:tc>
          <w:tcPr>
            <w:tcW w:w="877"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15,6</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IV</w:t>
            </w:r>
          </w:p>
        </w:tc>
        <w:tc>
          <w:tcPr>
            <w:tcW w:w="974"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16,2</w:t>
            </w:r>
          </w:p>
        </w:tc>
        <w:tc>
          <w:tcPr>
            <w:tcW w:w="877"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10,6</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w:t>
            </w:r>
          </w:p>
        </w:tc>
        <w:tc>
          <w:tcPr>
            <w:tcW w:w="974"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9,8</w:t>
            </w:r>
          </w:p>
        </w:tc>
        <w:tc>
          <w:tcPr>
            <w:tcW w:w="877"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4,7</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3,6</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1,0</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contextualSpacing/>
              <w:rPr>
                <w:noProof/>
              </w:rPr>
            </w:pPr>
            <w:r>
              <w:rPr>
                <w:noProof/>
              </w:rPr>
              <w:t>Moins polluant qu’EURO VI</w:t>
            </w:r>
          </w:p>
        </w:tc>
        <w:tc>
          <w:tcPr>
            <w:tcW w:w="974"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2,5</w:t>
            </w:r>
          </w:p>
        </w:tc>
        <w:tc>
          <w:tcPr>
            <w:tcW w:w="877"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0,3</w:t>
            </w:r>
          </w:p>
        </w:tc>
      </w:tr>
    </w:tbl>
    <w:p>
      <w:pPr>
        <w:rPr>
          <w:rFonts w:eastAsia="Arial Unicode MS"/>
          <w:noProof/>
        </w:rPr>
      </w:pPr>
      <w:r>
        <w:rPr>
          <w:noProof/>
          <w:vertAlign w:val="superscript"/>
        </w:rPr>
        <w:t>(1)</w:t>
      </w:r>
      <w:r>
        <w:rPr>
          <w:noProof/>
        </w:rPr>
        <w:t xml:space="preserve"> On entend par "suburbain" les zones ayant une densité de population comprise entre 150 et 900 habitants/km² (densité de population médiane de 300 habitants/km²).</w:t>
      </w:r>
    </w:p>
    <w:p>
      <w:pPr>
        <w:rPr>
          <w:rFonts w:eastAsia="Arial Unicode MS"/>
          <w:noProof/>
          <w:szCs w:val="24"/>
        </w:rPr>
      </w:pPr>
      <w:r>
        <w:rPr>
          <w:noProof/>
          <w:vertAlign w:val="superscript"/>
        </w:rPr>
        <w:t>(2)</w:t>
      </w:r>
      <w:r>
        <w:rPr>
          <w:noProof/>
        </w:rPr>
        <w:tab/>
        <w:t>On entend par "interurbain" les zones ayant une densité de population inférieure à 150 habitants/km².</w:t>
      </w:r>
    </w:p>
    <w:p>
      <w:pPr>
        <w:spacing w:before="100" w:beforeAutospacing="1" w:after="100" w:afterAutospacing="1"/>
        <w:ind w:left="800" w:hanging="400"/>
        <w:rPr>
          <w:rFonts w:eastAsia="Arial Unicode MS"/>
          <w:i/>
          <w:iCs/>
          <w:noProof/>
        </w:rPr>
      </w:pPr>
      <w:r>
        <w:rPr>
          <w:i/>
          <w:noProof/>
        </w:rPr>
        <w:t>Tableau 2: valeurs de référence de la redevance pour coûts externes pour les autocars</w:t>
      </w:r>
    </w:p>
    <w:tbl>
      <w:tblPr>
        <w:tblW w:w="8710" w:type="dxa"/>
        <w:jc w:val="center"/>
        <w:tblCellSpacing w:w="0" w:type="dxa"/>
        <w:tblInd w:w="-300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73"/>
        <w:gridCol w:w="3109"/>
        <w:gridCol w:w="1709"/>
        <w:gridCol w:w="1519"/>
      </w:tblGrid>
      <w:tr>
        <w:trPr>
          <w:tblCellSpacing w:w="0" w:type="dxa"/>
          <w:jc w:val="center"/>
        </w:trPr>
        <w:tc>
          <w:tcPr>
            <w:tcW w:w="1362" w:type="pct"/>
            <w:tcBorders>
              <w:top w:val="outset" w:sz="6" w:space="0" w:color="auto"/>
              <w:left w:val="outset" w:sz="6" w:space="0" w:color="auto"/>
              <w:bottom w:val="outset" w:sz="6" w:space="0" w:color="auto"/>
              <w:right w:val="outset" w:sz="6" w:space="0" w:color="auto"/>
            </w:tcBorders>
          </w:tcPr>
          <w:p>
            <w:pPr>
              <w:spacing w:before="100" w:beforeAutospacing="1" w:after="100" w:afterAutospacing="1"/>
              <w:rPr>
                <w:b/>
                <w:bCs/>
                <w:noProof/>
              </w:rPr>
            </w:pPr>
            <w:r>
              <w:rPr>
                <w:b/>
                <w:noProof/>
              </w:rPr>
              <w:t>Classe</w:t>
            </w: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b/>
                <w:bCs/>
                <w:noProof/>
              </w:rPr>
            </w:pPr>
            <w:r>
              <w:rPr>
                <w:b/>
                <w:noProof/>
              </w:rPr>
              <w:t>Cents/véhicule-kilomètre</w:t>
            </w:r>
          </w:p>
        </w:tc>
        <w:tc>
          <w:tcPr>
            <w:tcW w:w="981"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b/>
                <w:bCs/>
                <w:noProof/>
              </w:rPr>
            </w:pPr>
            <w:r>
              <w:rPr>
                <w:b/>
                <w:noProof/>
              </w:rPr>
              <w:t>Suburbain</w:t>
            </w:r>
            <w:r>
              <w:rPr>
                <w:b/>
                <w:noProof/>
                <w:vertAlign w:val="superscript"/>
              </w:rPr>
              <w:t>(1)</w:t>
            </w:r>
          </w:p>
        </w:tc>
        <w:tc>
          <w:tcPr>
            <w:tcW w:w="872"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b/>
                <w:bCs/>
                <w:noProof/>
              </w:rPr>
            </w:pPr>
            <w:r>
              <w:rPr>
                <w:b/>
                <w:noProof/>
              </w:rPr>
              <w:t>Interurbain</w:t>
            </w:r>
            <w:r>
              <w:rPr>
                <w:b/>
                <w:noProof/>
                <w:vertAlign w:val="superscript"/>
              </w:rPr>
              <w:t>(2)</w:t>
            </w:r>
          </w:p>
        </w:tc>
      </w:tr>
      <w:tr>
        <w:trPr>
          <w:tblCellSpacing w:w="0" w:type="dxa"/>
          <w:jc w:val="center"/>
        </w:trPr>
        <w:tc>
          <w:tcPr>
            <w:tcW w:w="1362" w:type="pct"/>
            <w:vMerge w:val="restart"/>
            <w:tcBorders>
              <w:top w:val="outset" w:sz="6" w:space="0" w:color="auto"/>
              <w:left w:val="outset" w:sz="6" w:space="0" w:color="auto"/>
              <w:right w:val="outset" w:sz="6" w:space="0" w:color="auto"/>
            </w:tcBorders>
          </w:tcPr>
          <w:p>
            <w:pPr>
              <w:spacing w:before="100" w:beforeAutospacing="1" w:after="100" w:afterAutospacing="1"/>
              <w:rPr>
                <w:noProof/>
              </w:rPr>
            </w:pPr>
            <w:r>
              <w:rPr>
                <w:noProof/>
              </w:rPr>
              <w:t>Autocar ayant un poids maximum en charge autorisé de 18 tonnes</w:t>
            </w:r>
          </w:p>
          <w:p>
            <w:pPr>
              <w:spacing w:before="100" w:beforeAutospacing="1" w:after="100" w:afterAutospacing="1"/>
              <w:rPr>
                <w:noProof/>
              </w:rPr>
            </w:pPr>
            <w:r>
              <w:rPr>
                <w:noProof/>
              </w:rPr>
              <w:t>ou ayant deux essieux</w:t>
            </w: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0</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20,3</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13,1</w:t>
            </w:r>
          </w:p>
        </w:tc>
      </w:tr>
      <w:tr>
        <w:trPr>
          <w:tblCellSpacing w:w="0" w:type="dxa"/>
          <w:jc w:val="center"/>
        </w:trPr>
        <w:tc>
          <w:tcPr>
            <w:tcW w:w="1362" w:type="pct"/>
            <w:vMerge/>
            <w:tcBorders>
              <w:left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16,0</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10,4</w:t>
            </w:r>
          </w:p>
        </w:tc>
      </w:tr>
      <w:tr>
        <w:trPr>
          <w:tblCellSpacing w:w="0" w:type="dxa"/>
          <w:jc w:val="center"/>
        </w:trPr>
        <w:tc>
          <w:tcPr>
            <w:tcW w:w="1362" w:type="pct"/>
            <w:vMerge/>
            <w:tcBorders>
              <w:left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15,6</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9,9</w:t>
            </w:r>
          </w:p>
        </w:tc>
      </w:tr>
      <w:tr>
        <w:trPr>
          <w:tblCellSpacing w:w="0" w:type="dxa"/>
          <w:jc w:val="center"/>
        </w:trPr>
        <w:tc>
          <w:tcPr>
            <w:tcW w:w="1362" w:type="pct"/>
            <w:vMerge/>
            <w:tcBorders>
              <w:left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III</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13,9</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8,5</w:t>
            </w:r>
          </w:p>
        </w:tc>
      </w:tr>
      <w:tr>
        <w:trPr>
          <w:tblCellSpacing w:w="0" w:type="dxa"/>
          <w:jc w:val="center"/>
        </w:trPr>
        <w:tc>
          <w:tcPr>
            <w:tcW w:w="1362" w:type="pct"/>
            <w:vMerge/>
            <w:tcBorders>
              <w:left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IV</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10,0</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5,7</w:t>
            </w:r>
          </w:p>
        </w:tc>
      </w:tr>
      <w:tr>
        <w:trPr>
          <w:tblCellSpacing w:w="0" w:type="dxa"/>
          <w:jc w:val="center"/>
        </w:trPr>
        <w:tc>
          <w:tcPr>
            <w:tcW w:w="1362" w:type="pct"/>
            <w:vMerge/>
            <w:tcBorders>
              <w:left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9,0</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5,0</w:t>
            </w:r>
          </w:p>
        </w:tc>
      </w:tr>
      <w:tr>
        <w:trPr>
          <w:tblCellSpacing w:w="0" w:type="dxa"/>
          <w:jc w:val="center"/>
        </w:trPr>
        <w:tc>
          <w:tcPr>
            <w:tcW w:w="1362" w:type="pct"/>
            <w:vMerge/>
            <w:tcBorders>
              <w:left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VI</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2,8</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0,8</w:t>
            </w:r>
          </w:p>
        </w:tc>
      </w:tr>
      <w:tr>
        <w:trPr>
          <w:tblCellSpacing w:w="0" w:type="dxa"/>
          <w:jc w:val="center"/>
        </w:trPr>
        <w:tc>
          <w:tcPr>
            <w:tcW w:w="1362"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Moins polluant qu’EURO VI</w:t>
            </w:r>
          </w:p>
        </w:tc>
        <w:tc>
          <w:tcPr>
            <w:tcW w:w="981"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1,4</w:t>
            </w:r>
          </w:p>
        </w:tc>
        <w:tc>
          <w:tcPr>
            <w:tcW w:w="872"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0,2</w:t>
            </w:r>
          </w:p>
        </w:tc>
      </w:tr>
      <w:tr>
        <w:trPr>
          <w:tblCellSpacing w:w="0" w:type="dxa"/>
          <w:jc w:val="center"/>
        </w:trPr>
        <w:tc>
          <w:tcPr>
            <w:tcW w:w="1362" w:type="pct"/>
            <w:vMerge w:val="restart"/>
            <w:tcBorders>
              <w:left w:val="outset" w:sz="6" w:space="0" w:color="auto"/>
              <w:bottom w:val="outset" w:sz="6" w:space="0" w:color="auto"/>
              <w:right w:val="outset" w:sz="6" w:space="0" w:color="auto"/>
            </w:tcBorders>
          </w:tcPr>
          <w:p>
            <w:pPr>
              <w:spacing w:before="100" w:beforeAutospacing="1" w:after="100" w:afterAutospacing="1"/>
              <w:rPr>
                <w:noProof/>
              </w:rPr>
            </w:pPr>
            <w:r>
              <w:rPr>
                <w:noProof/>
              </w:rPr>
              <w:t>Autocar ayant un poids maximum en charge autorisé supérieur à 18 tonnes</w:t>
            </w:r>
          </w:p>
          <w:p>
            <w:pPr>
              <w:spacing w:before="100" w:beforeAutospacing="1" w:after="100" w:afterAutospacing="1"/>
              <w:rPr>
                <w:noProof/>
              </w:rPr>
            </w:pPr>
            <w:r>
              <w:rPr>
                <w:noProof/>
              </w:rPr>
              <w:t>ou ayant 3 essieux ou plus</w:t>
            </w: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0</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24,9</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16,2</w:t>
            </w:r>
          </w:p>
        </w:tc>
      </w:tr>
      <w:tr>
        <w:trPr>
          <w:tblCellSpacing w:w="0" w:type="dxa"/>
          <w:jc w:val="center"/>
        </w:trPr>
        <w:tc>
          <w:tcPr>
            <w:tcW w:w="1362"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19,2</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12,3</w:t>
            </w:r>
          </w:p>
        </w:tc>
      </w:tr>
      <w:tr>
        <w:trPr>
          <w:tblCellSpacing w:w="0" w:type="dxa"/>
          <w:jc w:val="center"/>
        </w:trPr>
        <w:tc>
          <w:tcPr>
            <w:tcW w:w="1362"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18,5</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12,0</w:t>
            </w:r>
          </w:p>
        </w:tc>
      </w:tr>
      <w:tr>
        <w:trPr>
          <w:tblCellSpacing w:w="0" w:type="dxa"/>
          <w:jc w:val="center"/>
        </w:trPr>
        <w:tc>
          <w:tcPr>
            <w:tcW w:w="1362"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III</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15,7</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9,8</w:t>
            </w:r>
          </w:p>
        </w:tc>
      </w:tr>
      <w:tr>
        <w:trPr>
          <w:tblCellSpacing w:w="0" w:type="dxa"/>
          <w:jc w:val="center"/>
        </w:trPr>
        <w:tc>
          <w:tcPr>
            <w:tcW w:w="1362"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IV</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10,6</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6,6</w:t>
            </w:r>
          </w:p>
        </w:tc>
      </w:tr>
      <w:tr>
        <w:trPr>
          <w:tblCellSpacing w:w="0" w:type="dxa"/>
          <w:jc w:val="center"/>
        </w:trPr>
        <w:tc>
          <w:tcPr>
            <w:tcW w:w="1362"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10,2</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5,2</w:t>
            </w:r>
          </w:p>
        </w:tc>
      </w:tr>
      <w:tr>
        <w:trPr>
          <w:tblCellSpacing w:w="0" w:type="dxa"/>
          <w:jc w:val="center"/>
        </w:trPr>
        <w:tc>
          <w:tcPr>
            <w:tcW w:w="1362"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VI</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2,8</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0,8</w:t>
            </w:r>
          </w:p>
        </w:tc>
      </w:tr>
      <w:tr>
        <w:trPr>
          <w:tblCellSpacing w:w="0" w:type="dxa"/>
          <w:jc w:val="center"/>
        </w:trPr>
        <w:tc>
          <w:tcPr>
            <w:tcW w:w="1362"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Moins polluant qu’EURO VI</w:t>
            </w:r>
          </w:p>
        </w:tc>
        <w:tc>
          <w:tcPr>
            <w:tcW w:w="981"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1,4</w:t>
            </w:r>
          </w:p>
        </w:tc>
        <w:tc>
          <w:tcPr>
            <w:tcW w:w="872"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0,2</w:t>
            </w:r>
          </w:p>
        </w:tc>
      </w:tr>
    </w:tbl>
    <w:p>
      <w:pPr>
        <w:rPr>
          <w:rFonts w:eastAsia="Arial Unicode MS"/>
          <w:noProof/>
        </w:rPr>
      </w:pPr>
      <w:r>
        <w:rPr>
          <w:noProof/>
          <w:vertAlign w:val="superscript"/>
        </w:rPr>
        <w:t>(1)</w:t>
      </w:r>
      <w:r>
        <w:rPr>
          <w:noProof/>
        </w:rPr>
        <w:t xml:space="preserve"> On entend par "suburbain" les zones ayant une densité de population comprise entre 150 et 900 habitants/km² (densité de population médiane de 300 habitants/km²).</w:t>
      </w:r>
    </w:p>
    <w:p>
      <w:pPr>
        <w:rPr>
          <w:noProof/>
        </w:rPr>
      </w:pPr>
      <w:r>
        <w:rPr>
          <w:noProof/>
          <w:vertAlign w:val="superscript"/>
        </w:rPr>
        <w:t>(2)</w:t>
      </w:r>
      <w:r>
        <w:rPr>
          <w:noProof/>
        </w:rPr>
        <w:t xml:space="preserve"> On entend par "interurbain" les zones ayant une densité de population inférieure à 150 habitants/km².</w:t>
      </w:r>
    </w:p>
    <w:p>
      <w:pPr>
        <w:rPr>
          <w:noProof/>
        </w:rPr>
      </w:pPr>
    </w:p>
    <w:p>
      <w:pPr>
        <w:rPr>
          <w:noProof/>
        </w:rPr>
      </w:pPr>
      <w:r>
        <w:rPr>
          <w:noProof/>
        </w:rPr>
        <w:lastRenderedPageBreak/>
        <w:t>Les valeurs des tableaux 1 et 2 peuvent être multipliées par 2 au maximum dans les régions montagneuses et autour des agglomérations, dans la mesure où la moindre dispersion, la pente de la route, l’altitude ou les inversions de température le justifient.»;</w:t>
      </w:r>
    </w:p>
    <w:p>
      <w:pPr>
        <w:rPr>
          <w:noProof/>
        </w:rPr>
      </w:pPr>
    </w:p>
    <w:p>
      <w:pPr>
        <w:rPr>
          <w:noProof/>
        </w:rPr>
      </w:pPr>
      <w:r>
        <w:rPr>
          <w:noProof/>
        </w:rPr>
        <w:t>e)</w:t>
      </w:r>
      <w:r>
        <w:rPr>
          <w:noProof/>
        </w:rPr>
        <w:tab/>
        <w:t>à l’annexe IV, le tableau intitulé «Ensembles de véhicules (véhicules articulés et trains de véhicules)» est remplacé par le texte suivant:</w:t>
      </w:r>
    </w:p>
    <w:p>
      <w:pPr>
        <w:pStyle w:val="ManualHeading1"/>
        <w:ind w:left="851" w:hanging="851"/>
        <w:rPr>
          <w:noProof/>
        </w:rPr>
      </w:pPr>
      <w:r>
        <w:rPr>
          <w:noProof/>
        </w:rPr>
        <w:t>«Ensembles de véhicules (véhicules articulés et trains de véhicules)</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48"/>
        <w:gridCol w:w="1929"/>
        <w:gridCol w:w="13"/>
        <w:gridCol w:w="21"/>
        <w:gridCol w:w="1802"/>
        <w:gridCol w:w="27"/>
        <w:gridCol w:w="1943"/>
        <w:gridCol w:w="6"/>
        <w:gridCol w:w="1659"/>
        <w:gridCol w:w="36"/>
      </w:tblGrid>
      <w:tr>
        <w:trPr>
          <w:gridAfter w:val="1"/>
          <w:wAfter w:w="36" w:type="dxa"/>
        </w:trPr>
        <w:tc>
          <w:tcPr>
            <w:tcW w:w="3807" w:type="dxa"/>
            <w:gridSpan w:val="4"/>
          </w:tcPr>
          <w:p>
            <w:pPr>
              <w:jc w:val="center"/>
              <w:rPr>
                <w:noProof/>
              </w:rPr>
            </w:pPr>
            <w:r>
              <w:rPr>
                <w:noProof/>
              </w:rPr>
              <w:t>Essieux moteurs équipés de suspensions pneumatiques ou reconnues équivalentes</w:t>
            </w:r>
          </w:p>
        </w:tc>
        <w:tc>
          <w:tcPr>
            <w:tcW w:w="3808" w:type="dxa"/>
            <w:gridSpan w:val="4"/>
          </w:tcPr>
          <w:p>
            <w:pPr>
              <w:jc w:val="center"/>
              <w:rPr>
                <w:noProof/>
              </w:rPr>
            </w:pPr>
            <w:r>
              <w:rPr>
                <w:noProof/>
              </w:rPr>
              <w:t>Essieux moteurs équipés d'autres systèmes de suspension</w:t>
            </w:r>
          </w:p>
        </w:tc>
        <w:tc>
          <w:tcPr>
            <w:tcW w:w="1671" w:type="dxa"/>
            <w:gridSpan w:val="2"/>
          </w:tcPr>
          <w:p>
            <w:pPr>
              <w:jc w:val="center"/>
              <w:rPr>
                <w:noProof/>
              </w:rPr>
            </w:pPr>
            <w:r>
              <w:rPr>
                <w:noProof/>
              </w:rPr>
              <w:t>Classe de dommages</w:t>
            </w:r>
          </w:p>
        </w:tc>
      </w:tr>
      <w:tr>
        <w:trPr>
          <w:gridAfter w:val="1"/>
          <w:wAfter w:w="36" w:type="dxa"/>
        </w:trPr>
        <w:tc>
          <w:tcPr>
            <w:tcW w:w="3807" w:type="dxa"/>
            <w:gridSpan w:val="4"/>
          </w:tcPr>
          <w:p>
            <w:pPr>
              <w:jc w:val="center"/>
              <w:rPr>
                <w:noProof/>
              </w:rPr>
            </w:pPr>
            <w:r>
              <w:rPr>
                <w:noProof/>
              </w:rPr>
              <w:t>Nombre d'essieux et poids total en charge autorisé (en tonnes)</w:t>
            </w:r>
          </w:p>
        </w:tc>
        <w:tc>
          <w:tcPr>
            <w:tcW w:w="3808" w:type="dxa"/>
            <w:gridSpan w:val="4"/>
          </w:tcPr>
          <w:p>
            <w:pPr>
              <w:jc w:val="center"/>
              <w:rPr>
                <w:noProof/>
              </w:rPr>
            </w:pPr>
            <w:r>
              <w:rPr>
                <w:noProof/>
              </w:rPr>
              <w:t>Nombre d'essieux et poids total en charge autorisé (en tonnes)</w:t>
            </w:r>
          </w:p>
        </w:tc>
        <w:tc>
          <w:tcPr>
            <w:tcW w:w="1671" w:type="dxa"/>
            <w:gridSpan w:val="2"/>
          </w:tcPr>
          <w:p>
            <w:pPr>
              <w:jc w:val="center"/>
              <w:rPr>
                <w:noProof/>
              </w:rPr>
            </w:pPr>
          </w:p>
        </w:tc>
      </w:tr>
      <w:tr>
        <w:trPr>
          <w:gridAfter w:val="1"/>
          <w:wAfter w:w="36" w:type="dxa"/>
        </w:trPr>
        <w:tc>
          <w:tcPr>
            <w:tcW w:w="1857" w:type="dxa"/>
            <w:gridSpan w:val="2"/>
          </w:tcPr>
          <w:p>
            <w:pPr>
              <w:jc w:val="center"/>
              <w:rPr>
                <w:noProof/>
              </w:rPr>
            </w:pPr>
            <w:r>
              <w:rPr>
                <w:noProof/>
              </w:rPr>
              <w:t>Égal ou supérieur à</w:t>
            </w:r>
          </w:p>
        </w:tc>
        <w:tc>
          <w:tcPr>
            <w:tcW w:w="1950" w:type="dxa"/>
            <w:gridSpan w:val="2"/>
          </w:tcPr>
          <w:p>
            <w:pPr>
              <w:jc w:val="center"/>
              <w:rPr>
                <w:noProof/>
              </w:rPr>
            </w:pPr>
            <w:r>
              <w:rPr>
                <w:noProof/>
              </w:rPr>
              <w:t>Inférieur à</w:t>
            </w:r>
          </w:p>
        </w:tc>
        <w:tc>
          <w:tcPr>
            <w:tcW w:w="1857" w:type="dxa"/>
            <w:gridSpan w:val="3"/>
          </w:tcPr>
          <w:p>
            <w:pPr>
              <w:jc w:val="center"/>
              <w:rPr>
                <w:noProof/>
              </w:rPr>
            </w:pPr>
            <w:r>
              <w:rPr>
                <w:noProof/>
              </w:rPr>
              <w:t>Égal ou supérieur à</w:t>
            </w:r>
          </w:p>
        </w:tc>
        <w:tc>
          <w:tcPr>
            <w:tcW w:w="1951" w:type="dxa"/>
          </w:tcPr>
          <w:p>
            <w:pPr>
              <w:jc w:val="center"/>
              <w:rPr>
                <w:noProof/>
              </w:rPr>
            </w:pPr>
            <w:r>
              <w:rPr>
                <w:noProof/>
              </w:rPr>
              <w:t>Inférieur à</w:t>
            </w:r>
          </w:p>
        </w:tc>
        <w:tc>
          <w:tcPr>
            <w:tcW w:w="1671" w:type="dxa"/>
            <w:gridSpan w:val="2"/>
          </w:tcPr>
          <w:p>
            <w:pPr>
              <w:jc w:val="center"/>
              <w:rPr>
                <w:noProof/>
              </w:rPr>
            </w:pPr>
          </w:p>
        </w:tc>
      </w:tr>
      <w:tr>
        <w:trPr>
          <w:gridAfter w:val="1"/>
          <w:wAfter w:w="36" w:type="dxa"/>
        </w:trPr>
        <w:tc>
          <w:tcPr>
            <w:tcW w:w="7615" w:type="dxa"/>
            <w:gridSpan w:val="8"/>
          </w:tcPr>
          <w:p>
            <w:pPr>
              <w:jc w:val="left"/>
              <w:rPr>
                <w:noProof/>
              </w:rPr>
            </w:pPr>
            <w:r>
              <w:rPr>
                <w:i/>
                <w:noProof/>
              </w:rPr>
              <w:t>2 + 1 essieux</w:t>
            </w:r>
          </w:p>
        </w:tc>
        <w:tc>
          <w:tcPr>
            <w:tcW w:w="1671" w:type="dxa"/>
            <w:gridSpan w:val="2"/>
          </w:tcPr>
          <w:p>
            <w:pPr>
              <w:jc w:val="left"/>
              <w:rPr>
                <w:noProof/>
              </w:rPr>
            </w:pPr>
          </w:p>
        </w:tc>
      </w:tr>
      <w:tr>
        <w:trPr>
          <w:gridAfter w:val="1"/>
          <w:wAfter w:w="36" w:type="dxa"/>
        </w:trPr>
        <w:tc>
          <w:tcPr>
            <w:tcW w:w="1857" w:type="dxa"/>
            <w:gridSpan w:val="2"/>
          </w:tcPr>
          <w:p>
            <w:pPr>
              <w:jc w:val="left"/>
              <w:rPr>
                <w:noProof/>
              </w:rPr>
            </w:pPr>
            <w:r>
              <w:rPr>
                <w:noProof/>
              </w:rPr>
              <w:t>7,5</w:t>
            </w:r>
          </w:p>
          <w:p>
            <w:pPr>
              <w:jc w:val="left"/>
              <w:rPr>
                <w:noProof/>
              </w:rPr>
            </w:pPr>
            <w:r>
              <w:rPr>
                <w:noProof/>
              </w:rPr>
              <w:t>12</w:t>
            </w:r>
          </w:p>
          <w:p>
            <w:pPr>
              <w:jc w:val="left"/>
              <w:rPr>
                <w:noProof/>
              </w:rPr>
            </w:pPr>
            <w:r>
              <w:rPr>
                <w:noProof/>
              </w:rPr>
              <w:t>14</w:t>
            </w:r>
          </w:p>
          <w:p>
            <w:pPr>
              <w:jc w:val="left"/>
              <w:rPr>
                <w:noProof/>
              </w:rPr>
            </w:pPr>
            <w:r>
              <w:rPr>
                <w:noProof/>
              </w:rPr>
              <w:t>16</w:t>
            </w:r>
          </w:p>
          <w:p>
            <w:pPr>
              <w:jc w:val="left"/>
              <w:rPr>
                <w:noProof/>
              </w:rPr>
            </w:pPr>
            <w:r>
              <w:rPr>
                <w:noProof/>
              </w:rPr>
              <w:t>18</w:t>
            </w:r>
          </w:p>
          <w:p>
            <w:pPr>
              <w:jc w:val="left"/>
              <w:rPr>
                <w:noProof/>
              </w:rPr>
            </w:pPr>
            <w:r>
              <w:rPr>
                <w:noProof/>
              </w:rPr>
              <w:t>20</w:t>
            </w:r>
          </w:p>
          <w:p>
            <w:pPr>
              <w:jc w:val="left"/>
              <w:rPr>
                <w:noProof/>
              </w:rPr>
            </w:pPr>
            <w:r>
              <w:rPr>
                <w:noProof/>
              </w:rPr>
              <w:t>22</w:t>
            </w:r>
          </w:p>
          <w:p>
            <w:pPr>
              <w:jc w:val="left"/>
              <w:rPr>
                <w:noProof/>
              </w:rPr>
            </w:pPr>
            <w:r>
              <w:rPr>
                <w:noProof/>
              </w:rPr>
              <w:t>23</w:t>
            </w:r>
          </w:p>
          <w:p>
            <w:pPr>
              <w:jc w:val="left"/>
              <w:rPr>
                <w:noProof/>
              </w:rPr>
            </w:pPr>
            <w:r>
              <w:rPr>
                <w:noProof/>
              </w:rPr>
              <w:t>25</w:t>
            </w:r>
          </w:p>
        </w:tc>
        <w:tc>
          <w:tcPr>
            <w:tcW w:w="1950" w:type="dxa"/>
            <w:gridSpan w:val="2"/>
          </w:tcPr>
          <w:p>
            <w:pPr>
              <w:jc w:val="left"/>
              <w:rPr>
                <w:noProof/>
              </w:rPr>
            </w:pPr>
            <w:r>
              <w:rPr>
                <w:noProof/>
              </w:rPr>
              <w:t>12</w:t>
            </w:r>
          </w:p>
          <w:p>
            <w:pPr>
              <w:jc w:val="left"/>
              <w:rPr>
                <w:noProof/>
              </w:rPr>
            </w:pPr>
            <w:r>
              <w:rPr>
                <w:noProof/>
              </w:rPr>
              <w:t>14</w:t>
            </w:r>
          </w:p>
          <w:p>
            <w:pPr>
              <w:jc w:val="left"/>
              <w:rPr>
                <w:noProof/>
              </w:rPr>
            </w:pPr>
            <w:r>
              <w:rPr>
                <w:noProof/>
              </w:rPr>
              <w:t>16</w:t>
            </w:r>
          </w:p>
          <w:p>
            <w:pPr>
              <w:jc w:val="left"/>
              <w:rPr>
                <w:noProof/>
              </w:rPr>
            </w:pPr>
            <w:r>
              <w:rPr>
                <w:noProof/>
              </w:rPr>
              <w:t>18</w:t>
            </w:r>
          </w:p>
          <w:p>
            <w:pPr>
              <w:jc w:val="left"/>
              <w:rPr>
                <w:noProof/>
              </w:rPr>
            </w:pPr>
            <w:r>
              <w:rPr>
                <w:noProof/>
              </w:rPr>
              <w:t>20</w:t>
            </w:r>
          </w:p>
          <w:p>
            <w:pPr>
              <w:jc w:val="left"/>
              <w:rPr>
                <w:noProof/>
              </w:rPr>
            </w:pPr>
            <w:r>
              <w:rPr>
                <w:noProof/>
              </w:rPr>
              <w:t>22</w:t>
            </w:r>
          </w:p>
          <w:p>
            <w:pPr>
              <w:jc w:val="left"/>
              <w:rPr>
                <w:noProof/>
              </w:rPr>
            </w:pPr>
            <w:r>
              <w:rPr>
                <w:noProof/>
              </w:rPr>
              <w:t>23</w:t>
            </w:r>
          </w:p>
          <w:p>
            <w:pPr>
              <w:jc w:val="left"/>
              <w:rPr>
                <w:noProof/>
              </w:rPr>
            </w:pPr>
            <w:r>
              <w:rPr>
                <w:noProof/>
              </w:rPr>
              <w:t>25</w:t>
            </w:r>
          </w:p>
          <w:p>
            <w:pPr>
              <w:jc w:val="left"/>
              <w:rPr>
                <w:noProof/>
              </w:rPr>
            </w:pPr>
            <w:r>
              <w:rPr>
                <w:noProof/>
              </w:rPr>
              <w:t>28</w:t>
            </w:r>
          </w:p>
        </w:tc>
        <w:tc>
          <w:tcPr>
            <w:tcW w:w="1857" w:type="dxa"/>
            <w:gridSpan w:val="3"/>
          </w:tcPr>
          <w:p>
            <w:pPr>
              <w:jc w:val="left"/>
              <w:rPr>
                <w:noProof/>
              </w:rPr>
            </w:pPr>
            <w:r>
              <w:rPr>
                <w:noProof/>
              </w:rPr>
              <w:t>7,5</w:t>
            </w:r>
          </w:p>
          <w:p>
            <w:pPr>
              <w:jc w:val="left"/>
              <w:rPr>
                <w:noProof/>
              </w:rPr>
            </w:pPr>
            <w:r>
              <w:rPr>
                <w:noProof/>
              </w:rPr>
              <w:t>12</w:t>
            </w:r>
          </w:p>
          <w:p>
            <w:pPr>
              <w:jc w:val="left"/>
              <w:rPr>
                <w:noProof/>
              </w:rPr>
            </w:pPr>
            <w:r>
              <w:rPr>
                <w:noProof/>
              </w:rPr>
              <w:t>14</w:t>
            </w:r>
          </w:p>
          <w:p>
            <w:pPr>
              <w:jc w:val="left"/>
              <w:rPr>
                <w:noProof/>
              </w:rPr>
            </w:pPr>
            <w:r>
              <w:rPr>
                <w:noProof/>
              </w:rPr>
              <w:t>16</w:t>
            </w:r>
          </w:p>
          <w:p>
            <w:pPr>
              <w:jc w:val="left"/>
              <w:rPr>
                <w:noProof/>
              </w:rPr>
            </w:pPr>
            <w:r>
              <w:rPr>
                <w:noProof/>
              </w:rPr>
              <w:t>18</w:t>
            </w:r>
          </w:p>
          <w:p>
            <w:pPr>
              <w:jc w:val="left"/>
              <w:rPr>
                <w:noProof/>
              </w:rPr>
            </w:pPr>
            <w:r>
              <w:rPr>
                <w:noProof/>
              </w:rPr>
              <w:t>20</w:t>
            </w:r>
          </w:p>
          <w:p>
            <w:pPr>
              <w:jc w:val="left"/>
              <w:rPr>
                <w:noProof/>
              </w:rPr>
            </w:pPr>
            <w:r>
              <w:rPr>
                <w:noProof/>
              </w:rPr>
              <w:t>22</w:t>
            </w:r>
          </w:p>
          <w:p>
            <w:pPr>
              <w:jc w:val="left"/>
              <w:rPr>
                <w:noProof/>
              </w:rPr>
            </w:pPr>
            <w:r>
              <w:rPr>
                <w:noProof/>
              </w:rPr>
              <w:t>23</w:t>
            </w:r>
          </w:p>
          <w:p>
            <w:pPr>
              <w:jc w:val="left"/>
              <w:rPr>
                <w:noProof/>
              </w:rPr>
            </w:pPr>
            <w:r>
              <w:rPr>
                <w:noProof/>
              </w:rPr>
              <w:t>25</w:t>
            </w:r>
          </w:p>
        </w:tc>
        <w:tc>
          <w:tcPr>
            <w:tcW w:w="1951" w:type="dxa"/>
          </w:tcPr>
          <w:p>
            <w:pPr>
              <w:jc w:val="left"/>
              <w:rPr>
                <w:noProof/>
              </w:rPr>
            </w:pPr>
            <w:r>
              <w:rPr>
                <w:noProof/>
              </w:rPr>
              <w:t>12</w:t>
            </w:r>
          </w:p>
          <w:p>
            <w:pPr>
              <w:jc w:val="left"/>
              <w:rPr>
                <w:noProof/>
              </w:rPr>
            </w:pPr>
            <w:r>
              <w:rPr>
                <w:noProof/>
              </w:rPr>
              <w:t>14</w:t>
            </w:r>
          </w:p>
          <w:p>
            <w:pPr>
              <w:jc w:val="left"/>
              <w:rPr>
                <w:noProof/>
              </w:rPr>
            </w:pPr>
            <w:r>
              <w:rPr>
                <w:noProof/>
              </w:rPr>
              <w:t>16</w:t>
            </w:r>
          </w:p>
          <w:p>
            <w:pPr>
              <w:jc w:val="left"/>
              <w:rPr>
                <w:noProof/>
              </w:rPr>
            </w:pPr>
            <w:r>
              <w:rPr>
                <w:noProof/>
              </w:rPr>
              <w:t>18</w:t>
            </w:r>
          </w:p>
          <w:p>
            <w:pPr>
              <w:jc w:val="left"/>
              <w:rPr>
                <w:noProof/>
              </w:rPr>
            </w:pPr>
            <w:r>
              <w:rPr>
                <w:noProof/>
              </w:rPr>
              <w:t>20</w:t>
            </w:r>
          </w:p>
          <w:p>
            <w:pPr>
              <w:jc w:val="left"/>
              <w:rPr>
                <w:noProof/>
              </w:rPr>
            </w:pPr>
            <w:r>
              <w:rPr>
                <w:noProof/>
              </w:rPr>
              <w:t>22</w:t>
            </w:r>
          </w:p>
          <w:p>
            <w:pPr>
              <w:jc w:val="left"/>
              <w:rPr>
                <w:noProof/>
              </w:rPr>
            </w:pPr>
            <w:r>
              <w:rPr>
                <w:noProof/>
              </w:rPr>
              <w:t>23</w:t>
            </w:r>
          </w:p>
          <w:p>
            <w:pPr>
              <w:jc w:val="left"/>
              <w:rPr>
                <w:noProof/>
              </w:rPr>
            </w:pPr>
            <w:r>
              <w:rPr>
                <w:noProof/>
              </w:rPr>
              <w:t>25</w:t>
            </w:r>
          </w:p>
          <w:p>
            <w:pPr>
              <w:jc w:val="left"/>
              <w:rPr>
                <w:noProof/>
              </w:rPr>
            </w:pPr>
            <w:r>
              <w:rPr>
                <w:noProof/>
              </w:rPr>
              <w:t>28</w:t>
            </w:r>
          </w:p>
        </w:tc>
        <w:tc>
          <w:tcPr>
            <w:tcW w:w="1671" w:type="dxa"/>
            <w:gridSpan w:val="2"/>
          </w:tcPr>
          <w:p>
            <w:pPr>
              <w:jc w:val="left"/>
              <w:rPr>
                <w:noProof/>
              </w:rPr>
            </w:pPr>
            <w:r>
              <w:rPr>
                <w:noProof/>
              </w:rPr>
              <w:t>I</w:t>
            </w:r>
          </w:p>
        </w:tc>
      </w:tr>
      <w:tr>
        <w:trPr>
          <w:gridAfter w:val="1"/>
          <w:wAfter w:w="36" w:type="dxa"/>
        </w:trPr>
        <w:tc>
          <w:tcPr>
            <w:tcW w:w="7615" w:type="dxa"/>
            <w:gridSpan w:val="8"/>
          </w:tcPr>
          <w:p>
            <w:pPr>
              <w:jc w:val="left"/>
              <w:rPr>
                <w:noProof/>
              </w:rPr>
            </w:pPr>
            <w:r>
              <w:rPr>
                <w:i/>
                <w:noProof/>
              </w:rPr>
              <w:t>2 + 2 essieux</w:t>
            </w:r>
          </w:p>
        </w:tc>
        <w:tc>
          <w:tcPr>
            <w:tcW w:w="1671" w:type="dxa"/>
            <w:gridSpan w:val="2"/>
          </w:tcPr>
          <w:p>
            <w:pPr>
              <w:jc w:val="left"/>
              <w:rPr>
                <w:noProof/>
              </w:rPr>
            </w:pPr>
          </w:p>
        </w:tc>
      </w:tr>
      <w:tr>
        <w:trPr>
          <w:gridAfter w:val="1"/>
          <w:wAfter w:w="36" w:type="dxa"/>
        </w:trPr>
        <w:tc>
          <w:tcPr>
            <w:tcW w:w="1857" w:type="dxa"/>
            <w:gridSpan w:val="2"/>
          </w:tcPr>
          <w:p>
            <w:pPr>
              <w:jc w:val="left"/>
              <w:rPr>
                <w:noProof/>
              </w:rPr>
            </w:pPr>
            <w:r>
              <w:rPr>
                <w:noProof/>
              </w:rPr>
              <w:t>23</w:t>
            </w:r>
          </w:p>
          <w:p>
            <w:pPr>
              <w:jc w:val="left"/>
              <w:rPr>
                <w:noProof/>
              </w:rPr>
            </w:pPr>
            <w:r>
              <w:rPr>
                <w:noProof/>
              </w:rPr>
              <w:t>25</w:t>
            </w:r>
          </w:p>
          <w:p>
            <w:pPr>
              <w:jc w:val="left"/>
              <w:rPr>
                <w:noProof/>
              </w:rPr>
            </w:pPr>
            <w:r>
              <w:rPr>
                <w:noProof/>
              </w:rPr>
              <w:t>26</w:t>
            </w:r>
          </w:p>
          <w:p>
            <w:pPr>
              <w:jc w:val="left"/>
              <w:rPr>
                <w:noProof/>
              </w:rPr>
            </w:pPr>
            <w:r>
              <w:rPr>
                <w:noProof/>
              </w:rPr>
              <w:t>28</w:t>
            </w:r>
          </w:p>
        </w:tc>
        <w:tc>
          <w:tcPr>
            <w:tcW w:w="1950" w:type="dxa"/>
            <w:gridSpan w:val="2"/>
          </w:tcPr>
          <w:p>
            <w:pPr>
              <w:jc w:val="left"/>
              <w:rPr>
                <w:noProof/>
              </w:rPr>
            </w:pPr>
            <w:r>
              <w:rPr>
                <w:noProof/>
              </w:rPr>
              <w:t>25</w:t>
            </w:r>
          </w:p>
          <w:p>
            <w:pPr>
              <w:jc w:val="left"/>
              <w:rPr>
                <w:noProof/>
              </w:rPr>
            </w:pPr>
            <w:r>
              <w:rPr>
                <w:noProof/>
              </w:rPr>
              <w:t>26</w:t>
            </w:r>
          </w:p>
          <w:p>
            <w:pPr>
              <w:jc w:val="left"/>
              <w:rPr>
                <w:noProof/>
              </w:rPr>
            </w:pPr>
            <w:r>
              <w:rPr>
                <w:noProof/>
              </w:rPr>
              <w:t>28</w:t>
            </w:r>
          </w:p>
          <w:p>
            <w:pPr>
              <w:jc w:val="left"/>
              <w:rPr>
                <w:noProof/>
              </w:rPr>
            </w:pPr>
            <w:r>
              <w:rPr>
                <w:noProof/>
              </w:rPr>
              <w:t>29</w:t>
            </w:r>
          </w:p>
        </w:tc>
        <w:tc>
          <w:tcPr>
            <w:tcW w:w="1857" w:type="dxa"/>
            <w:gridSpan w:val="3"/>
          </w:tcPr>
          <w:p>
            <w:pPr>
              <w:jc w:val="left"/>
              <w:rPr>
                <w:noProof/>
              </w:rPr>
            </w:pPr>
            <w:r>
              <w:rPr>
                <w:noProof/>
              </w:rPr>
              <w:t>23</w:t>
            </w:r>
          </w:p>
          <w:p>
            <w:pPr>
              <w:jc w:val="left"/>
              <w:rPr>
                <w:noProof/>
              </w:rPr>
            </w:pPr>
            <w:r>
              <w:rPr>
                <w:noProof/>
              </w:rPr>
              <w:t>25</w:t>
            </w:r>
          </w:p>
          <w:p>
            <w:pPr>
              <w:jc w:val="left"/>
              <w:rPr>
                <w:noProof/>
              </w:rPr>
            </w:pPr>
            <w:r>
              <w:rPr>
                <w:noProof/>
              </w:rPr>
              <w:t>26</w:t>
            </w:r>
          </w:p>
          <w:p>
            <w:pPr>
              <w:jc w:val="left"/>
              <w:rPr>
                <w:noProof/>
              </w:rPr>
            </w:pPr>
            <w:r>
              <w:rPr>
                <w:noProof/>
              </w:rPr>
              <w:t>28</w:t>
            </w:r>
          </w:p>
        </w:tc>
        <w:tc>
          <w:tcPr>
            <w:tcW w:w="1951" w:type="dxa"/>
          </w:tcPr>
          <w:p>
            <w:pPr>
              <w:jc w:val="left"/>
              <w:rPr>
                <w:noProof/>
              </w:rPr>
            </w:pPr>
            <w:r>
              <w:rPr>
                <w:noProof/>
              </w:rPr>
              <w:t>25</w:t>
            </w:r>
          </w:p>
          <w:p>
            <w:pPr>
              <w:jc w:val="left"/>
              <w:rPr>
                <w:noProof/>
              </w:rPr>
            </w:pPr>
            <w:r>
              <w:rPr>
                <w:noProof/>
              </w:rPr>
              <w:t>26</w:t>
            </w:r>
          </w:p>
          <w:p>
            <w:pPr>
              <w:jc w:val="left"/>
              <w:rPr>
                <w:noProof/>
              </w:rPr>
            </w:pPr>
            <w:r>
              <w:rPr>
                <w:noProof/>
              </w:rPr>
              <w:t>28</w:t>
            </w:r>
          </w:p>
          <w:p>
            <w:pPr>
              <w:jc w:val="left"/>
              <w:rPr>
                <w:noProof/>
              </w:rPr>
            </w:pPr>
            <w:r>
              <w:rPr>
                <w:noProof/>
              </w:rPr>
              <w:t>29</w:t>
            </w:r>
          </w:p>
        </w:tc>
        <w:tc>
          <w:tcPr>
            <w:tcW w:w="1671" w:type="dxa"/>
            <w:gridSpan w:val="2"/>
          </w:tcPr>
          <w:p>
            <w:pPr>
              <w:jc w:val="left"/>
              <w:rPr>
                <w:noProof/>
              </w:rPr>
            </w:pPr>
          </w:p>
        </w:tc>
      </w:tr>
      <w:tr>
        <w:trPr>
          <w:gridAfter w:val="1"/>
          <w:wAfter w:w="36" w:type="dxa"/>
        </w:trPr>
        <w:tc>
          <w:tcPr>
            <w:tcW w:w="1857" w:type="dxa"/>
            <w:gridSpan w:val="2"/>
          </w:tcPr>
          <w:p>
            <w:pPr>
              <w:jc w:val="left"/>
              <w:rPr>
                <w:noProof/>
              </w:rPr>
            </w:pPr>
            <w:r>
              <w:rPr>
                <w:noProof/>
              </w:rPr>
              <w:t>29</w:t>
            </w:r>
          </w:p>
        </w:tc>
        <w:tc>
          <w:tcPr>
            <w:tcW w:w="1950" w:type="dxa"/>
            <w:gridSpan w:val="2"/>
          </w:tcPr>
          <w:p>
            <w:pPr>
              <w:jc w:val="left"/>
              <w:rPr>
                <w:noProof/>
              </w:rPr>
            </w:pPr>
            <w:r>
              <w:rPr>
                <w:noProof/>
              </w:rPr>
              <w:t>31</w:t>
            </w:r>
          </w:p>
        </w:tc>
        <w:tc>
          <w:tcPr>
            <w:tcW w:w="1857" w:type="dxa"/>
            <w:gridSpan w:val="3"/>
          </w:tcPr>
          <w:p>
            <w:pPr>
              <w:jc w:val="left"/>
              <w:rPr>
                <w:noProof/>
              </w:rPr>
            </w:pPr>
            <w:r>
              <w:rPr>
                <w:noProof/>
              </w:rPr>
              <w:t>29</w:t>
            </w:r>
          </w:p>
        </w:tc>
        <w:tc>
          <w:tcPr>
            <w:tcW w:w="1951" w:type="dxa"/>
          </w:tcPr>
          <w:p>
            <w:pPr>
              <w:jc w:val="left"/>
              <w:rPr>
                <w:noProof/>
              </w:rPr>
            </w:pPr>
            <w:r>
              <w:rPr>
                <w:noProof/>
              </w:rPr>
              <w:t>31</w:t>
            </w:r>
          </w:p>
        </w:tc>
        <w:tc>
          <w:tcPr>
            <w:tcW w:w="1671" w:type="dxa"/>
            <w:gridSpan w:val="2"/>
          </w:tcPr>
          <w:p>
            <w:pPr>
              <w:jc w:val="left"/>
              <w:rPr>
                <w:noProof/>
              </w:rPr>
            </w:pPr>
            <w:r>
              <w:rPr>
                <w:noProof/>
              </w:rPr>
              <w:t>II</w:t>
            </w:r>
          </w:p>
        </w:tc>
      </w:tr>
      <w:tr>
        <w:trPr>
          <w:gridAfter w:val="1"/>
          <w:wAfter w:w="36" w:type="dxa"/>
        </w:trPr>
        <w:tc>
          <w:tcPr>
            <w:tcW w:w="1857" w:type="dxa"/>
            <w:gridSpan w:val="2"/>
          </w:tcPr>
          <w:p>
            <w:pPr>
              <w:jc w:val="left"/>
              <w:rPr>
                <w:noProof/>
              </w:rPr>
            </w:pPr>
            <w:r>
              <w:rPr>
                <w:noProof/>
              </w:rPr>
              <w:t>31</w:t>
            </w:r>
          </w:p>
        </w:tc>
        <w:tc>
          <w:tcPr>
            <w:tcW w:w="1950" w:type="dxa"/>
            <w:gridSpan w:val="2"/>
          </w:tcPr>
          <w:p>
            <w:pPr>
              <w:jc w:val="left"/>
              <w:rPr>
                <w:noProof/>
              </w:rPr>
            </w:pPr>
            <w:r>
              <w:rPr>
                <w:noProof/>
              </w:rPr>
              <w:t>33</w:t>
            </w:r>
          </w:p>
        </w:tc>
        <w:tc>
          <w:tcPr>
            <w:tcW w:w="1857" w:type="dxa"/>
            <w:gridSpan w:val="3"/>
          </w:tcPr>
          <w:p>
            <w:pPr>
              <w:jc w:val="left"/>
              <w:rPr>
                <w:noProof/>
              </w:rPr>
            </w:pPr>
            <w:r>
              <w:rPr>
                <w:noProof/>
              </w:rPr>
              <w:t>31</w:t>
            </w:r>
          </w:p>
        </w:tc>
        <w:tc>
          <w:tcPr>
            <w:tcW w:w="1951" w:type="dxa"/>
          </w:tcPr>
          <w:p>
            <w:pPr>
              <w:jc w:val="left"/>
              <w:rPr>
                <w:noProof/>
              </w:rPr>
            </w:pPr>
            <w:r>
              <w:rPr>
                <w:noProof/>
              </w:rPr>
              <w:t>33</w:t>
            </w:r>
          </w:p>
        </w:tc>
        <w:tc>
          <w:tcPr>
            <w:tcW w:w="1671" w:type="dxa"/>
            <w:gridSpan w:val="2"/>
          </w:tcPr>
          <w:p>
            <w:pPr>
              <w:jc w:val="left"/>
              <w:rPr>
                <w:noProof/>
              </w:rPr>
            </w:pPr>
          </w:p>
        </w:tc>
      </w:tr>
      <w:tr>
        <w:trPr>
          <w:gridAfter w:val="1"/>
          <w:wAfter w:w="36" w:type="dxa"/>
        </w:trPr>
        <w:tc>
          <w:tcPr>
            <w:tcW w:w="1857" w:type="dxa"/>
            <w:gridSpan w:val="2"/>
          </w:tcPr>
          <w:p>
            <w:pPr>
              <w:jc w:val="left"/>
              <w:rPr>
                <w:noProof/>
              </w:rPr>
            </w:pPr>
            <w:r>
              <w:rPr>
                <w:noProof/>
              </w:rPr>
              <w:t>33</w:t>
            </w:r>
          </w:p>
          <w:p>
            <w:pPr>
              <w:jc w:val="left"/>
              <w:rPr>
                <w:noProof/>
              </w:rPr>
            </w:pPr>
            <w:r>
              <w:rPr>
                <w:noProof/>
              </w:rPr>
              <w:lastRenderedPageBreak/>
              <w:t>36</w:t>
            </w:r>
          </w:p>
        </w:tc>
        <w:tc>
          <w:tcPr>
            <w:tcW w:w="1950" w:type="dxa"/>
            <w:gridSpan w:val="2"/>
          </w:tcPr>
          <w:p>
            <w:pPr>
              <w:jc w:val="left"/>
              <w:rPr>
                <w:noProof/>
              </w:rPr>
            </w:pPr>
            <w:r>
              <w:rPr>
                <w:noProof/>
              </w:rPr>
              <w:lastRenderedPageBreak/>
              <w:t>36</w:t>
            </w:r>
          </w:p>
          <w:p>
            <w:pPr>
              <w:jc w:val="left"/>
              <w:rPr>
                <w:noProof/>
              </w:rPr>
            </w:pPr>
            <w:r>
              <w:rPr>
                <w:noProof/>
              </w:rPr>
              <w:lastRenderedPageBreak/>
              <w:t>38</w:t>
            </w:r>
          </w:p>
        </w:tc>
        <w:tc>
          <w:tcPr>
            <w:tcW w:w="1857" w:type="dxa"/>
            <w:gridSpan w:val="3"/>
          </w:tcPr>
          <w:p>
            <w:pPr>
              <w:jc w:val="left"/>
              <w:rPr>
                <w:noProof/>
              </w:rPr>
            </w:pPr>
            <w:r>
              <w:rPr>
                <w:noProof/>
              </w:rPr>
              <w:lastRenderedPageBreak/>
              <w:t>33</w:t>
            </w:r>
          </w:p>
        </w:tc>
        <w:tc>
          <w:tcPr>
            <w:tcW w:w="1951" w:type="dxa"/>
          </w:tcPr>
          <w:p>
            <w:pPr>
              <w:jc w:val="left"/>
              <w:rPr>
                <w:noProof/>
              </w:rPr>
            </w:pPr>
            <w:r>
              <w:rPr>
                <w:noProof/>
              </w:rPr>
              <w:t>36</w:t>
            </w:r>
          </w:p>
        </w:tc>
        <w:tc>
          <w:tcPr>
            <w:tcW w:w="1671" w:type="dxa"/>
            <w:gridSpan w:val="2"/>
          </w:tcPr>
          <w:p>
            <w:pPr>
              <w:jc w:val="left"/>
              <w:rPr>
                <w:noProof/>
              </w:rPr>
            </w:pPr>
            <w:r>
              <w:rPr>
                <w:noProof/>
              </w:rPr>
              <w:t>III</w:t>
            </w:r>
          </w:p>
        </w:tc>
      </w:tr>
      <w:tr>
        <w:trPr>
          <w:gridAfter w:val="1"/>
          <w:wAfter w:w="36" w:type="dxa"/>
        </w:trPr>
        <w:tc>
          <w:tcPr>
            <w:tcW w:w="7615" w:type="dxa"/>
            <w:gridSpan w:val="8"/>
          </w:tcPr>
          <w:p>
            <w:pPr>
              <w:jc w:val="left"/>
              <w:rPr>
                <w:noProof/>
              </w:rPr>
            </w:pPr>
            <w:r>
              <w:rPr>
                <w:i/>
                <w:noProof/>
              </w:rPr>
              <w:lastRenderedPageBreak/>
              <w:t>2 + 3 essieux</w:t>
            </w:r>
          </w:p>
        </w:tc>
        <w:tc>
          <w:tcPr>
            <w:tcW w:w="1671" w:type="dxa"/>
            <w:gridSpan w:val="2"/>
          </w:tcPr>
          <w:p>
            <w:pPr>
              <w:jc w:val="left"/>
              <w:rPr>
                <w:noProof/>
              </w:rPr>
            </w:pPr>
            <w:r>
              <w:rPr>
                <w:noProof/>
              </w:rPr>
              <w:t>II</w:t>
            </w:r>
          </w:p>
        </w:tc>
      </w:tr>
      <w:tr>
        <w:trPr>
          <w:gridAfter w:val="1"/>
          <w:wAfter w:w="36" w:type="dxa"/>
        </w:trPr>
        <w:tc>
          <w:tcPr>
            <w:tcW w:w="1857" w:type="dxa"/>
            <w:gridSpan w:val="2"/>
          </w:tcPr>
          <w:p>
            <w:pPr>
              <w:jc w:val="left"/>
              <w:rPr>
                <w:noProof/>
              </w:rPr>
            </w:pPr>
            <w:r>
              <w:rPr>
                <w:noProof/>
              </w:rPr>
              <w:t>36</w:t>
            </w:r>
          </w:p>
          <w:p>
            <w:pPr>
              <w:jc w:val="left"/>
              <w:rPr>
                <w:noProof/>
              </w:rPr>
            </w:pPr>
            <w:r>
              <w:rPr>
                <w:noProof/>
              </w:rPr>
              <w:t>38</w:t>
            </w:r>
          </w:p>
        </w:tc>
        <w:tc>
          <w:tcPr>
            <w:tcW w:w="1950" w:type="dxa"/>
            <w:gridSpan w:val="2"/>
          </w:tcPr>
          <w:p>
            <w:pPr>
              <w:jc w:val="left"/>
              <w:rPr>
                <w:noProof/>
              </w:rPr>
            </w:pPr>
            <w:r>
              <w:rPr>
                <w:noProof/>
              </w:rPr>
              <w:t>38</w:t>
            </w:r>
          </w:p>
          <w:p>
            <w:pPr>
              <w:jc w:val="left"/>
              <w:rPr>
                <w:noProof/>
              </w:rPr>
            </w:pPr>
            <w:r>
              <w:rPr>
                <w:noProof/>
              </w:rPr>
              <w:t>40</w:t>
            </w:r>
          </w:p>
        </w:tc>
        <w:tc>
          <w:tcPr>
            <w:tcW w:w="1857" w:type="dxa"/>
            <w:gridSpan w:val="3"/>
          </w:tcPr>
          <w:p>
            <w:pPr>
              <w:jc w:val="left"/>
              <w:rPr>
                <w:noProof/>
              </w:rPr>
            </w:pPr>
            <w:r>
              <w:rPr>
                <w:noProof/>
              </w:rPr>
              <w:t>36</w:t>
            </w:r>
          </w:p>
        </w:tc>
        <w:tc>
          <w:tcPr>
            <w:tcW w:w="1951" w:type="dxa"/>
          </w:tcPr>
          <w:p>
            <w:pPr>
              <w:jc w:val="left"/>
              <w:rPr>
                <w:noProof/>
              </w:rPr>
            </w:pPr>
            <w:r>
              <w:rPr>
                <w:noProof/>
              </w:rPr>
              <w:t>38</w:t>
            </w:r>
          </w:p>
        </w:tc>
        <w:tc>
          <w:tcPr>
            <w:tcW w:w="1671" w:type="dxa"/>
            <w:gridSpan w:val="2"/>
          </w:tcPr>
          <w:p>
            <w:pPr>
              <w:jc w:val="left"/>
              <w:rPr>
                <w:noProof/>
              </w:rPr>
            </w:pPr>
          </w:p>
        </w:tc>
      </w:tr>
      <w:tr>
        <w:trPr>
          <w:gridAfter w:val="1"/>
          <w:wAfter w:w="36" w:type="dxa"/>
        </w:trPr>
        <w:tc>
          <w:tcPr>
            <w:tcW w:w="1857" w:type="dxa"/>
            <w:gridSpan w:val="2"/>
          </w:tcPr>
          <w:p>
            <w:pPr>
              <w:adjustRightInd w:val="0"/>
              <w:spacing w:before="0" w:after="0"/>
              <w:jc w:val="left"/>
              <w:rPr>
                <w:noProof/>
              </w:rPr>
            </w:pPr>
          </w:p>
        </w:tc>
        <w:tc>
          <w:tcPr>
            <w:tcW w:w="1950" w:type="dxa"/>
            <w:gridSpan w:val="2"/>
          </w:tcPr>
          <w:p>
            <w:pPr>
              <w:adjustRightInd w:val="0"/>
              <w:spacing w:before="0" w:after="0"/>
              <w:jc w:val="left"/>
              <w:rPr>
                <w:noProof/>
              </w:rPr>
            </w:pPr>
          </w:p>
        </w:tc>
        <w:tc>
          <w:tcPr>
            <w:tcW w:w="1857" w:type="dxa"/>
            <w:gridSpan w:val="3"/>
          </w:tcPr>
          <w:p>
            <w:pPr>
              <w:jc w:val="left"/>
              <w:rPr>
                <w:noProof/>
              </w:rPr>
            </w:pPr>
            <w:r>
              <w:rPr>
                <w:noProof/>
              </w:rPr>
              <w:t>38</w:t>
            </w:r>
          </w:p>
        </w:tc>
        <w:tc>
          <w:tcPr>
            <w:tcW w:w="1951" w:type="dxa"/>
          </w:tcPr>
          <w:p>
            <w:pPr>
              <w:jc w:val="left"/>
              <w:rPr>
                <w:noProof/>
              </w:rPr>
            </w:pPr>
            <w:r>
              <w:rPr>
                <w:noProof/>
              </w:rPr>
              <w:t>40</w:t>
            </w:r>
          </w:p>
        </w:tc>
        <w:tc>
          <w:tcPr>
            <w:tcW w:w="1671" w:type="dxa"/>
            <w:gridSpan w:val="2"/>
          </w:tcPr>
          <w:p>
            <w:pPr>
              <w:jc w:val="left"/>
              <w:rPr>
                <w:noProof/>
              </w:rPr>
            </w:pPr>
            <w:r>
              <w:rPr>
                <w:noProof/>
              </w:rPr>
              <w:t>III</w:t>
            </w:r>
          </w:p>
        </w:tc>
      </w:tr>
      <w:tr>
        <w:trPr>
          <w:gridAfter w:val="1"/>
          <w:wAfter w:w="36" w:type="dxa"/>
        </w:trPr>
        <w:tc>
          <w:tcPr>
            <w:tcW w:w="7615" w:type="dxa"/>
            <w:gridSpan w:val="8"/>
          </w:tcPr>
          <w:p>
            <w:pPr>
              <w:jc w:val="left"/>
              <w:rPr>
                <w:noProof/>
              </w:rPr>
            </w:pPr>
            <w:r>
              <w:rPr>
                <w:i/>
                <w:noProof/>
              </w:rPr>
              <w:t>3 + 2 essieux</w:t>
            </w:r>
          </w:p>
        </w:tc>
        <w:tc>
          <w:tcPr>
            <w:tcW w:w="1671" w:type="dxa"/>
            <w:gridSpan w:val="2"/>
          </w:tcPr>
          <w:p>
            <w:pPr>
              <w:jc w:val="left"/>
              <w:rPr>
                <w:noProof/>
              </w:rPr>
            </w:pPr>
            <w:r>
              <w:rPr>
                <w:noProof/>
              </w:rPr>
              <w:t>II</w:t>
            </w:r>
          </w:p>
        </w:tc>
      </w:tr>
      <w:tr>
        <w:trPr>
          <w:gridAfter w:val="1"/>
          <w:wAfter w:w="36" w:type="dxa"/>
        </w:trPr>
        <w:tc>
          <w:tcPr>
            <w:tcW w:w="1857" w:type="dxa"/>
            <w:gridSpan w:val="2"/>
          </w:tcPr>
          <w:p>
            <w:pPr>
              <w:jc w:val="left"/>
              <w:rPr>
                <w:noProof/>
              </w:rPr>
            </w:pPr>
            <w:r>
              <w:rPr>
                <w:noProof/>
              </w:rPr>
              <w:t>36</w:t>
            </w:r>
          </w:p>
          <w:p>
            <w:pPr>
              <w:jc w:val="left"/>
              <w:rPr>
                <w:noProof/>
              </w:rPr>
            </w:pPr>
            <w:r>
              <w:rPr>
                <w:noProof/>
              </w:rPr>
              <w:t>38</w:t>
            </w:r>
          </w:p>
        </w:tc>
        <w:tc>
          <w:tcPr>
            <w:tcW w:w="1950" w:type="dxa"/>
            <w:gridSpan w:val="2"/>
          </w:tcPr>
          <w:p>
            <w:pPr>
              <w:jc w:val="left"/>
              <w:rPr>
                <w:noProof/>
              </w:rPr>
            </w:pPr>
            <w:r>
              <w:rPr>
                <w:noProof/>
              </w:rPr>
              <w:t>38</w:t>
            </w:r>
          </w:p>
          <w:p>
            <w:pPr>
              <w:jc w:val="left"/>
              <w:rPr>
                <w:noProof/>
              </w:rPr>
            </w:pPr>
            <w:r>
              <w:rPr>
                <w:noProof/>
              </w:rPr>
              <w:t>40</w:t>
            </w:r>
          </w:p>
        </w:tc>
        <w:tc>
          <w:tcPr>
            <w:tcW w:w="1857" w:type="dxa"/>
            <w:gridSpan w:val="3"/>
          </w:tcPr>
          <w:p>
            <w:pPr>
              <w:jc w:val="left"/>
              <w:rPr>
                <w:noProof/>
              </w:rPr>
            </w:pPr>
            <w:r>
              <w:rPr>
                <w:noProof/>
              </w:rPr>
              <w:t>36</w:t>
            </w:r>
          </w:p>
        </w:tc>
        <w:tc>
          <w:tcPr>
            <w:tcW w:w="1951" w:type="dxa"/>
          </w:tcPr>
          <w:p>
            <w:pPr>
              <w:jc w:val="left"/>
              <w:rPr>
                <w:noProof/>
              </w:rPr>
            </w:pPr>
            <w:r>
              <w:rPr>
                <w:noProof/>
              </w:rPr>
              <w:t>38</w:t>
            </w:r>
          </w:p>
        </w:tc>
        <w:tc>
          <w:tcPr>
            <w:tcW w:w="1671" w:type="dxa"/>
            <w:gridSpan w:val="2"/>
          </w:tcPr>
          <w:p>
            <w:pPr>
              <w:jc w:val="left"/>
              <w:rPr>
                <w:noProof/>
              </w:rPr>
            </w:pPr>
          </w:p>
        </w:tc>
      </w:tr>
      <w:tr>
        <w:trPr>
          <w:gridAfter w:val="1"/>
          <w:wAfter w:w="36" w:type="dxa"/>
        </w:trPr>
        <w:tc>
          <w:tcPr>
            <w:tcW w:w="1857" w:type="dxa"/>
            <w:gridSpan w:val="2"/>
          </w:tcPr>
          <w:p>
            <w:pPr>
              <w:adjustRightInd w:val="0"/>
              <w:spacing w:before="0" w:after="0"/>
              <w:jc w:val="left"/>
              <w:rPr>
                <w:noProof/>
              </w:rPr>
            </w:pPr>
          </w:p>
        </w:tc>
        <w:tc>
          <w:tcPr>
            <w:tcW w:w="1950" w:type="dxa"/>
            <w:gridSpan w:val="2"/>
          </w:tcPr>
          <w:p>
            <w:pPr>
              <w:adjustRightInd w:val="0"/>
              <w:spacing w:before="0" w:after="0"/>
              <w:jc w:val="left"/>
              <w:rPr>
                <w:noProof/>
              </w:rPr>
            </w:pPr>
          </w:p>
        </w:tc>
        <w:tc>
          <w:tcPr>
            <w:tcW w:w="1857" w:type="dxa"/>
            <w:gridSpan w:val="3"/>
          </w:tcPr>
          <w:p>
            <w:pPr>
              <w:jc w:val="left"/>
              <w:rPr>
                <w:noProof/>
              </w:rPr>
            </w:pPr>
            <w:r>
              <w:rPr>
                <w:noProof/>
              </w:rPr>
              <w:t>38</w:t>
            </w:r>
          </w:p>
          <w:p>
            <w:pPr>
              <w:jc w:val="left"/>
              <w:rPr>
                <w:noProof/>
              </w:rPr>
            </w:pPr>
            <w:r>
              <w:rPr>
                <w:noProof/>
              </w:rPr>
              <w:t>40</w:t>
            </w:r>
          </w:p>
        </w:tc>
        <w:tc>
          <w:tcPr>
            <w:tcW w:w="1951" w:type="dxa"/>
          </w:tcPr>
          <w:p>
            <w:pPr>
              <w:jc w:val="left"/>
              <w:rPr>
                <w:noProof/>
              </w:rPr>
            </w:pPr>
            <w:r>
              <w:rPr>
                <w:noProof/>
              </w:rPr>
              <w:t>40</w:t>
            </w:r>
          </w:p>
          <w:p>
            <w:pPr>
              <w:jc w:val="left"/>
              <w:rPr>
                <w:noProof/>
              </w:rPr>
            </w:pPr>
            <w:r>
              <w:rPr>
                <w:noProof/>
              </w:rPr>
              <w:t>44</w:t>
            </w:r>
          </w:p>
        </w:tc>
        <w:tc>
          <w:tcPr>
            <w:tcW w:w="1671" w:type="dxa"/>
            <w:gridSpan w:val="2"/>
          </w:tcPr>
          <w:p>
            <w:pPr>
              <w:jc w:val="left"/>
              <w:rPr>
                <w:noProof/>
              </w:rPr>
            </w:pPr>
            <w:r>
              <w:rPr>
                <w:noProof/>
              </w:rPr>
              <w:t>III</w:t>
            </w:r>
          </w:p>
        </w:tc>
      </w:tr>
      <w:tr>
        <w:trPr>
          <w:gridAfter w:val="1"/>
          <w:wAfter w:w="36" w:type="dxa"/>
        </w:trPr>
        <w:tc>
          <w:tcPr>
            <w:tcW w:w="1857" w:type="dxa"/>
            <w:gridSpan w:val="2"/>
          </w:tcPr>
          <w:p>
            <w:pPr>
              <w:jc w:val="left"/>
              <w:rPr>
                <w:noProof/>
              </w:rPr>
            </w:pPr>
            <w:r>
              <w:rPr>
                <w:noProof/>
              </w:rPr>
              <w:t>40</w:t>
            </w:r>
          </w:p>
        </w:tc>
        <w:tc>
          <w:tcPr>
            <w:tcW w:w="1950" w:type="dxa"/>
            <w:gridSpan w:val="2"/>
          </w:tcPr>
          <w:p>
            <w:pPr>
              <w:jc w:val="left"/>
              <w:rPr>
                <w:noProof/>
              </w:rPr>
            </w:pPr>
            <w:r>
              <w:rPr>
                <w:noProof/>
              </w:rPr>
              <w:t>44</w:t>
            </w:r>
          </w:p>
        </w:tc>
        <w:tc>
          <w:tcPr>
            <w:tcW w:w="1857" w:type="dxa"/>
            <w:gridSpan w:val="3"/>
          </w:tcPr>
          <w:p>
            <w:pPr>
              <w:jc w:val="left"/>
              <w:rPr>
                <w:noProof/>
              </w:rPr>
            </w:pPr>
          </w:p>
        </w:tc>
        <w:tc>
          <w:tcPr>
            <w:tcW w:w="1951" w:type="dxa"/>
          </w:tcPr>
          <w:p>
            <w:pPr>
              <w:jc w:val="left"/>
              <w:rPr>
                <w:noProof/>
              </w:rPr>
            </w:pPr>
          </w:p>
        </w:tc>
        <w:tc>
          <w:tcPr>
            <w:tcW w:w="1671" w:type="dxa"/>
            <w:gridSpan w:val="2"/>
          </w:tcPr>
          <w:p>
            <w:pPr>
              <w:jc w:val="left"/>
              <w:rPr>
                <w:noProof/>
              </w:rPr>
            </w:pPr>
          </w:p>
        </w:tc>
      </w:tr>
      <w:tr>
        <w:trPr>
          <w:gridAfter w:val="1"/>
          <w:wAfter w:w="36" w:type="dxa"/>
        </w:trPr>
        <w:tc>
          <w:tcPr>
            <w:tcW w:w="7615" w:type="dxa"/>
            <w:gridSpan w:val="8"/>
          </w:tcPr>
          <w:p>
            <w:pPr>
              <w:jc w:val="left"/>
              <w:rPr>
                <w:noProof/>
              </w:rPr>
            </w:pPr>
            <w:r>
              <w:rPr>
                <w:i/>
                <w:noProof/>
              </w:rPr>
              <w:t>3 + 3 essieux</w:t>
            </w:r>
          </w:p>
        </w:tc>
        <w:tc>
          <w:tcPr>
            <w:tcW w:w="1671" w:type="dxa"/>
            <w:gridSpan w:val="2"/>
          </w:tcPr>
          <w:p>
            <w:pPr>
              <w:jc w:val="left"/>
              <w:rPr>
                <w:noProof/>
              </w:rPr>
            </w:pPr>
          </w:p>
        </w:tc>
      </w:tr>
      <w:tr>
        <w:trPr>
          <w:gridAfter w:val="1"/>
          <w:wAfter w:w="36" w:type="dxa"/>
        </w:trPr>
        <w:tc>
          <w:tcPr>
            <w:tcW w:w="1857" w:type="dxa"/>
            <w:gridSpan w:val="2"/>
          </w:tcPr>
          <w:p>
            <w:pPr>
              <w:jc w:val="left"/>
              <w:rPr>
                <w:noProof/>
              </w:rPr>
            </w:pPr>
            <w:r>
              <w:rPr>
                <w:noProof/>
              </w:rPr>
              <w:t>36</w:t>
            </w:r>
          </w:p>
          <w:p>
            <w:pPr>
              <w:jc w:val="left"/>
              <w:rPr>
                <w:noProof/>
              </w:rPr>
            </w:pPr>
            <w:r>
              <w:rPr>
                <w:noProof/>
              </w:rPr>
              <w:t>38</w:t>
            </w:r>
          </w:p>
        </w:tc>
        <w:tc>
          <w:tcPr>
            <w:tcW w:w="1950" w:type="dxa"/>
            <w:gridSpan w:val="2"/>
          </w:tcPr>
          <w:p>
            <w:pPr>
              <w:jc w:val="left"/>
              <w:rPr>
                <w:noProof/>
              </w:rPr>
            </w:pPr>
            <w:r>
              <w:rPr>
                <w:noProof/>
              </w:rPr>
              <w:t>38</w:t>
            </w:r>
          </w:p>
          <w:p>
            <w:pPr>
              <w:jc w:val="left"/>
              <w:rPr>
                <w:noProof/>
              </w:rPr>
            </w:pPr>
            <w:r>
              <w:rPr>
                <w:noProof/>
              </w:rPr>
              <w:t>40</w:t>
            </w:r>
          </w:p>
        </w:tc>
        <w:tc>
          <w:tcPr>
            <w:tcW w:w="1857" w:type="dxa"/>
            <w:gridSpan w:val="3"/>
          </w:tcPr>
          <w:p>
            <w:pPr>
              <w:jc w:val="left"/>
              <w:rPr>
                <w:noProof/>
              </w:rPr>
            </w:pPr>
            <w:r>
              <w:rPr>
                <w:noProof/>
              </w:rPr>
              <w:t>36</w:t>
            </w:r>
          </w:p>
        </w:tc>
        <w:tc>
          <w:tcPr>
            <w:tcW w:w="1951" w:type="dxa"/>
          </w:tcPr>
          <w:p>
            <w:pPr>
              <w:jc w:val="left"/>
              <w:rPr>
                <w:noProof/>
              </w:rPr>
            </w:pPr>
            <w:r>
              <w:rPr>
                <w:noProof/>
              </w:rPr>
              <w:t>38</w:t>
            </w:r>
          </w:p>
        </w:tc>
        <w:tc>
          <w:tcPr>
            <w:tcW w:w="1671" w:type="dxa"/>
            <w:gridSpan w:val="2"/>
          </w:tcPr>
          <w:p>
            <w:pPr>
              <w:jc w:val="left"/>
              <w:rPr>
                <w:noProof/>
              </w:rPr>
            </w:pPr>
            <w:r>
              <w:rPr>
                <w:noProof/>
              </w:rPr>
              <w:t>I</w:t>
            </w:r>
          </w:p>
        </w:tc>
      </w:tr>
      <w:tr>
        <w:trPr>
          <w:gridAfter w:val="1"/>
          <w:wAfter w:w="36" w:type="dxa"/>
        </w:trPr>
        <w:tc>
          <w:tcPr>
            <w:tcW w:w="1857" w:type="dxa"/>
            <w:gridSpan w:val="2"/>
          </w:tcPr>
          <w:p>
            <w:pPr>
              <w:adjustRightInd w:val="0"/>
              <w:spacing w:before="0" w:after="0"/>
              <w:jc w:val="left"/>
              <w:rPr>
                <w:noProof/>
              </w:rPr>
            </w:pPr>
          </w:p>
        </w:tc>
        <w:tc>
          <w:tcPr>
            <w:tcW w:w="1950" w:type="dxa"/>
            <w:gridSpan w:val="2"/>
          </w:tcPr>
          <w:p>
            <w:pPr>
              <w:adjustRightInd w:val="0"/>
              <w:spacing w:before="0" w:after="0"/>
              <w:jc w:val="left"/>
              <w:rPr>
                <w:noProof/>
              </w:rPr>
            </w:pPr>
          </w:p>
        </w:tc>
        <w:tc>
          <w:tcPr>
            <w:tcW w:w="1857" w:type="dxa"/>
            <w:gridSpan w:val="3"/>
          </w:tcPr>
          <w:p>
            <w:pPr>
              <w:jc w:val="left"/>
              <w:rPr>
                <w:noProof/>
              </w:rPr>
            </w:pPr>
            <w:r>
              <w:rPr>
                <w:noProof/>
              </w:rPr>
              <w:t>38</w:t>
            </w:r>
          </w:p>
        </w:tc>
        <w:tc>
          <w:tcPr>
            <w:tcW w:w="1951" w:type="dxa"/>
          </w:tcPr>
          <w:p>
            <w:pPr>
              <w:jc w:val="left"/>
              <w:rPr>
                <w:noProof/>
              </w:rPr>
            </w:pPr>
            <w:r>
              <w:rPr>
                <w:noProof/>
              </w:rPr>
              <w:t>40</w:t>
            </w:r>
          </w:p>
        </w:tc>
        <w:tc>
          <w:tcPr>
            <w:tcW w:w="1671" w:type="dxa"/>
            <w:gridSpan w:val="2"/>
          </w:tcPr>
          <w:p>
            <w:pPr>
              <w:jc w:val="left"/>
              <w:rPr>
                <w:noProof/>
              </w:rPr>
            </w:pPr>
            <w:r>
              <w:rPr>
                <w:noProof/>
              </w:rPr>
              <w:t>II</w:t>
            </w:r>
          </w:p>
        </w:tc>
      </w:tr>
      <w:tr>
        <w:trPr>
          <w:gridAfter w:val="1"/>
          <w:wAfter w:w="36" w:type="dxa"/>
        </w:trPr>
        <w:tc>
          <w:tcPr>
            <w:tcW w:w="1857" w:type="dxa"/>
            <w:gridSpan w:val="2"/>
          </w:tcPr>
          <w:p>
            <w:pPr>
              <w:jc w:val="left"/>
              <w:rPr>
                <w:noProof/>
              </w:rPr>
            </w:pPr>
            <w:r>
              <w:rPr>
                <w:noProof/>
              </w:rPr>
              <w:t>40</w:t>
            </w:r>
          </w:p>
        </w:tc>
        <w:tc>
          <w:tcPr>
            <w:tcW w:w="1950" w:type="dxa"/>
            <w:gridSpan w:val="2"/>
          </w:tcPr>
          <w:p>
            <w:pPr>
              <w:jc w:val="left"/>
              <w:rPr>
                <w:noProof/>
              </w:rPr>
            </w:pPr>
            <w:r>
              <w:rPr>
                <w:noProof/>
              </w:rPr>
              <w:t>44</w:t>
            </w:r>
          </w:p>
        </w:tc>
        <w:tc>
          <w:tcPr>
            <w:tcW w:w="1857" w:type="dxa"/>
            <w:gridSpan w:val="3"/>
          </w:tcPr>
          <w:p>
            <w:pPr>
              <w:jc w:val="left"/>
              <w:rPr>
                <w:noProof/>
              </w:rPr>
            </w:pPr>
            <w:r>
              <w:rPr>
                <w:noProof/>
              </w:rPr>
              <w:t>40</w:t>
            </w:r>
          </w:p>
        </w:tc>
        <w:tc>
          <w:tcPr>
            <w:tcW w:w="1951" w:type="dxa"/>
          </w:tcPr>
          <w:p>
            <w:pPr>
              <w:jc w:val="left"/>
              <w:rPr>
                <w:noProof/>
              </w:rPr>
            </w:pPr>
            <w:r>
              <w:rPr>
                <w:noProof/>
              </w:rPr>
              <w:t>44</w:t>
            </w:r>
          </w:p>
        </w:tc>
        <w:tc>
          <w:tcPr>
            <w:tcW w:w="1671" w:type="dxa"/>
            <w:gridSpan w:val="2"/>
          </w:tcPr>
          <w:p>
            <w:pPr>
              <w:jc w:val="left"/>
              <w:rPr>
                <w:noProof/>
              </w:rPr>
            </w:pPr>
          </w:p>
        </w:tc>
      </w:tr>
      <w:tr>
        <w:tblPrEx>
          <w:tblLook w:val="04A0" w:firstRow="1" w:lastRow="0" w:firstColumn="1" w:lastColumn="0" w:noHBand="0" w:noVBand="1"/>
        </w:tblPrEx>
        <w:tc>
          <w:tcPr>
            <w:tcW w:w="9322" w:type="dxa"/>
            <w:gridSpan w:val="11"/>
          </w:tcPr>
          <w:p>
            <w:pPr>
              <w:spacing w:before="100" w:beforeAutospacing="1" w:after="100" w:afterAutospacing="1"/>
              <w:rPr>
                <w:i/>
                <w:noProof/>
              </w:rPr>
            </w:pPr>
            <w:r>
              <w:rPr>
                <w:i/>
                <w:noProof/>
              </w:rPr>
              <w:t>7 essieux</w:t>
            </w:r>
          </w:p>
        </w:tc>
      </w:tr>
      <w:tr>
        <w:tblPrEx>
          <w:tblLook w:val="04A0" w:firstRow="1" w:lastRow="0" w:firstColumn="1" w:lastColumn="0" w:noHBand="0" w:noVBand="1"/>
        </w:tblPrEx>
        <w:tc>
          <w:tcPr>
            <w:tcW w:w="1809" w:type="dxa"/>
            <w:tcBorders>
              <w:bottom w:val="single" w:sz="4" w:space="0" w:color="auto"/>
            </w:tcBorders>
          </w:tcPr>
          <w:p>
            <w:pPr>
              <w:spacing w:before="100" w:beforeAutospacing="1" w:after="100" w:afterAutospacing="1"/>
              <w:rPr>
                <w:noProof/>
              </w:rPr>
            </w:pPr>
            <w:r>
              <w:rPr>
                <w:noProof/>
              </w:rPr>
              <w:t>40</w:t>
            </w:r>
          </w:p>
        </w:tc>
        <w:tc>
          <w:tcPr>
            <w:tcW w:w="1985" w:type="dxa"/>
            <w:gridSpan w:val="2"/>
            <w:tcBorders>
              <w:bottom w:val="single" w:sz="4" w:space="0" w:color="auto"/>
            </w:tcBorders>
          </w:tcPr>
          <w:p>
            <w:pPr>
              <w:spacing w:before="100" w:beforeAutospacing="1" w:after="100" w:afterAutospacing="1"/>
              <w:rPr>
                <w:noProof/>
              </w:rPr>
            </w:pPr>
            <w:r>
              <w:rPr>
                <w:noProof/>
              </w:rPr>
              <w:t>50</w:t>
            </w:r>
          </w:p>
        </w:tc>
        <w:tc>
          <w:tcPr>
            <w:tcW w:w="1843" w:type="dxa"/>
            <w:gridSpan w:val="3"/>
            <w:tcBorders>
              <w:bottom w:val="single" w:sz="4" w:space="0" w:color="auto"/>
            </w:tcBorders>
          </w:tcPr>
          <w:p>
            <w:pPr>
              <w:spacing w:before="100" w:beforeAutospacing="1" w:after="100" w:afterAutospacing="1"/>
              <w:rPr>
                <w:noProof/>
              </w:rPr>
            </w:pPr>
            <w:r>
              <w:rPr>
                <w:noProof/>
              </w:rPr>
              <w:t>40</w:t>
            </w:r>
          </w:p>
        </w:tc>
        <w:tc>
          <w:tcPr>
            <w:tcW w:w="1984" w:type="dxa"/>
            <w:gridSpan w:val="3"/>
            <w:tcBorders>
              <w:bottom w:val="single" w:sz="4" w:space="0" w:color="auto"/>
            </w:tcBorders>
          </w:tcPr>
          <w:p>
            <w:pPr>
              <w:spacing w:before="100" w:beforeAutospacing="1" w:after="100" w:afterAutospacing="1"/>
              <w:rPr>
                <w:noProof/>
              </w:rPr>
            </w:pPr>
            <w:r>
              <w:rPr>
                <w:noProof/>
              </w:rPr>
              <w:t>50</w:t>
            </w:r>
          </w:p>
        </w:tc>
        <w:tc>
          <w:tcPr>
            <w:tcW w:w="1701" w:type="dxa"/>
            <w:gridSpan w:val="2"/>
            <w:tcBorders>
              <w:bottom w:val="single" w:sz="4" w:space="0" w:color="auto"/>
            </w:tcBorders>
          </w:tcPr>
          <w:p>
            <w:pPr>
              <w:spacing w:before="100" w:beforeAutospacing="1" w:after="100" w:afterAutospacing="1"/>
              <w:rPr>
                <w:noProof/>
              </w:rPr>
            </w:pPr>
            <w:r>
              <w:rPr>
                <w:noProof/>
              </w:rPr>
              <w:t>II</w:t>
            </w:r>
          </w:p>
        </w:tc>
      </w:tr>
      <w:tr>
        <w:tblPrEx>
          <w:tblLook w:val="04A0" w:firstRow="1" w:lastRow="0" w:firstColumn="1" w:lastColumn="0" w:noHBand="0" w:noVBand="1"/>
        </w:tblPrEx>
        <w:tc>
          <w:tcPr>
            <w:tcW w:w="1809" w:type="dxa"/>
            <w:tcBorders>
              <w:top w:val="single" w:sz="4" w:space="0" w:color="auto"/>
              <w:left w:val="single" w:sz="4" w:space="0" w:color="auto"/>
              <w:bottom w:val="nil"/>
              <w:right w:val="single" w:sz="4" w:space="0" w:color="auto"/>
            </w:tcBorders>
          </w:tcPr>
          <w:p>
            <w:pPr>
              <w:spacing w:before="100" w:beforeAutospacing="1" w:after="100" w:afterAutospacing="1"/>
              <w:rPr>
                <w:noProof/>
              </w:rPr>
            </w:pPr>
            <w:r>
              <w:rPr>
                <w:noProof/>
              </w:rPr>
              <w:t>50</w:t>
            </w:r>
          </w:p>
        </w:tc>
        <w:tc>
          <w:tcPr>
            <w:tcW w:w="1985" w:type="dxa"/>
            <w:gridSpan w:val="2"/>
            <w:tcBorders>
              <w:top w:val="single" w:sz="4" w:space="0" w:color="auto"/>
              <w:left w:val="single" w:sz="4" w:space="0" w:color="auto"/>
              <w:bottom w:val="nil"/>
              <w:right w:val="single" w:sz="4" w:space="0" w:color="auto"/>
            </w:tcBorders>
          </w:tcPr>
          <w:p>
            <w:pPr>
              <w:spacing w:before="100" w:beforeAutospacing="1" w:after="100" w:afterAutospacing="1"/>
              <w:rPr>
                <w:noProof/>
              </w:rPr>
            </w:pPr>
            <w:r>
              <w:rPr>
                <w:noProof/>
              </w:rPr>
              <w:t>60</w:t>
            </w:r>
          </w:p>
        </w:tc>
        <w:tc>
          <w:tcPr>
            <w:tcW w:w="1843" w:type="dxa"/>
            <w:gridSpan w:val="3"/>
            <w:tcBorders>
              <w:top w:val="single" w:sz="4" w:space="0" w:color="auto"/>
              <w:left w:val="single" w:sz="4" w:space="0" w:color="auto"/>
              <w:bottom w:val="nil"/>
              <w:right w:val="single" w:sz="4" w:space="0" w:color="auto"/>
            </w:tcBorders>
          </w:tcPr>
          <w:p>
            <w:pPr>
              <w:spacing w:before="100" w:beforeAutospacing="1" w:after="100" w:afterAutospacing="1"/>
              <w:rPr>
                <w:noProof/>
              </w:rPr>
            </w:pPr>
            <w:r>
              <w:rPr>
                <w:noProof/>
              </w:rPr>
              <w:t>50</w:t>
            </w:r>
          </w:p>
        </w:tc>
        <w:tc>
          <w:tcPr>
            <w:tcW w:w="1984" w:type="dxa"/>
            <w:gridSpan w:val="3"/>
            <w:tcBorders>
              <w:top w:val="single" w:sz="4" w:space="0" w:color="auto"/>
              <w:left w:val="single" w:sz="4" w:space="0" w:color="auto"/>
              <w:bottom w:val="nil"/>
              <w:right w:val="single" w:sz="4" w:space="0" w:color="auto"/>
            </w:tcBorders>
          </w:tcPr>
          <w:p>
            <w:pPr>
              <w:spacing w:before="100" w:beforeAutospacing="1" w:after="100" w:afterAutospacing="1"/>
              <w:rPr>
                <w:noProof/>
              </w:rPr>
            </w:pPr>
            <w:r>
              <w:rPr>
                <w:noProof/>
              </w:rPr>
              <w:t>60</w:t>
            </w:r>
          </w:p>
        </w:tc>
        <w:tc>
          <w:tcPr>
            <w:tcW w:w="1701" w:type="dxa"/>
            <w:gridSpan w:val="2"/>
            <w:vMerge w:val="restart"/>
            <w:tcBorders>
              <w:top w:val="single" w:sz="4" w:space="0" w:color="auto"/>
              <w:left w:val="single" w:sz="4" w:space="0" w:color="auto"/>
              <w:right w:val="single" w:sz="4" w:space="0" w:color="auto"/>
            </w:tcBorders>
          </w:tcPr>
          <w:p>
            <w:pPr>
              <w:jc w:val="left"/>
              <w:rPr>
                <w:noProof/>
              </w:rPr>
            </w:pPr>
            <w:r>
              <w:rPr>
                <w:noProof/>
              </w:rPr>
              <w:t>III</w:t>
            </w:r>
          </w:p>
        </w:tc>
      </w:tr>
      <w:tr>
        <w:tblPrEx>
          <w:tblLook w:val="04A0" w:firstRow="1" w:lastRow="0" w:firstColumn="1" w:lastColumn="0" w:noHBand="0" w:noVBand="1"/>
        </w:tblPrEx>
        <w:tc>
          <w:tcPr>
            <w:tcW w:w="1809" w:type="dxa"/>
            <w:tcBorders>
              <w:top w:val="nil"/>
              <w:left w:val="single" w:sz="4" w:space="0" w:color="auto"/>
              <w:bottom w:val="single" w:sz="4" w:space="0" w:color="auto"/>
              <w:right w:val="single" w:sz="4" w:space="0" w:color="auto"/>
            </w:tcBorders>
          </w:tcPr>
          <w:p>
            <w:pPr>
              <w:spacing w:before="100" w:beforeAutospacing="1" w:after="100" w:afterAutospacing="1"/>
              <w:rPr>
                <w:noProof/>
              </w:rPr>
            </w:pPr>
            <w:r>
              <w:rPr>
                <w:noProof/>
              </w:rPr>
              <w:t>60</w:t>
            </w:r>
          </w:p>
        </w:tc>
        <w:tc>
          <w:tcPr>
            <w:tcW w:w="1985" w:type="dxa"/>
            <w:gridSpan w:val="2"/>
            <w:tcBorders>
              <w:top w:val="nil"/>
              <w:left w:val="single" w:sz="4" w:space="0" w:color="auto"/>
              <w:bottom w:val="single" w:sz="4" w:space="0" w:color="auto"/>
              <w:right w:val="single" w:sz="4" w:space="0" w:color="auto"/>
            </w:tcBorders>
          </w:tcPr>
          <w:p>
            <w:pPr>
              <w:spacing w:before="100" w:beforeAutospacing="1" w:after="100" w:afterAutospacing="1"/>
              <w:rPr>
                <w:noProof/>
              </w:rPr>
            </w:pPr>
          </w:p>
        </w:tc>
        <w:tc>
          <w:tcPr>
            <w:tcW w:w="1843" w:type="dxa"/>
            <w:gridSpan w:val="3"/>
            <w:tcBorders>
              <w:top w:val="nil"/>
              <w:left w:val="single" w:sz="4" w:space="0" w:color="auto"/>
              <w:bottom w:val="single" w:sz="4" w:space="0" w:color="auto"/>
              <w:right w:val="single" w:sz="4" w:space="0" w:color="auto"/>
            </w:tcBorders>
          </w:tcPr>
          <w:p>
            <w:pPr>
              <w:spacing w:before="100" w:beforeAutospacing="1" w:after="100" w:afterAutospacing="1"/>
              <w:rPr>
                <w:noProof/>
              </w:rPr>
            </w:pPr>
            <w:r>
              <w:rPr>
                <w:noProof/>
              </w:rPr>
              <w:t>60</w:t>
            </w:r>
          </w:p>
        </w:tc>
        <w:tc>
          <w:tcPr>
            <w:tcW w:w="1984" w:type="dxa"/>
            <w:gridSpan w:val="3"/>
            <w:tcBorders>
              <w:top w:val="nil"/>
              <w:left w:val="single" w:sz="4" w:space="0" w:color="auto"/>
              <w:bottom w:val="single" w:sz="4" w:space="0" w:color="auto"/>
              <w:right w:val="single" w:sz="4" w:space="0" w:color="auto"/>
            </w:tcBorders>
          </w:tcPr>
          <w:p>
            <w:pPr>
              <w:spacing w:before="100" w:beforeAutospacing="1" w:after="100" w:afterAutospacing="1"/>
              <w:rPr>
                <w:noProof/>
              </w:rPr>
            </w:pPr>
          </w:p>
        </w:tc>
        <w:tc>
          <w:tcPr>
            <w:tcW w:w="1701" w:type="dxa"/>
            <w:gridSpan w:val="2"/>
            <w:vMerge/>
            <w:tcBorders>
              <w:left w:val="single" w:sz="4" w:space="0" w:color="auto"/>
              <w:bottom w:val="single" w:sz="4" w:space="0" w:color="auto"/>
              <w:right w:val="single" w:sz="4" w:space="0" w:color="auto"/>
            </w:tcBorders>
          </w:tcPr>
          <w:p>
            <w:pPr>
              <w:spacing w:before="100" w:beforeAutospacing="1" w:after="100" w:afterAutospacing="1"/>
              <w:rPr>
                <w:noProof/>
              </w:rPr>
            </w:pPr>
          </w:p>
        </w:tc>
      </w:tr>
      <w:tr>
        <w:tblPrEx>
          <w:tblLook w:val="04A0" w:firstRow="1" w:lastRow="0" w:firstColumn="1" w:lastColumn="0" w:noHBand="0" w:noVBand="1"/>
        </w:tblPrEx>
        <w:tc>
          <w:tcPr>
            <w:tcW w:w="9322" w:type="dxa"/>
            <w:gridSpan w:val="11"/>
            <w:tcBorders>
              <w:top w:val="single" w:sz="4" w:space="0" w:color="auto"/>
            </w:tcBorders>
          </w:tcPr>
          <w:p>
            <w:pPr>
              <w:spacing w:before="100" w:beforeAutospacing="1" w:after="100" w:afterAutospacing="1"/>
              <w:rPr>
                <w:i/>
                <w:noProof/>
              </w:rPr>
            </w:pPr>
            <w:r>
              <w:rPr>
                <w:i/>
                <w:noProof/>
              </w:rPr>
              <w:t>8 ou 9 essieux</w:t>
            </w:r>
          </w:p>
        </w:tc>
      </w:tr>
      <w:tr>
        <w:tblPrEx>
          <w:tblLook w:val="04A0" w:firstRow="1" w:lastRow="0" w:firstColumn="1" w:lastColumn="0" w:noHBand="0" w:noVBand="1"/>
        </w:tblPrEx>
        <w:tc>
          <w:tcPr>
            <w:tcW w:w="1809" w:type="dxa"/>
          </w:tcPr>
          <w:p>
            <w:pPr>
              <w:spacing w:before="100" w:beforeAutospacing="1" w:after="100" w:afterAutospacing="1"/>
              <w:rPr>
                <w:noProof/>
              </w:rPr>
            </w:pPr>
            <w:r>
              <w:rPr>
                <w:noProof/>
              </w:rPr>
              <w:t>40</w:t>
            </w:r>
          </w:p>
        </w:tc>
        <w:tc>
          <w:tcPr>
            <w:tcW w:w="2019" w:type="dxa"/>
            <w:gridSpan w:val="4"/>
          </w:tcPr>
          <w:p>
            <w:pPr>
              <w:spacing w:before="100" w:beforeAutospacing="1" w:after="100" w:afterAutospacing="1"/>
              <w:rPr>
                <w:noProof/>
              </w:rPr>
            </w:pPr>
            <w:r>
              <w:rPr>
                <w:noProof/>
              </w:rPr>
              <w:t>50</w:t>
            </w:r>
          </w:p>
        </w:tc>
        <w:tc>
          <w:tcPr>
            <w:tcW w:w="1809" w:type="dxa"/>
          </w:tcPr>
          <w:p>
            <w:pPr>
              <w:spacing w:before="100" w:beforeAutospacing="1" w:after="100" w:afterAutospacing="1"/>
              <w:rPr>
                <w:noProof/>
              </w:rPr>
            </w:pPr>
            <w:r>
              <w:rPr>
                <w:noProof/>
              </w:rPr>
              <w:t>40</w:t>
            </w:r>
          </w:p>
        </w:tc>
        <w:tc>
          <w:tcPr>
            <w:tcW w:w="1984" w:type="dxa"/>
            <w:gridSpan w:val="3"/>
          </w:tcPr>
          <w:p>
            <w:pPr>
              <w:spacing w:before="100" w:beforeAutospacing="1" w:after="100" w:afterAutospacing="1"/>
              <w:rPr>
                <w:noProof/>
              </w:rPr>
            </w:pPr>
            <w:r>
              <w:rPr>
                <w:noProof/>
              </w:rPr>
              <w:t>50</w:t>
            </w:r>
          </w:p>
        </w:tc>
        <w:tc>
          <w:tcPr>
            <w:tcW w:w="1701" w:type="dxa"/>
            <w:gridSpan w:val="2"/>
          </w:tcPr>
          <w:p>
            <w:pPr>
              <w:spacing w:before="100" w:beforeAutospacing="1" w:after="100" w:afterAutospacing="1"/>
              <w:rPr>
                <w:noProof/>
              </w:rPr>
            </w:pPr>
            <w:r>
              <w:rPr>
                <w:noProof/>
              </w:rPr>
              <w:t>I</w:t>
            </w:r>
          </w:p>
        </w:tc>
      </w:tr>
      <w:tr>
        <w:tblPrEx>
          <w:tblLook w:val="04A0" w:firstRow="1" w:lastRow="0" w:firstColumn="1" w:lastColumn="0" w:noHBand="0" w:noVBand="1"/>
        </w:tblPrEx>
        <w:tc>
          <w:tcPr>
            <w:tcW w:w="1809" w:type="dxa"/>
          </w:tcPr>
          <w:p>
            <w:pPr>
              <w:spacing w:before="100" w:beforeAutospacing="1" w:after="100" w:afterAutospacing="1"/>
              <w:rPr>
                <w:noProof/>
              </w:rPr>
            </w:pPr>
            <w:r>
              <w:rPr>
                <w:noProof/>
              </w:rPr>
              <w:t>50</w:t>
            </w:r>
          </w:p>
        </w:tc>
        <w:tc>
          <w:tcPr>
            <w:tcW w:w="2019" w:type="dxa"/>
            <w:gridSpan w:val="4"/>
          </w:tcPr>
          <w:p>
            <w:pPr>
              <w:spacing w:before="100" w:beforeAutospacing="1" w:after="100" w:afterAutospacing="1"/>
              <w:rPr>
                <w:noProof/>
              </w:rPr>
            </w:pPr>
            <w:r>
              <w:rPr>
                <w:noProof/>
              </w:rPr>
              <w:t>60</w:t>
            </w:r>
          </w:p>
        </w:tc>
        <w:tc>
          <w:tcPr>
            <w:tcW w:w="1809" w:type="dxa"/>
          </w:tcPr>
          <w:p>
            <w:pPr>
              <w:spacing w:before="100" w:beforeAutospacing="1" w:after="100" w:afterAutospacing="1"/>
              <w:rPr>
                <w:noProof/>
              </w:rPr>
            </w:pPr>
            <w:r>
              <w:rPr>
                <w:noProof/>
              </w:rPr>
              <w:t>50</w:t>
            </w:r>
          </w:p>
        </w:tc>
        <w:tc>
          <w:tcPr>
            <w:tcW w:w="1984" w:type="dxa"/>
            <w:gridSpan w:val="3"/>
          </w:tcPr>
          <w:p>
            <w:pPr>
              <w:spacing w:before="100" w:beforeAutospacing="1" w:after="100" w:afterAutospacing="1"/>
              <w:rPr>
                <w:noProof/>
              </w:rPr>
            </w:pPr>
            <w:r>
              <w:rPr>
                <w:noProof/>
              </w:rPr>
              <w:t>60</w:t>
            </w:r>
          </w:p>
        </w:tc>
        <w:tc>
          <w:tcPr>
            <w:tcW w:w="1701" w:type="dxa"/>
            <w:gridSpan w:val="2"/>
          </w:tcPr>
          <w:p>
            <w:pPr>
              <w:spacing w:before="100" w:beforeAutospacing="1" w:after="100" w:afterAutospacing="1"/>
              <w:rPr>
                <w:noProof/>
              </w:rPr>
            </w:pPr>
            <w:r>
              <w:rPr>
                <w:noProof/>
              </w:rPr>
              <w:t>II</w:t>
            </w:r>
          </w:p>
        </w:tc>
      </w:tr>
      <w:tr>
        <w:tblPrEx>
          <w:tblLook w:val="04A0" w:firstRow="1" w:lastRow="0" w:firstColumn="1" w:lastColumn="0" w:noHBand="0" w:noVBand="1"/>
        </w:tblPrEx>
        <w:tc>
          <w:tcPr>
            <w:tcW w:w="3828" w:type="dxa"/>
            <w:gridSpan w:val="5"/>
          </w:tcPr>
          <w:p>
            <w:pPr>
              <w:spacing w:before="100" w:beforeAutospacing="1" w:after="100" w:afterAutospacing="1"/>
              <w:rPr>
                <w:noProof/>
              </w:rPr>
            </w:pPr>
            <w:r>
              <w:rPr>
                <w:noProof/>
              </w:rPr>
              <w:t>60</w:t>
            </w:r>
          </w:p>
        </w:tc>
        <w:tc>
          <w:tcPr>
            <w:tcW w:w="3793" w:type="dxa"/>
            <w:gridSpan w:val="4"/>
          </w:tcPr>
          <w:p>
            <w:pPr>
              <w:spacing w:before="100" w:beforeAutospacing="1" w:after="100" w:afterAutospacing="1"/>
              <w:rPr>
                <w:noProof/>
              </w:rPr>
            </w:pPr>
            <w:r>
              <w:rPr>
                <w:noProof/>
              </w:rPr>
              <w:t>60</w:t>
            </w:r>
          </w:p>
        </w:tc>
        <w:tc>
          <w:tcPr>
            <w:tcW w:w="1701" w:type="dxa"/>
            <w:gridSpan w:val="2"/>
          </w:tcPr>
          <w:p>
            <w:pPr>
              <w:spacing w:before="100" w:beforeAutospacing="1" w:after="100" w:afterAutospacing="1"/>
              <w:rPr>
                <w:noProof/>
              </w:rPr>
            </w:pPr>
            <w:r>
              <w:rPr>
                <w:noProof/>
              </w:rPr>
              <w:t>III»;</w:t>
            </w:r>
          </w:p>
        </w:tc>
      </w:tr>
    </w:tbl>
    <w:p>
      <w:pPr>
        <w:rPr>
          <w:noProof/>
        </w:rPr>
      </w:pPr>
    </w:p>
    <w:p>
      <w:pPr>
        <w:rPr>
          <w:noProof/>
        </w:rPr>
      </w:pPr>
      <w:r>
        <w:rPr>
          <w:noProof/>
        </w:rPr>
        <w:t>(2)</w:t>
      </w:r>
      <w:r>
        <w:rPr>
          <w:noProof/>
        </w:rPr>
        <w:tab/>
        <w:t>les annexes V, VI et VII suivantes sont ajoutées:</w:t>
      </w:r>
    </w:p>
    <w:p>
      <w:pPr>
        <w:jc w:val="center"/>
        <w:rPr>
          <w:rFonts w:eastAsia="Arial Unicode MS"/>
          <w:i/>
          <w:iCs/>
          <w:noProof/>
        </w:rPr>
      </w:pPr>
      <w:r>
        <w:rPr>
          <w:i/>
          <w:noProof/>
        </w:rPr>
        <w:t>«ANNEXE V</w:t>
      </w:r>
    </w:p>
    <w:p>
      <w:pPr>
        <w:jc w:val="center"/>
        <w:rPr>
          <w:rFonts w:eastAsia="Arial Unicode MS"/>
          <w:b/>
          <w:bCs/>
          <w:noProof/>
        </w:rPr>
      </w:pPr>
      <w:r>
        <w:rPr>
          <w:b/>
          <w:noProof/>
        </w:rPr>
        <w:t>EXIGENCES MINIMALES POUR LA PERCEPTION D’UNE REDEVANCE DE CONGESTION</w:t>
      </w:r>
    </w:p>
    <w:p>
      <w:pPr>
        <w:spacing w:after="0"/>
        <w:rPr>
          <w:rFonts w:eastAsia="Arial Unicode MS"/>
          <w:noProof/>
        </w:rPr>
      </w:pPr>
      <w:r>
        <w:rPr>
          <w:noProof/>
        </w:rPr>
        <w:t>La présente annexe définit les exigences minimales applicables à la perception d’une redevance de congestion.</w:t>
      </w:r>
    </w:p>
    <w:p>
      <w:pPr>
        <w:spacing w:after="0"/>
        <w:rPr>
          <w:rFonts w:eastAsia="Arial Unicode MS"/>
          <w:noProof/>
        </w:rPr>
      </w:pPr>
      <w:r>
        <w:rPr>
          <w:noProof/>
        </w:rPr>
        <w:t>1.   </w:t>
      </w:r>
      <w:r>
        <w:rPr>
          <w:b/>
          <w:noProof/>
        </w:rPr>
        <w:t xml:space="preserve"> Parties du réseau soumises à une redevance de congestion, véhicules et périodes de temps couverts</w:t>
      </w:r>
    </w:p>
    <w:p>
      <w:pPr>
        <w:spacing w:after="0"/>
        <w:rPr>
          <w:rFonts w:eastAsia="Arial Unicode MS"/>
          <w:noProof/>
        </w:rPr>
      </w:pPr>
      <w:r>
        <w:rPr>
          <w:noProof/>
        </w:rPr>
        <w:lastRenderedPageBreak/>
        <w:t>Les États membres définissent précisément:</w:t>
      </w:r>
    </w:p>
    <w:p>
      <w:pPr>
        <w:spacing w:after="0"/>
        <w:rPr>
          <w:rFonts w:eastAsia="Arial Unicode MS"/>
          <w:noProof/>
        </w:rPr>
      </w:pPr>
      <w:r>
        <w:rPr>
          <w:noProof/>
        </w:rPr>
        <w:t>a) la ou les parties de leur réseau composé de leur part du réseau routier transeuropéen et de leurs autoroutes visé à l’article 7, paragraphe 1, qui sont soumises à une redevance de congestion, conformément à l'article 7 </w:t>
      </w:r>
      <w:r>
        <w:rPr>
          <w:i/>
          <w:noProof/>
        </w:rPr>
        <w:t>quinquies bis</w:t>
      </w:r>
      <w:r>
        <w:rPr>
          <w:noProof/>
        </w:rPr>
        <w:t xml:space="preserve">, paragraphes 1 et 3;  </w:t>
      </w:r>
    </w:p>
    <w:p>
      <w:pPr>
        <w:spacing w:after="0"/>
        <w:rPr>
          <w:rFonts w:eastAsia="Arial Unicode MS"/>
          <w:noProof/>
        </w:rPr>
      </w:pPr>
      <w:r>
        <w:rPr>
          <w:noProof/>
        </w:rPr>
        <w:t>b) la classification des tronçons du réseau qui sont soumis à la redevance de congestion en tant qu’axe "métropolitain" et "non métropolitain". Les États membres utilisent les critères figurant dans le tableau 1 aux fins de déterminer le classement de chaque segment de route;</w:t>
      </w:r>
    </w:p>
    <w:p>
      <w:pPr>
        <w:spacing w:after="0"/>
        <w:rPr>
          <w:rFonts w:eastAsia="Arial Unicode MS"/>
          <w:i/>
          <w:noProof/>
        </w:rPr>
      </w:pPr>
      <w:r>
        <w:rPr>
          <w:i/>
          <w:noProof/>
        </w:rPr>
        <w:t>Tableau 1: critères utilisés pour classifier les routes du réseau visées au point a) en tant qu'axe "métropolitain" et "non métropolitain"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spacing w:after="0"/>
              <w:rPr>
                <w:rFonts w:eastAsia="Arial Unicode MS"/>
                <w:b/>
                <w:noProof/>
              </w:rPr>
            </w:pPr>
            <w:r>
              <w:rPr>
                <w:b/>
                <w:noProof/>
              </w:rPr>
              <w:t>Catégorie de route</w:t>
            </w:r>
          </w:p>
        </w:tc>
        <w:tc>
          <w:tcPr>
            <w:tcW w:w="4644" w:type="dxa"/>
            <w:shd w:val="clear" w:color="auto" w:fill="auto"/>
          </w:tcPr>
          <w:p>
            <w:pPr>
              <w:spacing w:after="0"/>
              <w:rPr>
                <w:rFonts w:eastAsia="Arial Unicode MS"/>
                <w:b/>
                <w:noProof/>
              </w:rPr>
            </w:pPr>
            <w:r>
              <w:rPr>
                <w:b/>
                <w:noProof/>
              </w:rPr>
              <w:t>Critère de classification</w:t>
            </w:r>
          </w:p>
        </w:tc>
      </w:tr>
      <w:tr>
        <w:tc>
          <w:tcPr>
            <w:tcW w:w="4644" w:type="dxa"/>
            <w:shd w:val="clear" w:color="auto" w:fill="auto"/>
          </w:tcPr>
          <w:p>
            <w:pPr>
              <w:spacing w:after="0"/>
              <w:rPr>
                <w:rFonts w:eastAsia="Arial Unicode MS"/>
                <w:noProof/>
              </w:rPr>
            </w:pPr>
            <w:r>
              <w:rPr>
                <w:noProof/>
              </w:rPr>
              <w:t>Axe "métropolitain"</w:t>
            </w:r>
          </w:p>
        </w:tc>
        <w:tc>
          <w:tcPr>
            <w:tcW w:w="4644" w:type="dxa"/>
            <w:shd w:val="clear" w:color="auto" w:fill="auto"/>
          </w:tcPr>
          <w:p>
            <w:pPr>
              <w:spacing w:after="0"/>
              <w:rPr>
                <w:rFonts w:eastAsia="Arial Unicode MS"/>
                <w:noProof/>
              </w:rPr>
            </w:pPr>
            <w:r>
              <w:rPr>
                <w:noProof/>
              </w:rPr>
              <w:t>Tronçons du réseau qui pénètrent dans des agglomérations ayant une population de 250 000 habitants ou plus</w:t>
            </w:r>
          </w:p>
        </w:tc>
      </w:tr>
      <w:tr>
        <w:tc>
          <w:tcPr>
            <w:tcW w:w="4644" w:type="dxa"/>
            <w:shd w:val="clear" w:color="auto" w:fill="auto"/>
          </w:tcPr>
          <w:p>
            <w:pPr>
              <w:spacing w:after="0"/>
              <w:rPr>
                <w:rFonts w:eastAsia="Arial Unicode MS"/>
                <w:noProof/>
              </w:rPr>
            </w:pPr>
            <w:r>
              <w:rPr>
                <w:noProof/>
              </w:rPr>
              <w:t>Axe "non métropolitain"</w:t>
            </w:r>
          </w:p>
        </w:tc>
        <w:tc>
          <w:tcPr>
            <w:tcW w:w="4644" w:type="dxa"/>
            <w:shd w:val="clear" w:color="auto" w:fill="auto"/>
          </w:tcPr>
          <w:p>
            <w:pPr>
              <w:spacing w:after="0"/>
              <w:rPr>
                <w:rFonts w:eastAsia="Arial Unicode MS"/>
                <w:noProof/>
              </w:rPr>
            </w:pPr>
            <w:r>
              <w:rPr>
                <w:noProof/>
              </w:rPr>
              <w:t>Tronçons du réseau qui ne sont pas qualifiés de "métropolitain"</w:t>
            </w:r>
          </w:p>
        </w:tc>
      </w:tr>
    </w:tbl>
    <w:p>
      <w:pPr>
        <w:spacing w:after="0"/>
        <w:rPr>
          <w:rFonts w:eastAsia="Arial Unicode MS"/>
          <w:noProof/>
        </w:rPr>
      </w:pPr>
      <w:r>
        <w:rPr>
          <w:noProof/>
        </w:rPr>
        <w:t>c) les périodes pendant lesquelles la redevance s’applique, pour chaque segment distinct. Lorsque la période d’application de la redevance comprend différentes phases au cours desquelles des niveaux de redevance différents s'appliquent, les États membres indiquent clairement les dates de début et de fin de chaque phase au cours de laquelle une redevance spécifique s'applique.</w:t>
      </w:r>
    </w:p>
    <w:p>
      <w:pPr>
        <w:spacing w:after="0"/>
        <w:rPr>
          <w:noProof/>
        </w:rPr>
      </w:pPr>
      <w:r>
        <w:rPr>
          <w:noProof/>
        </w:rPr>
        <w:t>Les États membres utilisent les coefficients d’équivalence figurant dans le tableau 2 aux fins d’établir la proportion entre les niveaux de redevance pour les différentes catégories de véhicules:</w:t>
      </w:r>
    </w:p>
    <w:p>
      <w:pPr>
        <w:spacing w:after="0"/>
        <w:rPr>
          <w:rFonts w:eastAsia="Arial Unicode MS"/>
          <w:i/>
          <w:noProof/>
        </w:rPr>
      </w:pPr>
      <w:r>
        <w:rPr>
          <w:i/>
          <w:noProof/>
        </w:rPr>
        <w:t>Tableau 2: coefficients d’équivalence utilisés pour déterminer la proportion entre les niveaux de la redevance de congestion pour les différentes catégories de véhicules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tcPr>
          <w:p>
            <w:pPr>
              <w:spacing w:after="0"/>
              <w:rPr>
                <w:rFonts w:eastAsia="Arial Unicode MS"/>
                <w:b/>
                <w:noProof/>
              </w:rPr>
            </w:pPr>
            <w:r>
              <w:rPr>
                <w:b/>
                <w:noProof/>
              </w:rPr>
              <w:t>Catégorie de véhicule</w:t>
            </w:r>
          </w:p>
        </w:tc>
        <w:tc>
          <w:tcPr>
            <w:tcW w:w="4644" w:type="dxa"/>
          </w:tcPr>
          <w:p>
            <w:pPr>
              <w:spacing w:after="0"/>
              <w:rPr>
                <w:rFonts w:eastAsia="Arial Unicode MS"/>
                <w:b/>
                <w:noProof/>
              </w:rPr>
            </w:pPr>
            <w:r>
              <w:rPr>
                <w:b/>
                <w:noProof/>
              </w:rPr>
              <w:t>Coefficient d'équivalence</w:t>
            </w:r>
          </w:p>
        </w:tc>
      </w:tr>
      <w:tr>
        <w:tc>
          <w:tcPr>
            <w:tcW w:w="4644" w:type="dxa"/>
          </w:tcPr>
          <w:p>
            <w:pPr>
              <w:spacing w:after="0"/>
              <w:rPr>
                <w:rFonts w:eastAsia="Arial Unicode MS"/>
                <w:noProof/>
              </w:rPr>
            </w:pPr>
            <w:r>
              <w:rPr>
                <w:noProof/>
              </w:rPr>
              <w:t>Véhicules utilitaires légers</w:t>
            </w:r>
          </w:p>
        </w:tc>
        <w:tc>
          <w:tcPr>
            <w:tcW w:w="4644" w:type="dxa"/>
          </w:tcPr>
          <w:p>
            <w:pPr>
              <w:spacing w:after="0"/>
              <w:rPr>
                <w:rFonts w:eastAsia="Arial Unicode MS"/>
                <w:noProof/>
              </w:rPr>
            </w:pPr>
            <w:r>
              <w:rPr>
                <w:noProof/>
              </w:rPr>
              <w:t>1</w:t>
            </w:r>
          </w:p>
        </w:tc>
      </w:tr>
      <w:tr>
        <w:tc>
          <w:tcPr>
            <w:tcW w:w="4644" w:type="dxa"/>
          </w:tcPr>
          <w:p>
            <w:pPr>
              <w:spacing w:after="0"/>
              <w:rPr>
                <w:rFonts w:eastAsia="Arial Unicode MS"/>
                <w:noProof/>
              </w:rPr>
            </w:pPr>
            <w:r>
              <w:rPr>
                <w:noProof/>
              </w:rPr>
              <w:t>Poids lourds non articulés</w:t>
            </w:r>
          </w:p>
        </w:tc>
        <w:tc>
          <w:tcPr>
            <w:tcW w:w="4644" w:type="dxa"/>
          </w:tcPr>
          <w:p>
            <w:pPr>
              <w:spacing w:after="0"/>
              <w:rPr>
                <w:rFonts w:eastAsia="Arial Unicode MS"/>
                <w:noProof/>
              </w:rPr>
            </w:pPr>
            <w:r>
              <w:rPr>
                <w:noProof/>
              </w:rPr>
              <w:t>1,9</w:t>
            </w:r>
          </w:p>
        </w:tc>
      </w:tr>
      <w:tr>
        <w:tc>
          <w:tcPr>
            <w:tcW w:w="4644" w:type="dxa"/>
          </w:tcPr>
          <w:p>
            <w:pPr>
              <w:spacing w:after="0"/>
              <w:rPr>
                <w:rFonts w:eastAsia="Arial Unicode MS"/>
                <w:noProof/>
              </w:rPr>
            </w:pPr>
            <w:r>
              <w:rPr>
                <w:noProof/>
              </w:rPr>
              <w:t>Autobus et autocars</w:t>
            </w:r>
          </w:p>
        </w:tc>
        <w:tc>
          <w:tcPr>
            <w:tcW w:w="4644" w:type="dxa"/>
          </w:tcPr>
          <w:p>
            <w:pPr>
              <w:spacing w:after="0"/>
              <w:rPr>
                <w:rFonts w:eastAsia="Arial Unicode MS"/>
                <w:noProof/>
              </w:rPr>
            </w:pPr>
            <w:r>
              <w:rPr>
                <w:noProof/>
              </w:rPr>
              <w:t>2,5</w:t>
            </w:r>
          </w:p>
        </w:tc>
      </w:tr>
      <w:tr>
        <w:tc>
          <w:tcPr>
            <w:tcW w:w="4644" w:type="dxa"/>
          </w:tcPr>
          <w:p>
            <w:pPr>
              <w:spacing w:after="0"/>
              <w:rPr>
                <w:rFonts w:eastAsia="Arial Unicode MS"/>
                <w:noProof/>
              </w:rPr>
            </w:pPr>
            <w:r>
              <w:rPr>
                <w:noProof/>
              </w:rPr>
              <w:t>Poids lourds articulés</w:t>
            </w:r>
          </w:p>
        </w:tc>
        <w:tc>
          <w:tcPr>
            <w:tcW w:w="4644" w:type="dxa"/>
          </w:tcPr>
          <w:p>
            <w:pPr>
              <w:spacing w:after="0"/>
              <w:rPr>
                <w:rFonts w:eastAsia="Arial Unicode MS"/>
                <w:noProof/>
              </w:rPr>
            </w:pPr>
            <w:r>
              <w:rPr>
                <w:noProof/>
              </w:rPr>
              <w:t>2,9</w:t>
            </w:r>
          </w:p>
        </w:tc>
      </w:tr>
    </w:tbl>
    <w:p>
      <w:pPr>
        <w:spacing w:after="0"/>
        <w:rPr>
          <w:noProof/>
        </w:rPr>
      </w:pPr>
    </w:p>
    <w:p>
      <w:pPr>
        <w:spacing w:after="0"/>
        <w:rPr>
          <w:rFonts w:eastAsia="Arial Unicode MS"/>
          <w:noProof/>
        </w:rPr>
      </w:pPr>
      <w:r>
        <w:rPr>
          <w:noProof/>
        </w:rPr>
        <w:t>2.   </w:t>
      </w:r>
      <w:r>
        <w:rPr>
          <w:b/>
          <w:noProof/>
        </w:rPr>
        <w:t xml:space="preserve"> Montant de la redevance</w:t>
      </w:r>
    </w:p>
    <w:p>
      <w:pPr>
        <w:spacing w:after="0"/>
        <w:rPr>
          <w:rFonts w:eastAsia="Arial Unicode MS"/>
          <w:noProof/>
        </w:rPr>
      </w:pPr>
      <w:r>
        <w:rPr>
          <w:noProof/>
        </w:rPr>
        <w:t>Pour chaque catégorie de véhicule, segment de route et période de temps, l’État membre ou, le cas échéant, une autorité indépendante détermine un montant unique spécifique, fixé conformément aux dispositions de la section 1 de la présente annexe, en tenant compte de la valeur maximale correspondante indiquée dans le tableau figurant à l’annexe VI. La structure tarifaire qui en résulte est transparente, rendue publique et accessible à tous les usagers aux mêmes conditions.</w:t>
      </w:r>
    </w:p>
    <w:p>
      <w:pPr>
        <w:spacing w:after="0"/>
        <w:rPr>
          <w:rFonts w:eastAsia="Arial Unicode MS"/>
          <w:noProof/>
        </w:rPr>
      </w:pPr>
      <w:r>
        <w:rPr>
          <w:noProof/>
        </w:rPr>
        <w:t>L’État membre publie tous les éléments suivants suffisamment longtemps avant la mise en œuvre d’une redevance de congestion:</w:t>
      </w:r>
    </w:p>
    <w:p>
      <w:pPr>
        <w:spacing w:after="0"/>
        <w:rPr>
          <w:rFonts w:eastAsia="Arial Unicode MS"/>
          <w:noProof/>
        </w:rPr>
      </w:pPr>
      <w:r>
        <w:rPr>
          <w:noProof/>
        </w:rPr>
        <w:lastRenderedPageBreak/>
        <w:t>a)</w:t>
      </w:r>
      <w:r>
        <w:rPr>
          <w:noProof/>
        </w:rPr>
        <w:tab/>
        <w:t>tous les paramètres, données et autres informations nécessaires pour comprendre comment la classification des routes et des véhicules et la détermination des périodes d’application de la redevance sont établies;</w:t>
      </w:r>
    </w:p>
    <w:p>
      <w:pPr>
        <w:spacing w:after="0"/>
        <w:rPr>
          <w:rFonts w:eastAsia="Arial Unicode MS"/>
          <w:noProof/>
        </w:rPr>
      </w:pPr>
      <w:r>
        <w:rPr>
          <w:noProof/>
        </w:rPr>
        <w:t>b)</w:t>
      </w:r>
      <w:r>
        <w:rPr>
          <w:noProof/>
        </w:rPr>
        <w:tab/>
        <w:t xml:space="preserve">la description complète des redevances de congestion s’appliquant à chaque catégorie de véhicule sur chaque segment de route et pour chaque période de temps. </w:t>
      </w:r>
    </w:p>
    <w:p>
      <w:pPr>
        <w:spacing w:after="0"/>
        <w:rPr>
          <w:rFonts w:eastAsia="Arial Unicode MS"/>
          <w:noProof/>
        </w:rPr>
      </w:pPr>
      <w:r>
        <w:rPr>
          <w:noProof/>
        </w:rPr>
        <w:t>Les États membres mettent à la disposition de la Commission toute information à publier en application des points a) et b).</w:t>
      </w:r>
    </w:p>
    <w:p>
      <w:pPr>
        <w:spacing w:after="0"/>
        <w:rPr>
          <w:rFonts w:eastAsia="Arial Unicode MS"/>
          <w:noProof/>
        </w:rPr>
      </w:pPr>
      <w:r>
        <w:rPr>
          <w:noProof/>
        </w:rPr>
        <w:t>Avant de déterminer la redevance, il faut prendre en considération le risque de détournement du trafic ainsi que d’éventuels effets négatifs sur la sécurité routière, l’environnement et la congestion, et les solutions permettant d’atténuer ces risques.</w:t>
      </w:r>
    </w:p>
    <w:p>
      <w:pPr>
        <w:spacing w:after="0"/>
        <w:rPr>
          <w:rFonts w:eastAsia="Arial Unicode MS"/>
          <w:noProof/>
        </w:rPr>
      </w:pPr>
      <w:r>
        <w:rPr>
          <w:noProof/>
        </w:rPr>
        <w:t>L’État membre ou, le cas échéant, une autorité indépendante contrôle l’efficacité du système de tarification sur le plan de la réduction de la congestion. Il adapte chaque année, si nécessaire, la structure tarifaire, la ou les périodes d'application de la redevance et le montant spécifique de la redevance fixé pour chaque classe déterminée de véhicule, type de route et période de temps, en fonction de l’évolution de l’offre et de la demande de transport.</w:t>
      </w:r>
    </w:p>
    <w:p>
      <w:pPr>
        <w:spacing w:before="0" w:after="200" w:line="276" w:lineRule="auto"/>
        <w:jc w:val="left"/>
        <w:rPr>
          <w:rFonts w:eastAsia="Arial Unicode MS"/>
          <w:noProof/>
        </w:rPr>
      </w:pPr>
    </w:p>
    <w:p>
      <w:pPr>
        <w:jc w:val="center"/>
        <w:rPr>
          <w:rFonts w:eastAsia="Arial Unicode MS"/>
          <w:i/>
          <w:iCs/>
          <w:noProof/>
        </w:rPr>
      </w:pPr>
      <w:r>
        <w:rPr>
          <w:i/>
          <w:noProof/>
        </w:rPr>
        <w:t>ANNEXE VI</w:t>
      </w:r>
    </w:p>
    <w:p>
      <w:pPr>
        <w:spacing w:after="0"/>
        <w:jc w:val="center"/>
        <w:rPr>
          <w:rFonts w:eastAsia="Arial Unicode MS"/>
          <w:b/>
          <w:bCs/>
          <w:noProof/>
        </w:rPr>
      </w:pPr>
      <w:r>
        <w:rPr>
          <w:b/>
          <w:noProof/>
        </w:rPr>
        <w:t>NIVEAU MAXIMAL DE LA REDEVANCE DE CONGESTION</w:t>
      </w:r>
    </w:p>
    <w:p>
      <w:pPr>
        <w:spacing w:after="0"/>
        <w:rPr>
          <w:rFonts w:eastAsia="Arial Unicode MS"/>
          <w:noProof/>
        </w:rPr>
      </w:pPr>
      <w:r>
        <w:rPr>
          <w:noProof/>
        </w:rPr>
        <w:t>La présente annexe fixe le niveau maximal de la redevance de congestion.</w:t>
      </w:r>
    </w:p>
    <w:p>
      <w:pPr>
        <w:spacing w:after="0"/>
        <w:rPr>
          <w:rFonts w:eastAsia="Arial Unicode MS"/>
          <w:noProof/>
        </w:rPr>
      </w:pPr>
      <w:r>
        <w:rPr>
          <w:noProof/>
        </w:rPr>
        <w:t>Les niveaux maximaux figurant dans le tableau ci-dessous s'appliquent aux véhicules utilitaires légers. Pour les autres catégories de véhicules, les redevances sont établies en multipliant la redevance appliquée aux véhicules utilitaires légers par les coefficients d’équivalence indiqués dans le tableau figurant à l’annexe V.</w:t>
      </w:r>
    </w:p>
    <w:tbl>
      <w:tblPr>
        <w:tblpPr w:leftFromText="180" w:rightFromText="180" w:vertAnchor="text" w:horzAnchor="page" w:tblpX="1903" w:tblpY="709"/>
        <w:tblW w:w="6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001"/>
        <w:gridCol w:w="2567"/>
      </w:tblGrid>
      <w:tr>
        <w:tc>
          <w:tcPr>
            <w:tcW w:w="1523" w:type="pct"/>
          </w:tcPr>
          <w:p>
            <w:pPr>
              <w:spacing w:before="100" w:beforeAutospacing="1" w:after="100" w:afterAutospacing="1"/>
              <w:jc w:val="center"/>
              <w:rPr>
                <w:b/>
                <w:bCs/>
                <w:noProof/>
              </w:rPr>
            </w:pPr>
            <w:r>
              <w:rPr>
                <w:b/>
                <w:noProof/>
              </w:rPr>
              <w:t>Cents/véhicule-kilomètre</w:t>
            </w:r>
          </w:p>
        </w:tc>
        <w:tc>
          <w:tcPr>
            <w:tcW w:w="1523" w:type="pct"/>
            <w:hideMark/>
          </w:tcPr>
          <w:p>
            <w:pPr>
              <w:spacing w:before="100" w:beforeAutospacing="1" w:after="100" w:afterAutospacing="1"/>
              <w:jc w:val="center"/>
              <w:rPr>
                <w:b/>
                <w:noProof/>
              </w:rPr>
            </w:pPr>
            <w:r>
              <w:rPr>
                <w:b/>
                <w:noProof/>
              </w:rPr>
              <w:t>metropole</w:t>
            </w:r>
          </w:p>
        </w:tc>
        <w:tc>
          <w:tcPr>
            <w:tcW w:w="1954" w:type="pct"/>
            <w:hideMark/>
          </w:tcPr>
          <w:p>
            <w:pPr>
              <w:spacing w:before="100" w:beforeAutospacing="1" w:after="100" w:afterAutospacing="1"/>
              <w:jc w:val="center"/>
              <w:rPr>
                <w:b/>
                <w:noProof/>
              </w:rPr>
            </w:pPr>
            <w:r>
              <w:rPr>
                <w:b/>
                <w:noProof/>
              </w:rPr>
              <w:t>Axe non métropolitain</w:t>
            </w:r>
          </w:p>
        </w:tc>
      </w:tr>
      <w:tr>
        <w:tc>
          <w:tcPr>
            <w:tcW w:w="1523" w:type="pct"/>
          </w:tcPr>
          <w:p>
            <w:pPr>
              <w:spacing w:before="100" w:beforeAutospacing="1" w:after="100" w:afterAutospacing="1"/>
              <w:jc w:val="center"/>
              <w:rPr>
                <w:noProof/>
              </w:rPr>
            </w:pPr>
            <w:r>
              <w:rPr>
                <w:noProof/>
              </w:rPr>
              <w:t>Autoroutes</w:t>
            </w:r>
          </w:p>
        </w:tc>
        <w:tc>
          <w:tcPr>
            <w:tcW w:w="1523" w:type="pct"/>
            <w:hideMark/>
          </w:tcPr>
          <w:p>
            <w:pPr>
              <w:spacing w:before="100" w:beforeAutospacing="1" w:after="100" w:afterAutospacing="1"/>
              <w:jc w:val="center"/>
              <w:rPr>
                <w:noProof/>
              </w:rPr>
            </w:pPr>
            <w:r>
              <w:rPr>
                <w:noProof/>
              </w:rPr>
              <w:t>67</w:t>
            </w:r>
          </w:p>
        </w:tc>
        <w:tc>
          <w:tcPr>
            <w:tcW w:w="1954" w:type="pct"/>
            <w:hideMark/>
          </w:tcPr>
          <w:p>
            <w:pPr>
              <w:spacing w:before="100" w:beforeAutospacing="1" w:after="100" w:afterAutospacing="1"/>
              <w:jc w:val="center"/>
              <w:rPr>
                <w:noProof/>
              </w:rPr>
            </w:pPr>
            <w:r>
              <w:rPr>
                <w:noProof/>
              </w:rPr>
              <w:t>34</w:t>
            </w:r>
          </w:p>
        </w:tc>
      </w:tr>
      <w:tr>
        <w:tc>
          <w:tcPr>
            <w:tcW w:w="1523" w:type="pct"/>
          </w:tcPr>
          <w:p>
            <w:pPr>
              <w:spacing w:before="100" w:beforeAutospacing="1" w:after="100" w:afterAutospacing="1"/>
              <w:jc w:val="center"/>
              <w:rPr>
                <w:noProof/>
              </w:rPr>
            </w:pPr>
            <w:r>
              <w:rPr>
                <w:noProof/>
              </w:rPr>
              <w:t>Routes principales</w:t>
            </w:r>
          </w:p>
        </w:tc>
        <w:tc>
          <w:tcPr>
            <w:tcW w:w="1523" w:type="pct"/>
          </w:tcPr>
          <w:p>
            <w:pPr>
              <w:spacing w:before="100" w:beforeAutospacing="1" w:after="100" w:afterAutospacing="1"/>
              <w:jc w:val="center"/>
              <w:rPr>
                <w:noProof/>
              </w:rPr>
            </w:pPr>
            <w:r>
              <w:rPr>
                <w:noProof/>
              </w:rPr>
              <w:t>198</w:t>
            </w:r>
          </w:p>
        </w:tc>
        <w:tc>
          <w:tcPr>
            <w:tcW w:w="1954" w:type="pct"/>
          </w:tcPr>
          <w:p>
            <w:pPr>
              <w:spacing w:before="100" w:beforeAutospacing="1" w:after="100" w:afterAutospacing="1"/>
              <w:jc w:val="center"/>
              <w:rPr>
                <w:noProof/>
              </w:rPr>
            </w:pPr>
            <w:r>
              <w:rPr>
                <w:noProof/>
              </w:rPr>
              <w:t>66</w:t>
            </w:r>
          </w:p>
        </w:tc>
      </w:tr>
    </w:tbl>
    <w:p>
      <w:pPr>
        <w:spacing w:before="240" w:after="0"/>
        <w:ind w:left="806" w:hanging="403"/>
        <w:rPr>
          <w:rFonts w:eastAsia="Arial Unicode MS"/>
          <w:i/>
          <w:noProof/>
        </w:rPr>
      </w:pPr>
      <w:r>
        <w:rPr>
          <w:i/>
          <w:noProof/>
        </w:rPr>
        <w:t>Tableau: Niveau maximal de la redevance de congestion pour les véhicules utilitaires légers</w:t>
      </w:r>
    </w:p>
    <w:p>
      <w:pPr>
        <w:spacing w:before="100" w:beforeAutospacing="1" w:after="0"/>
        <w:ind w:left="806" w:hanging="403"/>
        <w:rPr>
          <w:rFonts w:eastAsia="Arial Unicode MS"/>
          <w:i/>
          <w:noProof/>
        </w:rPr>
      </w:pPr>
    </w:p>
    <w:p>
      <w:pPr>
        <w:spacing w:before="100" w:beforeAutospacing="1" w:after="0"/>
        <w:ind w:left="806" w:hanging="403"/>
        <w:rPr>
          <w:rFonts w:eastAsia="Arial Unicode MS"/>
          <w:i/>
          <w:iCs/>
          <w:noProof/>
        </w:rPr>
      </w:pPr>
    </w:p>
    <w:p>
      <w:pPr>
        <w:jc w:val="center"/>
        <w:rPr>
          <w:rFonts w:eastAsia="Arial Unicode MS"/>
          <w:i/>
          <w:iCs/>
          <w:noProof/>
        </w:rPr>
      </w:pPr>
    </w:p>
    <w:p>
      <w:pPr>
        <w:spacing w:before="0" w:after="200" w:line="276" w:lineRule="auto"/>
        <w:jc w:val="left"/>
        <w:rPr>
          <w:rFonts w:eastAsia="Arial Unicode MS"/>
          <w:i/>
          <w:iCs/>
          <w:noProof/>
        </w:rPr>
      </w:pPr>
      <w:r>
        <w:rPr>
          <w:noProof/>
        </w:rPr>
        <w:br w:type="page"/>
      </w:r>
    </w:p>
    <w:p>
      <w:pPr>
        <w:jc w:val="center"/>
        <w:rPr>
          <w:rFonts w:eastAsia="Arial Unicode MS"/>
          <w:i/>
          <w:iCs/>
          <w:noProof/>
        </w:rPr>
      </w:pPr>
      <w:r>
        <w:rPr>
          <w:i/>
          <w:noProof/>
        </w:rPr>
        <w:lastRenderedPageBreak/>
        <w:t>ANNEXE VII</w:t>
      </w:r>
    </w:p>
    <w:p>
      <w:pPr>
        <w:spacing w:after="0"/>
        <w:jc w:val="center"/>
        <w:rPr>
          <w:rFonts w:eastAsia="Arial Unicode MS"/>
          <w:b/>
          <w:bCs/>
          <w:noProof/>
        </w:rPr>
      </w:pPr>
      <w:r>
        <w:rPr>
          <w:b/>
          <w:noProof/>
        </w:rPr>
        <w:t>VARIATION DES PÉAGES ET DES DROITS D’USAGE POUR LES VÉHICULES UTILITAIRES LÉGERS</w:t>
      </w:r>
    </w:p>
    <w:p>
      <w:pPr>
        <w:spacing w:after="0"/>
        <w:rPr>
          <w:rFonts w:eastAsia="Arial Unicode MS"/>
          <w:noProof/>
        </w:rPr>
      </w:pPr>
    </w:p>
    <w:p>
      <w:pPr>
        <w:spacing w:after="0"/>
        <w:rPr>
          <w:rFonts w:eastAsia="Arial Unicode MS"/>
          <w:noProof/>
        </w:rPr>
      </w:pPr>
      <w:r>
        <w:rPr>
          <w:noProof/>
        </w:rPr>
        <w:t>La présente annexe définit les catégories d’émissions prises en compte pour différentier les péages et les droits d’usage.</w:t>
      </w:r>
    </w:p>
    <w:p>
      <w:pPr>
        <w:spacing w:after="0"/>
        <w:rPr>
          <w:rFonts w:eastAsia="Arial Unicode MS"/>
          <w:noProof/>
        </w:rPr>
      </w:pPr>
      <w:r>
        <w:rPr>
          <w:noProof/>
        </w:rPr>
        <w:t>Les émissions de polluants sont mesurées conformément au règlement (UE) n° .../... de la Commission*.</w:t>
      </w:r>
    </w:p>
    <w:p>
      <w:pPr>
        <w:spacing w:after="0"/>
        <w:rPr>
          <w:rFonts w:eastAsia="Arial Unicode MS"/>
          <w:noProof/>
        </w:rPr>
      </w:pPr>
      <w:r>
        <w:rPr>
          <w:noProof/>
        </w:rPr>
        <w:t>Les taux réduits s’appliquent pour les voitures particulières et les véhicules utilitaires légers produisant des émissions spécifiques de CO</w:t>
      </w:r>
      <w:r>
        <w:rPr>
          <w:noProof/>
          <w:vertAlign w:val="subscript"/>
        </w:rPr>
        <w:t>2</w:t>
      </w:r>
      <w:r>
        <w:rPr>
          <w:noProof/>
        </w:rPr>
        <w:t>, mesurées conformément au règlement (CE) n° 715/2007 du Parlement européen et du Conseil**, qui sont en deçà des niveaux correspondant aux objectifs applicables de l'UE pour le parc de voitures fixés dans le règlement (CE) n° 443/2009 du Parlement européen et du Conseil*** et au règlement (UE) n° 510/2011 du Parlement européen et du Conseil****.</w:t>
      </w:r>
    </w:p>
    <w:p>
      <w:pPr>
        <w:spacing w:after="0"/>
        <w:rPr>
          <w:rFonts w:eastAsia="Arial Unicode MS"/>
          <w:i/>
          <w:noProof/>
        </w:rPr>
      </w:pPr>
      <w:r>
        <w:rPr>
          <w:i/>
          <w:noProof/>
        </w:rPr>
        <w:t>Tableau: catégories d’émissions des véhicules utilitaires légers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888"/>
        <w:gridCol w:w="1889"/>
        <w:gridCol w:w="1801"/>
        <w:gridCol w:w="1801"/>
      </w:tblGrid>
      <w:tr>
        <w:trPr>
          <w:trHeight w:val="832"/>
        </w:trPr>
        <w:tc>
          <w:tcPr>
            <w:tcW w:w="981" w:type="pct"/>
            <w:shd w:val="clear" w:color="auto" w:fill="FFFFFF" w:themeFill="background1"/>
            <w:vAlign w:val="center"/>
          </w:tcPr>
          <w:p>
            <w:pPr>
              <w:spacing w:before="100" w:beforeAutospacing="1" w:after="100" w:afterAutospacing="1"/>
              <w:jc w:val="center"/>
              <w:rPr>
                <w:b/>
                <w:noProof/>
              </w:rPr>
            </w:pPr>
            <w:r>
              <w:rPr>
                <w:b/>
                <w:noProof/>
              </w:rPr>
              <w:t>Facteur de conformité</w:t>
            </w:r>
          </w:p>
        </w:tc>
        <w:tc>
          <w:tcPr>
            <w:tcW w:w="1028" w:type="pct"/>
            <w:shd w:val="clear" w:color="auto" w:fill="FFFFFF" w:themeFill="background1"/>
            <w:vAlign w:val="center"/>
          </w:tcPr>
          <w:p>
            <w:pPr>
              <w:spacing w:before="100" w:beforeAutospacing="1" w:after="100" w:afterAutospacing="1"/>
              <w:jc w:val="center"/>
              <w:rPr>
                <w:b/>
                <w:noProof/>
              </w:rPr>
            </w:pPr>
            <w:r>
              <w:rPr>
                <w:b/>
                <w:noProof/>
              </w:rPr>
              <w:t>1.5-2.1</w:t>
            </w:r>
          </w:p>
        </w:tc>
        <w:tc>
          <w:tcPr>
            <w:tcW w:w="1029" w:type="pct"/>
            <w:shd w:val="clear" w:color="auto" w:fill="FFFFFF" w:themeFill="background1"/>
            <w:vAlign w:val="center"/>
          </w:tcPr>
          <w:p>
            <w:pPr>
              <w:spacing w:before="100" w:beforeAutospacing="1" w:after="100" w:afterAutospacing="1"/>
              <w:jc w:val="center"/>
              <w:rPr>
                <w:b/>
                <w:noProof/>
              </w:rPr>
            </w:pPr>
            <w:r>
              <w:rPr>
                <w:b/>
                <w:noProof/>
              </w:rPr>
              <w:t>1-1.5</w:t>
            </w:r>
          </w:p>
        </w:tc>
        <w:tc>
          <w:tcPr>
            <w:tcW w:w="981" w:type="pct"/>
            <w:shd w:val="clear" w:color="auto" w:fill="FFFFFF" w:themeFill="background1"/>
            <w:vAlign w:val="center"/>
          </w:tcPr>
          <w:p>
            <w:pPr>
              <w:spacing w:before="100" w:beforeAutospacing="1" w:after="100" w:afterAutospacing="1"/>
              <w:jc w:val="center"/>
              <w:rPr>
                <w:b/>
                <w:noProof/>
              </w:rPr>
            </w:pPr>
            <w:r>
              <w:rPr>
                <w:b/>
                <w:noProof/>
              </w:rPr>
              <w:t>inférieur à 1</w:t>
            </w:r>
          </w:p>
        </w:tc>
        <w:tc>
          <w:tcPr>
            <w:tcW w:w="981" w:type="pct"/>
            <w:shd w:val="clear" w:color="auto" w:fill="FFFFFF" w:themeFill="background1"/>
            <w:vAlign w:val="center"/>
          </w:tcPr>
          <w:p>
            <w:pPr>
              <w:spacing w:before="100" w:beforeAutospacing="1" w:after="100" w:afterAutospacing="1"/>
              <w:jc w:val="center"/>
              <w:rPr>
                <w:b/>
                <w:noProof/>
              </w:rPr>
            </w:pPr>
            <w:r>
              <w:rPr>
                <w:b/>
                <w:noProof/>
              </w:rPr>
              <w:t>Véhicules à émissions nulles</w:t>
            </w:r>
          </w:p>
        </w:tc>
      </w:tr>
      <w:tr>
        <w:trPr>
          <w:trHeight w:val="832"/>
        </w:trPr>
        <w:tc>
          <w:tcPr>
            <w:tcW w:w="981" w:type="pct"/>
            <w:vAlign w:val="center"/>
          </w:tcPr>
          <w:p>
            <w:pPr>
              <w:spacing w:before="100" w:beforeAutospacing="1" w:after="100" w:afterAutospacing="1"/>
              <w:jc w:val="center"/>
              <w:rPr>
                <w:b/>
                <w:noProof/>
              </w:rPr>
            </w:pPr>
            <w:r>
              <w:rPr>
                <w:b/>
                <w:noProof/>
              </w:rPr>
              <w:t>Redevance par km</w:t>
            </w:r>
          </w:p>
        </w:tc>
        <w:tc>
          <w:tcPr>
            <w:tcW w:w="1028" w:type="pct"/>
            <w:shd w:val="clear" w:color="auto" w:fill="FFFFFF"/>
            <w:vAlign w:val="center"/>
          </w:tcPr>
          <w:p>
            <w:pPr>
              <w:spacing w:before="100" w:beforeAutospacing="1" w:after="100" w:afterAutospacing="1"/>
              <w:jc w:val="center"/>
              <w:rPr>
                <w:noProof/>
              </w:rPr>
            </w:pPr>
            <w:r>
              <w:rPr>
                <w:noProof/>
              </w:rPr>
              <w:t>Inférieure de 10 % au taux le plus élevé</w:t>
            </w:r>
          </w:p>
        </w:tc>
        <w:tc>
          <w:tcPr>
            <w:tcW w:w="1029" w:type="pct"/>
            <w:vAlign w:val="center"/>
          </w:tcPr>
          <w:p>
            <w:pPr>
              <w:spacing w:before="100" w:beforeAutospacing="1" w:after="100" w:afterAutospacing="1"/>
              <w:jc w:val="center"/>
              <w:rPr>
                <w:noProof/>
              </w:rPr>
            </w:pPr>
            <w:r>
              <w:rPr>
                <w:noProof/>
              </w:rPr>
              <w:t>Inférieure de 20 % au taux le plus élevé</w:t>
            </w:r>
          </w:p>
        </w:tc>
        <w:tc>
          <w:tcPr>
            <w:tcW w:w="981" w:type="pct"/>
            <w:vAlign w:val="center"/>
          </w:tcPr>
          <w:p>
            <w:pPr>
              <w:spacing w:before="100" w:beforeAutospacing="1" w:after="100" w:afterAutospacing="1"/>
              <w:jc w:val="center"/>
              <w:rPr>
                <w:noProof/>
              </w:rPr>
            </w:pPr>
            <w:r>
              <w:rPr>
                <w:noProof/>
              </w:rPr>
              <w:t>Inférieure de 30 % au taux le plus élevé</w:t>
            </w:r>
          </w:p>
        </w:tc>
        <w:tc>
          <w:tcPr>
            <w:tcW w:w="981" w:type="pct"/>
            <w:vAlign w:val="center"/>
          </w:tcPr>
          <w:p>
            <w:pPr>
              <w:spacing w:before="100" w:beforeAutospacing="1" w:after="100" w:afterAutospacing="1"/>
              <w:jc w:val="center"/>
              <w:rPr>
                <w:noProof/>
              </w:rPr>
            </w:pPr>
            <w:r>
              <w:rPr>
                <w:noProof/>
              </w:rPr>
              <w:t>Inférieure de 75 % au taux le plus élevé</w:t>
            </w:r>
          </w:p>
        </w:tc>
      </w:tr>
    </w:tbl>
    <w:p>
      <w:pPr>
        <w:adjustRightInd w:val="0"/>
        <w:spacing w:before="0" w:after="0"/>
        <w:jc w:val="left"/>
        <w:rPr>
          <w:noProof/>
        </w:rPr>
      </w:pPr>
    </w:p>
    <w:p>
      <w:pPr>
        <w:adjustRightInd w:val="0"/>
        <w:spacing w:before="0" w:after="0"/>
        <w:jc w:val="left"/>
        <w:rPr>
          <w:noProof/>
        </w:rPr>
      </w:pPr>
      <w:r>
        <w:rPr>
          <w:noProof/>
        </w:rPr>
        <w:t>__________________</w:t>
      </w:r>
    </w:p>
    <w:p>
      <w:pPr>
        <w:adjustRightInd w:val="0"/>
        <w:spacing w:before="0" w:after="0"/>
        <w:jc w:val="left"/>
        <w:rPr>
          <w:noProof/>
        </w:rPr>
      </w:pPr>
    </w:p>
    <w:p>
      <w:pPr>
        <w:adjustRightInd w:val="0"/>
        <w:spacing w:before="0" w:after="0"/>
        <w:ind w:left="720" w:hanging="720"/>
        <w:jc w:val="left"/>
        <w:rPr>
          <w:noProof/>
        </w:rPr>
      </w:pPr>
      <w:r>
        <w:rPr>
          <w:noProof/>
        </w:rPr>
        <w:t>*</w:t>
      </w:r>
      <w:r>
        <w:rPr>
          <w:noProof/>
        </w:rPr>
        <w:tab/>
        <w:t>Règlement (UE) .../... de la Commission du XXX modifiant le règlement (UE) 2017/xxx et la directive 2007/46/CE du Parlement européen et du Conseil en ce qui concerne les émissions des véhicules particuliers et utilitaires légers dans des conditions de conduite réelles (Euro 6) [RDE 3] (JO L... du ... 2017, p....).</w:t>
      </w:r>
    </w:p>
    <w:p>
      <w:pPr>
        <w:adjustRightInd w:val="0"/>
        <w:spacing w:before="0" w:after="0"/>
        <w:ind w:left="720" w:hanging="720"/>
        <w:jc w:val="left"/>
        <w:rPr>
          <w:noProof/>
        </w:rPr>
      </w:pPr>
      <w:r>
        <w:rPr>
          <w:noProof/>
        </w:rPr>
        <w:t>**</w:t>
      </w:r>
      <w:r>
        <w:rPr>
          <w:noProof/>
        </w:rPr>
        <w:tab/>
        <w:t>Règlement (CE) nº 715/2007 du Parlement européen et du Conseil du 20 juin 2007 relatif à la réception des véhicules à moteur au regard des émissions des véhicules particuliers et utilitaires légers (Euro 5 et Euro 6) et aux informations sur la réparation et l’entretien des véhicules (JO L 171 du 29.6.2007, p. 1).</w:t>
      </w:r>
    </w:p>
    <w:p>
      <w:pPr>
        <w:adjustRightInd w:val="0"/>
        <w:spacing w:before="0" w:after="0"/>
        <w:ind w:left="720" w:hanging="720"/>
        <w:jc w:val="left"/>
        <w:rPr>
          <w:noProof/>
        </w:rPr>
      </w:pPr>
      <w:r>
        <w:rPr>
          <w:noProof/>
        </w:rPr>
        <w:t>***</w:t>
      </w:r>
      <w:r>
        <w:rPr>
          <w:noProof/>
        </w:rPr>
        <w:tab/>
        <w:t>Règlement (CE) n° 443/2009 du Parlement européen et du Conseil du 23 avril 2009 établissant des normes de performance en matière d’émissions pour les voitures particulières neuves dans le cadre de l’approche intégrée de la Communauté visant à réduire les émissions de CO</w:t>
      </w:r>
      <w:r>
        <w:rPr>
          <w:noProof/>
          <w:vertAlign w:val="subscript"/>
        </w:rPr>
        <w:t>2</w:t>
      </w:r>
      <w:r>
        <w:rPr>
          <w:noProof/>
        </w:rPr>
        <w:t xml:space="preserve"> des véhicules légers (JO L140 du 5.6.2009, p. 1).</w:t>
      </w:r>
    </w:p>
    <w:p>
      <w:pPr>
        <w:adjustRightInd w:val="0"/>
        <w:spacing w:before="0" w:after="0"/>
        <w:ind w:left="720" w:hanging="720"/>
        <w:jc w:val="left"/>
        <w:rPr>
          <w:noProof/>
        </w:rPr>
      </w:pPr>
      <w:r>
        <w:rPr>
          <w:noProof/>
        </w:rPr>
        <w:t>****</w:t>
      </w:r>
      <w:r>
        <w:rPr>
          <w:noProof/>
        </w:rPr>
        <w:tab/>
        <w:t>Règlement (CE) n° 443/2009 du Parlement européen et du Conseil du 23 avril 2009 établissant des normes de performance en matière d’émissions pour les voitures particulières neuves dans le cadre de l’approche intégrée de la Communauté visant à réduire les émissions de CO</w:t>
      </w:r>
      <w:r>
        <w:rPr>
          <w:noProof/>
          <w:vertAlign w:val="subscript"/>
        </w:rPr>
        <w:t>2</w:t>
      </w:r>
      <w:r>
        <w:rPr>
          <w:noProof/>
        </w:rPr>
        <w:t xml:space="preserve"> des véhicules légers (JO L140 du 5.6.2009, p. 1).».</w:t>
      </w: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3656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D015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28031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660E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2EEE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BC7B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383202"/>
    <w:lvl w:ilvl="0">
      <w:start w:val="1"/>
      <w:numFmt w:val="decimal"/>
      <w:pStyle w:val="ListNumber"/>
      <w:lvlText w:val="%1."/>
      <w:lvlJc w:val="left"/>
      <w:pPr>
        <w:tabs>
          <w:tab w:val="num" w:pos="360"/>
        </w:tabs>
        <w:ind w:left="360" w:hanging="360"/>
      </w:pPr>
    </w:lvl>
  </w:abstractNum>
  <w:abstractNum w:abstractNumId="7">
    <w:nsid w:val="FFFFFF89"/>
    <w:multiLevelType w:val="singleLevel"/>
    <w:tmpl w:val="EC783F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1 17:55: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ED479B759D9244539D0680C79ACECCD9"/>
    <w:docVar w:name="LW_CROSSREFERENCE" w:val="{SWD(2017) 180 final}_x000b_{SWD(2017) 181 final}"/>
    <w:docVar w:name="LW_DocType" w:val="ANNEX"/>
    <w:docVar w:name="LW_EMISSION" w:val="31.5.2017"/>
    <w:docVar w:name="LW_EMISSION_ISODATE" w:val="2017-05-3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modifiant la directive 1999/62/CE relative à la taxation des poids lourds pour l\u8217?utilisation de certaines infrastructures_x000b_(Texte présentant de l'intérêt pour l'EEE)"/>
    <w:docVar w:name="LW_PART_NBR" w:val="1"/>
    <w:docVar w:name="LW_PART_NBR_TOTAL" w:val="1"/>
    <w:docVar w:name="LW_REF.INST.NEW" w:val="COM"/>
    <w:docVar w:name="LW_REF.INST.NEW_ADOPTED" w:val="final"/>
    <w:docVar w:name="LW_REF.INST.NEW_TEXT" w:val="(2017) 275"/>
    <w:docVar w:name="LW_REF.INTERNE" w:val="&lt;UNUSED&gt;"/>
    <w:docVar w:name="LW_SUPERTITRE" w:val="&lt;UNUSED&gt;"/>
    <w:docVar w:name="LW_TITRE.OBJ.CP" w:val="&lt;UNUSED&gt;"/>
    <w:docVar w:name="LW_TYPE.DOC.CP" w:val="ANNEXE"/>
    <w:docVar w:name="LW_TYPEACTEPRINCIPAL.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character" w:styleId="Hyperlink">
    <w:name w:val="Hyperlink"/>
    <w:uiPriority w:val="99"/>
    <w:unhideWhenUsed/>
    <w:rPr>
      <w:rFonts w:cs="Times New Roman"/>
      <w:color w:val="0000FF"/>
      <w:u w:val="single"/>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character" w:styleId="Hyperlink">
    <w:name w:val="Hyperlink"/>
    <w:uiPriority w:val="99"/>
    <w:unhideWhenUsed/>
    <w:rPr>
      <w:rFonts w:cs="Times New Roman"/>
      <w:color w:val="0000FF"/>
      <w:u w:val="single"/>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16512">
      <w:bodyDiv w:val="1"/>
      <w:marLeft w:val="0"/>
      <w:marRight w:val="0"/>
      <w:marTop w:val="0"/>
      <w:marBottom w:val="0"/>
      <w:divBdr>
        <w:top w:val="none" w:sz="0" w:space="0" w:color="auto"/>
        <w:left w:val="none" w:sz="0" w:space="0" w:color="auto"/>
        <w:bottom w:val="none" w:sz="0" w:space="0" w:color="auto"/>
        <w:right w:val="none" w:sz="0" w:space="0" w:color="auto"/>
      </w:divBdr>
    </w:div>
    <w:div w:id="12397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70A07-C2B0-4B1C-B45F-9316D9DD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13</Pages>
  <Words>3756</Words>
  <Characters>19723</Characters>
  <Application>Microsoft Office Word</Application>
  <DocSecurity>0</DocSecurity>
  <Lines>857</Lines>
  <Paragraphs>617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SZATMARI Peter (MOVE)</dc:creator>
  <cp:lastModifiedBy>DIGIT/A3</cp:lastModifiedBy>
  <cp:revision>8</cp:revision>
  <cp:lastPrinted>2017-05-19T13:14:00Z</cp:lastPrinted>
  <dcterms:created xsi:type="dcterms:W3CDTF">2017-05-31T14:29:00Z</dcterms:created>
  <dcterms:modified xsi:type="dcterms:W3CDTF">2017-05-31T15:55:00Z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