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3A7" w:rsidRDefault="00D0278E" w:rsidP="00D0278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2BFE14054844ABD8FB76CAC9F07D768" style="width:451.35pt;height:479.3pt">
            <v:imagedata r:id="rId12" o:title=""/>
          </v:shape>
        </w:pict>
      </w:r>
    </w:p>
    <w:p w:rsidR="000913A7" w:rsidRDefault="000913A7">
      <w:pPr>
        <w:rPr>
          <w:noProof/>
        </w:rPr>
        <w:sectPr w:rsidR="000913A7" w:rsidSect="00D0278E">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2"/>
          <w:cols w:space="720"/>
          <w:docGrid w:linePitch="360"/>
        </w:sectPr>
      </w:pPr>
      <w:bookmarkStart w:id="1" w:name="_GoBack"/>
      <w:bookmarkEnd w:id="0"/>
      <w:bookmarkEnd w:id="1"/>
    </w:p>
    <w:tbl>
      <w:tblPr>
        <w:tblStyle w:val="TableGrid"/>
        <w:tblW w:w="10188" w:type="dxa"/>
        <w:tblLook w:val="01E0" w:firstRow="1" w:lastRow="1" w:firstColumn="1" w:lastColumn="1" w:noHBand="0" w:noVBand="0"/>
      </w:tblPr>
      <w:tblGrid>
        <w:gridCol w:w="10188"/>
      </w:tblGrid>
      <w:tr w:rsidR="000913A7">
        <w:tc>
          <w:tcPr>
            <w:tcW w:w="10188" w:type="dxa"/>
            <w:tcBorders>
              <w:bottom w:val="single" w:sz="4" w:space="0" w:color="auto"/>
            </w:tcBorders>
            <w:shd w:val="clear" w:color="auto" w:fill="CCCCCC"/>
          </w:tcPr>
          <w:p w:rsidR="000913A7" w:rsidRDefault="00253597">
            <w:pPr>
              <w:spacing w:before="60" w:after="60"/>
              <w:jc w:val="center"/>
              <w:rPr>
                <w:rFonts w:ascii="Tahoma" w:hAnsi="Tahoma" w:cs="Tahoma"/>
                <w:b/>
                <w:noProof/>
                <w:sz w:val="20"/>
                <w:szCs w:val="20"/>
              </w:rPr>
            </w:pPr>
            <w:r>
              <w:rPr>
                <w:noProof/>
              </w:rPr>
              <w:lastRenderedPageBreak/>
              <w:br w:type="page"/>
            </w:r>
            <w:r>
              <w:rPr>
                <w:rFonts w:ascii="Tahoma" w:hAnsi="Tahoma" w:cs="Tahoma"/>
                <w:b/>
                <w:noProof/>
                <w:sz w:val="20"/>
                <w:szCs w:val="20"/>
              </w:rPr>
              <w:t>Executive Summary Sheet</w:t>
            </w:r>
          </w:p>
        </w:tc>
      </w:tr>
      <w:tr w:rsidR="000913A7">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0913A7" w:rsidRDefault="00253597">
            <w:pPr>
              <w:spacing w:before="120" w:after="120"/>
              <w:jc w:val="both"/>
              <w:rPr>
                <w:rFonts w:ascii="Tahoma" w:hAnsi="Tahoma" w:cs="Tahoma"/>
                <w:noProof/>
                <w:sz w:val="20"/>
                <w:szCs w:val="20"/>
              </w:rPr>
            </w:pPr>
            <w:r>
              <w:rPr>
                <w:rFonts w:ascii="Tahoma" w:hAnsi="Tahoma" w:cs="Tahoma"/>
                <w:noProof/>
                <w:sz w:val="20"/>
                <w:szCs w:val="20"/>
              </w:rPr>
              <w:t>Impact assessment on the revision of Directive 1999/62/EC</w:t>
            </w:r>
          </w:p>
        </w:tc>
      </w:tr>
      <w:tr w:rsidR="000913A7">
        <w:tc>
          <w:tcPr>
            <w:tcW w:w="10188" w:type="dxa"/>
            <w:tcBorders>
              <w:bottom w:val="single" w:sz="4" w:space="0" w:color="auto"/>
            </w:tcBorders>
            <w:shd w:val="clear" w:color="auto" w:fill="CCCCCC"/>
          </w:tcPr>
          <w:p w:rsidR="000913A7" w:rsidRDefault="00253597">
            <w:pPr>
              <w:spacing w:before="60" w:after="60"/>
              <w:rPr>
                <w:rFonts w:ascii="Tahoma" w:hAnsi="Tahoma" w:cs="Tahoma"/>
                <w:b/>
                <w:noProof/>
                <w:sz w:val="20"/>
                <w:szCs w:val="20"/>
              </w:rPr>
            </w:pPr>
            <w:r>
              <w:rPr>
                <w:rFonts w:ascii="Tahoma" w:hAnsi="Tahoma" w:cs="Tahoma"/>
                <w:b/>
                <w:noProof/>
                <w:sz w:val="20"/>
                <w:szCs w:val="20"/>
              </w:rPr>
              <w:t>A. Need for action</w:t>
            </w:r>
          </w:p>
        </w:tc>
      </w:tr>
      <w:tr w:rsidR="000913A7">
        <w:tc>
          <w:tcPr>
            <w:tcW w:w="10188" w:type="dxa"/>
            <w:tcBorders>
              <w:bottom w:val="single" w:sz="4" w:space="0" w:color="auto"/>
            </w:tcBorders>
            <w:shd w:val="clear" w:color="auto" w:fill="E0E0E0"/>
          </w:tcPr>
          <w:p w:rsidR="000913A7" w:rsidRDefault="00253597">
            <w:pPr>
              <w:pStyle w:val="Default"/>
              <w:jc w:val="both"/>
              <w:rPr>
                <w:rFonts w:ascii="Tahoma" w:hAnsi="Tahoma" w:cs="Tahoma"/>
                <w:noProof/>
                <w:sz w:val="20"/>
                <w:szCs w:val="20"/>
              </w:rPr>
            </w:pPr>
            <w:r>
              <w:rPr>
                <w:rFonts w:ascii="Tahoma" w:hAnsi="Tahoma" w:cs="Tahoma"/>
                <w:b/>
                <w:bCs/>
                <w:noProof/>
                <w:sz w:val="20"/>
                <w:szCs w:val="20"/>
              </w:rPr>
              <w:t>What is the problem and why is it a problem at EU level</w:t>
            </w:r>
            <w:r>
              <w:rPr>
                <w:rFonts w:ascii="Tahoma" w:hAnsi="Tahoma" w:cs="Tahoma"/>
                <w:b/>
                <w:noProof/>
                <w:sz w:val="20"/>
                <w:szCs w:val="20"/>
              </w:rPr>
              <w:t xml:space="preserve">? </w:t>
            </w:r>
          </w:p>
        </w:tc>
      </w:tr>
      <w:tr w:rsidR="000913A7">
        <w:trPr>
          <w:trHeight w:val="1765"/>
        </w:trPr>
        <w:tc>
          <w:tcPr>
            <w:tcW w:w="10188" w:type="dxa"/>
            <w:tcBorders>
              <w:bottom w:val="single" w:sz="4" w:space="0" w:color="auto"/>
            </w:tcBorders>
            <w:shd w:val="clear" w:color="auto" w:fill="auto"/>
          </w:tcPr>
          <w:p w:rsidR="000913A7" w:rsidRDefault="00253597">
            <w:pPr>
              <w:spacing w:after="120"/>
              <w:jc w:val="both"/>
              <w:rPr>
                <w:rFonts w:ascii="Tahoma" w:hAnsi="Tahoma" w:cs="Tahoma"/>
                <w:noProof/>
                <w:sz w:val="20"/>
                <w:szCs w:val="20"/>
              </w:rPr>
            </w:pPr>
            <w:r>
              <w:rPr>
                <w:rFonts w:ascii="Tahoma" w:hAnsi="Tahoma" w:cs="Tahoma"/>
                <w:noProof/>
                <w:sz w:val="20"/>
                <w:szCs w:val="20"/>
              </w:rPr>
              <w:t>Four problems are addressed:</w:t>
            </w:r>
          </w:p>
          <w:p w:rsidR="000913A7" w:rsidRDefault="00253597">
            <w:pPr>
              <w:pStyle w:val="ListParagraph"/>
              <w:numPr>
                <w:ilvl w:val="0"/>
                <w:numId w:val="9"/>
              </w:numPr>
              <w:spacing w:after="120"/>
              <w:jc w:val="both"/>
              <w:rPr>
                <w:rFonts w:ascii="Tahoma" w:hAnsi="Tahoma" w:cs="Tahoma"/>
                <w:noProof/>
                <w:sz w:val="20"/>
                <w:szCs w:val="20"/>
              </w:rPr>
            </w:pPr>
            <w:r>
              <w:rPr>
                <w:rFonts w:ascii="Tahoma" w:hAnsi="Tahoma" w:cs="Tahoma"/>
                <w:noProof/>
                <w:sz w:val="20"/>
                <w:szCs w:val="20"/>
              </w:rPr>
              <w:t>Road transport is responsible for 17% of the EU's CO</w:t>
            </w:r>
            <w:r>
              <w:rPr>
                <w:rFonts w:ascii="Tahoma" w:hAnsi="Tahoma" w:cs="Tahoma"/>
                <w:noProof/>
                <w:sz w:val="20"/>
                <w:szCs w:val="20"/>
                <w:vertAlign w:val="subscript"/>
              </w:rPr>
              <w:t>2</w:t>
            </w:r>
            <w:r>
              <w:rPr>
                <w:rFonts w:ascii="Tahoma" w:hAnsi="Tahoma" w:cs="Tahoma"/>
                <w:noProof/>
                <w:sz w:val="20"/>
                <w:szCs w:val="20"/>
              </w:rPr>
              <w:t xml:space="preserve"> emissions and the uptake of low- and zero-emission vehicles is insufficient to meet the 2030 climate and energy targets </w:t>
            </w:r>
          </w:p>
          <w:p w:rsidR="000913A7" w:rsidRDefault="00253597">
            <w:pPr>
              <w:pStyle w:val="ListParagraph"/>
              <w:numPr>
                <w:ilvl w:val="0"/>
                <w:numId w:val="9"/>
              </w:numPr>
              <w:spacing w:after="120"/>
              <w:jc w:val="both"/>
              <w:rPr>
                <w:rFonts w:ascii="Tahoma" w:hAnsi="Tahoma" w:cs="Tahoma"/>
                <w:noProof/>
                <w:sz w:val="20"/>
                <w:szCs w:val="20"/>
              </w:rPr>
            </w:pPr>
            <w:r>
              <w:rPr>
                <w:rFonts w:ascii="Tahoma" w:hAnsi="Tahoma" w:cs="Tahoma"/>
                <w:noProof/>
                <w:sz w:val="20"/>
                <w:szCs w:val="20"/>
              </w:rPr>
              <w:t>The quality of EU roads is degrading, due to falling infrastructure investments and deferred maintenance schedules not taking long term economic impacts into account</w:t>
            </w:r>
          </w:p>
          <w:p w:rsidR="000913A7" w:rsidRDefault="00253597">
            <w:pPr>
              <w:pStyle w:val="ListParagraph"/>
              <w:numPr>
                <w:ilvl w:val="0"/>
                <w:numId w:val="9"/>
              </w:numPr>
              <w:spacing w:after="120"/>
              <w:jc w:val="both"/>
              <w:rPr>
                <w:rFonts w:ascii="Tahoma" w:hAnsi="Tahoma" w:cs="Tahoma"/>
                <w:noProof/>
                <w:sz w:val="20"/>
                <w:szCs w:val="20"/>
              </w:rPr>
            </w:pPr>
            <w:r>
              <w:rPr>
                <w:rFonts w:ascii="Tahoma" w:hAnsi="Tahoma" w:cs="Tahoma"/>
                <w:noProof/>
                <w:sz w:val="20"/>
                <w:szCs w:val="20"/>
              </w:rPr>
              <w:t>Some Member States introduced time-based charges (vignettes), which discriminate against occasional, foreign drivers</w:t>
            </w:r>
          </w:p>
          <w:p w:rsidR="000913A7" w:rsidRDefault="00253597">
            <w:pPr>
              <w:pStyle w:val="ListParagraph"/>
              <w:numPr>
                <w:ilvl w:val="0"/>
                <w:numId w:val="9"/>
              </w:numPr>
              <w:spacing w:after="120"/>
              <w:jc w:val="both"/>
              <w:rPr>
                <w:rFonts w:ascii="Tahoma" w:hAnsi="Tahoma" w:cs="Tahoma"/>
                <w:noProof/>
                <w:sz w:val="20"/>
                <w:szCs w:val="20"/>
              </w:rPr>
            </w:pPr>
            <w:r>
              <w:rPr>
                <w:rFonts w:ascii="Tahoma" w:hAnsi="Tahoma" w:cs="Tahoma"/>
                <w:noProof/>
                <w:sz w:val="20"/>
                <w:szCs w:val="20"/>
              </w:rPr>
              <w:t>Air pollution and congestion generated by road vehicles represent significant costs to society</w:t>
            </w:r>
          </w:p>
          <w:p w:rsidR="000913A7" w:rsidRDefault="00253597">
            <w:pPr>
              <w:spacing w:after="120"/>
              <w:jc w:val="both"/>
              <w:rPr>
                <w:rFonts w:ascii="Tahoma" w:hAnsi="Tahoma" w:cs="Tahoma"/>
                <w:noProof/>
                <w:sz w:val="20"/>
                <w:szCs w:val="20"/>
              </w:rPr>
            </w:pPr>
            <w:r>
              <w:rPr>
                <w:rFonts w:ascii="Tahoma" w:hAnsi="Tahoma" w:cs="Tahoma"/>
                <w:noProof/>
                <w:sz w:val="20"/>
                <w:szCs w:val="20"/>
              </w:rPr>
              <w:t>All of these problems could be addressed through fair and efficient road pricing. However, the application of tolls in the EU is incomplete and fragmented, hardly reflecting the real cost of road use.</w:t>
            </w:r>
          </w:p>
        </w:tc>
      </w:tr>
      <w:tr w:rsidR="000913A7">
        <w:tc>
          <w:tcPr>
            <w:tcW w:w="10188" w:type="dxa"/>
            <w:tcBorders>
              <w:bottom w:val="single" w:sz="4" w:space="0" w:color="auto"/>
            </w:tcBorders>
            <w:shd w:val="clear" w:color="auto" w:fill="E6E6E6"/>
          </w:tcPr>
          <w:p w:rsidR="000913A7" w:rsidRDefault="00253597">
            <w:pPr>
              <w:pStyle w:val="Default"/>
              <w:jc w:val="both"/>
              <w:rPr>
                <w:rFonts w:ascii="Tahoma" w:hAnsi="Tahoma" w:cs="Tahoma"/>
                <w:noProof/>
                <w:sz w:val="20"/>
                <w:szCs w:val="20"/>
              </w:rPr>
            </w:pPr>
            <w:r>
              <w:rPr>
                <w:rFonts w:ascii="Tahoma" w:hAnsi="Tahoma" w:cs="Tahoma"/>
                <w:b/>
                <w:bCs/>
                <w:noProof/>
                <w:sz w:val="20"/>
                <w:szCs w:val="20"/>
              </w:rPr>
              <w:t xml:space="preserve">What should be achieved? </w:t>
            </w:r>
          </w:p>
        </w:tc>
      </w:tr>
      <w:tr w:rsidR="000913A7">
        <w:tc>
          <w:tcPr>
            <w:tcW w:w="10188" w:type="dxa"/>
            <w:tcBorders>
              <w:bottom w:val="single" w:sz="4" w:space="0" w:color="auto"/>
            </w:tcBorders>
            <w:shd w:val="clear" w:color="auto" w:fill="auto"/>
          </w:tcPr>
          <w:p w:rsidR="000913A7" w:rsidRDefault="00253597">
            <w:pPr>
              <w:jc w:val="both"/>
              <w:rPr>
                <w:rFonts w:ascii="Tahoma" w:hAnsi="Tahoma" w:cs="Tahoma"/>
                <w:noProof/>
                <w:sz w:val="20"/>
                <w:szCs w:val="20"/>
              </w:rPr>
            </w:pPr>
            <w:r>
              <w:rPr>
                <w:rFonts w:ascii="Tahoma" w:hAnsi="Tahoma" w:cs="Tahoma"/>
                <w:noProof/>
                <w:sz w:val="20"/>
                <w:szCs w:val="20"/>
              </w:rPr>
              <w:t>The objective is to promote sustainable and equitable road transport through wider application of the 'user pays' and 'polluter pays' principles:</w:t>
            </w:r>
          </w:p>
          <w:p w:rsidR="000913A7" w:rsidRDefault="00253597">
            <w:pPr>
              <w:pStyle w:val="ListParagraph"/>
              <w:numPr>
                <w:ilvl w:val="0"/>
                <w:numId w:val="10"/>
              </w:numPr>
              <w:spacing w:after="120"/>
              <w:jc w:val="both"/>
              <w:rPr>
                <w:rFonts w:ascii="Tahoma" w:hAnsi="Tahoma" w:cs="Tahoma"/>
                <w:noProof/>
                <w:sz w:val="20"/>
                <w:szCs w:val="20"/>
              </w:rPr>
            </w:pPr>
            <w:r>
              <w:rPr>
                <w:rFonts w:ascii="Tahoma" w:hAnsi="Tahoma" w:cs="Tahoma"/>
                <w:noProof/>
                <w:sz w:val="20"/>
                <w:szCs w:val="20"/>
              </w:rPr>
              <w:t>Contributing to the reduction of CO2 emissions in transport via pricing</w:t>
            </w:r>
          </w:p>
          <w:p w:rsidR="000913A7" w:rsidRDefault="00253597">
            <w:pPr>
              <w:pStyle w:val="ListParagraph"/>
              <w:numPr>
                <w:ilvl w:val="0"/>
                <w:numId w:val="10"/>
              </w:numPr>
              <w:spacing w:after="120"/>
              <w:jc w:val="both"/>
              <w:rPr>
                <w:rFonts w:ascii="Tahoma" w:hAnsi="Tahoma" w:cs="Tahoma"/>
                <w:noProof/>
                <w:sz w:val="20"/>
                <w:szCs w:val="20"/>
              </w:rPr>
            </w:pPr>
            <w:r>
              <w:rPr>
                <w:rFonts w:ascii="Tahoma" w:hAnsi="Tahoma" w:cs="Tahoma"/>
                <w:noProof/>
                <w:sz w:val="20"/>
                <w:szCs w:val="20"/>
              </w:rPr>
              <w:t>Contributing to adequate road quality</w:t>
            </w:r>
          </w:p>
          <w:p w:rsidR="000913A7" w:rsidRDefault="00253597">
            <w:pPr>
              <w:pStyle w:val="ListParagraph"/>
              <w:numPr>
                <w:ilvl w:val="0"/>
                <w:numId w:val="10"/>
              </w:numPr>
              <w:spacing w:after="120"/>
              <w:jc w:val="both"/>
              <w:rPr>
                <w:rFonts w:ascii="Tahoma" w:hAnsi="Tahoma" w:cs="Tahoma"/>
                <w:noProof/>
                <w:sz w:val="20"/>
                <w:szCs w:val="20"/>
              </w:rPr>
            </w:pPr>
            <w:r>
              <w:rPr>
                <w:rFonts w:ascii="Tahoma" w:hAnsi="Tahoma" w:cs="Tahoma"/>
                <w:noProof/>
                <w:sz w:val="20"/>
                <w:szCs w:val="20"/>
              </w:rPr>
              <w:t>Ensuring that road charging schemes do not discriminate against non-resident motorists, and</w:t>
            </w:r>
          </w:p>
          <w:p w:rsidR="000913A7" w:rsidRDefault="00253597">
            <w:pPr>
              <w:pStyle w:val="ListParagraph"/>
              <w:numPr>
                <w:ilvl w:val="0"/>
                <w:numId w:val="10"/>
              </w:numPr>
              <w:spacing w:after="120"/>
              <w:jc w:val="both"/>
              <w:rPr>
                <w:rFonts w:ascii="Tahoma" w:hAnsi="Tahoma" w:cs="Tahoma"/>
                <w:noProof/>
                <w:sz w:val="20"/>
                <w:szCs w:val="20"/>
              </w:rPr>
            </w:pPr>
            <w:r>
              <w:rPr>
                <w:rFonts w:ascii="Tahoma" w:hAnsi="Tahoma" w:cs="Tahoma"/>
                <w:noProof/>
                <w:sz w:val="20"/>
                <w:szCs w:val="20"/>
              </w:rPr>
              <w:t>Making use of road charging as an effective tool in reducing air pollution and congestion.</w:t>
            </w:r>
          </w:p>
        </w:tc>
      </w:tr>
      <w:tr w:rsidR="000913A7">
        <w:tc>
          <w:tcPr>
            <w:tcW w:w="10188" w:type="dxa"/>
            <w:tcBorders>
              <w:bottom w:val="single" w:sz="4" w:space="0" w:color="auto"/>
            </w:tcBorders>
            <w:shd w:val="clear" w:color="auto" w:fill="E6E6E6"/>
          </w:tcPr>
          <w:p w:rsidR="000913A7" w:rsidRDefault="00253597">
            <w:pPr>
              <w:pStyle w:val="Default"/>
              <w:jc w:val="both"/>
              <w:rPr>
                <w:rFonts w:ascii="Tahoma" w:hAnsi="Tahoma" w:cs="Tahoma"/>
                <w:noProof/>
                <w:sz w:val="20"/>
                <w:szCs w:val="20"/>
              </w:rPr>
            </w:pPr>
            <w:r>
              <w:rPr>
                <w:rFonts w:ascii="Tahoma" w:hAnsi="Tahoma" w:cs="Tahoma"/>
                <w:b/>
                <w:bCs/>
                <w:noProof/>
                <w:sz w:val="20"/>
                <w:szCs w:val="20"/>
              </w:rPr>
              <w:t xml:space="preserve">What is the value added of action at the EU level (subsidiarity)? </w:t>
            </w:r>
          </w:p>
        </w:tc>
      </w:tr>
      <w:tr w:rsidR="000913A7">
        <w:tc>
          <w:tcPr>
            <w:tcW w:w="10188" w:type="dxa"/>
            <w:tcBorders>
              <w:bottom w:val="single" w:sz="4" w:space="0" w:color="auto"/>
            </w:tcBorders>
            <w:shd w:val="clear" w:color="auto" w:fill="auto"/>
          </w:tcPr>
          <w:p w:rsidR="000913A7" w:rsidRDefault="00253597">
            <w:pPr>
              <w:spacing w:after="120"/>
              <w:jc w:val="both"/>
              <w:rPr>
                <w:rFonts w:ascii="Tahoma" w:hAnsi="Tahoma" w:cs="Tahoma"/>
                <w:noProof/>
                <w:sz w:val="20"/>
                <w:szCs w:val="20"/>
              </w:rPr>
            </w:pPr>
            <w:r>
              <w:rPr>
                <w:rFonts w:ascii="Tahoma" w:hAnsi="Tahoma" w:cs="Tahoma"/>
                <w:noProof/>
                <w:sz w:val="20"/>
                <w:szCs w:val="20"/>
              </w:rPr>
              <w:t>High CO</w:t>
            </w:r>
            <w:r>
              <w:rPr>
                <w:rFonts w:ascii="Tahoma" w:hAnsi="Tahoma" w:cs="Tahoma"/>
                <w:noProof/>
                <w:sz w:val="20"/>
                <w:szCs w:val="20"/>
                <w:vertAlign w:val="subscript"/>
              </w:rPr>
              <w:t>2</w:t>
            </w:r>
            <w:r>
              <w:rPr>
                <w:rFonts w:ascii="Tahoma" w:hAnsi="Tahoma" w:cs="Tahoma"/>
                <w:noProof/>
                <w:sz w:val="20"/>
                <w:szCs w:val="20"/>
              </w:rPr>
              <w:t xml:space="preserve"> emissions are a global problem calling for concerted action at all levels. The problem of discrimination of non-resident drivers is cross-border by nature, and can only be solved at a supra-national level. Degrading quality of roads, air pollution and congestion have both local and EU-wide implications. Co-ordination of national actions is needed to ensure the free movement of people and goods across the Union.</w:t>
            </w:r>
          </w:p>
        </w:tc>
      </w:tr>
      <w:tr w:rsidR="000913A7">
        <w:tc>
          <w:tcPr>
            <w:tcW w:w="10188" w:type="dxa"/>
            <w:tcBorders>
              <w:bottom w:val="single" w:sz="4" w:space="0" w:color="auto"/>
            </w:tcBorders>
            <w:shd w:val="clear" w:color="auto" w:fill="CCCCCC"/>
          </w:tcPr>
          <w:p w:rsidR="000913A7" w:rsidRDefault="00253597">
            <w:pPr>
              <w:spacing w:before="60" w:after="60"/>
              <w:rPr>
                <w:rFonts w:ascii="Tahoma" w:hAnsi="Tahoma" w:cs="Tahoma"/>
                <w:b/>
                <w:noProof/>
                <w:sz w:val="20"/>
                <w:szCs w:val="20"/>
              </w:rPr>
            </w:pPr>
            <w:r>
              <w:rPr>
                <w:rFonts w:ascii="Tahoma" w:hAnsi="Tahoma" w:cs="Tahoma"/>
                <w:b/>
                <w:noProof/>
                <w:sz w:val="20"/>
                <w:szCs w:val="20"/>
              </w:rPr>
              <w:t>B. Solutions</w:t>
            </w:r>
          </w:p>
        </w:tc>
      </w:tr>
      <w:tr w:rsidR="000913A7">
        <w:tc>
          <w:tcPr>
            <w:tcW w:w="10188" w:type="dxa"/>
            <w:tcBorders>
              <w:bottom w:val="single" w:sz="4" w:space="0" w:color="auto"/>
            </w:tcBorders>
            <w:shd w:val="clear" w:color="auto" w:fill="E6E6E6"/>
          </w:tcPr>
          <w:p w:rsidR="000913A7" w:rsidRDefault="00253597">
            <w:pPr>
              <w:pStyle w:val="Default"/>
              <w:jc w:val="both"/>
              <w:rPr>
                <w:rFonts w:ascii="Tahoma" w:hAnsi="Tahoma" w:cs="Tahoma"/>
                <w:noProof/>
                <w:sz w:val="20"/>
                <w:szCs w:val="20"/>
              </w:rPr>
            </w:pPr>
            <w:r>
              <w:rPr>
                <w:rFonts w:ascii="Tahoma" w:hAnsi="Tahoma" w:cs="Tahoma"/>
                <w:b/>
                <w:bCs/>
                <w:noProof/>
                <w:sz w:val="20"/>
                <w:szCs w:val="20"/>
              </w:rPr>
              <w:t xml:space="preserve">What are the various options to achieve the objectives? Is there a preferred option or not? If not, why? </w:t>
            </w:r>
          </w:p>
        </w:tc>
      </w:tr>
      <w:tr w:rsidR="000913A7">
        <w:trPr>
          <w:trHeight w:val="226"/>
        </w:trPr>
        <w:tc>
          <w:tcPr>
            <w:tcW w:w="10188" w:type="dxa"/>
            <w:tcBorders>
              <w:bottom w:val="single" w:sz="4" w:space="0" w:color="auto"/>
            </w:tcBorders>
            <w:shd w:val="clear" w:color="auto" w:fill="auto"/>
          </w:tcPr>
          <w:p w:rsidR="000913A7" w:rsidRDefault="00253597">
            <w:pPr>
              <w:spacing w:after="120"/>
              <w:jc w:val="both"/>
              <w:rPr>
                <w:rFonts w:ascii="Tahoma" w:hAnsi="Tahoma" w:cs="Tahoma"/>
                <w:noProof/>
                <w:sz w:val="20"/>
                <w:szCs w:val="20"/>
              </w:rPr>
            </w:pPr>
            <w:r>
              <w:rPr>
                <w:rFonts w:ascii="Tahoma" w:hAnsi="Tahoma" w:cs="Tahoma"/>
                <w:noProof/>
                <w:sz w:val="20"/>
                <w:szCs w:val="20"/>
              </w:rPr>
              <w:t>Policy options (PO) differ by the level of intervention, ranging from relatively light to heavy.</w:t>
            </w:r>
          </w:p>
          <w:p w:rsidR="000913A7" w:rsidRDefault="00253597">
            <w:pPr>
              <w:spacing w:after="120"/>
              <w:jc w:val="both"/>
              <w:rPr>
                <w:rFonts w:ascii="Tahoma" w:hAnsi="Tahoma" w:cs="Tahoma"/>
                <w:noProof/>
                <w:sz w:val="20"/>
                <w:szCs w:val="20"/>
              </w:rPr>
            </w:pPr>
            <w:r>
              <w:rPr>
                <w:rFonts w:ascii="Tahoma" w:hAnsi="Tahoma" w:cs="Tahoma"/>
                <w:noProof/>
                <w:sz w:val="20"/>
                <w:szCs w:val="20"/>
              </w:rPr>
              <w:t>The most important measures of PO1 are simplifying existing provisions, extending the scope to buses/coaches and, for provisions on non-discrimination, to light vehicles.</w:t>
            </w:r>
          </w:p>
          <w:p w:rsidR="000913A7" w:rsidRDefault="00253597">
            <w:pPr>
              <w:spacing w:after="120"/>
              <w:jc w:val="both"/>
              <w:rPr>
                <w:rFonts w:ascii="Tahoma" w:hAnsi="Tahoma" w:cs="Tahoma"/>
                <w:noProof/>
                <w:sz w:val="20"/>
                <w:szCs w:val="20"/>
              </w:rPr>
            </w:pPr>
            <w:r>
              <w:rPr>
                <w:rFonts w:ascii="Tahoma" w:hAnsi="Tahoma" w:cs="Tahoma"/>
                <w:noProof/>
                <w:sz w:val="20"/>
                <w:szCs w:val="20"/>
              </w:rPr>
              <w:t>PO2 builds on PO1 and introduces the variation of charges based on CO</w:t>
            </w:r>
            <w:r>
              <w:rPr>
                <w:rFonts w:ascii="Tahoma" w:hAnsi="Tahoma" w:cs="Tahoma"/>
                <w:noProof/>
                <w:sz w:val="20"/>
                <w:szCs w:val="20"/>
                <w:vertAlign w:val="subscript"/>
              </w:rPr>
              <w:t xml:space="preserve">2 </w:t>
            </w:r>
            <w:r>
              <w:rPr>
                <w:rFonts w:ascii="Tahoma" w:hAnsi="Tahoma" w:cs="Tahoma"/>
                <w:noProof/>
                <w:sz w:val="20"/>
                <w:szCs w:val="20"/>
              </w:rPr>
              <w:t>emissions with the phasing out of vignettes for HDVs (HGVs and buses/coaches), while incentivising the introduction of distance-based charging.</w:t>
            </w:r>
          </w:p>
          <w:p w:rsidR="000913A7" w:rsidRDefault="00253597">
            <w:pPr>
              <w:spacing w:after="120"/>
              <w:jc w:val="both"/>
              <w:rPr>
                <w:rFonts w:ascii="Tahoma" w:hAnsi="Tahoma" w:cs="Tahoma"/>
                <w:noProof/>
                <w:sz w:val="20"/>
                <w:szCs w:val="20"/>
              </w:rPr>
            </w:pPr>
            <w:r>
              <w:rPr>
                <w:rFonts w:ascii="Tahoma" w:hAnsi="Tahoma" w:cs="Tahoma"/>
                <w:noProof/>
                <w:sz w:val="20"/>
                <w:szCs w:val="20"/>
              </w:rPr>
              <w:t>PO3, with two variants, includes additional measures for cars and vans, addressing interurban congestion (3a and 3b) as well as CO</w:t>
            </w:r>
            <w:r>
              <w:rPr>
                <w:rFonts w:ascii="Tahoma" w:hAnsi="Tahoma" w:cs="Tahoma"/>
                <w:noProof/>
                <w:sz w:val="20"/>
                <w:szCs w:val="20"/>
                <w:vertAlign w:val="subscript"/>
              </w:rPr>
              <w:t>2</w:t>
            </w:r>
            <w:r>
              <w:rPr>
                <w:rFonts w:ascii="Tahoma" w:hAnsi="Tahoma" w:cs="Tahoma"/>
                <w:noProof/>
                <w:sz w:val="20"/>
                <w:szCs w:val="20"/>
              </w:rPr>
              <w:t xml:space="preserve"> and pollutant emissions by differentiating tolls and user charges for light vehicles (PO3b).</w:t>
            </w:r>
          </w:p>
          <w:p w:rsidR="000913A7" w:rsidRDefault="00253597">
            <w:pPr>
              <w:spacing w:after="120"/>
              <w:jc w:val="both"/>
              <w:rPr>
                <w:rFonts w:ascii="Tahoma" w:hAnsi="Tahoma" w:cs="Tahoma"/>
                <w:noProof/>
                <w:sz w:val="20"/>
                <w:szCs w:val="20"/>
              </w:rPr>
            </w:pPr>
            <w:r>
              <w:rPr>
                <w:rFonts w:ascii="Tahoma" w:hAnsi="Tahoma" w:cs="Tahoma"/>
                <w:noProof/>
                <w:sz w:val="20"/>
                <w:szCs w:val="20"/>
              </w:rPr>
              <w:t>PO4 phases out vignettes for all vehicles and mandates external cost charging for HDVs.</w:t>
            </w:r>
          </w:p>
          <w:p w:rsidR="000913A7" w:rsidRDefault="00253597">
            <w:pPr>
              <w:spacing w:after="120"/>
              <w:jc w:val="both"/>
              <w:rPr>
                <w:rFonts w:ascii="Tahoma" w:hAnsi="Tahoma" w:cs="Tahoma"/>
                <w:noProof/>
                <w:sz w:val="20"/>
                <w:szCs w:val="20"/>
              </w:rPr>
            </w:pPr>
            <w:r>
              <w:rPr>
                <w:rFonts w:ascii="Tahoma" w:hAnsi="Tahoma" w:cs="Tahoma"/>
                <w:noProof/>
                <w:sz w:val="20"/>
                <w:szCs w:val="20"/>
              </w:rPr>
              <w:t>PO3b is the preferred option. PO4 would be more effective in reaching the objectives, but it entails higher costs. Subject to political decision, some measures of PO4 could be added to PO3b with sufficiently long phasing-in period to allow gradual adaptation and spreading the costs.</w:t>
            </w:r>
          </w:p>
        </w:tc>
      </w:tr>
      <w:tr w:rsidR="000913A7">
        <w:tc>
          <w:tcPr>
            <w:tcW w:w="10188" w:type="dxa"/>
            <w:shd w:val="clear" w:color="auto" w:fill="E6E6E6"/>
          </w:tcPr>
          <w:p w:rsidR="000913A7" w:rsidRDefault="00253597">
            <w:pPr>
              <w:pStyle w:val="Default"/>
              <w:jc w:val="both"/>
              <w:rPr>
                <w:rFonts w:ascii="Tahoma" w:hAnsi="Tahoma" w:cs="Tahoma"/>
                <w:b/>
                <w:bCs/>
                <w:noProof/>
                <w:sz w:val="20"/>
                <w:szCs w:val="20"/>
              </w:rPr>
            </w:pPr>
            <w:r>
              <w:rPr>
                <w:rFonts w:ascii="Tahoma" w:hAnsi="Tahoma" w:cs="Tahoma"/>
                <w:b/>
                <w:bCs/>
                <w:noProof/>
                <w:sz w:val="20"/>
                <w:szCs w:val="20"/>
              </w:rPr>
              <w:t xml:space="preserve">What are different stakeholders' views? Who supports which option? </w:t>
            </w:r>
          </w:p>
        </w:tc>
      </w:tr>
      <w:tr w:rsidR="000913A7">
        <w:tc>
          <w:tcPr>
            <w:tcW w:w="10188" w:type="dxa"/>
            <w:shd w:val="clear" w:color="auto" w:fill="auto"/>
          </w:tcPr>
          <w:p w:rsidR="000913A7" w:rsidRDefault="00253597">
            <w:pPr>
              <w:spacing w:after="120"/>
              <w:jc w:val="both"/>
              <w:rPr>
                <w:rFonts w:ascii="Tahoma" w:hAnsi="Tahoma" w:cs="Tahoma"/>
                <w:noProof/>
                <w:sz w:val="20"/>
                <w:szCs w:val="20"/>
              </w:rPr>
            </w:pPr>
            <w:r>
              <w:rPr>
                <w:rFonts w:ascii="Tahoma" w:hAnsi="Tahoma" w:cs="Tahoma"/>
                <w:noProof/>
                <w:sz w:val="20"/>
                <w:szCs w:val="20"/>
              </w:rPr>
              <w:t>PO1 is generally supported by stakeholders, although some Member States oppose measures on road quality. The promotion of low-emission vehicles (PO2) is widely supported, while a few Member States oppose the phasing out of HGV vignettes. Measures on congestion charging (PO3) were met with some scepticism, but stakeholders agree that if implemented, such charges should apply to all vehicles. PO4 was seen with reserve, as it contains strong obligations for Member States.</w:t>
            </w:r>
          </w:p>
        </w:tc>
      </w:tr>
    </w:tbl>
    <w:p w:rsidR="000913A7" w:rsidRDefault="00253597">
      <w:pPr>
        <w:rPr>
          <w:noProof/>
        </w:rPr>
      </w:pPr>
      <w:r>
        <w:rPr>
          <w:noProof/>
        </w:rPr>
        <w:br w:type="page"/>
      </w:r>
    </w:p>
    <w:tbl>
      <w:tblPr>
        <w:tblStyle w:val="TableGrid"/>
        <w:tblW w:w="10188" w:type="dxa"/>
        <w:tblLook w:val="01E0" w:firstRow="1" w:lastRow="1" w:firstColumn="1" w:lastColumn="1" w:noHBand="0" w:noVBand="0"/>
      </w:tblPr>
      <w:tblGrid>
        <w:gridCol w:w="10188"/>
      </w:tblGrid>
      <w:tr w:rsidR="000913A7">
        <w:tc>
          <w:tcPr>
            <w:tcW w:w="10188" w:type="dxa"/>
            <w:tcBorders>
              <w:bottom w:val="single" w:sz="4" w:space="0" w:color="auto"/>
            </w:tcBorders>
            <w:shd w:val="clear" w:color="auto" w:fill="CCCCCC"/>
          </w:tcPr>
          <w:p w:rsidR="000913A7" w:rsidRDefault="00253597">
            <w:pPr>
              <w:spacing w:before="60" w:after="60"/>
              <w:rPr>
                <w:rFonts w:ascii="Tahoma" w:hAnsi="Tahoma" w:cs="Tahoma"/>
                <w:b/>
                <w:noProof/>
                <w:sz w:val="20"/>
                <w:szCs w:val="20"/>
              </w:rPr>
            </w:pPr>
            <w:r>
              <w:rPr>
                <w:rFonts w:ascii="Tahoma" w:hAnsi="Tahoma" w:cs="Tahoma"/>
                <w:b/>
                <w:noProof/>
                <w:sz w:val="20"/>
                <w:szCs w:val="20"/>
              </w:rPr>
              <w:lastRenderedPageBreak/>
              <w:t>C. Impacts of the preferred option</w:t>
            </w:r>
          </w:p>
        </w:tc>
      </w:tr>
      <w:tr w:rsidR="000913A7">
        <w:tc>
          <w:tcPr>
            <w:tcW w:w="10188" w:type="dxa"/>
            <w:tcBorders>
              <w:bottom w:val="single" w:sz="4" w:space="0" w:color="auto"/>
            </w:tcBorders>
            <w:shd w:val="clear" w:color="auto" w:fill="E6E6E6"/>
          </w:tcPr>
          <w:p w:rsidR="000913A7" w:rsidRDefault="00253597">
            <w:pPr>
              <w:pStyle w:val="Default"/>
              <w:jc w:val="both"/>
              <w:rPr>
                <w:rFonts w:ascii="Tahoma" w:hAnsi="Tahoma" w:cs="Tahoma"/>
                <w:noProof/>
                <w:sz w:val="20"/>
                <w:szCs w:val="20"/>
              </w:rPr>
            </w:pPr>
            <w:r>
              <w:rPr>
                <w:rFonts w:ascii="Tahoma" w:hAnsi="Tahoma" w:cs="Tahoma"/>
                <w:b/>
                <w:bCs/>
                <w:noProof/>
                <w:sz w:val="20"/>
                <w:szCs w:val="20"/>
              </w:rPr>
              <w:t xml:space="preserve">What are the benefits of the preferred option (if any, otherwise of main ones)? </w:t>
            </w:r>
          </w:p>
        </w:tc>
      </w:tr>
      <w:tr w:rsidR="000913A7">
        <w:trPr>
          <w:trHeight w:val="1966"/>
        </w:trPr>
        <w:tc>
          <w:tcPr>
            <w:tcW w:w="10188" w:type="dxa"/>
            <w:tcBorders>
              <w:bottom w:val="single" w:sz="4" w:space="0" w:color="auto"/>
            </w:tcBorders>
            <w:shd w:val="clear" w:color="auto" w:fill="auto"/>
          </w:tcPr>
          <w:p w:rsidR="000913A7" w:rsidRDefault="00253597">
            <w:pPr>
              <w:spacing w:before="120" w:after="120"/>
              <w:jc w:val="both"/>
              <w:rPr>
                <w:rFonts w:ascii="Tahoma" w:hAnsi="Tahoma" w:cs="Tahoma"/>
                <w:noProof/>
                <w:sz w:val="20"/>
                <w:szCs w:val="20"/>
              </w:rPr>
            </w:pPr>
            <w:r>
              <w:rPr>
                <w:rFonts w:ascii="Tahoma" w:hAnsi="Tahoma" w:cs="Tahoma"/>
                <w:noProof/>
                <w:sz w:val="20"/>
                <w:szCs w:val="20"/>
              </w:rPr>
              <w:t>PO3b would</w:t>
            </w:r>
          </w:p>
          <w:p w:rsidR="000913A7" w:rsidRDefault="00253597">
            <w:pPr>
              <w:pStyle w:val="ListParagraph"/>
              <w:numPr>
                <w:ilvl w:val="0"/>
                <w:numId w:val="6"/>
              </w:numPr>
              <w:spacing w:before="120" w:after="120"/>
              <w:jc w:val="both"/>
              <w:rPr>
                <w:rFonts w:ascii="Tahoma" w:hAnsi="Tahoma" w:cs="Tahoma"/>
                <w:noProof/>
                <w:sz w:val="20"/>
                <w:szCs w:val="20"/>
              </w:rPr>
            </w:pPr>
            <w:r>
              <w:rPr>
                <w:rFonts w:ascii="Tahoma" w:hAnsi="Tahoma" w:cs="Tahoma"/>
                <w:noProof/>
                <w:sz w:val="20"/>
                <w:szCs w:val="20"/>
              </w:rPr>
              <w:t>reduce congestion costs by €9 billion by 2030, provide additional toll revenues of €10 billion/year and help increase investment in roads by 25%</w:t>
            </w:r>
          </w:p>
          <w:p w:rsidR="000913A7" w:rsidRDefault="00253597">
            <w:pPr>
              <w:pStyle w:val="ListParagraph"/>
              <w:numPr>
                <w:ilvl w:val="0"/>
                <w:numId w:val="6"/>
              </w:numPr>
              <w:spacing w:before="120" w:after="120"/>
              <w:jc w:val="both"/>
              <w:rPr>
                <w:rFonts w:ascii="Tahoma" w:hAnsi="Tahoma" w:cs="Tahoma"/>
                <w:noProof/>
                <w:sz w:val="20"/>
                <w:szCs w:val="20"/>
              </w:rPr>
            </w:pPr>
            <w:r>
              <w:rPr>
                <w:rFonts w:ascii="Tahoma" w:hAnsi="Tahoma" w:cs="Tahoma"/>
                <w:noProof/>
                <w:sz w:val="20"/>
                <w:szCs w:val="20"/>
              </w:rPr>
              <w:t>significantly reduce CO</w:t>
            </w:r>
            <w:r>
              <w:rPr>
                <w:rFonts w:ascii="Tahoma" w:hAnsi="Tahoma" w:cs="Tahoma"/>
                <w:noProof/>
                <w:sz w:val="20"/>
                <w:szCs w:val="20"/>
                <w:vertAlign w:val="subscript"/>
              </w:rPr>
              <w:t>2</w:t>
            </w:r>
            <w:r>
              <w:rPr>
                <w:rFonts w:ascii="Tahoma" w:hAnsi="Tahoma" w:cs="Tahoma"/>
                <w:noProof/>
                <w:sz w:val="20"/>
                <w:szCs w:val="20"/>
              </w:rPr>
              <w:t>, NO</w:t>
            </w:r>
            <w:r>
              <w:rPr>
                <w:rFonts w:ascii="Tahoma" w:hAnsi="Tahoma" w:cs="Tahoma"/>
                <w:noProof/>
                <w:sz w:val="20"/>
                <w:szCs w:val="20"/>
                <w:vertAlign w:val="subscript"/>
              </w:rPr>
              <w:t>x</w:t>
            </w:r>
            <w:r>
              <w:rPr>
                <w:rFonts w:ascii="Tahoma" w:hAnsi="Tahoma" w:cs="Tahoma"/>
                <w:noProof/>
                <w:sz w:val="20"/>
                <w:szCs w:val="20"/>
              </w:rPr>
              <w:t xml:space="preserve"> and particulate matter emissions</w:t>
            </w:r>
          </w:p>
          <w:p w:rsidR="000913A7" w:rsidRDefault="00253597">
            <w:pPr>
              <w:pStyle w:val="ListParagraph"/>
              <w:numPr>
                <w:ilvl w:val="0"/>
                <w:numId w:val="6"/>
              </w:numPr>
              <w:spacing w:before="120" w:after="120"/>
              <w:jc w:val="both"/>
              <w:rPr>
                <w:rFonts w:ascii="Tahoma" w:hAnsi="Tahoma" w:cs="Tahoma"/>
                <w:noProof/>
                <w:sz w:val="20"/>
                <w:szCs w:val="20"/>
              </w:rPr>
            </w:pPr>
            <w:r>
              <w:rPr>
                <w:rFonts w:ascii="Tahoma" w:hAnsi="Tahoma" w:cs="Tahoma"/>
                <w:noProof/>
                <w:sz w:val="20"/>
                <w:szCs w:val="20"/>
              </w:rPr>
              <w:t>improve public health and reduce the costs of air pollution and accidents (€0.37 billion by 2030)</w:t>
            </w:r>
          </w:p>
          <w:p w:rsidR="000913A7" w:rsidRDefault="00253597">
            <w:pPr>
              <w:pStyle w:val="ListParagraph"/>
              <w:numPr>
                <w:ilvl w:val="0"/>
                <w:numId w:val="6"/>
              </w:numPr>
              <w:spacing w:before="120" w:after="120"/>
              <w:jc w:val="both"/>
              <w:rPr>
                <w:rFonts w:ascii="Tahoma" w:hAnsi="Tahoma" w:cs="Tahoma"/>
                <w:noProof/>
                <w:sz w:val="20"/>
                <w:szCs w:val="20"/>
              </w:rPr>
            </w:pPr>
            <w:r>
              <w:rPr>
                <w:rFonts w:ascii="Tahoma" w:hAnsi="Tahoma" w:cs="Tahoma"/>
                <w:noProof/>
                <w:sz w:val="20"/>
                <w:szCs w:val="20"/>
              </w:rPr>
              <w:t>allow generating up to 208,000 new jobs and additional benefits of 0.19% of GDP, and</w:t>
            </w:r>
          </w:p>
          <w:p w:rsidR="000913A7" w:rsidRDefault="00253597">
            <w:pPr>
              <w:pStyle w:val="ListParagraph"/>
              <w:numPr>
                <w:ilvl w:val="0"/>
                <w:numId w:val="6"/>
              </w:numPr>
              <w:spacing w:before="120" w:after="120"/>
              <w:jc w:val="both"/>
              <w:rPr>
                <w:rFonts w:ascii="Tahoma" w:hAnsi="Tahoma" w:cs="Tahoma"/>
                <w:noProof/>
                <w:sz w:val="20"/>
                <w:szCs w:val="20"/>
              </w:rPr>
            </w:pPr>
            <w:r>
              <w:rPr>
                <w:rFonts w:ascii="Tahoma" w:hAnsi="Tahoma" w:cs="Tahoma"/>
                <w:noProof/>
                <w:sz w:val="20"/>
                <w:szCs w:val="20"/>
              </w:rPr>
              <w:t>contribute to the equal treatment of EU citizens by halving the price of short term vignettes.</w:t>
            </w:r>
          </w:p>
        </w:tc>
      </w:tr>
      <w:tr w:rsidR="000913A7">
        <w:tc>
          <w:tcPr>
            <w:tcW w:w="10188" w:type="dxa"/>
            <w:tcBorders>
              <w:bottom w:val="single" w:sz="4" w:space="0" w:color="auto"/>
            </w:tcBorders>
            <w:shd w:val="clear" w:color="auto" w:fill="E6E6E6"/>
          </w:tcPr>
          <w:p w:rsidR="000913A7" w:rsidRDefault="00253597">
            <w:pPr>
              <w:pStyle w:val="Default"/>
              <w:jc w:val="both"/>
              <w:rPr>
                <w:rFonts w:ascii="Tahoma" w:hAnsi="Tahoma" w:cs="Tahoma"/>
                <w:noProof/>
                <w:sz w:val="20"/>
                <w:szCs w:val="20"/>
              </w:rPr>
            </w:pPr>
            <w:r>
              <w:rPr>
                <w:rFonts w:ascii="Tahoma" w:hAnsi="Tahoma" w:cs="Tahoma"/>
                <w:b/>
                <w:bCs/>
                <w:noProof/>
                <w:sz w:val="20"/>
                <w:szCs w:val="20"/>
              </w:rPr>
              <w:t xml:space="preserve">What are the costs of the preferred option (if any, otherwise of main ones)? </w:t>
            </w:r>
          </w:p>
        </w:tc>
      </w:tr>
      <w:tr w:rsidR="000913A7">
        <w:trPr>
          <w:trHeight w:val="1425"/>
        </w:trPr>
        <w:tc>
          <w:tcPr>
            <w:tcW w:w="10188" w:type="dxa"/>
            <w:tcBorders>
              <w:bottom w:val="single" w:sz="4" w:space="0" w:color="auto"/>
            </w:tcBorders>
            <w:shd w:val="clear" w:color="auto" w:fill="auto"/>
          </w:tcPr>
          <w:p w:rsidR="000913A7" w:rsidRDefault="00253597">
            <w:pPr>
              <w:spacing w:before="60" w:after="60"/>
              <w:jc w:val="both"/>
              <w:rPr>
                <w:rFonts w:ascii="Tahoma" w:hAnsi="Tahoma" w:cs="Tahoma"/>
                <w:noProof/>
                <w:sz w:val="20"/>
                <w:szCs w:val="20"/>
              </w:rPr>
            </w:pPr>
            <w:r>
              <w:rPr>
                <w:rFonts w:ascii="Tahoma" w:hAnsi="Tahoma" w:cs="Tahoma"/>
                <w:noProof/>
                <w:sz w:val="20"/>
                <w:szCs w:val="20"/>
              </w:rPr>
              <w:t>Freight transport costs could increase by 1.1%, with costs for passengers unchanged. Costs to authorities include the deployment of new tolling systems or expanding existing ones for the Member States concerned (one-off investment of €1.2-1.4 billion altogether), and operating costs of €168-200 million/year. Extension of road charging to new parts of the network and new user groups could increase compliance costs for road users by €198-228 million/year.</w:t>
            </w:r>
          </w:p>
        </w:tc>
      </w:tr>
      <w:tr w:rsidR="000913A7">
        <w:tc>
          <w:tcPr>
            <w:tcW w:w="10188" w:type="dxa"/>
            <w:tcBorders>
              <w:bottom w:val="single" w:sz="4" w:space="0" w:color="auto"/>
            </w:tcBorders>
            <w:shd w:val="clear" w:color="auto" w:fill="E6E6E6"/>
          </w:tcPr>
          <w:p w:rsidR="000913A7" w:rsidRDefault="00253597">
            <w:pPr>
              <w:pStyle w:val="Default"/>
              <w:jc w:val="both"/>
              <w:rPr>
                <w:rFonts w:ascii="Tahoma" w:hAnsi="Tahoma" w:cs="Tahoma"/>
                <w:noProof/>
                <w:sz w:val="20"/>
                <w:szCs w:val="20"/>
              </w:rPr>
            </w:pPr>
            <w:r>
              <w:rPr>
                <w:rFonts w:ascii="Tahoma" w:hAnsi="Tahoma" w:cs="Tahoma"/>
                <w:b/>
                <w:bCs/>
                <w:noProof/>
                <w:sz w:val="20"/>
                <w:szCs w:val="20"/>
              </w:rPr>
              <w:t xml:space="preserve">What are the impacts on SMEs and competitiveness? </w:t>
            </w:r>
          </w:p>
        </w:tc>
      </w:tr>
      <w:tr w:rsidR="000913A7">
        <w:tc>
          <w:tcPr>
            <w:tcW w:w="10188" w:type="dxa"/>
            <w:tcBorders>
              <w:bottom w:val="single" w:sz="4" w:space="0" w:color="auto"/>
            </w:tcBorders>
            <w:shd w:val="clear" w:color="auto" w:fill="auto"/>
          </w:tcPr>
          <w:p w:rsidR="000913A7" w:rsidRDefault="00253597">
            <w:pPr>
              <w:spacing w:before="60" w:after="60"/>
              <w:jc w:val="both"/>
              <w:rPr>
                <w:rFonts w:ascii="Tahoma" w:hAnsi="Tahoma" w:cs="Tahoma"/>
                <w:noProof/>
                <w:sz w:val="20"/>
                <w:szCs w:val="20"/>
              </w:rPr>
            </w:pPr>
            <w:r>
              <w:rPr>
                <w:rFonts w:ascii="Tahoma" w:hAnsi="Tahoma" w:cs="Tahoma"/>
                <w:noProof/>
                <w:sz w:val="20"/>
                <w:szCs w:val="20"/>
              </w:rPr>
              <w:t>Close to 100% of road haulage companies are SMEs. The extension of road tolls would increase compliance costs for them; however, most of the additional costs are passed on to clients, leading to a marginal (less than 0.25%) increase in prices. The possibility to decrease vehicle taxes could compensate for part of the cost rise.</w:t>
            </w:r>
          </w:p>
          <w:p w:rsidR="000913A7" w:rsidRDefault="00253597">
            <w:pPr>
              <w:spacing w:before="60" w:after="60"/>
              <w:jc w:val="both"/>
              <w:rPr>
                <w:rFonts w:ascii="Tahoma" w:hAnsi="Tahoma" w:cs="Tahoma"/>
                <w:noProof/>
                <w:sz w:val="20"/>
                <w:szCs w:val="20"/>
              </w:rPr>
            </w:pPr>
            <w:r>
              <w:rPr>
                <w:rFonts w:ascii="Tahoma" w:hAnsi="Tahoma" w:cs="Tahoma"/>
                <w:noProof/>
                <w:sz w:val="20"/>
                <w:szCs w:val="20"/>
              </w:rPr>
              <w:t>Increased investment in infrastructure would have a strong positive impact on the construction industry.</w:t>
            </w:r>
          </w:p>
        </w:tc>
      </w:tr>
      <w:tr w:rsidR="000913A7">
        <w:tc>
          <w:tcPr>
            <w:tcW w:w="10188" w:type="dxa"/>
            <w:tcBorders>
              <w:bottom w:val="single" w:sz="4" w:space="0" w:color="auto"/>
            </w:tcBorders>
            <w:shd w:val="clear" w:color="auto" w:fill="E6E6E6"/>
          </w:tcPr>
          <w:p w:rsidR="000913A7" w:rsidRDefault="00253597">
            <w:pPr>
              <w:pStyle w:val="Default"/>
              <w:jc w:val="both"/>
              <w:rPr>
                <w:rFonts w:ascii="Tahoma" w:hAnsi="Tahoma" w:cs="Tahoma"/>
                <w:noProof/>
                <w:sz w:val="20"/>
                <w:szCs w:val="20"/>
              </w:rPr>
            </w:pPr>
            <w:r>
              <w:rPr>
                <w:rFonts w:ascii="Tahoma" w:hAnsi="Tahoma" w:cs="Tahoma"/>
                <w:b/>
                <w:bCs/>
                <w:noProof/>
                <w:sz w:val="20"/>
                <w:szCs w:val="20"/>
              </w:rPr>
              <w:t xml:space="preserve">Will there be significant impacts on national budgets and administrations? </w:t>
            </w:r>
          </w:p>
        </w:tc>
      </w:tr>
      <w:tr w:rsidR="000913A7">
        <w:tc>
          <w:tcPr>
            <w:tcW w:w="10188" w:type="dxa"/>
            <w:shd w:val="clear" w:color="auto" w:fill="auto"/>
          </w:tcPr>
          <w:p w:rsidR="000913A7" w:rsidRDefault="00253597">
            <w:pPr>
              <w:spacing w:before="60" w:after="60"/>
              <w:jc w:val="both"/>
              <w:rPr>
                <w:rFonts w:ascii="Tahoma" w:hAnsi="Tahoma" w:cs="Tahoma"/>
                <w:noProof/>
                <w:sz w:val="20"/>
                <w:szCs w:val="20"/>
              </w:rPr>
            </w:pPr>
            <w:r>
              <w:rPr>
                <w:rFonts w:ascii="Tahoma" w:hAnsi="Tahoma" w:cs="Tahoma"/>
                <w:noProof/>
                <w:sz w:val="20"/>
                <w:szCs w:val="20"/>
              </w:rPr>
              <w:t>The public sector will benefit from additional revenues, which come at the cost of investment in the deployment and operation of new electronic tolling systems. The net impact on Member State budgets could amount to a surplus of close to €10 billion per year.</w:t>
            </w:r>
          </w:p>
        </w:tc>
      </w:tr>
      <w:tr w:rsidR="000913A7">
        <w:tc>
          <w:tcPr>
            <w:tcW w:w="10188" w:type="dxa"/>
            <w:tcBorders>
              <w:bottom w:val="single" w:sz="4" w:space="0" w:color="auto"/>
            </w:tcBorders>
            <w:shd w:val="clear" w:color="auto" w:fill="E6E6E6"/>
          </w:tcPr>
          <w:p w:rsidR="000913A7" w:rsidRDefault="00253597">
            <w:pPr>
              <w:pStyle w:val="Default"/>
              <w:jc w:val="both"/>
              <w:rPr>
                <w:rFonts w:ascii="Tahoma" w:hAnsi="Tahoma" w:cs="Tahoma"/>
                <w:noProof/>
                <w:sz w:val="20"/>
                <w:szCs w:val="20"/>
              </w:rPr>
            </w:pPr>
            <w:r>
              <w:rPr>
                <w:rFonts w:ascii="Tahoma" w:hAnsi="Tahoma" w:cs="Tahoma"/>
                <w:b/>
                <w:bCs/>
                <w:noProof/>
                <w:sz w:val="20"/>
                <w:szCs w:val="20"/>
              </w:rPr>
              <w:t xml:space="preserve">Will there be other significant impacts? </w:t>
            </w:r>
          </w:p>
        </w:tc>
      </w:tr>
      <w:tr w:rsidR="000913A7">
        <w:tc>
          <w:tcPr>
            <w:tcW w:w="10188" w:type="dxa"/>
            <w:tcBorders>
              <w:bottom w:val="single" w:sz="4" w:space="0" w:color="auto"/>
            </w:tcBorders>
            <w:shd w:val="clear" w:color="auto" w:fill="auto"/>
          </w:tcPr>
          <w:p w:rsidR="000913A7" w:rsidRDefault="00253597">
            <w:pPr>
              <w:spacing w:before="60" w:after="60"/>
              <w:jc w:val="both"/>
              <w:rPr>
                <w:rFonts w:ascii="Tahoma" w:hAnsi="Tahoma" w:cs="Tahoma"/>
                <w:noProof/>
                <w:sz w:val="20"/>
                <w:szCs w:val="20"/>
              </w:rPr>
            </w:pPr>
            <w:r>
              <w:rPr>
                <w:rFonts w:ascii="Tahoma" w:hAnsi="Tahoma" w:cs="Tahoma"/>
                <w:noProof/>
                <w:sz w:val="20"/>
                <w:szCs w:val="20"/>
              </w:rPr>
              <w:t>A relatively strong reduction in diesel consumption (by 1.3%) is expected.</w:t>
            </w:r>
          </w:p>
        </w:tc>
      </w:tr>
      <w:tr w:rsidR="000913A7">
        <w:tc>
          <w:tcPr>
            <w:tcW w:w="10188" w:type="dxa"/>
            <w:tcBorders>
              <w:bottom w:val="single" w:sz="4" w:space="0" w:color="auto"/>
            </w:tcBorders>
            <w:shd w:val="clear" w:color="auto" w:fill="E6E6E6"/>
          </w:tcPr>
          <w:p w:rsidR="000913A7" w:rsidRDefault="00253597">
            <w:pPr>
              <w:pStyle w:val="Default"/>
              <w:jc w:val="both"/>
              <w:rPr>
                <w:rFonts w:ascii="Tahoma" w:hAnsi="Tahoma" w:cs="Tahoma"/>
                <w:noProof/>
                <w:sz w:val="20"/>
                <w:szCs w:val="20"/>
              </w:rPr>
            </w:pPr>
            <w:r>
              <w:rPr>
                <w:rFonts w:ascii="Tahoma" w:hAnsi="Tahoma" w:cs="Tahoma"/>
                <w:b/>
                <w:bCs/>
                <w:noProof/>
                <w:sz w:val="20"/>
                <w:szCs w:val="20"/>
              </w:rPr>
              <w:t xml:space="preserve">Proportionality? </w:t>
            </w:r>
          </w:p>
        </w:tc>
      </w:tr>
      <w:tr w:rsidR="000913A7">
        <w:tc>
          <w:tcPr>
            <w:tcW w:w="10188" w:type="dxa"/>
            <w:shd w:val="clear" w:color="auto" w:fill="auto"/>
          </w:tcPr>
          <w:p w:rsidR="000913A7" w:rsidRDefault="00253597">
            <w:pPr>
              <w:spacing w:before="60" w:after="60"/>
              <w:jc w:val="both"/>
              <w:rPr>
                <w:rFonts w:ascii="Tahoma" w:hAnsi="Tahoma" w:cs="Tahoma"/>
                <w:noProof/>
                <w:sz w:val="20"/>
                <w:szCs w:val="20"/>
              </w:rPr>
            </w:pPr>
            <w:r>
              <w:rPr>
                <w:rFonts w:ascii="Tahoma" w:hAnsi="Tahoma" w:cs="Tahoma"/>
                <w:noProof/>
                <w:sz w:val="20"/>
                <w:szCs w:val="20"/>
              </w:rPr>
              <w:t>The initiative merely contributes to the achievement of the objectives. Rather than mandating the application of road charging, it co-ordinates and facilitates national action. Costs to Member States, businesses and citizens are limited compared to potential benefits. Thus it does not exceed what is necessary to solve the identified problems and meet the objectives.</w:t>
            </w:r>
          </w:p>
        </w:tc>
      </w:tr>
      <w:tr w:rsidR="000913A7">
        <w:tblPrEx>
          <w:tblLook w:val="04A0" w:firstRow="1" w:lastRow="0" w:firstColumn="1" w:lastColumn="0" w:noHBand="0" w:noVBand="1"/>
        </w:tblPrEx>
        <w:trPr>
          <w:trHeight w:val="298"/>
        </w:trPr>
        <w:tc>
          <w:tcPr>
            <w:tcW w:w="10188" w:type="dxa"/>
            <w:shd w:val="clear" w:color="auto" w:fill="D9D9D9" w:themeFill="background1" w:themeFillShade="D9"/>
          </w:tcPr>
          <w:p w:rsidR="000913A7" w:rsidRDefault="00253597">
            <w:pPr>
              <w:spacing w:before="60" w:after="60"/>
              <w:rPr>
                <w:rFonts w:ascii="Tahoma" w:hAnsi="Tahoma" w:cs="Tahoma"/>
                <w:b/>
                <w:noProof/>
                <w:sz w:val="20"/>
                <w:szCs w:val="20"/>
              </w:rPr>
            </w:pPr>
            <w:r>
              <w:rPr>
                <w:rFonts w:ascii="Tahoma" w:hAnsi="Tahoma" w:cs="Tahoma"/>
                <w:b/>
                <w:noProof/>
                <w:sz w:val="20"/>
                <w:szCs w:val="20"/>
              </w:rPr>
              <w:t>D. Follow up</w:t>
            </w:r>
          </w:p>
        </w:tc>
      </w:tr>
      <w:tr w:rsidR="000913A7">
        <w:tblPrEx>
          <w:tblLook w:val="04A0" w:firstRow="1" w:lastRow="0" w:firstColumn="1" w:lastColumn="0" w:noHBand="0" w:noVBand="1"/>
        </w:tblPrEx>
        <w:tc>
          <w:tcPr>
            <w:tcW w:w="10188" w:type="dxa"/>
          </w:tcPr>
          <w:p w:rsidR="000913A7" w:rsidRDefault="00253597">
            <w:pPr>
              <w:pStyle w:val="Default"/>
              <w:jc w:val="both"/>
              <w:rPr>
                <w:rFonts w:ascii="Tahoma" w:hAnsi="Tahoma" w:cs="Tahoma"/>
                <w:noProof/>
                <w:sz w:val="20"/>
                <w:szCs w:val="20"/>
              </w:rPr>
            </w:pPr>
            <w:r>
              <w:rPr>
                <w:rFonts w:ascii="Tahoma" w:hAnsi="Tahoma" w:cs="Tahoma"/>
                <w:b/>
                <w:bCs/>
                <w:noProof/>
                <w:sz w:val="20"/>
                <w:szCs w:val="20"/>
              </w:rPr>
              <w:t xml:space="preserve">When will the policy be reviewed? </w:t>
            </w:r>
          </w:p>
        </w:tc>
      </w:tr>
      <w:tr w:rsidR="000913A7">
        <w:tblPrEx>
          <w:tblLook w:val="04A0" w:firstRow="1" w:lastRow="0" w:firstColumn="1" w:lastColumn="0" w:noHBand="0" w:noVBand="1"/>
        </w:tblPrEx>
        <w:tc>
          <w:tcPr>
            <w:tcW w:w="10188" w:type="dxa"/>
          </w:tcPr>
          <w:p w:rsidR="000913A7" w:rsidRDefault="00253597">
            <w:pPr>
              <w:spacing w:before="60" w:after="60"/>
              <w:jc w:val="both"/>
              <w:rPr>
                <w:rFonts w:ascii="Tahoma" w:hAnsi="Tahoma" w:cs="Tahoma"/>
                <w:b/>
                <w:noProof/>
                <w:sz w:val="20"/>
                <w:szCs w:val="20"/>
              </w:rPr>
            </w:pPr>
            <w:r>
              <w:rPr>
                <w:rFonts w:ascii="Tahoma" w:hAnsi="Tahoma" w:cs="Tahoma"/>
                <w:noProof/>
                <w:sz w:val="20"/>
                <w:szCs w:val="20"/>
              </w:rPr>
              <w:t>The Commission will evaluate the new legislation in 2025.</w:t>
            </w:r>
          </w:p>
        </w:tc>
      </w:tr>
    </w:tbl>
    <w:p w:rsidR="000913A7" w:rsidRDefault="000913A7">
      <w:pPr>
        <w:rPr>
          <w:rFonts w:ascii="Tahoma" w:hAnsi="Tahoma" w:cs="Tahoma"/>
          <w:noProof/>
          <w:sz w:val="20"/>
          <w:szCs w:val="20"/>
        </w:rPr>
      </w:pPr>
    </w:p>
    <w:sectPr w:rsidR="000913A7">
      <w:headerReference w:type="even" r:id="rId19"/>
      <w:headerReference w:type="default" r:id="rId20"/>
      <w:footerReference w:type="even" r:id="rId21"/>
      <w:footerReference w:type="default" r:id="rId22"/>
      <w:headerReference w:type="first" r:id="rId23"/>
      <w:footerReference w:type="first" r:id="rId24"/>
      <w:pgSz w:w="11906" w:h="16838" w:code="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A7" w:rsidRDefault="00253597">
      <w:r>
        <w:separator/>
      </w:r>
    </w:p>
  </w:endnote>
  <w:endnote w:type="continuationSeparator" w:id="0">
    <w:p w:rsidR="000913A7" w:rsidRDefault="0025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8E" w:rsidRPr="00D0278E" w:rsidRDefault="00D0278E" w:rsidP="00D027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8E" w:rsidRPr="00D0278E" w:rsidRDefault="00D0278E" w:rsidP="00D0278E">
    <w:pPr>
      <w:pStyle w:val="FooterCoverPage"/>
      <w:rPr>
        <w:rFonts w:ascii="Arial" w:hAnsi="Arial" w:cs="Arial"/>
        <w:b/>
        <w:sz w:val="48"/>
      </w:rPr>
    </w:pPr>
    <w:r w:rsidRPr="00D0278E">
      <w:rPr>
        <w:rFonts w:ascii="Arial" w:hAnsi="Arial" w:cs="Arial"/>
        <w:b/>
        <w:sz w:val="48"/>
      </w:rPr>
      <w:t>EN</w:t>
    </w:r>
    <w:r w:rsidRPr="00D0278E">
      <w:rPr>
        <w:rFonts w:ascii="Arial" w:hAnsi="Arial" w:cs="Arial"/>
        <w:b/>
        <w:sz w:val="48"/>
      </w:rPr>
      <w:tab/>
    </w:r>
    <w:r w:rsidRPr="00D0278E">
      <w:rPr>
        <w:rFonts w:ascii="Arial" w:hAnsi="Arial" w:cs="Arial"/>
        <w:b/>
        <w:sz w:val="48"/>
      </w:rPr>
      <w:tab/>
    </w:r>
    <w:fldSimple w:instr=" DOCVARIABLE &quot;LW_Confidence&quot; \* MERGEFORMAT ">
      <w:r>
        <w:t xml:space="preserve"> </w:t>
      </w:r>
    </w:fldSimple>
    <w:r w:rsidRPr="00D0278E">
      <w:tab/>
    </w:r>
    <w:r w:rsidRPr="00D0278E">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8E" w:rsidRPr="00D0278E" w:rsidRDefault="00D0278E" w:rsidP="00D0278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A7" w:rsidRDefault="000913A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419302"/>
      <w:docPartObj>
        <w:docPartGallery w:val="Page Numbers (Bottom of Page)"/>
        <w:docPartUnique/>
      </w:docPartObj>
    </w:sdtPr>
    <w:sdtEndPr>
      <w:rPr>
        <w:noProof/>
      </w:rPr>
    </w:sdtEndPr>
    <w:sdtContent>
      <w:p w:rsidR="000913A7" w:rsidRDefault="00253597">
        <w:pPr>
          <w:pStyle w:val="Footer"/>
          <w:jc w:val="center"/>
        </w:pPr>
        <w:r>
          <w:fldChar w:fldCharType="begin"/>
        </w:r>
        <w:r>
          <w:instrText xml:space="preserve"> PAGE   \* MERGEFORMAT </w:instrText>
        </w:r>
        <w:r>
          <w:fldChar w:fldCharType="separate"/>
        </w:r>
        <w:r w:rsidR="00D0278E">
          <w:rPr>
            <w:noProof/>
          </w:rPr>
          <w:t>2</w:t>
        </w:r>
        <w:r>
          <w:rPr>
            <w:noProof/>
          </w:rPr>
          <w:fldChar w:fldCharType="end"/>
        </w:r>
      </w:p>
    </w:sdtContent>
  </w:sdt>
  <w:p w:rsidR="000913A7" w:rsidRDefault="000913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A7" w:rsidRDefault="000913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A7" w:rsidRDefault="00253597">
      <w:r>
        <w:separator/>
      </w:r>
    </w:p>
  </w:footnote>
  <w:footnote w:type="continuationSeparator" w:id="0">
    <w:p w:rsidR="000913A7" w:rsidRDefault="00253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8E" w:rsidRPr="00D0278E" w:rsidRDefault="00D0278E" w:rsidP="00D027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8E" w:rsidRPr="00D0278E" w:rsidRDefault="00D0278E" w:rsidP="00D0278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8E" w:rsidRPr="00D0278E" w:rsidRDefault="00D0278E" w:rsidP="00D0278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A7" w:rsidRDefault="000913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A7" w:rsidRDefault="000913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A7" w:rsidRDefault="000913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7FF2"/>
    <w:multiLevelType w:val="hybridMultilevel"/>
    <w:tmpl w:val="0E982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235473"/>
    <w:multiLevelType w:val="hybridMultilevel"/>
    <w:tmpl w:val="1A9E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8639BA"/>
    <w:multiLevelType w:val="hybridMultilevel"/>
    <w:tmpl w:val="C9985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nsid w:val="41BD3170"/>
    <w:multiLevelType w:val="hybridMultilevel"/>
    <w:tmpl w:val="0E982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6">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8">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A6672FC"/>
    <w:multiLevelType w:val="hybridMultilevel"/>
    <w:tmpl w:val="0FE07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6"/>
  </w:num>
  <w:num w:numId="5">
    <w:abstractNumId w:val="7"/>
  </w:num>
  <w:num w:numId="6">
    <w:abstractNumId w:val="1"/>
  </w:num>
  <w:num w:numId="7">
    <w:abstractNumId w:val="9"/>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C2BFE14054844ABD8FB76CAC9F07D768"/>
    <w:docVar w:name="LW_CROSSREFERENCE" w:val="{COM(2017) 275 final}_x000a_{COM(2017) 276 final}_x000a_{SWD(2017) 180 final}"/>
    <w:docVar w:name="LW_DocType" w:val="NORMAL"/>
    <w:docVar w:name="LW_EMISSION" w:val="31.5.2017"/>
    <w:docVar w:name="LW_EMISSION_ISODATE" w:val="2017-05-31"/>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Proposal for a Directive of the European Parliament and of the Council amending Directive 1999/62/EC on the charging of heavy goods vehicles for the use of certain infrastructures_x000b_and_x000b_Proposal for a Council Directive amending Directive 1999/62/EC on the charging of heavy goods vehicle for the use of certain infrastructures, as regards certain provisions on vehicle taxation_x000b_"/>
    <w:docVar w:name="LW_PART_NBR" w:val="1"/>
    <w:docVar w:name="LW_PART_NBR_TOTAL" w:val="1"/>
    <w:docVar w:name="LW_REF.INST.NEW" w:val="SWD"/>
    <w:docVar w:name="LW_REF.INST.NEW_ADOPTED" w:val="final"/>
    <w:docVar w:name="LW_REF.INST.NEW_TEXT" w:val="(2017) 181"/>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lt;UNUSED&gt;"/>
  </w:docVars>
  <w:rsids>
    <w:rsidRoot w:val="000913A7"/>
    <w:rsid w:val="000913A7"/>
    <w:rsid w:val="00253597"/>
    <w:rsid w:val="00D02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ind w:left="720" w:hanging="720"/>
      <w:jc w:val="both"/>
    </w:pPr>
    <w:rPr>
      <w:sz w:val="20"/>
      <w:szCs w:val="20"/>
      <w:lang w:eastAsia="de-DE"/>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Text2">
    <w:name w:val="Text 2"/>
    <w:basedOn w:val="Normal"/>
    <w:link w:val="Text2Char1"/>
    <w:pPr>
      <w:tabs>
        <w:tab w:val="left" w:pos="2302"/>
      </w:tabs>
      <w:spacing w:after="240"/>
      <w:ind w:left="1202"/>
      <w:jc w:val="both"/>
    </w:pPr>
    <w:rPr>
      <w:szCs w:val="20"/>
      <w:lang w:eastAsia="en-US"/>
    </w:rPr>
  </w:style>
  <w:style w:type="character" w:customStyle="1" w:styleId="Text2Char1">
    <w:name w:val="Text 2 Char1"/>
    <w:link w:val="Text2"/>
    <w:locked/>
    <w:rPr>
      <w:sz w:val="24"/>
      <w:lang w:eastAsia="en-US"/>
    </w:rPr>
  </w:style>
  <w:style w:type="character" w:customStyle="1" w:styleId="FooterChar">
    <w:name w:val="Footer Char"/>
    <w:basedOn w:val="DefaultParagraphFont"/>
    <w:link w:val="Footer"/>
    <w:uiPriority w:val="99"/>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pPr>
      <w:ind w:left="720" w:hanging="720"/>
      <w:jc w:val="both"/>
    </w:pPr>
    <w:rPr>
      <w:sz w:val="20"/>
      <w:szCs w:val="20"/>
      <w:lang w:eastAsia="de-DE"/>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Text2">
    <w:name w:val="Text 2"/>
    <w:basedOn w:val="Normal"/>
    <w:link w:val="Text2Char1"/>
    <w:pPr>
      <w:tabs>
        <w:tab w:val="left" w:pos="2302"/>
      </w:tabs>
      <w:spacing w:after="240"/>
      <w:ind w:left="1202"/>
      <w:jc w:val="both"/>
    </w:pPr>
    <w:rPr>
      <w:szCs w:val="20"/>
      <w:lang w:eastAsia="en-US"/>
    </w:rPr>
  </w:style>
  <w:style w:type="character" w:customStyle="1" w:styleId="Text2Char1">
    <w:name w:val="Text 2 Char1"/>
    <w:link w:val="Text2"/>
    <w:locked/>
    <w:rPr>
      <w:sz w:val="24"/>
      <w:lang w:eastAsia="en-US"/>
    </w:rPr>
  </w:style>
  <w:style w:type="character" w:customStyle="1" w:styleId="FooterChar">
    <w:name w:val="Footer Char"/>
    <w:basedOn w:val="DefaultParagraphFont"/>
    <w:link w:val="Footer"/>
    <w:uiPriority w:val="99"/>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FF24BEE692C4CA94781A66E31F216" ma:contentTypeVersion="1" ma:contentTypeDescription="Create a new document." ma:contentTypeScope="" ma:versionID="7d6ee1b4a7e3a71187b7d9d3fe1f644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5FE9-6CE3-4E9C-B9CD-1391676A2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3.xml><?xml version="1.0" encoding="utf-8"?>
<ds:datastoreItem xmlns:ds="http://schemas.openxmlformats.org/officeDocument/2006/customXml" ds:itemID="{23424173-A8CF-4AAB-BE0C-126D8400FDC0}">
  <ds:schemaRefs>
    <ds:schemaRef ds:uri="http://schemas.microsoft.com/office/2006/documentManagement/types"/>
    <ds:schemaRef ds:uri="http://purl.org/dc/terms/"/>
    <ds:schemaRef ds:uri="http://www.w3.org/XML/1998/namespace"/>
    <ds:schemaRef ds:uri="http://schemas.microsoft.com/sharepoint/v3"/>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12D858C-74DB-42CF-BDEE-8F8B7C9A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965</Words>
  <Characters>5271</Characters>
  <Application>Microsoft Office Word</Application>
  <DocSecurity>0</DocSecurity>
  <Lines>83</Lines>
  <Paragraphs>50</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Stefanie Heilemann</cp:lastModifiedBy>
  <cp:revision>19</cp:revision>
  <cp:lastPrinted>2017-05-19T13:28:00Z</cp:lastPrinted>
  <dcterms:created xsi:type="dcterms:W3CDTF">2017-05-19T13:28:00Z</dcterms:created>
  <dcterms:modified xsi:type="dcterms:W3CDTF">2017-05-30T18:42:00Z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0x010100622FF24BEE692C4CA94781A66E31F216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400</vt:r8>
  </property>
  <property fmtid="{D5CDD505-2E9C-101B-9397-08002B2CF9AE}" pid="8" name="Part">
    <vt:lpwstr>1</vt:lpwstr>
  </property>
  <property fmtid="{D5CDD505-2E9C-101B-9397-08002B2CF9AE}" pid="9" name="Total parts">
    <vt:lpwstr>1</vt:lpwstr>
  </property>
  <property fmtid="{D5CDD505-2E9C-101B-9397-08002B2CF9AE}" pid="10" name="Classification">
    <vt:lpwstr> </vt:lpwstr>
  </property>
  <property fmtid="{D5CDD505-2E9C-101B-9397-08002B2CF9AE}" pid="11" name="DocStatus">
    <vt:lpwstr>Green</vt:lpwstr>
  </property>
</Properties>
</file>