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6AC" w:rsidRDefault="00FE7ACF" w:rsidP="00FE7AC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FDDBEFE614441F3A8C4BFBAF5C8B478" style="width:451.4pt;height:424.6pt">
            <v:imagedata r:id="rId8" o:title=""/>
          </v:shape>
        </w:pict>
      </w:r>
    </w:p>
    <w:p w:rsidR="007A36AC" w:rsidRDefault="007A36AC">
      <w:pPr>
        <w:rPr>
          <w:noProof/>
        </w:rPr>
        <w:sectPr w:rsidR="007A36AC" w:rsidSect="00FE7ACF">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7A36AC" w:rsidRDefault="00FE7ACF" w:rsidP="00FE7ACF">
      <w:pPr>
        <w:pStyle w:val="Typedudocument"/>
        <w:rPr>
          <w:noProof/>
        </w:rPr>
      </w:pPr>
      <w:bookmarkStart w:id="0" w:name="_GoBack"/>
      <w:bookmarkEnd w:id="0"/>
      <w:r w:rsidRPr="00FE7ACF">
        <w:lastRenderedPageBreak/>
        <w:t>ANNEX</w:t>
      </w:r>
    </w:p>
    <w:p w:rsidR="007A36AC" w:rsidRDefault="00FE7ACF" w:rsidP="00FE7ACF">
      <w:pPr>
        <w:pStyle w:val="Accompagnant"/>
        <w:rPr>
          <w:noProof/>
        </w:rPr>
      </w:pPr>
      <w:r w:rsidRPr="00FE7ACF">
        <w:t>to the</w:t>
      </w:r>
    </w:p>
    <w:p w:rsidR="007A36AC" w:rsidRDefault="00FE7ACF" w:rsidP="00FE7ACF">
      <w:pPr>
        <w:pStyle w:val="Typeacteprincipal"/>
        <w:rPr>
          <w:noProof/>
        </w:rPr>
      </w:pPr>
      <w:r w:rsidRPr="00FE7ACF">
        <w:t>DIRECTIVE OF THE EUROPEAN PARLIAMENT AND OF THE COUNCIL</w:t>
      </w:r>
    </w:p>
    <w:p w:rsidR="007A36AC" w:rsidRDefault="00FE7ACF" w:rsidP="00FE7ACF">
      <w:pPr>
        <w:pStyle w:val="Objetacteprincipal"/>
        <w:rPr>
          <w:noProof/>
        </w:rPr>
      </w:pPr>
      <w:r w:rsidRPr="00FE7ACF">
        <w:t>amending Directive 1999/62/EC on the charging of heavy goods vehicles for the use of certain infrastructures</w:t>
      </w:r>
      <w:r w:rsidRPr="00FE7ACF">
        <w:br/>
        <w:t>(Text with EEA relevance)</w:t>
      </w:r>
    </w:p>
    <w:p w:rsidR="007A36AC" w:rsidRDefault="007A36AC">
      <w:pPr>
        <w:rPr>
          <w:noProof/>
        </w:rPr>
      </w:pPr>
    </w:p>
    <w:p w:rsidR="007A36AC" w:rsidRDefault="00FE7ACF">
      <w:pPr>
        <w:rPr>
          <w:noProof/>
        </w:rPr>
      </w:pPr>
      <w:r>
        <w:rPr>
          <w:noProof/>
        </w:rPr>
        <w:t>(1)</w:t>
      </w:r>
      <w:r>
        <w:rPr>
          <w:noProof/>
        </w:rPr>
        <w:tab/>
        <w:t>Annexes 0, III, IIIa, IIIb and IV are amended as follows:</w:t>
      </w:r>
    </w:p>
    <w:p w:rsidR="007A36AC" w:rsidRDefault="00FE7ACF">
      <w:pPr>
        <w:rPr>
          <w:noProof/>
        </w:rPr>
      </w:pPr>
      <w:r>
        <w:rPr>
          <w:noProof/>
        </w:rPr>
        <w:t>(a)</w:t>
      </w:r>
      <w:r>
        <w:rPr>
          <w:noProof/>
        </w:rPr>
        <w:tab/>
        <w:t>in Annex 0, Section 3 is amended as follows:</w:t>
      </w:r>
    </w:p>
    <w:p w:rsidR="007A36AC" w:rsidRDefault="00FE7ACF">
      <w:pPr>
        <w:ind w:firstLine="720"/>
        <w:rPr>
          <w:noProof/>
        </w:rPr>
      </w:pPr>
      <w:r>
        <w:rPr>
          <w:noProof/>
        </w:rPr>
        <w:t>(i)</w:t>
      </w:r>
      <w:r>
        <w:rPr>
          <w:noProof/>
        </w:rPr>
        <w:tab/>
        <w:t>the heading is replaced by the foll</w:t>
      </w:r>
      <w:r>
        <w:rPr>
          <w:noProof/>
        </w:rPr>
        <w:t>owing:</w:t>
      </w:r>
    </w:p>
    <w:p w:rsidR="007A36AC" w:rsidRDefault="00FE7ACF">
      <w:pPr>
        <w:ind w:left="130" w:firstLine="720"/>
        <w:rPr>
          <w:noProof/>
        </w:rPr>
      </w:pPr>
      <w:r>
        <w:rPr>
          <w:noProof/>
        </w:rPr>
        <w:t>'3. ‘EURO III’/‘EURO IV’/‘EURO V’ vehicles';</w:t>
      </w:r>
    </w:p>
    <w:p w:rsidR="007A36AC" w:rsidRDefault="00FE7ACF">
      <w:pPr>
        <w:ind w:firstLine="720"/>
        <w:rPr>
          <w:noProof/>
        </w:rPr>
      </w:pPr>
      <w:r>
        <w:rPr>
          <w:noProof/>
        </w:rPr>
        <w:t>(ii)</w:t>
      </w:r>
      <w:r>
        <w:rPr>
          <w:noProof/>
        </w:rPr>
        <w:tab/>
        <w:t>in the table, the line concerning ''EEV' vehicle' is deleted;</w:t>
      </w:r>
    </w:p>
    <w:p w:rsidR="007A36AC" w:rsidRDefault="00FE7ACF">
      <w:pPr>
        <w:ind w:left="720"/>
        <w:rPr>
          <w:noProof/>
        </w:rPr>
      </w:pPr>
      <w:r>
        <w:rPr>
          <w:noProof/>
        </w:rPr>
        <w:t>(iii)</w:t>
      </w:r>
      <w:r>
        <w:rPr>
          <w:noProof/>
        </w:rPr>
        <w:tab/>
        <w:t>the following is added:</w:t>
      </w:r>
    </w:p>
    <w:p w:rsidR="007A36AC" w:rsidRDefault="00FE7ACF">
      <w:pPr>
        <w:pStyle w:val="NormalCentered"/>
        <w:rPr>
          <w:b/>
          <w:noProof/>
          <w:u w:val="single"/>
        </w:rPr>
      </w:pPr>
      <w:r>
        <w:rPr>
          <w:b/>
          <w:noProof/>
          <w:u w:val="single"/>
        </w:rPr>
        <w:t>'Euro VI Emission Limits</w:t>
      </w:r>
    </w:p>
    <w:tbl>
      <w:tblPr>
        <w:tblW w:w="102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6"/>
        <w:gridCol w:w="1262"/>
        <w:gridCol w:w="1216"/>
        <w:gridCol w:w="1216"/>
        <w:gridCol w:w="1216"/>
        <w:gridCol w:w="803"/>
        <w:gridCol w:w="1216"/>
        <w:gridCol w:w="1030"/>
      </w:tblGrid>
      <w:tr w:rsidR="007A36AC">
        <w:trPr>
          <w:trHeight w:val="562"/>
        </w:trPr>
        <w:tc>
          <w:tcPr>
            <w:tcW w:w="993" w:type="dxa"/>
            <w:tcBorders>
              <w:bottom w:val="nil"/>
            </w:tcBorders>
          </w:tcPr>
          <w:p w:rsidR="007A36AC" w:rsidRDefault="007A36AC">
            <w:pPr>
              <w:rPr>
                <w:noProof/>
              </w:rPr>
            </w:pPr>
          </w:p>
        </w:tc>
        <w:tc>
          <w:tcPr>
            <w:tcW w:w="9235" w:type="dxa"/>
            <w:gridSpan w:val="8"/>
            <w:hideMark/>
          </w:tcPr>
          <w:p w:rsidR="007A36AC" w:rsidRDefault="00FE7ACF">
            <w:pPr>
              <w:rPr>
                <w:noProof/>
              </w:rPr>
            </w:pPr>
            <w:r>
              <w:rPr>
                <w:noProof/>
              </w:rPr>
              <w:t>Limit values</w:t>
            </w:r>
          </w:p>
        </w:tc>
      </w:tr>
      <w:tr w:rsidR="007A36AC">
        <w:trPr>
          <w:trHeight w:val="991"/>
        </w:trPr>
        <w:tc>
          <w:tcPr>
            <w:tcW w:w="993" w:type="dxa"/>
            <w:tcBorders>
              <w:top w:val="nil"/>
            </w:tcBorders>
          </w:tcPr>
          <w:p w:rsidR="007A36AC" w:rsidRDefault="007A36AC">
            <w:pPr>
              <w:rPr>
                <w:noProof/>
              </w:rPr>
            </w:pPr>
          </w:p>
        </w:tc>
        <w:tc>
          <w:tcPr>
            <w:tcW w:w="1276" w:type="dxa"/>
            <w:hideMark/>
          </w:tcPr>
          <w:p w:rsidR="007A36AC" w:rsidRDefault="00FE7ACF">
            <w:pPr>
              <w:rPr>
                <w:noProof/>
              </w:rPr>
            </w:pPr>
            <w:r>
              <w:rPr>
                <w:noProof/>
              </w:rPr>
              <w:t>CO</w:t>
            </w:r>
          </w:p>
          <w:p w:rsidR="007A36AC" w:rsidRDefault="00FE7ACF">
            <w:pPr>
              <w:rPr>
                <w:noProof/>
              </w:rPr>
            </w:pPr>
            <w:r>
              <w:rPr>
                <w:noProof/>
              </w:rPr>
              <w:t>(mg/kWh)</w:t>
            </w:r>
          </w:p>
        </w:tc>
        <w:tc>
          <w:tcPr>
            <w:tcW w:w="1262" w:type="dxa"/>
            <w:hideMark/>
          </w:tcPr>
          <w:p w:rsidR="007A36AC" w:rsidRDefault="00FE7ACF">
            <w:pPr>
              <w:rPr>
                <w:noProof/>
              </w:rPr>
            </w:pPr>
            <w:r>
              <w:rPr>
                <w:noProof/>
              </w:rPr>
              <w:t>THC</w:t>
            </w:r>
          </w:p>
          <w:p w:rsidR="007A36AC" w:rsidRDefault="00FE7ACF">
            <w:pPr>
              <w:rPr>
                <w:noProof/>
              </w:rPr>
            </w:pPr>
            <w:r>
              <w:rPr>
                <w:noProof/>
              </w:rPr>
              <w:t>(mg/kWh)</w:t>
            </w:r>
          </w:p>
        </w:tc>
        <w:tc>
          <w:tcPr>
            <w:tcW w:w="1216" w:type="dxa"/>
            <w:hideMark/>
          </w:tcPr>
          <w:p w:rsidR="007A36AC" w:rsidRDefault="00FE7ACF">
            <w:pPr>
              <w:rPr>
                <w:noProof/>
              </w:rPr>
            </w:pPr>
            <w:r>
              <w:rPr>
                <w:noProof/>
              </w:rPr>
              <w:t>NMHC</w:t>
            </w:r>
          </w:p>
          <w:p w:rsidR="007A36AC" w:rsidRDefault="00FE7ACF">
            <w:pPr>
              <w:rPr>
                <w:noProof/>
              </w:rPr>
            </w:pPr>
            <w:r>
              <w:rPr>
                <w:noProof/>
              </w:rPr>
              <w:t>(mg/kWh)</w:t>
            </w:r>
          </w:p>
        </w:tc>
        <w:tc>
          <w:tcPr>
            <w:tcW w:w="1216" w:type="dxa"/>
            <w:hideMark/>
          </w:tcPr>
          <w:p w:rsidR="007A36AC" w:rsidRDefault="00FE7ACF">
            <w:pPr>
              <w:rPr>
                <w:noProof/>
                <w:vertAlign w:val="subscript"/>
              </w:rPr>
            </w:pPr>
            <w:r>
              <w:rPr>
                <w:noProof/>
              </w:rPr>
              <w:t>CH</w:t>
            </w:r>
            <w:r>
              <w:rPr>
                <w:noProof/>
                <w:vertAlign w:val="subscript"/>
              </w:rPr>
              <w:t>4</w:t>
            </w:r>
          </w:p>
          <w:p w:rsidR="007A36AC" w:rsidRDefault="00FE7ACF">
            <w:pPr>
              <w:rPr>
                <w:noProof/>
              </w:rPr>
            </w:pPr>
            <w:r>
              <w:rPr>
                <w:noProof/>
              </w:rPr>
              <w:t>(mg/kWh)</w:t>
            </w:r>
          </w:p>
        </w:tc>
        <w:tc>
          <w:tcPr>
            <w:tcW w:w="1216" w:type="dxa"/>
            <w:hideMark/>
          </w:tcPr>
          <w:p w:rsidR="007A36AC" w:rsidRDefault="00FE7ACF">
            <w:pPr>
              <w:rPr>
                <w:noProof/>
              </w:rPr>
            </w:pPr>
            <w:r>
              <w:rPr>
                <w:noProof/>
              </w:rPr>
              <w:t>NO</w:t>
            </w:r>
            <w:r>
              <w:rPr>
                <w:noProof/>
                <w:vertAlign w:val="subscript"/>
              </w:rPr>
              <w:t>X</w:t>
            </w:r>
            <w:r>
              <w:rPr>
                <w:noProof/>
              </w:rPr>
              <w:t xml:space="preserve"> </w:t>
            </w:r>
            <w:r>
              <w:rPr>
                <w:noProof/>
                <w:vertAlign w:val="superscript"/>
              </w:rPr>
              <w:t>(1)</w:t>
            </w:r>
          </w:p>
          <w:p w:rsidR="007A36AC" w:rsidRDefault="00FE7ACF">
            <w:pPr>
              <w:rPr>
                <w:noProof/>
              </w:rPr>
            </w:pPr>
            <w:r>
              <w:rPr>
                <w:noProof/>
              </w:rPr>
              <w:t>(mg/kWh)</w:t>
            </w:r>
          </w:p>
        </w:tc>
        <w:tc>
          <w:tcPr>
            <w:tcW w:w="803" w:type="dxa"/>
            <w:hideMark/>
          </w:tcPr>
          <w:p w:rsidR="007A36AC" w:rsidRDefault="00FE7ACF">
            <w:pPr>
              <w:rPr>
                <w:noProof/>
                <w:vertAlign w:val="subscript"/>
              </w:rPr>
            </w:pPr>
            <w:r>
              <w:rPr>
                <w:noProof/>
              </w:rPr>
              <w:t>NH</w:t>
            </w:r>
            <w:r>
              <w:rPr>
                <w:noProof/>
                <w:vertAlign w:val="subscript"/>
              </w:rPr>
              <w:t>3</w:t>
            </w:r>
          </w:p>
          <w:p w:rsidR="007A36AC" w:rsidRDefault="00FE7ACF">
            <w:pPr>
              <w:rPr>
                <w:noProof/>
              </w:rPr>
            </w:pPr>
            <w:r>
              <w:rPr>
                <w:noProof/>
              </w:rPr>
              <w:t>(ppm)</w:t>
            </w:r>
          </w:p>
        </w:tc>
        <w:tc>
          <w:tcPr>
            <w:tcW w:w="1216" w:type="dxa"/>
            <w:hideMark/>
          </w:tcPr>
          <w:p w:rsidR="007A36AC" w:rsidRDefault="00FE7ACF">
            <w:pPr>
              <w:rPr>
                <w:noProof/>
              </w:rPr>
            </w:pPr>
            <w:r>
              <w:rPr>
                <w:noProof/>
              </w:rPr>
              <w:t>PM mass</w:t>
            </w:r>
          </w:p>
          <w:p w:rsidR="007A36AC" w:rsidRDefault="00FE7ACF">
            <w:pPr>
              <w:rPr>
                <w:noProof/>
                <w:vertAlign w:val="subscript"/>
              </w:rPr>
            </w:pPr>
            <w:r>
              <w:rPr>
                <w:noProof/>
              </w:rPr>
              <w:t>(mg/kWh)</w:t>
            </w:r>
          </w:p>
        </w:tc>
        <w:tc>
          <w:tcPr>
            <w:tcW w:w="1030" w:type="dxa"/>
            <w:hideMark/>
          </w:tcPr>
          <w:p w:rsidR="007A36AC" w:rsidRDefault="00FE7ACF">
            <w:pPr>
              <w:rPr>
                <w:noProof/>
              </w:rPr>
            </w:pPr>
            <w:r>
              <w:rPr>
                <w:noProof/>
              </w:rPr>
              <w:t>PM number</w:t>
            </w:r>
          </w:p>
          <w:p w:rsidR="007A36AC" w:rsidRDefault="00FE7ACF">
            <w:pPr>
              <w:rPr>
                <w:noProof/>
                <w:vertAlign w:val="subscript"/>
              </w:rPr>
            </w:pPr>
            <w:r>
              <w:rPr>
                <w:noProof/>
              </w:rPr>
              <w:t>(#/kWh)</w:t>
            </w:r>
          </w:p>
        </w:tc>
      </w:tr>
      <w:tr w:rsidR="007A36AC">
        <w:trPr>
          <w:trHeight w:val="876"/>
        </w:trPr>
        <w:tc>
          <w:tcPr>
            <w:tcW w:w="993" w:type="dxa"/>
            <w:hideMark/>
          </w:tcPr>
          <w:p w:rsidR="007A36AC" w:rsidRDefault="00FE7ACF">
            <w:pPr>
              <w:rPr>
                <w:noProof/>
              </w:rPr>
            </w:pPr>
            <w:r>
              <w:rPr>
                <w:noProof/>
              </w:rPr>
              <w:t>WHSC (CI)</w:t>
            </w:r>
          </w:p>
        </w:tc>
        <w:tc>
          <w:tcPr>
            <w:tcW w:w="1276" w:type="dxa"/>
            <w:hideMark/>
          </w:tcPr>
          <w:p w:rsidR="007A36AC" w:rsidRDefault="00FE7ACF">
            <w:pPr>
              <w:rPr>
                <w:noProof/>
              </w:rPr>
            </w:pPr>
            <w:r>
              <w:rPr>
                <w:noProof/>
              </w:rPr>
              <w:t>1500</w:t>
            </w:r>
          </w:p>
        </w:tc>
        <w:tc>
          <w:tcPr>
            <w:tcW w:w="1262" w:type="dxa"/>
            <w:hideMark/>
          </w:tcPr>
          <w:p w:rsidR="007A36AC" w:rsidRDefault="00FE7ACF">
            <w:pPr>
              <w:rPr>
                <w:noProof/>
              </w:rPr>
            </w:pPr>
            <w:r>
              <w:rPr>
                <w:noProof/>
              </w:rPr>
              <w:t>130</w:t>
            </w:r>
          </w:p>
        </w:tc>
        <w:tc>
          <w:tcPr>
            <w:tcW w:w="1216" w:type="dxa"/>
          </w:tcPr>
          <w:p w:rsidR="007A36AC" w:rsidRDefault="007A36AC">
            <w:pPr>
              <w:rPr>
                <w:noProof/>
              </w:rPr>
            </w:pPr>
          </w:p>
        </w:tc>
        <w:tc>
          <w:tcPr>
            <w:tcW w:w="1216" w:type="dxa"/>
          </w:tcPr>
          <w:p w:rsidR="007A36AC" w:rsidRDefault="007A36AC">
            <w:pPr>
              <w:rPr>
                <w:noProof/>
              </w:rPr>
            </w:pPr>
          </w:p>
        </w:tc>
        <w:tc>
          <w:tcPr>
            <w:tcW w:w="1216" w:type="dxa"/>
            <w:hideMark/>
          </w:tcPr>
          <w:p w:rsidR="007A36AC" w:rsidRDefault="00FE7ACF">
            <w:pPr>
              <w:rPr>
                <w:noProof/>
              </w:rPr>
            </w:pPr>
            <w:r>
              <w:rPr>
                <w:noProof/>
              </w:rPr>
              <w:t>400</w:t>
            </w:r>
          </w:p>
        </w:tc>
        <w:tc>
          <w:tcPr>
            <w:tcW w:w="803" w:type="dxa"/>
            <w:hideMark/>
          </w:tcPr>
          <w:p w:rsidR="007A36AC" w:rsidRDefault="00FE7ACF">
            <w:pPr>
              <w:rPr>
                <w:noProof/>
              </w:rPr>
            </w:pPr>
            <w:r>
              <w:rPr>
                <w:noProof/>
              </w:rPr>
              <w:t>10</w:t>
            </w:r>
          </w:p>
        </w:tc>
        <w:tc>
          <w:tcPr>
            <w:tcW w:w="1216" w:type="dxa"/>
            <w:hideMark/>
          </w:tcPr>
          <w:p w:rsidR="007A36AC" w:rsidRDefault="00FE7ACF">
            <w:pPr>
              <w:rPr>
                <w:noProof/>
              </w:rPr>
            </w:pPr>
            <w:r>
              <w:rPr>
                <w:noProof/>
              </w:rPr>
              <w:t>10</w:t>
            </w:r>
          </w:p>
        </w:tc>
        <w:tc>
          <w:tcPr>
            <w:tcW w:w="1030" w:type="dxa"/>
            <w:hideMark/>
          </w:tcPr>
          <w:p w:rsidR="007A36AC" w:rsidRDefault="00FE7ACF">
            <w:pPr>
              <w:rPr>
                <w:noProof/>
                <w:vertAlign w:val="superscript"/>
              </w:rPr>
            </w:pPr>
            <w:r>
              <w:rPr>
                <w:noProof/>
              </w:rPr>
              <w:t>8,0 x 10</w:t>
            </w:r>
            <w:r>
              <w:rPr>
                <w:noProof/>
                <w:vertAlign w:val="superscript"/>
              </w:rPr>
              <w:t>11</w:t>
            </w:r>
          </w:p>
        </w:tc>
      </w:tr>
      <w:tr w:rsidR="007A36AC">
        <w:trPr>
          <w:trHeight w:val="859"/>
        </w:trPr>
        <w:tc>
          <w:tcPr>
            <w:tcW w:w="993" w:type="dxa"/>
            <w:hideMark/>
          </w:tcPr>
          <w:p w:rsidR="007A36AC" w:rsidRDefault="00FE7ACF">
            <w:pPr>
              <w:rPr>
                <w:noProof/>
              </w:rPr>
            </w:pPr>
            <w:r>
              <w:rPr>
                <w:noProof/>
              </w:rPr>
              <w:t>WHTC (CI)</w:t>
            </w:r>
          </w:p>
        </w:tc>
        <w:tc>
          <w:tcPr>
            <w:tcW w:w="1276" w:type="dxa"/>
            <w:hideMark/>
          </w:tcPr>
          <w:p w:rsidR="007A36AC" w:rsidRDefault="00FE7ACF">
            <w:pPr>
              <w:rPr>
                <w:noProof/>
              </w:rPr>
            </w:pPr>
            <w:r>
              <w:rPr>
                <w:noProof/>
              </w:rPr>
              <w:t>4000</w:t>
            </w:r>
          </w:p>
        </w:tc>
        <w:tc>
          <w:tcPr>
            <w:tcW w:w="1262" w:type="dxa"/>
            <w:hideMark/>
          </w:tcPr>
          <w:p w:rsidR="007A36AC" w:rsidRDefault="00FE7ACF">
            <w:pPr>
              <w:rPr>
                <w:noProof/>
              </w:rPr>
            </w:pPr>
            <w:r>
              <w:rPr>
                <w:noProof/>
              </w:rPr>
              <w:t>160</w:t>
            </w:r>
          </w:p>
        </w:tc>
        <w:tc>
          <w:tcPr>
            <w:tcW w:w="1216" w:type="dxa"/>
          </w:tcPr>
          <w:p w:rsidR="007A36AC" w:rsidRDefault="007A36AC">
            <w:pPr>
              <w:rPr>
                <w:noProof/>
              </w:rPr>
            </w:pPr>
          </w:p>
        </w:tc>
        <w:tc>
          <w:tcPr>
            <w:tcW w:w="1216" w:type="dxa"/>
          </w:tcPr>
          <w:p w:rsidR="007A36AC" w:rsidRDefault="007A36AC">
            <w:pPr>
              <w:rPr>
                <w:noProof/>
              </w:rPr>
            </w:pPr>
          </w:p>
        </w:tc>
        <w:tc>
          <w:tcPr>
            <w:tcW w:w="1216" w:type="dxa"/>
            <w:hideMark/>
          </w:tcPr>
          <w:p w:rsidR="007A36AC" w:rsidRDefault="00FE7ACF">
            <w:pPr>
              <w:rPr>
                <w:noProof/>
              </w:rPr>
            </w:pPr>
            <w:r>
              <w:rPr>
                <w:noProof/>
              </w:rPr>
              <w:t>460</w:t>
            </w:r>
          </w:p>
        </w:tc>
        <w:tc>
          <w:tcPr>
            <w:tcW w:w="803" w:type="dxa"/>
            <w:hideMark/>
          </w:tcPr>
          <w:p w:rsidR="007A36AC" w:rsidRDefault="00FE7ACF">
            <w:pPr>
              <w:rPr>
                <w:noProof/>
              </w:rPr>
            </w:pPr>
            <w:r>
              <w:rPr>
                <w:noProof/>
              </w:rPr>
              <w:t>10</w:t>
            </w:r>
          </w:p>
        </w:tc>
        <w:tc>
          <w:tcPr>
            <w:tcW w:w="1216" w:type="dxa"/>
            <w:hideMark/>
          </w:tcPr>
          <w:p w:rsidR="007A36AC" w:rsidRDefault="00FE7ACF">
            <w:pPr>
              <w:rPr>
                <w:noProof/>
              </w:rPr>
            </w:pPr>
            <w:r>
              <w:rPr>
                <w:noProof/>
              </w:rPr>
              <w:t>10</w:t>
            </w:r>
          </w:p>
        </w:tc>
        <w:tc>
          <w:tcPr>
            <w:tcW w:w="1030" w:type="dxa"/>
            <w:hideMark/>
          </w:tcPr>
          <w:p w:rsidR="007A36AC" w:rsidRDefault="00FE7ACF">
            <w:pPr>
              <w:rPr>
                <w:noProof/>
                <w:vertAlign w:val="superscript"/>
              </w:rPr>
            </w:pPr>
            <w:r>
              <w:rPr>
                <w:noProof/>
              </w:rPr>
              <w:t>6,0 x 10</w:t>
            </w:r>
            <w:r>
              <w:rPr>
                <w:noProof/>
                <w:vertAlign w:val="superscript"/>
              </w:rPr>
              <w:t>11</w:t>
            </w:r>
          </w:p>
        </w:tc>
      </w:tr>
      <w:tr w:rsidR="007A36AC">
        <w:trPr>
          <w:trHeight w:val="876"/>
        </w:trPr>
        <w:tc>
          <w:tcPr>
            <w:tcW w:w="993" w:type="dxa"/>
            <w:hideMark/>
          </w:tcPr>
          <w:p w:rsidR="007A36AC" w:rsidRDefault="00FE7ACF">
            <w:pPr>
              <w:rPr>
                <w:noProof/>
              </w:rPr>
            </w:pPr>
            <w:r>
              <w:rPr>
                <w:noProof/>
              </w:rPr>
              <w:t xml:space="preserve">WHTC (PI) </w:t>
            </w:r>
          </w:p>
        </w:tc>
        <w:tc>
          <w:tcPr>
            <w:tcW w:w="1276" w:type="dxa"/>
            <w:hideMark/>
          </w:tcPr>
          <w:p w:rsidR="007A36AC" w:rsidRDefault="00FE7ACF">
            <w:pPr>
              <w:rPr>
                <w:noProof/>
              </w:rPr>
            </w:pPr>
            <w:r>
              <w:rPr>
                <w:noProof/>
              </w:rPr>
              <w:t>4000</w:t>
            </w:r>
          </w:p>
        </w:tc>
        <w:tc>
          <w:tcPr>
            <w:tcW w:w="1262" w:type="dxa"/>
          </w:tcPr>
          <w:p w:rsidR="007A36AC" w:rsidRDefault="007A36AC">
            <w:pPr>
              <w:rPr>
                <w:noProof/>
              </w:rPr>
            </w:pPr>
          </w:p>
        </w:tc>
        <w:tc>
          <w:tcPr>
            <w:tcW w:w="1216" w:type="dxa"/>
            <w:hideMark/>
          </w:tcPr>
          <w:p w:rsidR="007A36AC" w:rsidRDefault="00FE7ACF">
            <w:pPr>
              <w:rPr>
                <w:noProof/>
              </w:rPr>
            </w:pPr>
            <w:r>
              <w:rPr>
                <w:noProof/>
              </w:rPr>
              <w:t>160</w:t>
            </w:r>
          </w:p>
        </w:tc>
        <w:tc>
          <w:tcPr>
            <w:tcW w:w="1216" w:type="dxa"/>
            <w:hideMark/>
          </w:tcPr>
          <w:p w:rsidR="007A36AC" w:rsidRDefault="00FE7ACF">
            <w:pPr>
              <w:rPr>
                <w:noProof/>
              </w:rPr>
            </w:pPr>
            <w:r>
              <w:rPr>
                <w:noProof/>
              </w:rPr>
              <w:t>500</w:t>
            </w:r>
          </w:p>
        </w:tc>
        <w:tc>
          <w:tcPr>
            <w:tcW w:w="1216" w:type="dxa"/>
            <w:hideMark/>
          </w:tcPr>
          <w:p w:rsidR="007A36AC" w:rsidRDefault="00FE7ACF">
            <w:pPr>
              <w:rPr>
                <w:noProof/>
              </w:rPr>
            </w:pPr>
            <w:r>
              <w:rPr>
                <w:noProof/>
              </w:rPr>
              <w:t>460</w:t>
            </w:r>
          </w:p>
        </w:tc>
        <w:tc>
          <w:tcPr>
            <w:tcW w:w="803" w:type="dxa"/>
            <w:hideMark/>
          </w:tcPr>
          <w:p w:rsidR="007A36AC" w:rsidRDefault="00FE7ACF">
            <w:pPr>
              <w:rPr>
                <w:noProof/>
              </w:rPr>
            </w:pPr>
            <w:r>
              <w:rPr>
                <w:noProof/>
              </w:rPr>
              <w:t>10</w:t>
            </w:r>
          </w:p>
        </w:tc>
        <w:tc>
          <w:tcPr>
            <w:tcW w:w="1216" w:type="dxa"/>
            <w:hideMark/>
          </w:tcPr>
          <w:p w:rsidR="007A36AC" w:rsidRDefault="00FE7ACF">
            <w:pPr>
              <w:rPr>
                <w:noProof/>
              </w:rPr>
            </w:pPr>
            <w:r>
              <w:rPr>
                <w:noProof/>
              </w:rPr>
              <w:t>10</w:t>
            </w:r>
          </w:p>
        </w:tc>
        <w:tc>
          <w:tcPr>
            <w:tcW w:w="1030" w:type="dxa"/>
            <w:hideMark/>
          </w:tcPr>
          <w:p w:rsidR="007A36AC" w:rsidRDefault="00FE7ACF">
            <w:pPr>
              <w:rPr>
                <w:noProof/>
              </w:rPr>
            </w:pPr>
            <w:r>
              <w:rPr>
                <w:noProof/>
              </w:rPr>
              <w:t>6,0 x 10</w:t>
            </w:r>
            <w:r>
              <w:rPr>
                <w:noProof/>
                <w:vertAlign w:val="superscript"/>
              </w:rPr>
              <w:t>11</w:t>
            </w:r>
          </w:p>
        </w:tc>
      </w:tr>
    </w:tbl>
    <w:p w:rsidR="007A36AC" w:rsidRDefault="00FE7ACF">
      <w:pPr>
        <w:rPr>
          <w:noProof/>
        </w:rPr>
      </w:pPr>
      <w:r>
        <w:rPr>
          <w:noProof/>
        </w:rPr>
        <w:t>Note:</w:t>
      </w:r>
    </w:p>
    <w:p w:rsidR="007A36AC" w:rsidRDefault="00FE7ACF">
      <w:pPr>
        <w:pStyle w:val="Point0"/>
        <w:spacing w:before="0" w:after="0"/>
        <w:rPr>
          <w:noProof/>
        </w:rPr>
      </w:pPr>
      <w:r>
        <w:rPr>
          <w:noProof/>
        </w:rPr>
        <w:t>PI =</w:t>
      </w:r>
      <w:r>
        <w:rPr>
          <w:noProof/>
        </w:rPr>
        <w:tab/>
        <w:t>Positive Ignition.</w:t>
      </w:r>
    </w:p>
    <w:p w:rsidR="007A36AC" w:rsidRDefault="00FE7ACF">
      <w:pPr>
        <w:pStyle w:val="Point0"/>
        <w:spacing w:before="0" w:after="0"/>
        <w:rPr>
          <w:noProof/>
        </w:rPr>
      </w:pPr>
      <w:r>
        <w:rPr>
          <w:noProof/>
        </w:rPr>
        <w:t>CI =</w:t>
      </w:r>
      <w:r>
        <w:rPr>
          <w:noProof/>
        </w:rPr>
        <w:tab/>
        <w:t>Compression Ignition.</w:t>
      </w:r>
    </w:p>
    <w:p w:rsidR="007A36AC" w:rsidRDefault="00FE7ACF">
      <w:pPr>
        <w:rPr>
          <w:noProof/>
        </w:rPr>
      </w:pPr>
      <w:r>
        <w:rPr>
          <w:noProof/>
          <w:vertAlign w:val="superscript"/>
        </w:rPr>
        <w:t>(1)</w:t>
      </w:r>
      <w:r>
        <w:rPr>
          <w:noProof/>
        </w:rPr>
        <w:tab/>
        <w:t xml:space="preserve">The </w:t>
      </w:r>
      <w:r>
        <w:rPr>
          <w:noProof/>
        </w:rPr>
        <w:t>admissible level of NO</w:t>
      </w:r>
      <w:r>
        <w:rPr>
          <w:noProof/>
          <w:vertAlign w:val="subscript"/>
        </w:rPr>
        <w:t>2</w:t>
      </w:r>
      <w:r>
        <w:rPr>
          <w:noProof/>
        </w:rPr>
        <w:t xml:space="preserve"> component in the NO</w:t>
      </w:r>
      <w:r>
        <w:rPr>
          <w:noProof/>
          <w:vertAlign w:val="subscript"/>
        </w:rPr>
        <w:t>x</w:t>
      </w:r>
      <w:r>
        <w:rPr>
          <w:noProof/>
        </w:rPr>
        <w:t xml:space="preserve"> limit value may be defined at a later stage.';</w:t>
      </w:r>
    </w:p>
    <w:p w:rsidR="007A36AC" w:rsidRDefault="00FE7ACF">
      <w:pPr>
        <w:rPr>
          <w:noProof/>
        </w:rPr>
      </w:pPr>
      <w:r>
        <w:rPr>
          <w:noProof/>
        </w:rPr>
        <w:t>(b)</w:t>
      </w:r>
      <w:r>
        <w:rPr>
          <w:noProof/>
        </w:rPr>
        <w:tab/>
        <w:t>Annex III is amended as follows:</w:t>
      </w:r>
    </w:p>
    <w:p w:rsidR="007A36AC" w:rsidRDefault="00FE7ACF">
      <w:pPr>
        <w:ind w:firstLine="720"/>
        <w:rPr>
          <w:noProof/>
        </w:rPr>
      </w:pPr>
      <w:r>
        <w:rPr>
          <w:noProof/>
        </w:rPr>
        <w:t>(i)</w:t>
      </w:r>
      <w:r>
        <w:rPr>
          <w:noProof/>
        </w:rPr>
        <w:tab/>
        <w:t>Section 2 is amended as follows:</w:t>
      </w:r>
    </w:p>
    <w:p w:rsidR="007A36AC" w:rsidRDefault="00FE7ACF">
      <w:pPr>
        <w:ind w:left="131" w:firstLine="578"/>
        <w:rPr>
          <w:noProof/>
        </w:rPr>
      </w:pPr>
      <w:r>
        <w:rPr>
          <w:noProof/>
        </w:rPr>
        <w:t xml:space="preserve">— in point 2.1., the sixth indent is replaced by the following:  </w:t>
      </w:r>
    </w:p>
    <w:p w:rsidR="007A36AC" w:rsidRDefault="00FE7ACF">
      <w:pPr>
        <w:ind w:left="709"/>
        <w:rPr>
          <w:noProof/>
        </w:rPr>
      </w:pPr>
      <w:r>
        <w:rPr>
          <w:noProof/>
        </w:rPr>
        <w:lastRenderedPageBreak/>
        <w:t>'—</w:t>
      </w:r>
      <w:r>
        <w:rPr>
          <w:noProof/>
        </w:rPr>
        <w:tab/>
        <w:t>Costs shall be apport</w:t>
      </w:r>
      <w:r>
        <w:rPr>
          <w:noProof/>
        </w:rPr>
        <w:t>ioned to heavy duty vehicles on an objective and transparent basis taking account of the proportion of heavy duty vehicle traffic to be carried on the network and the associated costs. The vehicle kilometres travelled by heavy duty vehicles may for this pu</w:t>
      </w:r>
      <w:r>
        <w:rPr>
          <w:noProof/>
        </w:rPr>
        <w:t>rpose be adjusted by objectively justified ‘equivalence factors’ such as those set out in point 4 (*).</w:t>
      </w:r>
    </w:p>
    <w:p w:rsidR="007A36AC" w:rsidRDefault="00FE7ACF">
      <w:pPr>
        <w:rPr>
          <w:noProof/>
        </w:rPr>
      </w:pPr>
      <w:r>
        <w:rPr>
          <w:noProof/>
        </w:rPr>
        <w:t>________</w:t>
      </w:r>
    </w:p>
    <w:p w:rsidR="007A36AC" w:rsidRDefault="00FE7ACF">
      <w:pPr>
        <w:rPr>
          <w:noProof/>
        </w:rPr>
      </w:pPr>
      <w:r>
        <w:rPr>
          <w:noProof/>
        </w:rPr>
        <w:t>*</w:t>
      </w:r>
      <w:r>
        <w:rPr>
          <w:noProof/>
        </w:rPr>
        <w:tab/>
        <w:t>The application of equivalence factors by Member States may take account of road construction developed on a phased basis or using a long life</w:t>
      </w:r>
      <w:r>
        <w:rPr>
          <w:noProof/>
        </w:rPr>
        <w:t xml:space="preserve"> cycle approach.';</w:t>
      </w:r>
    </w:p>
    <w:p w:rsidR="007A36AC" w:rsidRDefault="00FE7ACF">
      <w:pPr>
        <w:ind w:left="709"/>
        <w:rPr>
          <w:noProof/>
        </w:rPr>
      </w:pPr>
      <w:r>
        <w:rPr>
          <w:noProof/>
        </w:rPr>
        <w:t>— in point 2.2., the second indent is replaced by the following:</w:t>
      </w:r>
    </w:p>
    <w:p w:rsidR="007A36AC" w:rsidRDefault="00FE7ACF">
      <w:pPr>
        <w:ind w:left="709"/>
        <w:rPr>
          <w:noProof/>
        </w:rPr>
      </w:pPr>
      <w:r>
        <w:rPr>
          <w:noProof/>
        </w:rPr>
        <w:t>'—</w:t>
      </w:r>
      <w:r>
        <w:rPr>
          <w:noProof/>
        </w:rPr>
        <w:tab/>
        <w:t>Such costs shall be apportioned between heavy duty vehicles and other traffic on the basis of actual and forecast shares of vehicle kilometres and may be adjusted by obj</w:t>
      </w:r>
      <w:r>
        <w:rPr>
          <w:noProof/>
        </w:rPr>
        <w:t>ectively justified equivalence factors such as those set out in point 4.';</w:t>
      </w:r>
    </w:p>
    <w:p w:rsidR="007A36AC" w:rsidRDefault="00FE7ACF">
      <w:pPr>
        <w:ind w:left="709"/>
        <w:rPr>
          <w:noProof/>
        </w:rPr>
      </w:pPr>
      <w:r>
        <w:rPr>
          <w:noProof/>
        </w:rPr>
        <w:t>(ii)</w:t>
      </w:r>
      <w:r>
        <w:rPr>
          <w:noProof/>
        </w:rPr>
        <w:tab/>
        <w:t>in Section 4, the heading and the first indent are replaced by the following:</w:t>
      </w:r>
    </w:p>
    <w:p w:rsidR="007A36AC" w:rsidRDefault="00FE7ACF">
      <w:pPr>
        <w:ind w:left="720" w:hanging="720"/>
        <w:rPr>
          <w:noProof/>
        </w:rPr>
      </w:pPr>
      <w:r>
        <w:rPr>
          <w:noProof/>
        </w:rPr>
        <w:t>'4.</w:t>
      </w:r>
      <w:r>
        <w:rPr>
          <w:noProof/>
        </w:rPr>
        <w:tab/>
        <w:t>SHARE OF HEAVY DUTY VEHICLE TRAFFIC, EQUIVALENCE FACTORS AND CORRECTION MECHANISM</w:t>
      </w:r>
    </w:p>
    <w:p w:rsidR="007A36AC" w:rsidRDefault="00FE7ACF">
      <w:pPr>
        <w:ind w:left="720" w:hanging="720"/>
        <w:rPr>
          <w:noProof/>
        </w:rPr>
      </w:pPr>
      <w:r>
        <w:rPr>
          <w:noProof/>
        </w:rPr>
        <w:t>–</w:t>
      </w:r>
      <w:r>
        <w:rPr>
          <w:noProof/>
        </w:rPr>
        <w:tab/>
        <w:t xml:space="preserve">The </w:t>
      </w:r>
      <w:r>
        <w:rPr>
          <w:noProof/>
        </w:rPr>
        <w:t>calculation of tolls shall be based on actual or forecast shares of heavy duty vehicle kilometres adjusted, if desired, by equivalence factors, to make due allowance for the increased costs of constructing and repairing infrastructure for use by heavy duty</w:t>
      </w:r>
      <w:r>
        <w:rPr>
          <w:noProof/>
        </w:rPr>
        <w:t xml:space="preserve"> vehicles.';</w:t>
      </w:r>
    </w:p>
    <w:p w:rsidR="007A36AC" w:rsidRDefault="00FE7ACF">
      <w:pPr>
        <w:rPr>
          <w:noProof/>
        </w:rPr>
      </w:pPr>
      <w:r>
        <w:rPr>
          <w:noProof/>
        </w:rPr>
        <w:t>(c)</w:t>
      </w:r>
      <w:r>
        <w:rPr>
          <w:noProof/>
        </w:rPr>
        <w:tab/>
        <w:t>Annex IIIa is replaced by the following:</w:t>
      </w:r>
    </w:p>
    <w:p w:rsidR="007A36AC" w:rsidRDefault="00FE7ACF">
      <w:pPr>
        <w:pStyle w:val="Annexetitreacte"/>
        <w:rPr>
          <w:noProof/>
          <w:lang w:val="en-GB"/>
        </w:rPr>
      </w:pPr>
      <w:r>
        <w:rPr>
          <w:b w:val="0"/>
          <w:noProof/>
          <w:u w:val="none"/>
          <w:lang w:val="en-GB"/>
        </w:rPr>
        <w:t>'</w:t>
      </w:r>
      <w:r>
        <w:rPr>
          <w:noProof/>
          <w:lang w:val="en-GB"/>
        </w:rPr>
        <w:t>ANNEX IIIa</w:t>
      </w:r>
    </w:p>
    <w:p w:rsidR="007A36AC" w:rsidRDefault="00FE7ACF">
      <w:pPr>
        <w:pStyle w:val="ManualHeading1"/>
        <w:ind w:left="851" w:hanging="851"/>
        <w:rPr>
          <w:noProof/>
        </w:rPr>
      </w:pPr>
      <w:r>
        <w:rPr>
          <w:i/>
          <w:iCs/>
          <w:noProof/>
        </w:rPr>
        <w:t>MINIMUM REQUIREMENTS FOR LEVYING AN EXTERNAL-COST CHARGE</w:t>
      </w:r>
    </w:p>
    <w:p w:rsidR="007A36AC" w:rsidRDefault="00FE7ACF">
      <w:pPr>
        <w:rPr>
          <w:noProof/>
        </w:rPr>
      </w:pPr>
      <w:r>
        <w:rPr>
          <w:noProof/>
        </w:rPr>
        <w:t>This Annex sets out the minimum requirements for levying an external-cost charge and</w:t>
      </w:r>
      <w:r>
        <w:rPr>
          <w:rFonts w:eastAsia="Arial Unicode MS"/>
          <w:noProof/>
        </w:rPr>
        <w:t>, where applicable,</w:t>
      </w:r>
      <w:r>
        <w:rPr>
          <w:noProof/>
        </w:rPr>
        <w:t xml:space="preserve"> for calculating the maxim</w:t>
      </w:r>
      <w:r>
        <w:rPr>
          <w:noProof/>
        </w:rPr>
        <w:t>um external-cost charge.</w:t>
      </w:r>
    </w:p>
    <w:p w:rsidR="007A36AC" w:rsidRDefault="00FE7ACF">
      <w:pPr>
        <w:pStyle w:val="ManualHeading2"/>
        <w:ind w:left="851" w:hanging="851"/>
        <w:rPr>
          <w:noProof/>
        </w:rPr>
      </w:pPr>
      <w:r>
        <w:rPr>
          <w:noProof/>
        </w:rPr>
        <w:t>1.</w:t>
      </w:r>
      <w:r>
        <w:rPr>
          <w:noProof/>
        </w:rPr>
        <w:tab/>
      </w:r>
      <w:r>
        <w:rPr>
          <w:i/>
          <w:iCs/>
          <w:noProof/>
        </w:rPr>
        <w:t>The parts of the road network concerned</w:t>
      </w:r>
    </w:p>
    <w:p w:rsidR="007A36AC" w:rsidRDefault="00FE7ACF">
      <w:pPr>
        <w:rPr>
          <w:noProof/>
        </w:rPr>
      </w:pPr>
      <w:r>
        <w:rPr>
          <w:noProof/>
        </w:rPr>
        <w:t>The Member State shall specify precisely the part or parts of their road network which are to be subject to an external-cost charge.</w:t>
      </w:r>
    </w:p>
    <w:p w:rsidR="007A36AC" w:rsidRDefault="00FE7ACF">
      <w:pPr>
        <w:rPr>
          <w:noProof/>
        </w:rPr>
      </w:pPr>
      <w:r>
        <w:rPr>
          <w:noProof/>
        </w:rPr>
        <w:t xml:space="preserve">Where a Member State  intends to levy an external-cost </w:t>
      </w:r>
      <w:r>
        <w:rPr>
          <w:noProof/>
        </w:rPr>
        <w:t>charge on only a part or parts of the road network composed of its share in the trans-European network and of its motorways, the part or parts shall be chosen after an assessment establishing that:</w:t>
      </w:r>
    </w:p>
    <w:p w:rsidR="007A36AC" w:rsidRDefault="00FE7ACF">
      <w:pPr>
        <w:pStyle w:val="Tiret0"/>
        <w:numPr>
          <w:ilvl w:val="0"/>
          <w:numId w:val="5"/>
        </w:numPr>
        <w:ind w:left="851"/>
        <w:rPr>
          <w:noProof/>
        </w:rPr>
      </w:pPr>
      <w:r>
        <w:rPr>
          <w:noProof/>
        </w:rPr>
        <w:t xml:space="preserve">vehicles’ use of the roads where the external-cost charge </w:t>
      </w:r>
      <w:r>
        <w:rPr>
          <w:noProof/>
        </w:rPr>
        <w:t xml:space="preserve">is applied generates environmental damage higher than that generated on average assessed </w:t>
      </w:r>
      <w:r>
        <w:rPr>
          <w:noProof/>
          <w:color w:val="FF0000"/>
        </w:rPr>
        <w:t>in accordance with air quality reporting, national emissions inventories, traffic volumes and, for noise, in accordance with Directive 2002/49/EC</w:t>
      </w:r>
      <w:r>
        <w:rPr>
          <w:noProof/>
        </w:rPr>
        <w:t>, or</w:t>
      </w:r>
    </w:p>
    <w:p w:rsidR="007A36AC" w:rsidRDefault="00FE7ACF">
      <w:pPr>
        <w:pStyle w:val="Tiret0"/>
        <w:ind w:left="851"/>
        <w:rPr>
          <w:noProof/>
        </w:rPr>
      </w:pPr>
      <w:r>
        <w:rPr>
          <w:noProof/>
        </w:rPr>
        <w:t>the imposition of</w:t>
      </w:r>
      <w:r>
        <w:rPr>
          <w:noProof/>
        </w:rPr>
        <w:t xml:space="preserve"> an external-cost charge on other parts of the road network thus composed might have adverse effects on the environment or road safety, or levying and collecting an external-cost charge on them would entail disproportionate cost.</w:t>
      </w:r>
    </w:p>
    <w:p w:rsidR="007A36AC" w:rsidRDefault="00FE7ACF">
      <w:pPr>
        <w:pStyle w:val="ManualHeading2"/>
        <w:ind w:left="851" w:hanging="851"/>
        <w:rPr>
          <w:noProof/>
        </w:rPr>
      </w:pPr>
      <w:r>
        <w:rPr>
          <w:noProof/>
        </w:rPr>
        <w:t>2.</w:t>
      </w:r>
      <w:r>
        <w:rPr>
          <w:noProof/>
        </w:rPr>
        <w:tab/>
      </w:r>
      <w:r>
        <w:rPr>
          <w:i/>
          <w:iCs/>
          <w:noProof/>
        </w:rPr>
        <w:t>The vehicles, roads and</w:t>
      </w:r>
      <w:r>
        <w:rPr>
          <w:i/>
          <w:iCs/>
          <w:noProof/>
        </w:rPr>
        <w:t xml:space="preserve"> time period covered</w:t>
      </w:r>
    </w:p>
    <w:p w:rsidR="007A36AC" w:rsidRDefault="00FE7ACF">
      <w:pPr>
        <w:rPr>
          <w:noProof/>
        </w:rPr>
      </w:pPr>
      <w:r>
        <w:rPr>
          <w:noProof/>
        </w:rPr>
        <w:t xml:space="preserve">Where a Member State </w:t>
      </w:r>
      <w:r>
        <w:rPr>
          <w:rFonts w:eastAsia="Arial Unicode MS"/>
          <w:noProof/>
        </w:rPr>
        <w:t xml:space="preserve">intends to apply higher external-cost charges than the reference values specified in Annex IIIb, it </w:t>
      </w:r>
      <w:r>
        <w:rPr>
          <w:noProof/>
        </w:rPr>
        <w:t xml:space="preserve">shall notify the Commission of the classification of vehicles according to which the </w:t>
      </w:r>
      <w:r>
        <w:rPr>
          <w:rFonts w:eastAsia="Arial Unicode MS"/>
          <w:noProof/>
        </w:rPr>
        <w:t>external-cost charge</w:t>
      </w:r>
      <w:r>
        <w:rPr>
          <w:noProof/>
        </w:rPr>
        <w:t xml:space="preserve"> shall va</w:t>
      </w:r>
      <w:r>
        <w:rPr>
          <w:noProof/>
        </w:rPr>
        <w:t xml:space="preserve">ry. It shall also notify the Commission of the location of roads subject to higher external-cost charges (called hereafter ‘suburban roads </w:t>
      </w:r>
      <w:r>
        <w:rPr>
          <w:noProof/>
        </w:rPr>
        <w:lastRenderedPageBreak/>
        <w:t>(including motorways)’), and of roads subject to lower external-cost charges (called hereafter ‘interurban roads (inc</w:t>
      </w:r>
      <w:r>
        <w:rPr>
          <w:noProof/>
        </w:rPr>
        <w:t>luding motorways)’).</w:t>
      </w:r>
    </w:p>
    <w:p w:rsidR="007A36AC" w:rsidRDefault="00FE7ACF">
      <w:pPr>
        <w:rPr>
          <w:noProof/>
        </w:rPr>
      </w:pPr>
      <w:r>
        <w:rPr>
          <w:noProof/>
        </w:rPr>
        <w:t>Where applicable, it shall also notify the Commission of the exact time periods corresponding to the night period during which a higher external noise-cost charge may be imposed to reflect greater noise nuisances.</w:t>
      </w:r>
    </w:p>
    <w:p w:rsidR="007A36AC" w:rsidRDefault="00FE7ACF">
      <w:pPr>
        <w:rPr>
          <w:noProof/>
        </w:rPr>
      </w:pPr>
      <w:r>
        <w:rPr>
          <w:noProof/>
        </w:rPr>
        <w:t>The classification of</w:t>
      </w:r>
      <w:r>
        <w:rPr>
          <w:noProof/>
        </w:rPr>
        <w:t xml:space="preserve"> roads as suburban roads (including motorways) and interurban roads (including motorways), and the definition of time periods shall be based on objective criteria related to the level of exposure of the roads and their vicinities to pollution such as popul</w:t>
      </w:r>
      <w:r>
        <w:rPr>
          <w:noProof/>
        </w:rPr>
        <w:t>ation density, the annual mean air pollution (in particular for PM</w:t>
      </w:r>
      <w:r>
        <w:rPr>
          <w:noProof/>
          <w:vertAlign w:val="subscript"/>
        </w:rPr>
        <w:t>10</w:t>
      </w:r>
      <w:r>
        <w:rPr>
          <w:noProof/>
        </w:rPr>
        <w:t xml:space="preserve"> and NO</w:t>
      </w:r>
      <w:r>
        <w:rPr>
          <w:noProof/>
          <w:vertAlign w:val="subscript"/>
        </w:rPr>
        <w:t>2</w:t>
      </w:r>
      <w:r>
        <w:rPr>
          <w:noProof/>
        </w:rPr>
        <w:t>) and the number of days (for PM</w:t>
      </w:r>
      <w:r>
        <w:rPr>
          <w:noProof/>
          <w:vertAlign w:val="subscript"/>
        </w:rPr>
        <w:t>10</w:t>
      </w:r>
      <w:r>
        <w:rPr>
          <w:noProof/>
        </w:rPr>
        <w:t>) and hours (NO</w:t>
      </w:r>
      <w:r>
        <w:rPr>
          <w:noProof/>
          <w:vertAlign w:val="subscript"/>
        </w:rPr>
        <w:t>2</w:t>
      </w:r>
      <w:r>
        <w:rPr>
          <w:noProof/>
        </w:rPr>
        <w:t>) on which limit values established under Directive 2008/50/EC are exceeded. The criteria used shall be included in the notificati</w:t>
      </w:r>
      <w:r>
        <w:rPr>
          <w:noProof/>
        </w:rPr>
        <w:t>on.</w:t>
      </w:r>
    </w:p>
    <w:p w:rsidR="007A36AC" w:rsidRDefault="00FE7ACF">
      <w:pPr>
        <w:pStyle w:val="ManualHeading2"/>
        <w:ind w:left="851" w:hanging="851"/>
        <w:rPr>
          <w:noProof/>
        </w:rPr>
      </w:pPr>
      <w:r>
        <w:rPr>
          <w:noProof/>
        </w:rPr>
        <w:t>3.</w:t>
      </w:r>
      <w:r>
        <w:rPr>
          <w:noProof/>
        </w:rPr>
        <w:tab/>
      </w:r>
      <w:r>
        <w:rPr>
          <w:i/>
          <w:iCs/>
          <w:noProof/>
        </w:rPr>
        <w:t>Amount of the charge</w:t>
      </w:r>
    </w:p>
    <w:p w:rsidR="007A36AC" w:rsidRDefault="00FE7ACF">
      <w:pPr>
        <w:rPr>
          <w:rFonts w:eastAsia="Arial Unicode MS"/>
          <w:noProof/>
        </w:rPr>
      </w:pPr>
      <w:r>
        <w:rPr>
          <w:rFonts w:eastAsia="Arial Unicode MS"/>
          <w:noProof/>
        </w:rPr>
        <w:t>This section shall  apply where a Member State intends to apply higher external cost charges than the reference values specified in Annex IIIb.</w:t>
      </w:r>
    </w:p>
    <w:p w:rsidR="007A36AC" w:rsidRDefault="00FE7ACF">
      <w:pPr>
        <w:rPr>
          <w:noProof/>
        </w:rPr>
      </w:pPr>
      <w:r>
        <w:rPr>
          <w:noProof/>
        </w:rPr>
        <w:t>For each vehicle class, type of road and time period, the Member State or, where app</w:t>
      </w:r>
      <w:r>
        <w:rPr>
          <w:noProof/>
        </w:rPr>
        <w:t>ropriate, an independent authority shall determine a single specific amount. The resulting charging structure shall be transparent, made public and available to all users on equal terms. The publication should occur in a timely manner before implementation</w:t>
      </w:r>
      <w:r>
        <w:rPr>
          <w:noProof/>
        </w:rPr>
        <w:t>. All parameters, data and other information necessary to understand how the various external-cost elements are calculated shall be made public.</w:t>
      </w:r>
    </w:p>
    <w:p w:rsidR="007A36AC" w:rsidRDefault="00FE7ACF">
      <w:pPr>
        <w:rPr>
          <w:noProof/>
        </w:rPr>
      </w:pPr>
      <w:r>
        <w:rPr>
          <w:noProof/>
        </w:rPr>
        <w:t>When setting the charges, the Member State or, where appropriate, an independent authority shall be guided by t</w:t>
      </w:r>
      <w:r>
        <w:rPr>
          <w:noProof/>
        </w:rPr>
        <w:t>he principle of efficient pricing that is a price close to the social marginal cost of the usage of the vehicle charged.</w:t>
      </w:r>
    </w:p>
    <w:p w:rsidR="007A36AC" w:rsidRDefault="00FE7ACF">
      <w:pPr>
        <w:rPr>
          <w:noProof/>
        </w:rPr>
      </w:pPr>
      <w:r>
        <w:rPr>
          <w:noProof/>
        </w:rPr>
        <w:t>The charge shall be set after having considered the risk of traffic diversion together with any adverse effects on road safety, the env</w:t>
      </w:r>
      <w:r>
        <w:rPr>
          <w:noProof/>
        </w:rPr>
        <w:t>ironment and congestion, and any solutions to mitigate these risks.</w:t>
      </w:r>
    </w:p>
    <w:p w:rsidR="007A36AC" w:rsidRDefault="00FE7ACF">
      <w:pPr>
        <w:rPr>
          <w:noProof/>
        </w:rPr>
      </w:pPr>
      <w:r>
        <w:rPr>
          <w:noProof/>
        </w:rPr>
        <w:t>The Member State or, where appropriate, an independent authority, shall monitor the effectiveness of the charging scheme in reducing environmental damage arising from road transport. It sh</w:t>
      </w:r>
      <w:r>
        <w:rPr>
          <w:noProof/>
        </w:rPr>
        <w:t>all every two years adjust, where appropriate, the charging structure and the specific amount of the charge set for a given class of vehicle, type of road and period of time to the changes in transport supply and demand.</w:t>
      </w:r>
    </w:p>
    <w:p w:rsidR="007A36AC" w:rsidRDefault="00FE7ACF">
      <w:pPr>
        <w:pStyle w:val="ManualHeading3"/>
        <w:rPr>
          <w:i w:val="0"/>
          <w:iCs/>
          <w:noProof/>
        </w:rPr>
      </w:pPr>
      <w:r>
        <w:rPr>
          <w:b/>
          <w:bCs/>
          <w:noProof/>
        </w:rPr>
        <w:t>4.</w:t>
      </w:r>
      <w:r>
        <w:rPr>
          <w:b/>
          <w:bCs/>
          <w:noProof/>
        </w:rPr>
        <w:tab/>
      </w:r>
      <w:r>
        <w:rPr>
          <w:b/>
          <w:i w:val="0"/>
          <w:iCs/>
          <w:noProof/>
        </w:rPr>
        <w:t>External-cost elements</w:t>
      </w:r>
      <w:r>
        <w:rPr>
          <w:i w:val="0"/>
          <w:iCs/>
          <w:noProof/>
        </w:rPr>
        <w:t xml:space="preserve"> </w:t>
      </w:r>
    </w:p>
    <w:p w:rsidR="007A36AC" w:rsidRDefault="00FE7ACF">
      <w:pPr>
        <w:pStyle w:val="ManualHeading3"/>
        <w:rPr>
          <w:noProof/>
        </w:rPr>
      </w:pPr>
      <w:r>
        <w:rPr>
          <w:noProof/>
        </w:rPr>
        <w:t>4.1.</w:t>
      </w:r>
      <w:r>
        <w:rPr>
          <w:noProof/>
        </w:rPr>
        <w:tab/>
      </w:r>
      <w:r>
        <w:rPr>
          <w:noProof/>
        </w:rPr>
        <w:t>Cost of traffic-based air pollution</w:t>
      </w:r>
    </w:p>
    <w:p w:rsidR="007A36AC" w:rsidRDefault="00FE7ACF">
      <w:pPr>
        <w:rPr>
          <w:noProof/>
        </w:rPr>
      </w:pPr>
      <w:r>
        <w:rPr>
          <w:noProof/>
        </w:rPr>
        <w:t xml:space="preserve">Where a Member State </w:t>
      </w:r>
      <w:r>
        <w:rPr>
          <w:rFonts w:eastAsia="Arial Unicode MS"/>
          <w:noProof/>
        </w:rPr>
        <w:t>intends to apply higher</w:t>
      </w:r>
      <w:r>
        <w:rPr>
          <w:noProof/>
        </w:rPr>
        <w:t xml:space="preserve"> external-cost charges </w:t>
      </w:r>
      <w:r>
        <w:rPr>
          <w:rFonts w:eastAsia="Arial Unicode MS"/>
          <w:noProof/>
        </w:rPr>
        <w:t>than the reference values specified in Annex IIIb</w:t>
      </w:r>
      <w:r>
        <w:rPr>
          <w:noProof/>
        </w:rPr>
        <w:t xml:space="preserve">, that Member State or, where appropriate, an independent authority shall calculate the chargeable cost </w:t>
      </w:r>
      <w:r>
        <w:rPr>
          <w:noProof/>
        </w:rPr>
        <w:t>of traffic–based air pollution by applying the following formula:</w:t>
      </w:r>
    </w:p>
    <w:p w:rsidR="007A36AC" w:rsidRDefault="00FE7ACF">
      <w:pPr>
        <w:rPr>
          <w:noProof/>
        </w:rPr>
      </w:pPr>
      <w:r>
        <w:rPr>
          <w:noProof/>
          <w:lang w:eastAsia="en-GB"/>
        </w:rPr>
        <w:drawing>
          <wp:inline distT="0" distB="0" distL="0" distR="0" wp14:anchorId="5DA13A47" wp14:editId="0D459302">
            <wp:extent cx="1714500" cy="2290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14125" cy="229013"/>
                    </a:xfrm>
                    <a:prstGeom prst="rect">
                      <a:avLst/>
                    </a:prstGeom>
                  </pic:spPr>
                </pic:pic>
              </a:graphicData>
            </a:graphic>
          </wp:inline>
        </w:drawing>
      </w:r>
    </w:p>
    <w:p w:rsidR="007A36AC" w:rsidRDefault="00FE7ACF">
      <w:pPr>
        <w:rPr>
          <w:noProof/>
        </w:rPr>
      </w:pPr>
      <w:r>
        <w:rPr>
          <w:noProof/>
        </w:rPr>
        <w:t>where:</w:t>
      </w:r>
    </w:p>
    <w:tbl>
      <w:tblPr>
        <w:tblW w:w="0" w:type="auto"/>
        <w:tblLayout w:type="fixed"/>
        <w:tblLook w:val="0000" w:firstRow="0" w:lastRow="0" w:firstColumn="0" w:lastColumn="0" w:noHBand="0" w:noVBand="0"/>
      </w:tblPr>
      <w:tblGrid>
        <w:gridCol w:w="557"/>
        <w:gridCol w:w="1022"/>
        <w:gridCol w:w="557"/>
        <w:gridCol w:w="7150"/>
      </w:tblGrid>
      <w:tr w:rsidR="007A36AC">
        <w:tc>
          <w:tcPr>
            <w:tcW w:w="557" w:type="dxa"/>
          </w:tcPr>
          <w:p w:rsidR="007A36AC" w:rsidRDefault="00FE7ACF">
            <w:pPr>
              <w:pStyle w:val="NormalLeft"/>
              <w:rPr>
                <w:noProof/>
              </w:rPr>
            </w:pPr>
            <w:r>
              <w:rPr>
                <w:noProof/>
              </w:rPr>
              <w:t>—</w:t>
            </w:r>
          </w:p>
        </w:tc>
        <w:tc>
          <w:tcPr>
            <w:tcW w:w="1022" w:type="dxa"/>
          </w:tcPr>
          <w:p w:rsidR="007A36AC" w:rsidRDefault="00FE7ACF">
            <w:pPr>
              <w:pStyle w:val="NormalLeft"/>
              <w:rPr>
                <w:noProof/>
              </w:rPr>
            </w:pPr>
            <w:r>
              <w:rPr>
                <w:noProof/>
              </w:rPr>
              <w:t>PCV</w:t>
            </w:r>
            <w:r>
              <w:rPr>
                <w:noProof/>
                <w:vertAlign w:val="subscript"/>
              </w:rPr>
              <w:t>ij</w:t>
            </w:r>
          </w:p>
        </w:tc>
        <w:tc>
          <w:tcPr>
            <w:tcW w:w="557" w:type="dxa"/>
          </w:tcPr>
          <w:p w:rsidR="007A36AC" w:rsidRDefault="00FE7ACF">
            <w:pPr>
              <w:pStyle w:val="NormalLeft"/>
              <w:rPr>
                <w:noProof/>
              </w:rPr>
            </w:pPr>
            <w:r>
              <w:rPr>
                <w:noProof/>
              </w:rPr>
              <w:t>=</w:t>
            </w:r>
          </w:p>
        </w:tc>
        <w:tc>
          <w:tcPr>
            <w:tcW w:w="7150" w:type="dxa"/>
          </w:tcPr>
          <w:p w:rsidR="007A36AC" w:rsidRDefault="00FE7ACF">
            <w:pPr>
              <w:pStyle w:val="NormalLeft"/>
              <w:rPr>
                <w:noProof/>
              </w:rPr>
            </w:pPr>
            <w:r>
              <w:rPr>
                <w:noProof/>
              </w:rPr>
              <w:t>air pollution cost of vehicle class i on road type j (euro/vehicle.kilometre)</w:t>
            </w:r>
          </w:p>
        </w:tc>
      </w:tr>
      <w:tr w:rsidR="007A36AC">
        <w:tc>
          <w:tcPr>
            <w:tcW w:w="557" w:type="dxa"/>
          </w:tcPr>
          <w:p w:rsidR="007A36AC" w:rsidRDefault="00FE7ACF">
            <w:pPr>
              <w:pStyle w:val="NormalLeft"/>
              <w:rPr>
                <w:noProof/>
              </w:rPr>
            </w:pPr>
            <w:r>
              <w:rPr>
                <w:noProof/>
              </w:rPr>
              <w:t>—</w:t>
            </w:r>
          </w:p>
        </w:tc>
        <w:tc>
          <w:tcPr>
            <w:tcW w:w="1022" w:type="dxa"/>
          </w:tcPr>
          <w:p w:rsidR="007A36AC" w:rsidRDefault="00FE7ACF">
            <w:pPr>
              <w:pStyle w:val="NormalLeft"/>
              <w:rPr>
                <w:noProof/>
              </w:rPr>
            </w:pPr>
            <w:r>
              <w:rPr>
                <w:noProof/>
              </w:rPr>
              <w:t>EF</w:t>
            </w:r>
            <w:r>
              <w:rPr>
                <w:noProof/>
                <w:vertAlign w:val="subscript"/>
              </w:rPr>
              <w:t>ik</w:t>
            </w:r>
          </w:p>
        </w:tc>
        <w:tc>
          <w:tcPr>
            <w:tcW w:w="557" w:type="dxa"/>
          </w:tcPr>
          <w:p w:rsidR="007A36AC" w:rsidRDefault="00FE7ACF">
            <w:pPr>
              <w:pStyle w:val="NormalLeft"/>
              <w:rPr>
                <w:noProof/>
              </w:rPr>
            </w:pPr>
            <w:r>
              <w:rPr>
                <w:noProof/>
              </w:rPr>
              <w:t>=</w:t>
            </w:r>
          </w:p>
        </w:tc>
        <w:tc>
          <w:tcPr>
            <w:tcW w:w="7150" w:type="dxa"/>
          </w:tcPr>
          <w:p w:rsidR="007A36AC" w:rsidRDefault="00FE7ACF">
            <w:pPr>
              <w:pStyle w:val="NormalLeft"/>
              <w:rPr>
                <w:noProof/>
              </w:rPr>
            </w:pPr>
            <w:r>
              <w:rPr>
                <w:noProof/>
              </w:rPr>
              <w:t xml:space="preserve">emission factor of pollutant k and vehicle class i </w:t>
            </w:r>
            <w:r>
              <w:rPr>
                <w:noProof/>
              </w:rPr>
              <w:lastRenderedPageBreak/>
              <w:t>(gram/vehicle.kilometre)</w:t>
            </w:r>
          </w:p>
        </w:tc>
      </w:tr>
      <w:tr w:rsidR="007A36AC">
        <w:tc>
          <w:tcPr>
            <w:tcW w:w="557" w:type="dxa"/>
          </w:tcPr>
          <w:p w:rsidR="007A36AC" w:rsidRDefault="00FE7ACF">
            <w:pPr>
              <w:pStyle w:val="NormalLeft"/>
              <w:rPr>
                <w:noProof/>
              </w:rPr>
            </w:pPr>
            <w:r>
              <w:rPr>
                <w:noProof/>
              </w:rPr>
              <w:lastRenderedPageBreak/>
              <w:t>—</w:t>
            </w:r>
          </w:p>
        </w:tc>
        <w:tc>
          <w:tcPr>
            <w:tcW w:w="1022" w:type="dxa"/>
          </w:tcPr>
          <w:p w:rsidR="007A36AC" w:rsidRDefault="00FE7ACF">
            <w:pPr>
              <w:pStyle w:val="NormalLeft"/>
              <w:rPr>
                <w:noProof/>
              </w:rPr>
            </w:pPr>
            <w:r>
              <w:rPr>
                <w:noProof/>
              </w:rPr>
              <w:t>PC</w:t>
            </w:r>
            <w:r>
              <w:rPr>
                <w:noProof/>
                <w:vertAlign w:val="subscript"/>
              </w:rPr>
              <w:t>jk</w:t>
            </w:r>
          </w:p>
        </w:tc>
        <w:tc>
          <w:tcPr>
            <w:tcW w:w="557" w:type="dxa"/>
          </w:tcPr>
          <w:p w:rsidR="007A36AC" w:rsidRDefault="00FE7ACF">
            <w:pPr>
              <w:pStyle w:val="NormalLeft"/>
              <w:rPr>
                <w:noProof/>
              </w:rPr>
            </w:pPr>
            <w:r>
              <w:rPr>
                <w:noProof/>
              </w:rPr>
              <w:t>=</w:t>
            </w:r>
          </w:p>
        </w:tc>
        <w:tc>
          <w:tcPr>
            <w:tcW w:w="7150" w:type="dxa"/>
          </w:tcPr>
          <w:p w:rsidR="007A36AC" w:rsidRDefault="00FE7ACF">
            <w:pPr>
              <w:pStyle w:val="NormalLeft"/>
              <w:rPr>
                <w:noProof/>
              </w:rPr>
            </w:pPr>
            <w:r>
              <w:rPr>
                <w:noProof/>
              </w:rPr>
              <w:t>monetary cost of pollutant k for type of road j (euro/gram)</w:t>
            </w:r>
          </w:p>
        </w:tc>
      </w:tr>
    </w:tbl>
    <w:p w:rsidR="007A36AC" w:rsidRDefault="007A36AC">
      <w:pPr>
        <w:rPr>
          <w:noProof/>
        </w:rPr>
      </w:pPr>
    </w:p>
    <w:p w:rsidR="007A36AC" w:rsidRDefault="00FE7ACF">
      <w:pPr>
        <w:rPr>
          <w:noProof/>
        </w:rPr>
      </w:pPr>
      <w:r>
        <w:rPr>
          <w:noProof/>
        </w:rPr>
        <w:t>The emission factors shall be the same as those used by the Member State to establish the national emissions inventories provided for in Directive (EU) 2016/2284 of the European Parliament an</w:t>
      </w:r>
      <w:r>
        <w:rPr>
          <w:noProof/>
        </w:rPr>
        <w:t>d of the Council of  on the reduction of national emissions of certain atmospheric pollutants * (which requires use of the EMEP/EEA air pollutant Emission Inventory Guidebook**). The monetary cost of pollutants shall be estimated by the Member State or, wh</w:t>
      </w:r>
      <w:r>
        <w:rPr>
          <w:noProof/>
        </w:rPr>
        <w:t>ere appropriate, the independent authority referrred to in Article 7c(4), using scientifically proven methods.</w:t>
      </w:r>
    </w:p>
    <w:p w:rsidR="007A36AC" w:rsidRDefault="00FE7ACF">
      <w:pPr>
        <w:rPr>
          <w:noProof/>
        </w:rPr>
      </w:pPr>
      <w:r>
        <w:rPr>
          <w:noProof/>
        </w:rPr>
        <w:t>The Member State or, where appropriate, an independent authority may apply scientifically proven alternative methods to calculate the value of ai</w:t>
      </w:r>
      <w:r>
        <w:rPr>
          <w:noProof/>
        </w:rPr>
        <w:t>r pollution costs using data from air pollutant measurement and the local value of the monetary cost of air pollutants.</w:t>
      </w:r>
    </w:p>
    <w:p w:rsidR="007A36AC" w:rsidRDefault="00FE7ACF">
      <w:pPr>
        <w:pStyle w:val="ManualHeading3"/>
        <w:rPr>
          <w:noProof/>
        </w:rPr>
      </w:pPr>
      <w:r>
        <w:rPr>
          <w:noProof/>
        </w:rPr>
        <w:t>4.2.</w:t>
      </w:r>
      <w:r>
        <w:rPr>
          <w:noProof/>
        </w:rPr>
        <w:tab/>
        <w:t>Cost of traffic-based noise pollution</w:t>
      </w:r>
    </w:p>
    <w:p w:rsidR="007A36AC" w:rsidRDefault="00FE7ACF">
      <w:pPr>
        <w:rPr>
          <w:noProof/>
        </w:rPr>
      </w:pPr>
      <w:r>
        <w:rPr>
          <w:noProof/>
        </w:rPr>
        <w:t xml:space="preserve">Where a Member State </w:t>
      </w:r>
      <w:r>
        <w:rPr>
          <w:rFonts w:eastAsia="Arial Unicode MS"/>
          <w:noProof/>
        </w:rPr>
        <w:t>intends to apply higher</w:t>
      </w:r>
      <w:r>
        <w:rPr>
          <w:noProof/>
        </w:rPr>
        <w:t xml:space="preserve"> external-cost charges </w:t>
      </w:r>
      <w:r>
        <w:rPr>
          <w:rFonts w:eastAsia="Arial Unicode MS"/>
          <w:noProof/>
        </w:rPr>
        <w:t xml:space="preserve">than the reference values </w:t>
      </w:r>
      <w:r>
        <w:rPr>
          <w:rFonts w:eastAsia="Arial Unicode MS"/>
          <w:noProof/>
        </w:rPr>
        <w:t>specified in Annex IIIb</w:t>
      </w:r>
      <w:r>
        <w:rPr>
          <w:noProof/>
        </w:rPr>
        <w:t>, the Member State or, where appropriate, an independent authority shall calculate the chargeable cost of traffic–based noise pollution by applying the following formulae:</w:t>
      </w:r>
    </w:p>
    <w:p w:rsidR="007A36AC" w:rsidRDefault="00FE7ACF">
      <w:pPr>
        <w:rPr>
          <w:noProof/>
        </w:rPr>
      </w:pPr>
      <w:r>
        <w:rPr>
          <w:noProof/>
          <w:lang w:eastAsia="en-GB"/>
        </w:rPr>
        <w:drawing>
          <wp:inline distT="0" distB="0" distL="0" distR="0" wp14:anchorId="412565B4" wp14:editId="52BB8A26">
            <wp:extent cx="2673997"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667416" cy="959657"/>
                    </a:xfrm>
                    <a:prstGeom prst="rect">
                      <a:avLst/>
                    </a:prstGeom>
                  </pic:spPr>
                </pic:pic>
              </a:graphicData>
            </a:graphic>
          </wp:inline>
        </w:drawing>
      </w:r>
    </w:p>
    <w:p w:rsidR="007A36AC" w:rsidRDefault="00FE7ACF">
      <w:pPr>
        <w:rPr>
          <w:noProof/>
        </w:rPr>
      </w:pPr>
      <w:r>
        <w:rPr>
          <w:noProof/>
        </w:rPr>
        <w:t>where:</w:t>
      </w:r>
    </w:p>
    <w:tbl>
      <w:tblPr>
        <w:tblW w:w="0" w:type="auto"/>
        <w:tblLayout w:type="fixed"/>
        <w:tblLook w:val="0000" w:firstRow="0" w:lastRow="0" w:firstColumn="0" w:lastColumn="0" w:noHBand="0" w:noVBand="0"/>
      </w:tblPr>
      <w:tblGrid>
        <w:gridCol w:w="557"/>
        <w:gridCol w:w="1207"/>
        <w:gridCol w:w="372"/>
        <w:gridCol w:w="7150"/>
      </w:tblGrid>
      <w:tr w:rsidR="007A36AC">
        <w:tc>
          <w:tcPr>
            <w:tcW w:w="557" w:type="dxa"/>
            <w:tcBorders>
              <w:top w:val="single" w:sz="2" w:space="0" w:color="auto"/>
              <w:left w:val="single" w:sz="2" w:space="0" w:color="auto"/>
              <w:bottom w:val="single" w:sz="2" w:space="0" w:color="auto"/>
              <w:right w:val="single" w:sz="2" w:space="0" w:color="auto"/>
            </w:tcBorders>
          </w:tcPr>
          <w:p w:rsidR="007A36AC" w:rsidRDefault="00FE7ACF">
            <w:pPr>
              <w:pStyle w:val="NormalLeft"/>
              <w:rPr>
                <w:noProof/>
              </w:rPr>
            </w:pPr>
            <w:r>
              <w:rPr>
                <w:noProof/>
              </w:rPr>
              <w:t>—</w:t>
            </w:r>
          </w:p>
        </w:tc>
        <w:tc>
          <w:tcPr>
            <w:tcW w:w="1207" w:type="dxa"/>
            <w:tcBorders>
              <w:top w:val="single" w:sz="2" w:space="0" w:color="auto"/>
              <w:left w:val="single" w:sz="2" w:space="0" w:color="auto"/>
              <w:bottom w:val="single" w:sz="2" w:space="0" w:color="auto"/>
              <w:right w:val="single" w:sz="2" w:space="0" w:color="auto"/>
            </w:tcBorders>
          </w:tcPr>
          <w:p w:rsidR="007A36AC" w:rsidRDefault="00FE7ACF">
            <w:pPr>
              <w:pStyle w:val="NormalLeft"/>
              <w:rPr>
                <w:noProof/>
              </w:rPr>
            </w:pPr>
            <w:r>
              <w:rPr>
                <w:noProof/>
              </w:rPr>
              <w:t>NCV</w:t>
            </w:r>
            <w:r>
              <w:rPr>
                <w:noProof/>
                <w:vertAlign w:val="subscript"/>
              </w:rPr>
              <w:t>j</w:t>
            </w:r>
            <w:r>
              <w:rPr>
                <w:noProof/>
              </w:rPr>
              <w:t xml:space="preserve"> =</w:t>
            </w:r>
          </w:p>
        </w:tc>
        <w:tc>
          <w:tcPr>
            <w:tcW w:w="372" w:type="dxa"/>
            <w:tcBorders>
              <w:top w:val="single" w:sz="2" w:space="0" w:color="auto"/>
              <w:left w:val="single" w:sz="2" w:space="0" w:color="auto"/>
              <w:bottom w:val="single" w:sz="2" w:space="0" w:color="auto"/>
              <w:right w:val="single" w:sz="2" w:space="0" w:color="auto"/>
            </w:tcBorders>
          </w:tcPr>
          <w:p w:rsidR="007A36AC" w:rsidRDefault="007A36AC">
            <w:pPr>
              <w:pStyle w:val="NormalLeft"/>
              <w:rPr>
                <w:noProof/>
              </w:rPr>
            </w:pPr>
          </w:p>
        </w:tc>
        <w:tc>
          <w:tcPr>
            <w:tcW w:w="7150" w:type="dxa"/>
            <w:tcBorders>
              <w:top w:val="single" w:sz="2" w:space="0" w:color="auto"/>
              <w:left w:val="single" w:sz="2" w:space="0" w:color="auto"/>
              <w:bottom w:val="single" w:sz="2" w:space="0" w:color="auto"/>
              <w:right w:val="single" w:sz="2" w:space="0" w:color="auto"/>
            </w:tcBorders>
          </w:tcPr>
          <w:p w:rsidR="007A36AC" w:rsidRDefault="00FE7ACF">
            <w:pPr>
              <w:pStyle w:val="NormalLeft"/>
              <w:rPr>
                <w:noProof/>
              </w:rPr>
            </w:pPr>
            <w:r>
              <w:rPr>
                <w:noProof/>
              </w:rPr>
              <w:t>noise cost of one heavy goods vehicle on r</w:t>
            </w:r>
            <w:r>
              <w:rPr>
                <w:noProof/>
              </w:rPr>
              <w:t>oad type j (euro/vehicle.kilometre)</w:t>
            </w:r>
          </w:p>
        </w:tc>
      </w:tr>
      <w:tr w:rsidR="007A36AC">
        <w:tc>
          <w:tcPr>
            <w:tcW w:w="557" w:type="dxa"/>
            <w:tcBorders>
              <w:top w:val="single" w:sz="2" w:space="0" w:color="auto"/>
              <w:left w:val="single" w:sz="2" w:space="0" w:color="auto"/>
              <w:bottom w:val="single" w:sz="2" w:space="0" w:color="auto"/>
              <w:right w:val="single" w:sz="2" w:space="0" w:color="auto"/>
            </w:tcBorders>
          </w:tcPr>
          <w:p w:rsidR="007A36AC" w:rsidRDefault="00FE7ACF">
            <w:pPr>
              <w:pStyle w:val="NormalLeft"/>
              <w:rPr>
                <w:noProof/>
              </w:rPr>
            </w:pPr>
            <w:r>
              <w:rPr>
                <w:noProof/>
              </w:rPr>
              <w:t>—</w:t>
            </w:r>
          </w:p>
        </w:tc>
        <w:tc>
          <w:tcPr>
            <w:tcW w:w="1207" w:type="dxa"/>
            <w:tcBorders>
              <w:top w:val="single" w:sz="2" w:space="0" w:color="auto"/>
              <w:left w:val="single" w:sz="2" w:space="0" w:color="auto"/>
              <w:bottom w:val="single" w:sz="2" w:space="0" w:color="auto"/>
              <w:right w:val="single" w:sz="2" w:space="0" w:color="auto"/>
            </w:tcBorders>
          </w:tcPr>
          <w:p w:rsidR="007A36AC" w:rsidRDefault="00FE7ACF">
            <w:pPr>
              <w:pStyle w:val="NormalLeft"/>
              <w:rPr>
                <w:noProof/>
              </w:rPr>
            </w:pPr>
            <w:r>
              <w:rPr>
                <w:noProof/>
              </w:rPr>
              <w:t>NC</w:t>
            </w:r>
            <w:r>
              <w:rPr>
                <w:noProof/>
                <w:vertAlign w:val="subscript"/>
              </w:rPr>
              <w:t>jk</w:t>
            </w:r>
            <w:r>
              <w:rPr>
                <w:noProof/>
              </w:rPr>
              <w:t xml:space="preserve"> =</w:t>
            </w:r>
          </w:p>
        </w:tc>
        <w:tc>
          <w:tcPr>
            <w:tcW w:w="372" w:type="dxa"/>
            <w:tcBorders>
              <w:top w:val="single" w:sz="2" w:space="0" w:color="auto"/>
              <w:left w:val="single" w:sz="2" w:space="0" w:color="auto"/>
              <w:bottom w:val="single" w:sz="2" w:space="0" w:color="auto"/>
              <w:right w:val="single" w:sz="2" w:space="0" w:color="auto"/>
            </w:tcBorders>
          </w:tcPr>
          <w:p w:rsidR="007A36AC" w:rsidRDefault="007A36AC">
            <w:pPr>
              <w:pStyle w:val="NormalLeft"/>
              <w:rPr>
                <w:noProof/>
              </w:rPr>
            </w:pPr>
          </w:p>
        </w:tc>
        <w:tc>
          <w:tcPr>
            <w:tcW w:w="7150" w:type="dxa"/>
            <w:tcBorders>
              <w:top w:val="single" w:sz="2" w:space="0" w:color="auto"/>
              <w:left w:val="single" w:sz="2" w:space="0" w:color="auto"/>
              <w:bottom w:val="single" w:sz="2" w:space="0" w:color="auto"/>
              <w:right w:val="single" w:sz="2" w:space="0" w:color="auto"/>
            </w:tcBorders>
          </w:tcPr>
          <w:p w:rsidR="007A36AC" w:rsidRDefault="00FE7ACF">
            <w:pPr>
              <w:pStyle w:val="NormalLeft"/>
              <w:rPr>
                <w:noProof/>
              </w:rPr>
            </w:pPr>
            <w:r>
              <w:rPr>
                <w:noProof/>
              </w:rPr>
              <w:t>noise cost per person exposed on road type j to noise level k (euro/person)</w:t>
            </w:r>
          </w:p>
        </w:tc>
      </w:tr>
      <w:tr w:rsidR="007A36AC">
        <w:tc>
          <w:tcPr>
            <w:tcW w:w="557" w:type="dxa"/>
            <w:tcBorders>
              <w:top w:val="single" w:sz="2" w:space="0" w:color="auto"/>
              <w:left w:val="single" w:sz="2" w:space="0" w:color="auto"/>
              <w:bottom w:val="single" w:sz="2" w:space="0" w:color="auto"/>
              <w:right w:val="single" w:sz="2" w:space="0" w:color="auto"/>
            </w:tcBorders>
          </w:tcPr>
          <w:p w:rsidR="007A36AC" w:rsidRDefault="00FE7ACF">
            <w:pPr>
              <w:pStyle w:val="NormalLeft"/>
              <w:rPr>
                <w:noProof/>
              </w:rPr>
            </w:pPr>
            <w:r>
              <w:rPr>
                <w:noProof/>
              </w:rPr>
              <w:t>—</w:t>
            </w:r>
          </w:p>
        </w:tc>
        <w:tc>
          <w:tcPr>
            <w:tcW w:w="1207" w:type="dxa"/>
            <w:tcBorders>
              <w:top w:val="single" w:sz="2" w:space="0" w:color="auto"/>
              <w:left w:val="single" w:sz="2" w:space="0" w:color="auto"/>
              <w:bottom w:val="single" w:sz="2" w:space="0" w:color="auto"/>
              <w:right w:val="single" w:sz="2" w:space="0" w:color="auto"/>
            </w:tcBorders>
          </w:tcPr>
          <w:p w:rsidR="007A36AC" w:rsidRDefault="00FE7ACF">
            <w:pPr>
              <w:pStyle w:val="NormalLeft"/>
              <w:rPr>
                <w:noProof/>
              </w:rPr>
            </w:pPr>
            <w:r>
              <w:rPr>
                <w:noProof/>
              </w:rPr>
              <w:t>POP</w:t>
            </w:r>
            <w:r>
              <w:rPr>
                <w:noProof/>
                <w:vertAlign w:val="subscript"/>
              </w:rPr>
              <w:t>k</w:t>
            </w:r>
            <w:r>
              <w:rPr>
                <w:noProof/>
              </w:rPr>
              <w:t xml:space="preserve"> =</w:t>
            </w:r>
          </w:p>
        </w:tc>
        <w:tc>
          <w:tcPr>
            <w:tcW w:w="372" w:type="dxa"/>
            <w:tcBorders>
              <w:top w:val="single" w:sz="2" w:space="0" w:color="auto"/>
              <w:left w:val="single" w:sz="2" w:space="0" w:color="auto"/>
              <w:bottom w:val="single" w:sz="2" w:space="0" w:color="auto"/>
              <w:right w:val="single" w:sz="2" w:space="0" w:color="auto"/>
            </w:tcBorders>
          </w:tcPr>
          <w:p w:rsidR="007A36AC" w:rsidRDefault="007A36AC">
            <w:pPr>
              <w:pStyle w:val="NormalLeft"/>
              <w:rPr>
                <w:noProof/>
              </w:rPr>
            </w:pPr>
          </w:p>
        </w:tc>
        <w:tc>
          <w:tcPr>
            <w:tcW w:w="7150" w:type="dxa"/>
            <w:tcBorders>
              <w:top w:val="single" w:sz="2" w:space="0" w:color="auto"/>
              <w:left w:val="single" w:sz="2" w:space="0" w:color="auto"/>
              <w:bottom w:val="single" w:sz="2" w:space="0" w:color="auto"/>
              <w:right w:val="single" w:sz="2" w:space="0" w:color="auto"/>
            </w:tcBorders>
          </w:tcPr>
          <w:p w:rsidR="007A36AC" w:rsidRDefault="00FE7ACF">
            <w:pPr>
              <w:pStyle w:val="NormalLeft"/>
              <w:rPr>
                <w:noProof/>
              </w:rPr>
            </w:pPr>
            <w:r>
              <w:rPr>
                <w:noProof/>
              </w:rPr>
              <w:t>population exposed to daily noise level k per kilometre (person/kilometre)</w:t>
            </w:r>
          </w:p>
        </w:tc>
      </w:tr>
      <w:tr w:rsidR="007A36AC">
        <w:tc>
          <w:tcPr>
            <w:tcW w:w="557" w:type="dxa"/>
            <w:tcBorders>
              <w:top w:val="single" w:sz="2" w:space="0" w:color="auto"/>
              <w:left w:val="single" w:sz="2" w:space="0" w:color="auto"/>
              <w:bottom w:val="single" w:sz="2" w:space="0" w:color="auto"/>
              <w:right w:val="single" w:sz="2" w:space="0" w:color="auto"/>
            </w:tcBorders>
          </w:tcPr>
          <w:p w:rsidR="007A36AC" w:rsidRDefault="00FE7ACF">
            <w:pPr>
              <w:pStyle w:val="NormalLeft"/>
              <w:rPr>
                <w:noProof/>
              </w:rPr>
            </w:pPr>
            <w:r>
              <w:rPr>
                <w:noProof/>
              </w:rPr>
              <w:t>—</w:t>
            </w:r>
          </w:p>
        </w:tc>
        <w:tc>
          <w:tcPr>
            <w:tcW w:w="1207" w:type="dxa"/>
            <w:tcBorders>
              <w:top w:val="single" w:sz="2" w:space="0" w:color="auto"/>
              <w:left w:val="single" w:sz="2" w:space="0" w:color="auto"/>
              <w:bottom w:val="single" w:sz="2" w:space="0" w:color="auto"/>
              <w:right w:val="single" w:sz="2" w:space="0" w:color="auto"/>
            </w:tcBorders>
          </w:tcPr>
          <w:p w:rsidR="007A36AC" w:rsidRDefault="00FE7ACF">
            <w:pPr>
              <w:pStyle w:val="NormalLeft"/>
              <w:rPr>
                <w:noProof/>
              </w:rPr>
            </w:pPr>
            <w:r>
              <w:rPr>
                <w:noProof/>
              </w:rPr>
              <w:t>WADT =</w:t>
            </w:r>
          </w:p>
        </w:tc>
        <w:tc>
          <w:tcPr>
            <w:tcW w:w="372" w:type="dxa"/>
            <w:tcBorders>
              <w:top w:val="single" w:sz="2" w:space="0" w:color="auto"/>
              <w:left w:val="single" w:sz="2" w:space="0" w:color="auto"/>
              <w:bottom w:val="single" w:sz="2" w:space="0" w:color="auto"/>
              <w:right w:val="single" w:sz="2" w:space="0" w:color="auto"/>
            </w:tcBorders>
          </w:tcPr>
          <w:p w:rsidR="007A36AC" w:rsidRDefault="007A36AC">
            <w:pPr>
              <w:pStyle w:val="NormalLeft"/>
              <w:rPr>
                <w:noProof/>
              </w:rPr>
            </w:pPr>
          </w:p>
        </w:tc>
        <w:tc>
          <w:tcPr>
            <w:tcW w:w="7150" w:type="dxa"/>
            <w:tcBorders>
              <w:top w:val="single" w:sz="2" w:space="0" w:color="auto"/>
              <w:left w:val="single" w:sz="2" w:space="0" w:color="auto"/>
              <w:bottom w:val="single" w:sz="2" w:space="0" w:color="auto"/>
              <w:right w:val="single" w:sz="2" w:space="0" w:color="auto"/>
            </w:tcBorders>
          </w:tcPr>
          <w:p w:rsidR="007A36AC" w:rsidRDefault="00FE7ACF">
            <w:pPr>
              <w:pStyle w:val="NormalLeft"/>
              <w:rPr>
                <w:noProof/>
              </w:rPr>
            </w:pPr>
            <w:r>
              <w:rPr>
                <w:noProof/>
              </w:rPr>
              <w:t xml:space="preserve">weighted average daily traffic </w:t>
            </w:r>
            <w:r>
              <w:rPr>
                <w:noProof/>
              </w:rPr>
              <w:t>(passenger car equivalent)</w:t>
            </w:r>
          </w:p>
        </w:tc>
      </w:tr>
      <w:tr w:rsidR="007A36AC">
        <w:tc>
          <w:tcPr>
            <w:tcW w:w="557" w:type="dxa"/>
            <w:tcBorders>
              <w:top w:val="single" w:sz="2" w:space="0" w:color="auto"/>
              <w:left w:val="single" w:sz="2" w:space="0" w:color="auto"/>
              <w:bottom w:val="single" w:sz="2" w:space="0" w:color="auto"/>
              <w:right w:val="single" w:sz="2" w:space="0" w:color="auto"/>
            </w:tcBorders>
          </w:tcPr>
          <w:p w:rsidR="007A36AC" w:rsidRDefault="00FE7ACF">
            <w:pPr>
              <w:pStyle w:val="NormalLeft"/>
              <w:rPr>
                <w:noProof/>
              </w:rPr>
            </w:pPr>
            <w:r>
              <w:rPr>
                <w:noProof/>
              </w:rPr>
              <w:t>—</w:t>
            </w:r>
          </w:p>
        </w:tc>
        <w:tc>
          <w:tcPr>
            <w:tcW w:w="1207" w:type="dxa"/>
            <w:tcBorders>
              <w:top w:val="single" w:sz="2" w:space="0" w:color="auto"/>
              <w:left w:val="single" w:sz="2" w:space="0" w:color="auto"/>
              <w:bottom w:val="single" w:sz="2" w:space="0" w:color="auto"/>
              <w:right w:val="single" w:sz="2" w:space="0" w:color="auto"/>
            </w:tcBorders>
          </w:tcPr>
          <w:p w:rsidR="007A36AC" w:rsidRDefault="00FE7ACF">
            <w:pPr>
              <w:pStyle w:val="NormalLeft"/>
              <w:rPr>
                <w:noProof/>
              </w:rPr>
            </w:pPr>
            <w:r>
              <w:rPr>
                <w:noProof/>
              </w:rPr>
              <w:t>a and b</w:t>
            </w:r>
          </w:p>
        </w:tc>
        <w:tc>
          <w:tcPr>
            <w:tcW w:w="372" w:type="dxa"/>
            <w:tcBorders>
              <w:top w:val="single" w:sz="2" w:space="0" w:color="auto"/>
              <w:left w:val="single" w:sz="2" w:space="0" w:color="auto"/>
              <w:bottom w:val="single" w:sz="2" w:space="0" w:color="auto"/>
              <w:right w:val="single" w:sz="2" w:space="0" w:color="auto"/>
            </w:tcBorders>
          </w:tcPr>
          <w:p w:rsidR="007A36AC" w:rsidRDefault="007A36AC">
            <w:pPr>
              <w:pStyle w:val="NormalLeft"/>
              <w:rPr>
                <w:noProof/>
              </w:rPr>
            </w:pPr>
          </w:p>
        </w:tc>
        <w:tc>
          <w:tcPr>
            <w:tcW w:w="7150" w:type="dxa"/>
            <w:tcBorders>
              <w:top w:val="single" w:sz="2" w:space="0" w:color="auto"/>
              <w:left w:val="single" w:sz="2" w:space="0" w:color="auto"/>
              <w:bottom w:val="single" w:sz="2" w:space="0" w:color="auto"/>
              <w:right w:val="single" w:sz="2" w:space="0" w:color="auto"/>
            </w:tcBorders>
          </w:tcPr>
          <w:p w:rsidR="007A36AC" w:rsidRDefault="00FE7ACF">
            <w:pPr>
              <w:pStyle w:val="NormalLeft"/>
              <w:rPr>
                <w:noProof/>
              </w:rPr>
            </w:pPr>
            <w:r>
              <w:rPr>
                <w:noProof/>
              </w:rPr>
              <w:t>are weighting factors determined by the Member State in such a way that the resulting weighted average noise charge per vehicle kilometre corresponds to NCV</w:t>
            </w:r>
            <w:r>
              <w:rPr>
                <w:noProof/>
                <w:vertAlign w:val="subscript"/>
              </w:rPr>
              <w:t>j</w:t>
            </w:r>
            <w:r>
              <w:rPr>
                <w:noProof/>
              </w:rPr>
              <w:t xml:space="preserve"> (daily).</w:t>
            </w:r>
          </w:p>
        </w:tc>
      </w:tr>
    </w:tbl>
    <w:p w:rsidR="007A36AC" w:rsidRDefault="007A36AC">
      <w:pPr>
        <w:rPr>
          <w:noProof/>
        </w:rPr>
      </w:pPr>
    </w:p>
    <w:p w:rsidR="007A36AC" w:rsidRDefault="00FE7ACF">
      <w:pPr>
        <w:rPr>
          <w:noProof/>
        </w:rPr>
      </w:pPr>
      <w:r>
        <w:rPr>
          <w:noProof/>
        </w:rPr>
        <w:t>The traffic-based noise pollution relates to the</w:t>
      </w:r>
      <w:r>
        <w:rPr>
          <w:noProof/>
        </w:rPr>
        <w:t xml:space="preserve"> impact of noise on health of citizens around the road.</w:t>
      </w:r>
    </w:p>
    <w:p w:rsidR="007A36AC" w:rsidRDefault="00FE7ACF">
      <w:pPr>
        <w:rPr>
          <w:noProof/>
        </w:rPr>
      </w:pPr>
      <w:r>
        <w:rPr>
          <w:noProof/>
        </w:rPr>
        <w:t>The population exposed to noise level k shall be taken from the strategic noise maps drafted under Article 7 of Directive 2002/49/EC of the European Parliament and the Council ***.</w:t>
      </w:r>
    </w:p>
    <w:p w:rsidR="007A36AC" w:rsidRDefault="00FE7ACF">
      <w:pPr>
        <w:rPr>
          <w:noProof/>
        </w:rPr>
      </w:pPr>
      <w:r>
        <w:rPr>
          <w:noProof/>
        </w:rPr>
        <w:lastRenderedPageBreak/>
        <w:t>The cost per person</w:t>
      </w:r>
      <w:r>
        <w:rPr>
          <w:noProof/>
        </w:rPr>
        <w:t xml:space="preserve"> exposed to noise level k shall be estimated by the Member State or, where appropriate, an independent authority, using scientifically proven methods.</w:t>
      </w:r>
    </w:p>
    <w:p w:rsidR="007A36AC" w:rsidRDefault="00FE7ACF">
      <w:pPr>
        <w:rPr>
          <w:noProof/>
        </w:rPr>
      </w:pPr>
      <w:r>
        <w:rPr>
          <w:noProof/>
        </w:rPr>
        <w:t>The weighted average daily traffic shall assume an equivalence factor ‘e’ between heavy goods vehicles an</w:t>
      </w:r>
      <w:r>
        <w:rPr>
          <w:noProof/>
        </w:rPr>
        <w:t>d passenger cars derived on the basis of the noise emission levels of the average car and of the average heavy goods vehicle and considering the Regulation (EU) No 540/2014 of the European Parliament and of the Council of 16 April 2014 on the sound level o</w:t>
      </w:r>
      <w:r>
        <w:rPr>
          <w:noProof/>
        </w:rPr>
        <w:t>f motor vehicles and of replacement silencing systems, and amending Directive 2007/46/EC and repealing Directive 70/157/EEC.</w:t>
      </w:r>
    </w:p>
    <w:p w:rsidR="007A36AC" w:rsidRDefault="00FE7ACF">
      <w:pPr>
        <w:rPr>
          <w:noProof/>
        </w:rPr>
      </w:pPr>
      <w:r>
        <w:rPr>
          <w:noProof/>
        </w:rPr>
        <w:t>The Member State or, where appropriate, an independent authority, may establish differentiated noise charges to reward the use of q</w:t>
      </w:r>
      <w:r>
        <w:rPr>
          <w:noProof/>
        </w:rPr>
        <w:t>uieter vehicles provided it does not result in discrimination against foreign vehicles.</w:t>
      </w:r>
    </w:p>
    <w:p w:rsidR="007A36AC" w:rsidRDefault="00FE7ACF">
      <w:pPr>
        <w:rPr>
          <w:noProof/>
        </w:rPr>
      </w:pPr>
      <w:r>
        <w:rPr>
          <w:noProof/>
        </w:rPr>
        <w:t>_____________</w:t>
      </w:r>
    </w:p>
    <w:p w:rsidR="007A36AC" w:rsidRDefault="00FE7ACF">
      <w:pPr>
        <w:rPr>
          <w:noProof/>
        </w:rPr>
      </w:pPr>
      <w:r>
        <w:rPr>
          <w:noProof/>
        </w:rPr>
        <w:t>*</w:t>
      </w:r>
      <w:r>
        <w:rPr>
          <w:noProof/>
        </w:rPr>
        <w:tab/>
        <w:t xml:space="preserve">Directive (EU) 2016/2284 of the European Parliament and of the Council of 14 December 2016 </w:t>
      </w:r>
      <w:r>
        <w:rPr>
          <w:noProof/>
          <w:lang w:val="en"/>
        </w:rPr>
        <w:t>the reduction of national emissions of certain atmospheric po</w:t>
      </w:r>
      <w:r>
        <w:rPr>
          <w:noProof/>
          <w:lang w:val="en"/>
        </w:rPr>
        <w:t>llutants, amending Directive 2003/35/EC and repealing Directive 2001/81/EC (</w:t>
      </w:r>
      <w:r>
        <w:rPr>
          <w:noProof/>
        </w:rPr>
        <w:t xml:space="preserve">OJ L 344, 17.12.2016, p. 1). </w:t>
      </w:r>
    </w:p>
    <w:p w:rsidR="007A36AC" w:rsidRDefault="00FE7ACF">
      <w:pPr>
        <w:rPr>
          <w:noProof/>
        </w:rPr>
      </w:pPr>
      <w:r>
        <w:rPr>
          <w:noProof/>
        </w:rPr>
        <w:t>**</w:t>
      </w:r>
      <w:r>
        <w:rPr>
          <w:noProof/>
        </w:rPr>
        <w:tab/>
        <w:t>Methodology of the European Environmental Agency: http://www.eea.europa.eu//publications/emep-eea-guidebook-2016</w:t>
      </w:r>
    </w:p>
    <w:p w:rsidR="007A36AC" w:rsidRDefault="00FE7ACF">
      <w:pPr>
        <w:rPr>
          <w:noProof/>
        </w:rPr>
      </w:pPr>
      <w:r>
        <w:rPr>
          <w:noProof/>
        </w:rPr>
        <w:t>***</w:t>
      </w:r>
      <w:r>
        <w:rPr>
          <w:noProof/>
        </w:rPr>
        <w:tab/>
        <w:t>Directive 2002/49/EC of the Eu</w:t>
      </w:r>
      <w:r>
        <w:rPr>
          <w:noProof/>
        </w:rPr>
        <w:t>ropean Parliament and the Council of 25 June 2002 relating to the assessment and management of environmental noise (OJ L 189, 18.7.2002, p. 12).";</w:t>
      </w:r>
    </w:p>
    <w:p w:rsidR="007A36AC" w:rsidRDefault="007A36AC">
      <w:pPr>
        <w:rPr>
          <w:noProof/>
        </w:rPr>
      </w:pPr>
    </w:p>
    <w:p w:rsidR="007A36AC" w:rsidRDefault="00FE7ACF">
      <w:pPr>
        <w:rPr>
          <w:noProof/>
        </w:rPr>
      </w:pPr>
      <w:r>
        <w:rPr>
          <w:noProof/>
        </w:rPr>
        <w:t>(d)</w:t>
      </w:r>
      <w:r>
        <w:rPr>
          <w:noProof/>
        </w:rPr>
        <w:tab/>
        <w:t>Annex IIIb is replaced by the following:</w:t>
      </w:r>
    </w:p>
    <w:p w:rsidR="007A36AC" w:rsidRDefault="00FE7ACF">
      <w:pPr>
        <w:pStyle w:val="Annexetitreacte"/>
        <w:rPr>
          <w:noProof/>
          <w:lang w:val="en-GB"/>
        </w:rPr>
      </w:pPr>
      <w:r>
        <w:rPr>
          <w:b w:val="0"/>
          <w:noProof/>
          <w:u w:val="none"/>
          <w:lang w:val="en-GB"/>
        </w:rPr>
        <w:t>'</w:t>
      </w:r>
      <w:r>
        <w:rPr>
          <w:noProof/>
          <w:lang w:val="en-GB"/>
        </w:rPr>
        <w:t>ANNEX IIIb</w:t>
      </w:r>
    </w:p>
    <w:p w:rsidR="007A36AC" w:rsidRDefault="00FE7ACF">
      <w:pPr>
        <w:pStyle w:val="NormalCentered"/>
        <w:rPr>
          <w:b/>
          <w:bCs/>
          <w:noProof/>
        </w:rPr>
      </w:pPr>
      <w:r>
        <w:rPr>
          <w:b/>
          <w:bCs/>
          <w:noProof/>
        </w:rPr>
        <w:t xml:space="preserve"> REFERENCE VALUES OF THE EXTERNAL-COST CHARGE</w:t>
      </w:r>
    </w:p>
    <w:p w:rsidR="007A36AC" w:rsidRDefault="00FE7ACF">
      <w:pPr>
        <w:rPr>
          <w:noProof/>
        </w:rPr>
      </w:pPr>
      <w:r>
        <w:rPr>
          <w:noProof/>
        </w:rPr>
        <w:t xml:space="preserve">This Annex sets out </w:t>
      </w:r>
      <w:r>
        <w:rPr>
          <w:rFonts w:eastAsia="Arial Unicode MS"/>
          <w:noProof/>
        </w:rPr>
        <w:t xml:space="preserve">reference values of the </w:t>
      </w:r>
      <w:r>
        <w:rPr>
          <w:noProof/>
        </w:rPr>
        <w:t>external-cost charge, including the cost of air pollution and noise.</w:t>
      </w:r>
    </w:p>
    <w:p w:rsidR="007A36AC" w:rsidRDefault="00FE7ACF">
      <w:pPr>
        <w:spacing w:before="100" w:beforeAutospacing="1" w:after="100" w:afterAutospacing="1"/>
        <w:ind w:left="800" w:hanging="400"/>
        <w:rPr>
          <w:rFonts w:eastAsia="Arial Unicode MS"/>
          <w:noProof/>
        </w:rPr>
      </w:pPr>
      <w:r>
        <w:rPr>
          <w:rFonts w:eastAsia="Arial Unicode MS"/>
          <w:i/>
          <w:iCs/>
          <w:noProof/>
        </w:rPr>
        <w:t>Table 1:</w:t>
      </w:r>
      <w:r>
        <w:rPr>
          <w:rFonts w:eastAsia="Arial Unicode MS"/>
          <w:noProof/>
        </w:rPr>
        <w:t>  </w:t>
      </w:r>
      <w:r>
        <w:rPr>
          <w:rFonts w:eastAsia="Arial Unicode MS"/>
          <w:i/>
          <w:iCs/>
          <w:noProof/>
        </w:rPr>
        <w:t>reference values of the external-cost charge for heavy goods vehicles</w:t>
      </w:r>
    </w:p>
    <w:tbl>
      <w:tblPr>
        <w:tblW w:w="8740" w:type="dxa"/>
        <w:jc w:val="center"/>
        <w:tblCellSpacing w:w="0" w:type="dxa"/>
        <w:tblInd w:w="-278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87"/>
        <w:gridCol w:w="3117"/>
        <w:gridCol w:w="1703"/>
        <w:gridCol w:w="1533"/>
      </w:tblGrid>
      <w:tr w:rsidR="007A36AC">
        <w:trPr>
          <w:tblCellSpacing w:w="0" w:type="dxa"/>
          <w:jc w:val="center"/>
        </w:trPr>
        <w:tc>
          <w:tcPr>
            <w:tcW w:w="1366" w:type="pct"/>
            <w:tcBorders>
              <w:top w:val="outset" w:sz="6" w:space="0" w:color="auto"/>
              <w:left w:val="outset" w:sz="6" w:space="0" w:color="auto"/>
              <w:bottom w:val="outset" w:sz="6" w:space="0" w:color="auto"/>
              <w:right w:val="outset" w:sz="6" w:space="0" w:color="auto"/>
            </w:tcBorders>
          </w:tcPr>
          <w:p w:rsidR="007A36AC" w:rsidRDefault="00FE7ACF">
            <w:pPr>
              <w:spacing w:before="100" w:beforeAutospacing="1" w:after="100" w:afterAutospacing="1"/>
              <w:rPr>
                <w:b/>
                <w:bCs/>
                <w:noProof/>
              </w:rPr>
            </w:pPr>
            <w:r>
              <w:rPr>
                <w:b/>
                <w:bCs/>
                <w:noProof/>
              </w:rPr>
              <w:t>Vehicle class</w:t>
            </w: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b/>
                <w:bCs/>
                <w:noProof/>
              </w:rPr>
            </w:pPr>
            <w:r>
              <w:rPr>
                <w:b/>
                <w:bCs/>
                <w:noProof/>
              </w:rPr>
              <w:t>cent/vehicle-kilometre</w:t>
            </w:r>
          </w:p>
        </w:tc>
        <w:tc>
          <w:tcPr>
            <w:tcW w:w="974"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jc w:val="center"/>
              <w:rPr>
                <w:b/>
                <w:bCs/>
                <w:noProof/>
              </w:rPr>
            </w:pPr>
            <w:r>
              <w:rPr>
                <w:b/>
                <w:bCs/>
                <w:noProof/>
              </w:rPr>
              <w:t>Suburban</w:t>
            </w:r>
            <w:r>
              <w:rPr>
                <w:b/>
                <w:bCs/>
                <w:noProof/>
                <w:vertAlign w:val="superscript"/>
              </w:rPr>
              <w:t>(1)</w:t>
            </w:r>
          </w:p>
        </w:tc>
        <w:tc>
          <w:tcPr>
            <w:tcW w:w="877"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jc w:val="center"/>
              <w:rPr>
                <w:b/>
                <w:bCs/>
                <w:noProof/>
              </w:rPr>
            </w:pPr>
            <w:r>
              <w:rPr>
                <w:b/>
                <w:bCs/>
                <w:noProof/>
              </w:rPr>
              <w:t>Interurban</w:t>
            </w:r>
            <w:r>
              <w:rPr>
                <w:b/>
                <w:bCs/>
                <w:noProof/>
                <w:vertAlign w:val="superscript"/>
              </w:rPr>
              <w:t>(2)</w:t>
            </w:r>
          </w:p>
        </w:tc>
      </w:tr>
      <w:tr w:rsidR="007A36AC">
        <w:trPr>
          <w:tblCellSpacing w:w="0" w:type="dxa"/>
          <w:jc w:val="center"/>
        </w:trPr>
        <w:tc>
          <w:tcPr>
            <w:tcW w:w="1366" w:type="pct"/>
            <w:vMerge w:val="restart"/>
            <w:tcBorders>
              <w:top w:val="outset" w:sz="6" w:space="0" w:color="auto"/>
              <w:left w:val="outset" w:sz="6" w:space="0" w:color="auto"/>
              <w:right w:val="outset" w:sz="6" w:space="0" w:color="auto"/>
            </w:tcBorders>
          </w:tcPr>
          <w:p w:rsidR="007A36AC" w:rsidRDefault="00FE7ACF">
            <w:pPr>
              <w:spacing w:before="100" w:beforeAutospacing="1" w:after="100" w:afterAutospacing="1"/>
              <w:rPr>
                <w:noProof/>
              </w:rPr>
            </w:pPr>
            <w:r>
              <w:rPr>
                <w:noProof/>
              </w:rPr>
              <w:t xml:space="preserve">Heavy goods vehicle having a maximum permissible gross laden weight of </w:t>
            </w:r>
          </w:p>
          <w:p w:rsidR="007A36AC" w:rsidRDefault="00FE7ACF">
            <w:pPr>
              <w:spacing w:before="100" w:beforeAutospacing="1" w:after="100" w:afterAutospacing="1"/>
              <w:rPr>
                <w:noProof/>
              </w:rPr>
            </w:pPr>
            <w:r>
              <w:rPr>
                <w:noProof/>
              </w:rPr>
              <w:t>less than 14 tonnes</w:t>
            </w:r>
          </w:p>
          <w:p w:rsidR="007A36AC" w:rsidRDefault="00FE7ACF">
            <w:pPr>
              <w:spacing w:before="100" w:beforeAutospacing="1" w:after="100" w:afterAutospacing="1"/>
              <w:rPr>
                <w:noProof/>
              </w:rPr>
            </w:pPr>
            <w:r>
              <w:rPr>
                <w:noProof/>
              </w:rPr>
              <w:t>or having two axles</w:t>
            </w: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0</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13,3</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8,3</w:t>
            </w:r>
          </w:p>
        </w:tc>
      </w:tr>
      <w:tr w:rsidR="007A36AC">
        <w:trPr>
          <w:tblCellSpacing w:w="0" w:type="dxa"/>
          <w:jc w:val="center"/>
        </w:trPr>
        <w:tc>
          <w:tcPr>
            <w:tcW w:w="1366" w:type="pct"/>
            <w:vMerge/>
            <w:tcBorders>
              <w:left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9,1</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5,4</w:t>
            </w:r>
          </w:p>
        </w:tc>
      </w:tr>
      <w:tr w:rsidR="007A36AC">
        <w:trPr>
          <w:tblCellSpacing w:w="0" w:type="dxa"/>
          <w:jc w:val="center"/>
        </w:trPr>
        <w:tc>
          <w:tcPr>
            <w:tcW w:w="1366" w:type="pct"/>
            <w:vMerge/>
            <w:tcBorders>
              <w:left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II</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8,8</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5,4</w:t>
            </w:r>
          </w:p>
        </w:tc>
      </w:tr>
      <w:tr w:rsidR="007A36AC">
        <w:trPr>
          <w:tblCellSpacing w:w="0" w:type="dxa"/>
          <w:jc w:val="center"/>
        </w:trPr>
        <w:tc>
          <w:tcPr>
            <w:tcW w:w="1366" w:type="pct"/>
            <w:vMerge/>
            <w:tcBorders>
              <w:left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III</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7,7</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4,3</w:t>
            </w:r>
          </w:p>
        </w:tc>
      </w:tr>
      <w:tr w:rsidR="007A36AC">
        <w:trPr>
          <w:tblCellSpacing w:w="0" w:type="dxa"/>
          <w:jc w:val="center"/>
        </w:trPr>
        <w:tc>
          <w:tcPr>
            <w:tcW w:w="1366" w:type="pct"/>
            <w:vMerge/>
            <w:tcBorders>
              <w:left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IV</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5,9</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3,1</w:t>
            </w:r>
          </w:p>
        </w:tc>
      </w:tr>
      <w:tr w:rsidR="007A36AC">
        <w:trPr>
          <w:tblCellSpacing w:w="0" w:type="dxa"/>
          <w:jc w:val="center"/>
        </w:trPr>
        <w:tc>
          <w:tcPr>
            <w:tcW w:w="1366" w:type="pct"/>
            <w:vMerge/>
            <w:tcBorders>
              <w:left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V</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5,7</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1,9</w:t>
            </w:r>
          </w:p>
        </w:tc>
      </w:tr>
      <w:tr w:rsidR="007A36AC">
        <w:trPr>
          <w:tblCellSpacing w:w="0" w:type="dxa"/>
          <w:jc w:val="center"/>
        </w:trPr>
        <w:tc>
          <w:tcPr>
            <w:tcW w:w="1366" w:type="pct"/>
            <w:vMerge/>
            <w:tcBorders>
              <w:left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VI</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3,2</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0,6</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 xml:space="preserve">Less polluting </w:t>
            </w:r>
            <w:r>
              <w:rPr>
                <w:noProof/>
              </w:rPr>
              <w:t>than EURO VI</w:t>
            </w:r>
          </w:p>
        </w:tc>
        <w:tc>
          <w:tcPr>
            <w:tcW w:w="9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36AC" w:rsidRDefault="00FE7ACF">
            <w:pPr>
              <w:spacing w:before="100" w:beforeAutospacing="1" w:after="100" w:afterAutospacing="1"/>
              <w:contextualSpacing/>
              <w:jc w:val="center"/>
              <w:rPr>
                <w:noProof/>
              </w:rPr>
            </w:pPr>
            <w:r>
              <w:rPr>
                <w:noProof/>
              </w:rPr>
              <w:t>2,5</w:t>
            </w:r>
          </w:p>
        </w:tc>
        <w:tc>
          <w:tcPr>
            <w:tcW w:w="8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A36AC" w:rsidRDefault="00FE7ACF">
            <w:pPr>
              <w:spacing w:before="100" w:beforeAutospacing="1" w:after="100" w:afterAutospacing="1"/>
              <w:contextualSpacing/>
              <w:jc w:val="center"/>
              <w:rPr>
                <w:noProof/>
              </w:rPr>
            </w:pPr>
            <w:r>
              <w:rPr>
                <w:noProof/>
              </w:rPr>
              <w:t>0,3</w:t>
            </w:r>
          </w:p>
        </w:tc>
      </w:tr>
      <w:tr w:rsidR="007A36AC">
        <w:trPr>
          <w:tblCellSpacing w:w="0" w:type="dxa"/>
          <w:jc w:val="center"/>
        </w:trPr>
        <w:tc>
          <w:tcPr>
            <w:tcW w:w="1366" w:type="pct"/>
            <w:vMerge w:val="restart"/>
            <w:tcBorders>
              <w:left w:val="outset" w:sz="6" w:space="0" w:color="auto"/>
              <w:bottom w:val="outset" w:sz="6" w:space="0" w:color="auto"/>
              <w:right w:val="outset" w:sz="6" w:space="0" w:color="auto"/>
            </w:tcBorders>
          </w:tcPr>
          <w:p w:rsidR="007A36AC" w:rsidRDefault="00FE7ACF">
            <w:pPr>
              <w:spacing w:before="100" w:beforeAutospacing="1" w:after="100" w:afterAutospacing="1"/>
              <w:rPr>
                <w:noProof/>
              </w:rPr>
            </w:pPr>
            <w:r>
              <w:rPr>
                <w:noProof/>
              </w:rPr>
              <w:t xml:space="preserve">Heavy goods vehicle having a maximum permissible gross laden </w:t>
            </w:r>
            <w:r>
              <w:rPr>
                <w:noProof/>
              </w:rPr>
              <w:lastRenderedPageBreak/>
              <w:t xml:space="preserve">weight </w:t>
            </w:r>
          </w:p>
          <w:p w:rsidR="007A36AC" w:rsidRDefault="00FE7ACF">
            <w:pPr>
              <w:spacing w:before="100" w:beforeAutospacing="1" w:after="100" w:afterAutospacing="1"/>
              <w:rPr>
                <w:noProof/>
              </w:rPr>
            </w:pPr>
            <w:r>
              <w:rPr>
                <w:noProof/>
              </w:rPr>
              <w:t xml:space="preserve">between 14 and 28 tonnes </w:t>
            </w:r>
          </w:p>
          <w:p w:rsidR="007A36AC" w:rsidRDefault="00FE7ACF">
            <w:pPr>
              <w:spacing w:before="100" w:beforeAutospacing="1" w:after="100" w:afterAutospacing="1"/>
              <w:rPr>
                <w:noProof/>
              </w:rPr>
            </w:pPr>
            <w:r>
              <w:rPr>
                <w:noProof/>
              </w:rPr>
              <w:t>or having three axles</w:t>
            </w: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lastRenderedPageBreak/>
              <w:t>EURO 0</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23,3</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15,1</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16,4</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10,1</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II</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15,7</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10,0</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III</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13,5</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8,2</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IV</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9,5</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5,7</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V</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8,9</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3,7</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w:t>
            </w:r>
            <w:r>
              <w:rPr>
                <w:noProof/>
              </w:rPr>
              <w:t xml:space="preserve"> VI</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3,6</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0,8</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Less polluting than EURO VI</w:t>
            </w:r>
          </w:p>
        </w:tc>
        <w:tc>
          <w:tcPr>
            <w:tcW w:w="974" w:type="pct"/>
            <w:tcBorders>
              <w:top w:val="outset" w:sz="6" w:space="0" w:color="auto"/>
              <w:left w:val="outset" w:sz="6" w:space="0" w:color="auto"/>
              <w:bottom w:val="outset" w:sz="6" w:space="0" w:color="auto"/>
              <w:right w:val="outset" w:sz="6" w:space="0" w:color="auto"/>
            </w:tcBorders>
            <w:vAlign w:val="center"/>
            <w:hideMark/>
          </w:tcPr>
          <w:p w:rsidR="007A36AC" w:rsidRDefault="00FE7ACF">
            <w:pPr>
              <w:spacing w:before="100" w:beforeAutospacing="1" w:after="100" w:afterAutospacing="1"/>
              <w:contextualSpacing/>
              <w:jc w:val="center"/>
              <w:rPr>
                <w:noProof/>
              </w:rPr>
            </w:pPr>
            <w:r>
              <w:rPr>
                <w:noProof/>
              </w:rPr>
              <w:t>2,5</w:t>
            </w:r>
          </w:p>
        </w:tc>
        <w:tc>
          <w:tcPr>
            <w:tcW w:w="877" w:type="pct"/>
            <w:tcBorders>
              <w:top w:val="outset" w:sz="6" w:space="0" w:color="auto"/>
              <w:left w:val="outset" w:sz="6" w:space="0" w:color="auto"/>
              <w:bottom w:val="outset" w:sz="6" w:space="0" w:color="auto"/>
              <w:right w:val="outset" w:sz="6" w:space="0" w:color="auto"/>
            </w:tcBorders>
            <w:vAlign w:val="center"/>
            <w:hideMark/>
          </w:tcPr>
          <w:p w:rsidR="007A36AC" w:rsidRDefault="00FE7ACF">
            <w:pPr>
              <w:spacing w:before="100" w:beforeAutospacing="1" w:after="100" w:afterAutospacing="1"/>
              <w:contextualSpacing/>
              <w:jc w:val="center"/>
              <w:rPr>
                <w:noProof/>
              </w:rPr>
            </w:pPr>
            <w:r>
              <w:rPr>
                <w:noProof/>
              </w:rPr>
              <w:t>0,3</w:t>
            </w:r>
          </w:p>
        </w:tc>
      </w:tr>
      <w:tr w:rsidR="007A36AC">
        <w:trPr>
          <w:tblCellSpacing w:w="0" w:type="dxa"/>
          <w:jc w:val="center"/>
        </w:trPr>
        <w:tc>
          <w:tcPr>
            <w:tcW w:w="1366" w:type="pct"/>
            <w:vMerge w:val="restart"/>
            <w:tcBorders>
              <w:left w:val="outset" w:sz="6" w:space="0" w:color="auto"/>
              <w:bottom w:val="outset" w:sz="6" w:space="0" w:color="auto"/>
              <w:right w:val="outset" w:sz="6" w:space="0" w:color="auto"/>
            </w:tcBorders>
          </w:tcPr>
          <w:p w:rsidR="007A36AC" w:rsidRDefault="00FE7ACF">
            <w:pPr>
              <w:spacing w:before="100" w:beforeAutospacing="1" w:after="100" w:afterAutospacing="1"/>
              <w:rPr>
                <w:noProof/>
              </w:rPr>
            </w:pPr>
            <w:r>
              <w:rPr>
                <w:noProof/>
              </w:rPr>
              <w:t xml:space="preserve">Heavy goods vehicle having a maximum permissible gross laden weight </w:t>
            </w:r>
          </w:p>
          <w:p w:rsidR="007A36AC" w:rsidRDefault="00FE7ACF">
            <w:pPr>
              <w:spacing w:before="100" w:beforeAutospacing="1" w:after="100" w:afterAutospacing="1"/>
              <w:rPr>
                <w:noProof/>
              </w:rPr>
            </w:pPr>
            <w:r>
              <w:rPr>
                <w:noProof/>
              </w:rPr>
              <w:t xml:space="preserve">between  28 and 40 tonnes </w:t>
            </w:r>
          </w:p>
          <w:p w:rsidR="007A36AC" w:rsidRDefault="00FE7ACF">
            <w:pPr>
              <w:spacing w:before="100" w:beforeAutospacing="1" w:after="100" w:afterAutospacing="1"/>
              <w:rPr>
                <w:noProof/>
              </w:rPr>
            </w:pPr>
            <w:r>
              <w:rPr>
                <w:noProof/>
              </w:rPr>
              <w:t>or having four axles</w:t>
            </w: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0</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30,4</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19,7</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22,6</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13,9</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II</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21,3</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13,9</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III</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17,8</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11,2</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IV</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12,2</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7,7</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V</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9,2</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4,0</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VI</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3,5</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0,8</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Less polluting than EURO VI</w:t>
            </w:r>
          </w:p>
        </w:tc>
        <w:tc>
          <w:tcPr>
            <w:tcW w:w="974" w:type="pct"/>
            <w:tcBorders>
              <w:top w:val="outset" w:sz="6" w:space="0" w:color="auto"/>
              <w:left w:val="outset" w:sz="6" w:space="0" w:color="auto"/>
              <w:bottom w:val="outset" w:sz="6" w:space="0" w:color="auto"/>
              <w:right w:val="outset" w:sz="6" w:space="0" w:color="auto"/>
            </w:tcBorders>
            <w:vAlign w:val="center"/>
            <w:hideMark/>
          </w:tcPr>
          <w:p w:rsidR="007A36AC" w:rsidRDefault="00FE7ACF">
            <w:pPr>
              <w:spacing w:before="100" w:beforeAutospacing="1" w:after="100" w:afterAutospacing="1"/>
              <w:contextualSpacing/>
              <w:jc w:val="center"/>
              <w:rPr>
                <w:noProof/>
              </w:rPr>
            </w:pPr>
            <w:r>
              <w:rPr>
                <w:noProof/>
              </w:rPr>
              <w:t>2,5</w:t>
            </w:r>
          </w:p>
        </w:tc>
        <w:tc>
          <w:tcPr>
            <w:tcW w:w="877" w:type="pct"/>
            <w:tcBorders>
              <w:top w:val="outset" w:sz="6" w:space="0" w:color="auto"/>
              <w:left w:val="outset" w:sz="6" w:space="0" w:color="auto"/>
              <w:bottom w:val="outset" w:sz="6" w:space="0" w:color="auto"/>
              <w:right w:val="outset" w:sz="6" w:space="0" w:color="auto"/>
            </w:tcBorders>
            <w:vAlign w:val="center"/>
            <w:hideMark/>
          </w:tcPr>
          <w:p w:rsidR="007A36AC" w:rsidRDefault="00FE7ACF">
            <w:pPr>
              <w:spacing w:before="100" w:beforeAutospacing="1" w:after="100" w:afterAutospacing="1"/>
              <w:contextualSpacing/>
              <w:jc w:val="center"/>
              <w:rPr>
                <w:noProof/>
              </w:rPr>
            </w:pPr>
            <w:r>
              <w:rPr>
                <w:noProof/>
              </w:rPr>
              <w:t>0,3</w:t>
            </w:r>
          </w:p>
        </w:tc>
      </w:tr>
      <w:tr w:rsidR="007A36AC">
        <w:trPr>
          <w:tblCellSpacing w:w="0" w:type="dxa"/>
          <w:jc w:val="center"/>
        </w:trPr>
        <w:tc>
          <w:tcPr>
            <w:tcW w:w="1366" w:type="pct"/>
            <w:vMerge w:val="restart"/>
            <w:tcBorders>
              <w:left w:val="outset" w:sz="6" w:space="0" w:color="auto"/>
              <w:bottom w:val="outset" w:sz="6" w:space="0" w:color="auto"/>
              <w:right w:val="outset" w:sz="6" w:space="0" w:color="auto"/>
            </w:tcBorders>
          </w:tcPr>
          <w:p w:rsidR="007A36AC" w:rsidRDefault="00FE7ACF">
            <w:pPr>
              <w:spacing w:before="100" w:beforeAutospacing="1" w:after="100" w:afterAutospacing="1"/>
              <w:rPr>
                <w:noProof/>
              </w:rPr>
            </w:pPr>
            <w:r>
              <w:rPr>
                <w:noProof/>
              </w:rPr>
              <w:t xml:space="preserve">Heavy goods vehicle having a maximum permissible gross laden weight </w:t>
            </w:r>
          </w:p>
          <w:p w:rsidR="007A36AC" w:rsidRDefault="00FE7ACF">
            <w:pPr>
              <w:spacing w:before="100" w:beforeAutospacing="1" w:after="100" w:afterAutospacing="1"/>
              <w:rPr>
                <w:noProof/>
              </w:rPr>
            </w:pPr>
            <w:r>
              <w:rPr>
                <w:noProof/>
              </w:rPr>
              <w:t xml:space="preserve">above 40 tonnes </w:t>
            </w:r>
          </w:p>
          <w:p w:rsidR="007A36AC" w:rsidRDefault="00FE7ACF">
            <w:pPr>
              <w:spacing w:before="100" w:beforeAutospacing="1" w:after="100" w:afterAutospacing="1"/>
              <w:rPr>
                <w:noProof/>
              </w:rPr>
            </w:pPr>
            <w:r>
              <w:rPr>
                <w:noProof/>
              </w:rPr>
              <w:t>or having 5 or more axles</w:t>
            </w: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0</w:t>
            </w:r>
          </w:p>
        </w:tc>
        <w:tc>
          <w:tcPr>
            <w:tcW w:w="974" w:type="pct"/>
            <w:tcBorders>
              <w:top w:val="outset" w:sz="6" w:space="0" w:color="auto"/>
              <w:left w:val="outset" w:sz="6" w:space="0" w:color="auto"/>
              <w:bottom w:val="outset" w:sz="6" w:space="0" w:color="auto"/>
              <w:right w:val="outset" w:sz="6" w:space="0" w:color="auto"/>
            </w:tcBorders>
            <w:vAlign w:val="bottom"/>
          </w:tcPr>
          <w:p w:rsidR="007A36AC" w:rsidRDefault="00FE7ACF">
            <w:pPr>
              <w:spacing w:before="100" w:beforeAutospacing="1" w:after="100" w:afterAutospacing="1"/>
              <w:contextualSpacing/>
              <w:jc w:val="center"/>
              <w:rPr>
                <w:noProof/>
              </w:rPr>
            </w:pPr>
            <w:r>
              <w:rPr>
                <w:noProof/>
              </w:rPr>
              <w:t>43,0</w:t>
            </w:r>
          </w:p>
        </w:tc>
        <w:tc>
          <w:tcPr>
            <w:tcW w:w="877" w:type="pct"/>
            <w:tcBorders>
              <w:top w:val="outset" w:sz="6" w:space="0" w:color="auto"/>
              <w:left w:val="outset" w:sz="6" w:space="0" w:color="auto"/>
              <w:bottom w:val="outset" w:sz="6" w:space="0" w:color="auto"/>
              <w:right w:val="outset" w:sz="6" w:space="0" w:color="auto"/>
            </w:tcBorders>
            <w:vAlign w:val="bottom"/>
          </w:tcPr>
          <w:p w:rsidR="007A36AC" w:rsidRDefault="00FE7ACF">
            <w:pPr>
              <w:spacing w:before="100" w:beforeAutospacing="1" w:after="100" w:afterAutospacing="1"/>
              <w:contextualSpacing/>
              <w:jc w:val="center"/>
              <w:rPr>
                <w:noProof/>
              </w:rPr>
            </w:pPr>
            <w:r>
              <w:rPr>
                <w:noProof/>
              </w:rPr>
              <w:t>28,6</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w:t>
            </w:r>
          </w:p>
        </w:tc>
        <w:tc>
          <w:tcPr>
            <w:tcW w:w="974" w:type="pct"/>
            <w:tcBorders>
              <w:top w:val="outset" w:sz="6" w:space="0" w:color="auto"/>
              <w:left w:val="outset" w:sz="6" w:space="0" w:color="auto"/>
              <w:bottom w:val="outset" w:sz="6" w:space="0" w:color="auto"/>
              <w:right w:val="outset" w:sz="6" w:space="0" w:color="auto"/>
            </w:tcBorders>
            <w:vAlign w:val="bottom"/>
          </w:tcPr>
          <w:p w:rsidR="007A36AC" w:rsidRDefault="00FE7ACF">
            <w:pPr>
              <w:spacing w:before="100" w:beforeAutospacing="1" w:after="100" w:afterAutospacing="1"/>
              <w:contextualSpacing/>
              <w:jc w:val="center"/>
              <w:rPr>
                <w:noProof/>
              </w:rPr>
            </w:pPr>
            <w:r>
              <w:rPr>
                <w:noProof/>
              </w:rPr>
              <w:t>31,5</w:t>
            </w:r>
          </w:p>
        </w:tc>
        <w:tc>
          <w:tcPr>
            <w:tcW w:w="877" w:type="pct"/>
            <w:tcBorders>
              <w:top w:val="outset" w:sz="6" w:space="0" w:color="auto"/>
              <w:left w:val="outset" w:sz="6" w:space="0" w:color="auto"/>
              <w:bottom w:val="outset" w:sz="6" w:space="0" w:color="auto"/>
              <w:right w:val="outset" w:sz="6" w:space="0" w:color="auto"/>
            </w:tcBorders>
            <w:vAlign w:val="bottom"/>
          </w:tcPr>
          <w:p w:rsidR="007A36AC" w:rsidRDefault="00FE7ACF">
            <w:pPr>
              <w:spacing w:before="100" w:beforeAutospacing="1" w:after="100" w:afterAutospacing="1"/>
              <w:contextualSpacing/>
              <w:jc w:val="center"/>
              <w:rPr>
                <w:noProof/>
              </w:rPr>
            </w:pPr>
            <w:r>
              <w:rPr>
                <w:noProof/>
              </w:rPr>
              <w:t>19,8</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II</w:t>
            </w:r>
          </w:p>
        </w:tc>
        <w:tc>
          <w:tcPr>
            <w:tcW w:w="974" w:type="pct"/>
            <w:tcBorders>
              <w:top w:val="outset" w:sz="6" w:space="0" w:color="auto"/>
              <w:left w:val="outset" w:sz="6" w:space="0" w:color="auto"/>
              <w:bottom w:val="outset" w:sz="6" w:space="0" w:color="auto"/>
              <w:right w:val="outset" w:sz="6" w:space="0" w:color="auto"/>
            </w:tcBorders>
            <w:vAlign w:val="bottom"/>
          </w:tcPr>
          <w:p w:rsidR="007A36AC" w:rsidRDefault="00FE7ACF">
            <w:pPr>
              <w:spacing w:before="100" w:beforeAutospacing="1" w:after="100" w:afterAutospacing="1"/>
              <w:contextualSpacing/>
              <w:jc w:val="center"/>
              <w:rPr>
                <w:noProof/>
              </w:rPr>
            </w:pPr>
            <w:r>
              <w:rPr>
                <w:noProof/>
              </w:rPr>
              <w:t>29,2</w:t>
            </w:r>
          </w:p>
        </w:tc>
        <w:tc>
          <w:tcPr>
            <w:tcW w:w="877" w:type="pct"/>
            <w:tcBorders>
              <w:top w:val="outset" w:sz="6" w:space="0" w:color="auto"/>
              <w:left w:val="outset" w:sz="6" w:space="0" w:color="auto"/>
              <w:bottom w:val="outset" w:sz="6" w:space="0" w:color="auto"/>
              <w:right w:val="outset" w:sz="6" w:space="0" w:color="auto"/>
            </w:tcBorders>
            <w:vAlign w:val="bottom"/>
          </w:tcPr>
          <w:p w:rsidR="007A36AC" w:rsidRDefault="00FE7ACF">
            <w:pPr>
              <w:spacing w:before="100" w:beforeAutospacing="1" w:after="100" w:afterAutospacing="1"/>
              <w:contextualSpacing/>
              <w:jc w:val="center"/>
              <w:rPr>
                <w:noProof/>
              </w:rPr>
            </w:pPr>
            <w:r>
              <w:rPr>
                <w:noProof/>
              </w:rPr>
              <w:t>19,4</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III</w:t>
            </w:r>
          </w:p>
        </w:tc>
        <w:tc>
          <w:tcPr>
            <w:tcW w:w="974" w:type="pct"/>
            <w:tcBorders>
              <w:top w:val="outset" w:sz="6" w:space="0" w:color="auto"/>
              <w:left w:val="outset" w:sz="6" w:space="0" w:color="auto"/>
              <w:bottom w:val="outset" w:sz="6" w:space="0" w:color="auto"/>
              <w:right w:val="outset" w:sz="6" w:space="0" w:color="auto"/>
            </w:tcBorders>
            <w:vAlign w:val="bottom"/>
          </w:tcPr>
          <w:p w:rsidR="007A36AC" w:rsidRDefault="00FE7ACF">
            <w:pPr>
              <w:spacing w:before="100" w:beforeAutospacing="1" w:after="100" w:afterAutospacing="1"/>
              <w:contextualSpacing/>
              <w:jc w:val="center"/>
              <w:rPr>
                <w:noProof/>
              </w:rPr>
            </w:pPr>
            <w:r>
              <w:rPr>
                <w:noProof/>
              </w:rPr>
              <w:t>24,0</w:t>
            </w:r>
          </w:p>
        </w:tc>
        <w:tc>
          <w:tcPr>
            <w:tcW w:w="877" w:type="pct"/>
            <w:tcBorders>
              <w:top w:val="outset" w:sz="6" w:space="0" w:color="auto"/>
              <w:left w:val="outset" w:sz="6" w:space="0" w:color="auto"/>
              <w:bottom w:val="outset" w:sz="6" w:space="0" w:color="auto"/>
              <w:right w:val="outset" w:sz="6" w:space="0" w:color="auto"/>
            </w:tcBorders>
            <w:vAlign w:val="bottom"/>
          </w:tcPr>
          <w:p w:rsidR="007A36AC" w:rsidRDefault="00FE7ACF">
            <w:pPr>
              <w:spacing w:before="100" w:beforeAutospacing="1" w:after="100" w:afterAutospacing="1"/>
              <w:contextualSpacing/>
              <w:jc w:val="center"/>
              <w:rPr>
                <w:noProof/>
              </w:rPr>
            </w:pPr>
            <w:r>
              <w:rPr>
                <w:noProof/>
              </w:rPr>
              <w:t>15,6</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IV</w:t>
            </w:r>
          </w:p>
        </w:tc>
        <w:tc>
          <w:tcPr>
            <w:tcW w:w="974" w:type="pct"/>
            <w:tcBorders>
              <w:top w:val="outset" w:sz="6" w:space="0" w:color="auto"/>
              <w:left w:val="outset" w:sz="6" w:space="0" w:color="auto"/>
              <w:bottom w:val="outset" w:sz="6" w:space="0" w:color="auto"/>
              <w:right w:val="outset" w:sz="6" w:space="0" w:color="auto"/>
            </w:tcBorders>
            <w:vAlign w:val="bottom"/>
          </w:tcPr>
          <w:p w:rsidR="007A36AC" w:rsidRDefault="00FE7ACF">
            <w:pPr>
              <w:spacing w:before="100" w:beforeAutospacing="1" w:after="100" w:afterAutospacing="1"/>
              <w:contextualSpacing/>
              <w:jc w:val="center"/>
              <w:rPr>
                <w:noProof/>
              </w:rPr>
            </w:pPr>
            <w:r>
              <w:rPr>
                <w:noProof/>
              </w:rPr>
              <w:t>16,2</w:t>
            </w:r>
          </w:p>
        </w:tc>
        <w:tc>
          <w:tcPr>
            <w:tcW w:w="877" w:type="pct"/>
            <w:tcBorders>
              <w:top w:val="outset" w:sz="6" w:space="0" w:color="auto"/>
              <w:left w:val="outset" w:sz="6" w:space="0" w:color="auto"/>
              <w:bottom w:val="outset" w:sz="6" w:space="0" w:color="auto"/>
              <w:right w:val="outset" w:sz="6" w:space="0" w:color="auto"/>
            </w:tcBorders>
            <w:vAlign w:val="bottom"/>
          </w:tcPr>
          <w:p w:rsidR="007A36AC" w:rsidRDefault="00FE7ACF">
            <w:pPr>
              <w:spacing w:before="100" w:beforeAutospacing="1" w:after="100" w:afterAutospacing="1"/>
              <w:contextualSpacing/>
              <w:jc w:val="center"/>
              <w:rPr>
                <w:noProof/>
              </w:rPr>
            </w:pPr>
            <w:r>
              <w:rPr>
                <w:noProof/>
              </w:rPr>
              <w:t>10,6</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V</w:t>
            </w:r>
          </w:p>
        </w:tc>
        <w:tc>
          <w:tcPr>
            <w:tcW w:w="974" w:type="pct"/>
            <w:tcBorders>
              <w:top w:val="outset" w:sz="6" w:space="0" w:color="auto"/>
              <w:left w:val="outset" w:sz="6" w:space="0" w:color="auto"/>
              <w:bottom w:val="outset" w:sz="6" w:space="0" w:color="auto"/>
              <w:right w:val="outset" w:sz="6" w:space="0" w:color="auto"/>
            </w:tcBorders>
            <w:vAlign w:val="bottom"/>
          </w:tcPr>
          <w:p w:rsidR="007A36AC" w:rsidRDefault="00FE7ACF">
            <w:pPr>
              <w:spacing w:before="100" w:beforeAutospacing="1" w:after="100" w:afterAutospacing="1"/>
              <w:contextualSpacing/>
              <w:jc w:val="center"/>
              <w:rPr>
                <w:noProof/>
              </w:rPr>
            </w:pPr>
            <w:r>
              <w:rPr>
                <w:noProof/>
              </w:rPr>
              <w:t>9,8</w:t>
            </w:r>
          </w:p>
        </w:tc>
        <w:tc>
          <w:tcPr>
            <w:tcW w:w="877" w:type="pct"/>
            <w:tcBorders>
              <w:top w:val="outset" w:sz="6" w:space="0" w:color="auto"/>
              <w:left w:val="outset" w:sz="6" w:space="0" w:color="auto"/>
              <w:bottom w:val="outset" w:sz="6" w:space="0" w:color="auto"/>
              <w:right w:val="outset" w:sz="6" w:space="0" w:color="auto"/>
            </w:tcBorders>
            <w:vAlign w:val="bottom"/>
          </w:tcPr>
          <w:p w:rsidR="007A36AC" w:rsidRDefault="00FE7ACF">
            <w:pPr>
              <w:spacing w:before="100" w:beforeAutospacing="1" w:after="100" w:afterAutospacing="1"/>
              <w:contextualSpacing/>
              <w:jc w:val="center"/>
              <w:rPr>
                <w:noProof/>
              </w:rPr>
            </w:pPr>
            <w:r>
              <w:rPr>
                <w:noProof/>
              </w:rPr>
              <w:t>4,7</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VI</w:t>
            </w:r>
          </w:p>
        </w:tc>
        <w:tc>
          <w:tcPr>
            <w:tcW w:w="974"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3,6</w:t>
            </w:r>
          </w:p>
        </w:tc>
        <w:tc>
          <w:tcPr>
            <w:tcW w:w="877"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1,0</w:t>
            </w:r>
          </w:p>
        </w:tc>
      </w:tr>
      <w:tr w:rsidR="007A36AC">
        <w:trPr>
          <w:tblCellSpacing w:w="0" w:type="dxa"/>
          <w:jc w:val="center"/>
        </w:trPr>
        <w:tc>
          <w:tcPr>
            <w:tcW w:w="1366"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3"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contextualSpacing/>
              <w:rPr>
                <w:noProof/>
              </w:rPr>
            </w:pPr>
            <w:r>
              <w:rPr>
                <w:noProof/>
              </w:rPr>
              <w:t>Less polluting than EURO VI</w:t>
            </w:r>
          </w:p>
        </w:tc>
        <w:tc>
          <w:tcPr>
            <w:tcW w:w="974" w:type="pct"/>
            <w:tcBorders>
              <w:top w:val="outset" w:sz="6" w:space="0" w:color="auto"/>
              <w:left w:val="outset" w:sz="6" w:space="0" w:color="auto"/>
              <w:bottom w:val="outset" w:sz="6" w:space="0" w:color="auto"/>
              <w:right w:val="outset" w:sz="6" w:space="0" w:color="auto"/>
            </w:tcBorders>
            <w:vAlign w:val="center"/>
            <w:hideMark/>
          </w:tcPr>
          <w:p w:rsidR="007A36AC" w:rsidRDefault="00FE7ACF">
            <w:pPr>
              <w:spacing w:before="100" w:beforeAutospacing="1" w:after="100" w:afterAutospacing="1"/>
              <w:contextualSpacing/>
              <w:jc w:val="center"/>
              <w:rPr>
                <w:noProof/>
              </w:rPr>
            </w:pPr>
            <w:r>
              <w:rPr>
                <w:noProof/>
              </w:rPr>
              <w:t>2,5</w:t>
            </w:r>
          </w:p>
        </w:tc>
        <w:tc>
          <w:tcPr>
            <w:tcW w:w="877" w:type="pct"/>
            <w:tcBorders>
              <w:top w:val="outset" w:sz="6" w:space="0" w:color="auto"/>
              <w:left w:val="outset" w:sz="6" w:space="0" w:color="auto"/>
              <w:bottom w:val="outset" w:sz="6" w:space="0" w:color="auto"/>
              <w:right w:val="outset" w:sz="6" w:space="0" w:color="auto"/>
            </w:tcBorders>
            <w:vAlign w:val="center"/>
            <w:hideMark/>
          </w:tcPr>
          <w:p w:rsidR="007A36AC" w:rsidRDefault="00FE7ACF">
            <w:pPr>
              <w:spacing w:before="100" w:beforeAutospacing="1" w:after="100" w:afterAutospacing="1"/>
              <w:contextualSpacing/>
              <w:jc w:val="center"/>
              <w:rPr>
                <w:noProof/>
              </w:rPr>
            </w:pPr>
            <w:r>
              <w:rPr>
                <w:noProof/>
              </w:rPr>
              <w:t>0,3</w:t>
            </w:r>
          </w:p>
        </w:tc>
      </w:tr>
    </w:tbl>
    <w:p w:rsidR="007A36AC" w:rsidRDefault="00FE7ACF">
      <w:pPr>
        <w:rPr>
          <w:rFonts w:eastAsia="Arial Unicode MS"/>
          <w:noProof/>
        </w:rPr>
      </w:pPr>
      <w:r>
        <w:rPr>
          <w:rFonts w:eastAsia="Arial Unicode MS"/>
          <w:noProof/>
          <w:vertAlign w:val="superscript"/>
        </w:rPr>
        <w:t xml:space="preserve">(1) </w:t>
      </w:r>
      <w:r>
        <w:rPr>
          <w:rFonts w:eastAsia="Arial Unicode MS"/>
          <w:noProof/>
        </w:rPr>
        <w:t>'Suburban' means areas with a population density between 150 and 900 inhabitants/km</w:t>
      </w:r>
      <w:r>
        <w:rPr>
          <w:rFonts w:eastAsia="Arial Unicode MS"/>
          <w:noProof/>
          <w:vertAlign w:val="superscript"/>
        </w:rPr>
        <w:t>2</w:t>
      </w:r>
      <w:r>
        <w:rPr>
          <w:rFonts w:eastAsia="Arial Unicode MS"/>
          <w:noProof/>
        </w:rPr>
        <w:t xml:space="preserve"> (median population density of 300 inhabitants/km</w:t>
      </w:r>
      <w:r>
        <w:rPr>
          <w:rFonts w:eastAsia="Arial Unicode MS"/>
          <w:noProof/>
          <w:vertAlign w:val="superscript"/>
        </w:rPr>
        <w:t>2</w:t>
      </w:r>
      <w:r>
        <w:rPr>
          <w:rFonts w:eastAsia="Arial Unicode MS"/>
          <w:noProof/>
        </w:rPr>
        <w:t>).</w:t>
      </w:r>
    </w:p>
    <w:p w:rsidR="007A36AC" w:rsidRDefault="00FE7ACF">
      <w:pPr>
        <w:rPr>
          <w:rFonts w:eastAsia="Arial Unicode MS"/>
          <w:noProof/>
          <w:szCs w:val="24"/>
        </w:rPr>
      </w:pPr>
      <w:r>
        <w:rPr>
          <w:rFonts w:eastAsia="Arial Unicode MS"/>
          <w:noProof/>
          <w:szCs w:val="24"/>
          <w:vertAlign w:val="superscript"/>
        </w:rPr>
        <w:t>(2)</w:t>
      </w:r>
      <w:r>
        <w:rPr>
          <w:rFonts w:eastAsia="Arial Unicode MS"/>
          <w:noProof/>
          <w:szCs w:val="24"/>
        </w:rPr>
        <w:tab/>
        <w:t>'Interurban' means areas with a population density below150 inhabitants/km</w:t>
      </w:r>
      <w:r>
        <w:rPr>
          <w:rFonts w:eastAsia="Arial Unicode MS"/>
          <w:noProof/>
          <w:szCs w:val="24"/>
          <w:vertAlign w:val="superscript"/>
        </w:rPr>
        <w:t>2</w:t>
      </w:r>
      <w:r>
        <w:rPr>
          <w:rFonts w:eastAsia="Arial Unicode MS"/>
          <w:noProof/>
          <w:szCs w:val="24"/>
        </w:rPr>
        <w:t>.</w:t>
      </w:r>
    </w:p>
    <w:p w:rsidR="007A36AC" w:rsidRDefault="00FE7ACF">
      <w:pPr>
        <w:spacing w:before="100" w:beforeAutospacing="1" w:after="100" w:afterAutospacing="1"/>
        <w:ind w:left="800" w:hanging="400"/>
        <w:rPr>
          <w:rFonts w:eastAsia="Arial Unicode MS"/>
          <w:i/>
          <w:iCs/>
          <w:noProof/>
        </w:rPr>
      </w:pPr>
      <w:r>
        <w:rPr>
          <w:rFonts w:eastAsia="Arial Unicode MS"/>
          <w:i/>
          <w:iCs/>
          <w:noProof/>
        </w:rPr>
        <w:t>Table 2:</w:t>
      </w:r>
      <w:r>
        <w:rPr>
          <w:rFonts w:eastAsia="Arial Unicode MS"/>
          <w:i/>
          <w:noProof/>
        </w:rPr>
        <w:t> reference</w:t>
      </w:r>
      <w:r>
        <w:rPr>
          <w:rFonts w:eastAsia="Arial Unicode MS"/>
          <w:i/>
          <w:iCs/>
          <w:noProof/>
        </w:rPr>
        <w:t xml:space="preserve"> values of the external-cost charge for coaches</w:t>
      </w:r>
    </w:p>
    <w:tbl>
      <w:tblPr>
        <w:tblW w:w="8710" w:type="dxa"/>
        <w:jc w:val="center"/>
        <w:tblCellSpacing w:w="0" w:type="dxa"/>
        <w:tblInd w:w="-300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73"/>
        <w:gridCol w:w="3109"/>
        <w:gridCol w:w="1709"/>
        <w:gridCol w:w="1519"/>
      </w:tblGrid>
      <w:tr w:rsidR="007A36AC">
        <w:trPr>
          <w:tblCellSpacing w:w="0" w:type="dxa"/>
          <w:jc w:val="center"/>
        </w:trPr>
        <w:tc>
          <w:tcPr>
            <w:tcW w:w="1362" w:type="pct"/>
            <w:tcBorders>
              <w:top w:val="outset" w:sz="6" w:space="0" w:color="auto"/>
              <w:left w:val="outset" w:sz="6" w:space="0" w:color="auto"/>
              <w:bottom w:val="outset" w:sz="6" w:space="0" w:color="auto"/>
              <w:right w:val="outset" w:sz="6" w:space="0" w:color="auto"/>
            </w:tcBorders>
          </w:tcPr>
          <w:p w:rsidR="007A36AC" w:rsidRDefault="00FE7ACF">
            <w:pPr>
              <w:spacing w:before="100" w:beforeAutospacing="1" w:after="100" w:afterAutospacing="1"/>
              <w:rPr>
                <w:b/>
                <w:bCs/>
                <w:noProof/>
              </w:rPr>
            </w:pPr>
            <w:r>
              <w:rPr>
                <w:b/>
                <w:bCs/>
                <w:noProof/>
              </w:rPr>
              <w:t>Vehicle class</w:t>
            </w:r>
          </w:p>
        </w:tc>
        <w:tc>
          <w:tcPr>
            <w:tcW w:w="1785"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b/>
                <w:bCs/>
                <w:noProof/>
              </w:rPr>
            </w:pPr>
            <w:r>
              <w:rPr>
                <w:b/>
                <w:bCs/>
                <w:noProof/>
              </w:rPr>
              <w:t>cent/vehicle-kilometre</w:t>
            </w:r>
          </w:p>
        </w:tc>
        <w:tc>
          <w:tcPr>
            <w:tcW w:w="981"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jc w:val="center"/>
              <w:rPr>
                <w:b/>
                <w:bCs/>
                <w:noProof/>
              </w:rPr>
            </w:pPr>
            <w:r>
              <w:rPr>
                <w:b/>
                <w:bCs/>
                <w:noProof/>
              </w:rPr>
              <w:t>Suburban</w:t>
            </w:r>
            <w:r>
              <w:rPr>
                <w:b/>
                <w:bCs/>
                <w:noProof/>
                <w:vertAlign w:val="superscript"/>
              </w:rPr>
              <w:t>(1)</w:t>
            </w:r>
          </w:p>
        </w:tc>
        <w:tc>
          <w:tcPr>
            <w:tcW w:w="872"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jc w:val="center"/>
              <w:rPr>
                <w:b/>
                <w:bCs/>
                <w:noProof/>
              </w:rPr>
            </w:pPr>
            <w:r>
              <w:rPr>
                <w:b/>
                <w:bCs/>
                <w:noProof/>
              </w:rPr>
              <w:t>Interurban</w:t>
            </w:r>
            <w:r>
              <w:rPr>
                <w:b/>
                <w:bCs/>
                <w:noProof/>
                <w:vertAlign w:val="superscript"/>
              </w:rPr>
              <w:t>(2)</w:t>
            </w:r>
          </w:p>
        </w:tc>
      </w:tr>
      <w:tr w:rsidR="007A36AC">
        <w:trPr>
          <w:tblCellSpacing w:w="0" w:type="dxa"/>
          <w:jc w:val="center"/>
        </w:trPr>
        <w:tc>
          <w:tcPr>
            <w:tcW w:w="1362" w:type="pct"/>
            <w:vMerge w:val="restart"/>
            <w:tcBorders>
              <w:top w:val="outset" w:sz="6" w:space="0" w:color="auto"/>
              <w:left w:val="outset" w:sz="6" w:space="0" w:color="auto"/>
              <w:right w:val="outset" w:sz="6" w:space="0" w:color="auto"/>
            </w:tcBorders>
          </w:tcPr>
          <w:p w:rsidR="007A36AC" w:rsidRDefault="00FE7ACF">
            <w:pPr>
              <w:spacing w:before="100" w:beforeAutospacing="1" w:after="100" w:afterAutospacing="1"/>
              <w:rPr>
                <w:noProof/>
              </w:rPr>
            </w:pPr>
            <w:r>
              <w:rPr>
                <w:noProof/>
              </w:rPr>
              <w:t xml:space="preserve">Coach having maximum permissible gross laden </w:t>
            </w:r>
            <w:r>
              <w:rPr>
                <w:noProof/>
              </w:rPr>
              <w:t>weight of 18 tonnes</w:t>
            </w:r>
          </w:p>
          <w:p w:rsidR="007A36AC" w:rsidRDefault="00FE7ACF">
            <w:pPr>
              <w:spacing w:before="100" w:beforeAutospacing="1" w:after="100" w:afterAutospacing="1"/>
              <w:rPr>
                <w:noProof/>
              </w:rPr>
            </w:pPr>
            <w:r>
              <w:rPr>
                <w:noProof/>
              </w:rPr>
              <w:t>or having two axles</w:t>
            </w:r>
          </w:p>
        </w:tc>
        <w:tc>
          <w:tcPr>
            <w:tcW w:w="1785"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0</w:t>
            </w:r>
          </w:p>
        </w:tc>
        <w:tc>
          <w:tcPr>
            <w:tcW w:w="981"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20,3</w:t>
            </w:r>
          </w:p>
        </w:tc>
        <w:tc>
          <w:tcPr>
            <w:tcW w:w="872"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13,1</w:t>
            </w:r>
          </w:p>
        </w:tc>
      </w:tr>
      <w:tr w:rsidR="007A36AC">
        <w:trPr>
          <w:tblCellSpacing w:w="0" w:type="dxa"/>
          <w:jc w:val="center"/>
        </w:trPr>
        <w:tc>
          <w:tcPr>
            <w:tcW w:w="1362" w:type="pct"/>
            <w:vMerge/>
            <w:tcBorders>
              <w:left w:val="outset" w:sz="6" w:space="0" w:color="auto"/>
              <w:right w:val="outset" w:sz="6" w:space="0" w:color="auto"/>
            </w:tcBorders>
          </w:tcPr>
          <w:p w:rsidR="007A36AC" w:rsidRDefault="007A36AC">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w:t>
            </w:r>
          </w:p>
        </w:tc>
        <w:tc>
          <w:tcPr>
            <w:tcW w:w="981"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16,0</w:t>
            </w:r>
          </w:p>
        </w:tc>
        <w:tc>
          <w:tcPr>
            <w:tcW w:w="872"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10,4</w:t>
            </w:r>
          </w:p>
        </w:tc>
      </w:tr>
      <w:tr w:rsidR="007A36AC">
        <w:trPr>
          <w:tblCellSpacing w:w="0" w:type="dxa"/>
          <w:jc w:val="center"/>
        </w:trPr>
        <w:tc>
          <w:tcPr>
            <w:tcW w:w="1362" w:type="pct"/>
            <w:vMerge/>
            <w:tcBorders>
              <w:left w:val="outset" w:sz="6" w:space="0" w:color="auto"/>
              <w:right w:val="outset" w:sz="6" w:space="0" w:color="auto"/>
            </w:tcBorders>
          </w:tcPr>
          <w:p w:rsidR="007A36AC" w:rsidRDefault="007A36AC">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II</w:t>
            </w:r>
          </w:p>
        </w:tc>
        <w:tc>
          <w:tcPr>
            <w:tcW w:w="981"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15,6</w:t>
            </w:r>
          </w:p>
        </w:tc>
        <w:tc>
          <w:tcPr>
            <w:tcW w:w="872"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9,9</w:t>
            </w:r>
          </w:p>
        </w:tc>
      </w:tr>
      <w:tr w:rsidR="007A36AC">
        <w:trPr>
          <w:tblCellSpacing w:w="0" w:type="dxa"/>
          <w:jc w:val="center"/>
        </w:trPr>
        <w:tc>
          <w:tcPr>
            <w:tcW w:w="1362" w:type="pct"/>
            <w:vMerge/>
            <w:tcBorders>
              <w:left w:val="outset" w:sz="6" w:space="0" w:color="auto"/>
              <w:right w:val="outset" w:sz="6" w:space="0" w:color="auto"/>
            </w:tcBorders>
          </w:tcPr>
          <w:p w:rsidR="007A36AC" w:rsidRDefault="007A36AC">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III</w:t>
            </w:r>
          </w:p>
        </w:tc>
        <w:tc>
          <w:tcPr>
            <w:tcW w:w="981"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13,9</w:t>
            </w:r>
          </w:p>
        </w:tc>
        <w:tc>
          <w:tcPr>
            <w:tcW w:w="872"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8,5</w:t>
            </w:r>
          </w:p>
        </w:tc>
      </w:tr>
      <w:tr w:rsidR="007A36AC">
        <w:trPr>
          <w:tblCellSpacing w:w="0" w:type="dxa"/>
          <w:jc w:val="center"/>
        </w:trPr>
        <w:tc>
          <w:tcPr>
            <w:tcW w:w="1362" w:type="pct"/>
            <w:vMerge/>
            <w:tcBorders>
              <w:left w:val="outset" w:sz="6" w:space="0" w:color="auto"/>
              <w:right w:val="outset" w:sz="6" w:space="0" w:color="auto"/>
            </w:tcBorders>
          </w:tcPr>
          <w:p w:rsidR="007A36AC" w:rsidRDefault="007A36AC">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IV</w:t>
            </w:r>
          </w:p>
        </w:tc>
        <w:tc>
          <w:tcPr>
            <w:tcW w:w="981"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10,0</w:t>
            </w:r>
          </w:p>
        </w:tc>
        <w:tc>
          <w:tcPr>
            <w:tcW w:w="872"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5,7</w:t>
            </w:r>
          </w:p>
        </w:tc>
      </w:tr>
      <w:tr w:rsidR="007A36AC">
        <w:trPr>
          <w:tblCellSpacing w:w="0" w:type="dxa"/>
          <w:jc w:val="center"/>
        </w:trPr>
        <w:tc>
          <w:tcPr>
            <w:tcW w:w="1362" w:type="pct"/>
            <w:vMerge/>
            <w:tcBorders>
              <w:left w:val="outset" w:sz="6" w:space="0" w:color="auto"/>
              <w:right w:val="outset" w:sz="6" w:space="0" w:color="auto"/>
            </w:tcBorders>
          </w:tcPr>
          <w:p w:rsidR="007A36AC" w:rsidRDefault="007A36AC">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V</w:t>
            </w:r>
          </w:p>
        </w:tc>
        <w:tc>
          <w:tcPr>
            <w:tcW w:w="981"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9,0</w:t>
            </w:r>
          </w:p>
        </w:tc>
        <w:tc>
          <w:tcPr>
            <w:tcW w:w="872"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5,0</w:t>
            </w:r>
          </w:p>
        </w:tc>
      </w:tr>
      <w:tr w:rsidR="007A36AC">
        <w:trPr>
          <w:tblCellSpacing w:w="0" w:type="dxa"/>
          <w:jc w:val="center"/>
        </w:trPr>
        <w:tc>
          <w:tcPr>
            <w:tcW w:w="1362" w:type="pct"/>
            <w:vMerge/>
            <w:tcBorders>
              <w:left w:val="outset" w:sz="6" w:space="0" w:color="auto"/>
              <w:right w:val="outset" w:sz="6" w:space="0" w:color="auto"/>
            </w:tcBorders>
          </w:tcPr>
          <w:p w:rsidR="007A36AC" w:rsidRDefault="007A36AC">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VI</w:t>
            </w:r>
          </w:p>
        </w:tc>
        <w:tc>
          <w:tcPr>
            <w:tcW w:w="981"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2,8</w:t>
            </w:r>
          </w:p>
        </w:tc>
        <w:tc>
          <w:tcPr>
            <w:tcW w:w="872"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0,8</w:t>
            </w:r>
          </w:p>
        </w:tc>
      </w:tr>
      <w:tr w:rsidR="007A36AC">
        <w:trPr>
          <w:tblCellSpacing w:w="0" w:type="dxa"/>
          <w:jc w:val="center"/>
        </w:trPr>
        <w:tc>
          <w:tcPr>
            <w:tcW w:w="1362"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Less polluting than EURO VI</w:t>
            </w:r>
          </w:p>
        </w:tc>
        <w:tc>
          <w:tcPr>
            <w:tcW w:w="981" w:type="pct"/>
            <w:tcBorders>
              <w:top w:val="outset" w:sz="6" w:space="0" w:color="auto"/>
              <w:left w:val="outset" w:sz="6" w:space="0" w:color="auto"/>
              <w:bottom w:val="outset" w:sz="6" w:space="0" w:color="auto"/>
              <w:right w:val="outset" w:sz="6" w:space="0" w:color="auto"/>
            </w:tcBorders>
            <w:vAlign w:val="center"/>
            <w:hideMark/>
          </w:tcPr>
          <w:p w:rsidR="007A36AC" w:rsidRDefault="00FE7ACF">
            <w:pPr>
              <w:spacing w:before="100" w:beforeAutospacing="1" w:after="100" w:afterAutospacing="1"/>
              <w:contextualSpacing/>
              <w:jc w:val="center"/>
              <w:rPr>
                <w:noProof/>
              </w:rPr>
            </w:pPr>
            <w:r>
              <w:rPr>
                <w:noProof/>
              </w:rPr>
              <w:t>1,4</w:t>
            </w:r>
          </w:p>
        </w:tc>
        <w:tc>
          <w:tcPr>
            <w:tcW w:w="872" w:type="pct"/>
            <w:tcBorders>
              <w:top w:val="outset" w:sz="6" w:space="0" w:color="auto"/>
              <w:left w:val="outset" w:sz="6" w:space="0" w:color="auto"/>
              <w:bottom w:val="outset" w:sz="6" w:space="0" w:color="auto"/>
              <w:right w:val="outset" w:sz="6" w:space="0" w:color="auto"/>
            </w:tcBorders>
            <w:vAlign w:val="center"/>
            <w:hideMark/>
          </w:tcPr>
          <w:p w:rsidR="007A36AC" w:rsidRDefault="00FE7ACF">
            <w:pPr>
              <w:spacing w:before="100" w:beforeAutospacing="1" w:after="100" w:afterAutospacing="1"/>
              <w:contextualSpacing/>
              <w:jc w:val="center"/>
              <w:rPr>
                <w:noProof/>
              </w:rPr>
            </w:pPr>
            <w:r>
              <w:rPr>
                <w:noProof/>
              </w:rPr>
              <w:t>0,2</w:t>
            </w:r>
          </w:p>
        </w:tc>
      </w:tr>
      <w:tr w:rsidR="007A36AC">
        <w:trPr>
          <w:tblCellSpacing w:w="0" w:type="dxa"/>
          <w:jc w:val="center"/>
        </w:trPr>
        <w:tc>
          <w:tcPr>
            <w:tcW w:w="1362" w:type="pct"/>
            <w:vMerge w:val="restart"/>
            <w:tcBorders>
              <w:left w:val="outset" w:sz="6" w:space="0" w:color="auto"/>
              <w:bottom w:val="outset" w:sz="6" w:space="0" w:color="auto"/>
              <w:right w:val="outset" w:sz="6" w:space="0" w:color="auto"/>
            </w:tcBorders>
          </w:tcPr>
          <w:p w:rsidR="007A36AC" w:rsidRDefault="00FE7ACF">
            <w:pPr>
              <w:spacing w:before="100" w:beforeAutospacing="1" w:after="100" w:afterAutospacing="1"/>
              <w:rPr>
                <w:noProof/>
              </w:rPr>
            </w:pPr>
            <w:r>
              <w:rPr>
                <w:noProof/>
              </w:rPr>
              <w:t xml:space="preserve">Coach having maximum permissible gross laden </w:t>
            </w:r>
            <w:r>
              <w:rPr>
                <w:noProof/>
              </w:rPr>
              <w:t xml:space="preserve">weight </w:t>
            </w:r>
            <w:r>
              <w:rPr>
                <w:noProof/>
              </w:rPr>
              <w:lastRenderedPageBreak/>
              <w:t>above 18 tonnes</w:t>
            </w:r>
          </w:p>
          <w:p w:rsidR="007A36AC" w:rsidRDefault="00FE7ACF">
            <w:pPr>
              <w:spacing w:before="100" w:beforeAutospacing="1" w:after="100" w:afterAutospacing="1"/>
              <w:rPr>
                <w:noProof/>
              </w:rPr>
            </w:pPr>
            <w:r>
              <w:rPr>
                <w:noProof/>
              </w:rPr>
              <w:t>or having three or more axles</w:t>
            </w:r>
          </w:p>
        </w:tc>
        <w:tc>
          <w:tcPr>
            <w:tcW w:w="1785"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lastRenderedPageBreak/>
              <w:t>EURO 0</w:t>
            </w:r>
          </w:p>
        </w:tc>
        <w:tc>
          <w:tcPr>
            <w:tcW w:w="981"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24,9</w:t>
            </w:r>
          </w:p>
        </w:tc>
        <w:tc>
          <w:tcPr>
            <w:tcW w:w="872"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16,2</w:t>
            </w:r>
          </w:p>
        </w:tc>
      </w:tr>
      <w:tr w:rsidR="007A36AC">
        <w:trPr>
          <w:tblCellSpacing w:w="0" w:type="dxa"/>
          <w:jc w:val="center"/>
        </w:trPr>
        <w:tc>
          <w:tcPr>
            <w:tcW w:w="1362"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w:t>
            </w:r>
          </w:p>
        </w:tc>
        <w:tc>
          <w:tcPr>
            <w:tcW w:w="981"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19,2</w:t>
            </w:r>
          </w:p>
        </w:tc>
        <w:tc>
          <w:tcPr>
            <w:tcW w:w="872"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12,3</w:t>
            </w:r>
          </w:p>
        </w:tc>
      </w:tr>
      <w:tr w:rsidR="007A36AC">
        <w:trPr>
          <w:tblCellSpacing w:w="0" w:type="dxa"/>
          <w:jc w:val="center"/>
        </w:trPr>
        <w:tc>
          <w:tcPr>
            <w:tcW w:w="1362"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II</w:t>
            </w:r>
          </w:p>
        </w:tc>
        <w:tc>
          <w:tcPr>
            <w:tcW w:w="981"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18,5</w:t>
            </w:r>
          </w:p>
        </w:tc>
        <w:tc>
          <w:tcPr>
            <w:tcW w:w="872"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12,0</w:t>
            </w:r>
          </w:p>
        </w:tc>
      </w:tr>
      <w:tr w:rsidR="007A36AC">
        <w:trPr>
          <w:tblCellSpacing w:w="0" w:type="dxa"/>
          <w:jc w:val="center"/>
        </w:trPr>
        <w:tc>
          <w:tcPr>
            <w:tcW w:w="1362"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III</w:t>
            </w:r>
          </w:p>
        </w:tc>
        <w:tc>
          <w:tcPr>
            <w:tcW w:w="981"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15,7</w:t>
            </w:r>
          </w:p>
        </w:tc>
        <w:tc>
          <w:tcPr>
            <w:tcW w:w="872"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9,8</w:t>
            </w:r>
          </w:p>
        </w:tc>
      </w:tr>
      <w:tr w:rsidR="007A36AC">
        <w:trPr>
          <w:tblCellSpacing w:w="0" w:type="dxa"/>
          <w:jc w:val="center"/>
        </w:trPr>
        <w:tc>
          <w:tcPr>
            <w:tcW w:w="1362"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IV</w:t>
            </w:r>
          </w:p>
        </w:tc>
        <w:tc>
          <w:tcPr>
            <w:tcW w:w="981"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10,6</w:t>
            </w:r>
          </w:p>
        </w:tc>
        <w:tc>
          <w:tcPr>
            <w:tcW w:w="872"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6,6</w:t>
            </w:r>
          </w:p>
        </w:tc>
      </w:tr>
      <w:tr w:rsidR="007A36AC">
        <w:trPr>
          <w:tblCellSpacing w:w="0" w:type="dxa"/>
          <w:jc w:val="center"/>
        </w:trPr>
        <w:tc>
          <w:tcPr>
            <w:tcW w:w="1362"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V</w:t>
            </w:r>
          </w:p>
        </w:tc>
        <w:tc>
          <w:tcPr>
            <w:tcW w:w="981"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10,2</w:t>
            </w:r>
          </w:p>
        </w:tc>
        <w:tc>
          <w:tcPr>
            <w:tcW w:w="872"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5,2</w:t>
            </w:r>
          </w:p>
        </w:tc>
      </w:tr>
      <w:tr w:rsidR="007A36AC">
        <w:trPr>
          <w:tblCellSpacing w:w="0" w:type="dxa"/>
          <w:jc w:val="center"/>
        </w:trPr>
        <w:tc>
          <w:tcPr>
            <w:tcW w:w="1362"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EURO VI</w:t>
            </w:r>
          </w:p>
        </w:tc>
        <w:tc>
          <w:tcPr>
            <w:tcW w:w="981"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2,8</w:t>
            </w:r>
          </w:p>
        </w:tc>
        <w:tc>
          <w:tcPr>
            <w:tcW w:w="872" w:type="pct"/>
            <w:tcBorders>
              <w:top w:val="outset" w:sz="6" w:space="0" w:color="auto"/>
              <w:left w:val="outset" w:sz="6" w:space="0" w:color="auto"/>
              <w:bottom w:val="outset" w:sz="6" w:space="0" w:color="auto"/>
              <w:right w:val="outset" w:sz="6" w:space="0" w:color="auto"/>
            </w:tcBorders>
            <w:vAlign w:val="bottom"/>
            <w:hideMark/>
          </w:tcPr>
          <w:p w:rsidR="007A36AC" w:rsidRDefault="00FE7ACF">
            <w:pPr>
              <w:spacing w:before="100" w:beforeAutospacing="1" w:after="100" w:afterAutospacing="1"/>
              <w:contextualSpacing/>
              <w:jc w:val="center"/>
              <w:rPr>
                <w:noProof/>
              </w:rPr>
            </w:pPr>
            <w:r>
              <w:rPr>
                <w:noProof/>
              </w:rPr>
              <w:t>0,8</w:t>
            </w:r>
          </w:p>
        </w:tc>
      </w:tr>
      <w:tr w:rsidR="007A36AC">
        <w:trPr>
          <w:tblCellSpacing w:w="0" w:type="dxa"/>
          <w:jc w:val="center"/>
        </w:trPr>
        <w:tc>
          <w:tcPr>
            <w:tcW w:w="1362" w:type="pct"/>
            <w:vMerge/>
            <w:tcBorders>
              <w:left w:val="outset" w:sz="6" w:space="0" w:color="auto"/>
              <w:bottom w:val="outset" w:sz="6" w:space="0" w:color="auto"/>
              <w:right w:val="outset" w:sz="6" w:space="0" w:color="auto"/>
            </w:tcBorders>
          </w:tcPr>
          <w:p w:rsidR="007A36AC" w:rsidRDefault="007A36AC">
            <w:pPr>
              <w:spacing w:before="100" w:beforeAutospacing="1" w:after="100" w:afterAutospacing="1"/>
              <w:rPr>
                <w:noProof/>
              </w:rPr>
            </w:pPr>
          </w:p>
        </w:tc>
        <w:tc>
          <w:tcPr>
            <w:tcW w:w="1785" w:type="pct"/>
            <w:tcBorders>
              <w:top w:val="outset" w:sz="6" w:space="0" w:color="auto"/>
              <w:left w:val="outset" w:sz="6" w:space="0" w:color="auto"/>
              <w:bottom w:val="outset" w:sz="6" w:space="0" w:color="auto"/>
              <w:right w:val="outset" w:sz="6" w:space="0" w:color="auto"/>
            </w:tcBorders>
            <w:hideMark/>
          </w:tcPr>
          <w:p w:rsidR="007A36AC" w:rsidRDefault="00FE7ACF">
            <w:pPr>
              <w:spacing w:before="100" w:beforeAutospacing="1" w:after="100" w:afterAutospacing="1"/>
              <w:rPr>
                <w:noProof/>
              </w:rPr>
            </w:pPr>
            <w:r>
              <w:rPr>
                <w:noProof/>
              </w:rPr>
              <w:t>Less polluting than EURO VI</w:t>
            </w:r>
          </w:p>
        </w:tc>
        <w:tc>
          <w:tcPr>
            <w:tcW w:w="981" w:type="pct"/>
            <w:tcBorders>
              <w:top w:val="outset" w:sz="6" w:space="0" w:color="auto"/>
              <w:left w:val="outset" w:sz="6" w:space="0" w:color="auto"/>
              <w:bottom w:val="outset" w:sz="6" w:space="0" w:color="auto"/>
              <w:right w:val="outset" w:sz="6" w:space="0" w:color="auto"/>
            </w:tcBorders>
            <w:vAlign w:val="center"/>
            <w:hideMark/>
          </w:tcPr>
          <w:p w:rsidR="007A36AC" w:rsidRDefault="00FE7ACF">
            <w:pPr>
              <w:spacing w:before="100" w:beforeAutospacing="1" w:after="100" w:afterAutospacing="1"/>
              <w:contextualSpacing/>
              <w:jc w:val="center"/>
              <w:rPr>
                <w:noProof/>
              </w:rPr>
            </w:pPr>
            <w:r>
              <w:rPr>
                <w:noProof/>
              </w:rPr>
              <w:t>1,4</w:t>
            </w:r>
          </w:p>
        </w:tc>
        <w:tc>
          <w:tcPr>
            <w:tcW w:w="872" w:type="pct"/>
            <w:tcBorders>
              <w:top w:val="outset" w:sz="6" w:space="0" w:color="auto"/>
              <w:left w:val="outset" w:sz="6" w:space="0" w:color="auto"/>
              <w:bottom w:val="outset" w:sz="6" w:space="0" w:color="auto"/>
              <w:right w:val="outset" w:sz="6" w:space="0" w:color="auto"/>
            </w:tcBorders>
            <w:vAlign w:val="center"/>
            <w:hideMark/>
          </w:tcPr>
          <w:p w:rsidR="007A36AC" w:rsidRDefault="00FE7ACF">
            <w:pPr>
              <w:spacing w:before="100" w:beforeAutospacing="1" w:after="100" w:afterAutospacing="1"/>
              <w:contextualSpacing/>
              <w:jc w:val="center"/>
              <w:rPr>
                <w:noProof/>
              </w:rPr>
            </w:pPr>
            <w:r>
              <w:rPr>
                <w:noProof/>
              </w:rPr>
              <w:t>0,2</w:t>
            </w:r>
          </w:p>
        </w:tc>
      </w:tr>
    </w:tbl>
    <w:p w:rsidR="007A36AC" w:rsidRDefault="00FE7ACF">
      <w:pPr>
        <w:rPr>
          <w:rFonts w:eastAsia="Arial Unicode MS"/>
          <w:noProof/>
        </w:rPr>
      </w:pPr>
      <w:r>
        <w:rPr>
          <w:rFonts w:eastAsia="Arial Unicode MS"/>
          <w:noProof/>
          <w:vertAlign w:val="superscript"/>
        </w:rPr>
        <w:t xml:space="preserve">(1) </w:t>
      </w:r>
      <w:r>
        <w:rPr>
          <w:rFonts w:eastAsia="Arial Unicode MS"/>
          <w:noProof/>
        </w:rPr>
        <w:t>'Suburban' means areas with a</w:t>
      </w:r>
      <w:r>
        <w:rPr>
          <w:rFonts w:eastAsia="Arial Unicode MS"/>
          <w:noProof/>
        </w:rPr>
        <w:t xml:space="preserve"> population density between 150 and 900 inhabitants/km</w:t>
      </w:r>
      <w:r>
        <w:rPr>
          <w:rFonts w:eastAsia="Arial Unicode MS"/>
          <w:noProof/>
          <w:vertAlign w:val="superscript"/>
        </w:rPr>
        <w:t>2</w:t>
      </w:r>
      <w:r>
        <w:rPr>
          <w:rFonts w:eastAsia="Arial Unicode MS"/>
          <w:noProof/>
        </w:rPr>
        <w:t xml:space="preserve"> (median population density of 300 inhabitants/km</w:t>
      </w:r>
      <w:r>
        <w:rPr>
          <w:rFonts w:eastAsia="Arial Unicode MS"/>
          <w:noProof/>
          <w:vertAlign w:val="superscript"/>
        </w:rPr>
        <w:t>2</w:t>
      </w:r>
      <w:r>
        <w:rPr>
          <w:rFonts w:eastAsia="Arial Unicode MS"/>
          <w:noProof/>
        </w:rPr>
        <w:t>).</w:t>
      </w:r>
    </w:p>
    <w:p w:rsidR="007A36AC" w:rsidRDefault="00FE7ACF">
      <w:pPr>
        <w:rPr>
          <w:noProof/>
        </w:rPr>
      </w:pPr>
      <w:r>
        <w:rPr>
          <w:rFonts w:eastAsia="Arial Unicode MS"/>
          <w:noProof/>
          <w:vertAlign w:val="superscript"/>
        </w:rPr>
        <w:t xml:space="preserve">(2) </w:t>
      </w:r>
      <w:r>
        <w:rPr>
          <w:rFonts w:eastAsia="Arial Unicode MS"/>
          <w:noProof/>
        </w:rPr>
        <w:t>'</w:t>
      </w:r>
      <w:r>
        <w:rPr>
          <w:rFonts w:eastAsia="Arial Unicode MS"/>
          <w:noProof/>
          <w:szCs w:val="24"/>
        </w:rPr>
        <w:t>Interurban' means areas with a population density below150 inhabitants/km</w:t>
      </w:r>
      <w:r>
        <w:rPr>
          <w:rFonts w:eastAsia="Arial Unicode MS"/>
          <w:noProof/>
          <w:szCs w:val="24"/>
          <w:vertAlign w:val="superscript"/>
        </w:rPr>
        <w:t>2</w:t>
      </w:r>
      <w:r>
        <w:rPr>
          <w:rFonts w:eastAsia="Arial Unicode MS"/>
          <w:noProof/>
          <w:szCs w:val="24"/>
        </w:rPr>
        <w:t>.</w:t>
      </w:r>
    </w:p>
    <w:p w:rsidR="007A36AC" w:rsidRDefault="007A36AC">
      <w:pPr>
        <w:rPr>
          <w:noProof/>
        </w:rPr>
      </w:pPr>
    </w:p>
    <w:p w:rsidR="007A36AC" w:rsidRDefault="00FE7ACF">
      <w:pPr>
        <w:rPr>
          <w:noProof/>
        </w:rPr>
      </w:pPr>
      <w:r>
        <w:rPr>
          <w:noProof/>
        </w:rPr>
        <w:t xml:space="preserve">The values of Tables 1 and 2 may be multiplied by a factor of up to 2 in mountain areas and around agglomerations to the extent that it is justified by </w:t>
      </w:r>
      <w:r>
        <w:rPr>
          <w:rFonts w:eastAsia="Arial Unicode MS"/>
          <w:noProof/>
        </w:rPr>
        <w:t xml:space="preserve">lower dispersion, </w:t>
      </w:r>
      <w:r>
        <w:rPr>
          <w:noProof/>
        </w:rPr>
        <w:t>the gradient of roads, altitude or temperature inversions.';</w:t>
      </w:r>
    </w:p>
    <w:p w:rsidR="007A36AC" w:rsidRDefault="007A36AC">
      <w:pPr>
        <w:rPr>
          <w:noProof/>
        </w:rPr>
      </w:pPr>
    </w:p>
    <w:p w:rsidR="007A36AC" w:rsidRDefault="00FE7ACF">
      <w:pPr>
        <w:rPr>
          <w:noProof/>
        </w:rPr>
      </w:pPr>
      <w:r>
        <w:rPr>
          <w:noProof/>
        </w:rPr>
        <w:t>(e)</w:t>
      </w:r>
      <w:r>
        <w:rPr>
          <w:noProof/>
        </w:rPr>
        <w:tab/>
        <w:t xml:space="preserve">in Annex IV, the </w:t>
      </w:r>
      <w:r>
        <w:rPr>
          <w:noProof/>
        </w:rPr>
        <w:t>table with the heading 'Vehicle combinations (articulated vehicles and road trains)' is replaced by the following:</w:t>
      </w:r>
    </w:p>
    <w:p w:rsidR="007A36AC" w:rsidRDefault="00FE7ACF">
      <w:pPr>
        <w:pStyle w:val="ManualHeading1"/>
        <w:ind w:left="851" w:hanging="851"/>
        <w:rPr>
          <w:noProof/>
        </w:rPr>
      </w:pPr>
      <w:r>
        <w:rPr>
          <w:b w:val="0"/>
          <w:noProof/>
        </w:rPr>
        <w:t>'</w:t>
      </w:r>
      <w:r>
        <w:rPr>
          <w:noProof/>
        </w:rPr>
        <w:t>Vehicle combinations (articulated vehicles and road trains)</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2"/>
        <w:gridCol w:w="48"/>
        <w:gridCol w:w="1929"/>
        <w:gridCol w:w="13"/>
        <w:gridCol w:w="21"/>
        <w:gridCol w:w="1802"/>
        <w:gridCol w:w="27"/>
        <w:gridCol w:w="1943"/>
        <w:gridCol w:w="6"/>
        <w:gridCol w:w="1659"/>
        <w:gridCol w:w="36"/>
      </w:tblGrid>
      <w:tr w:rsidR="007A36AC">
        <w:trPr>
          <w:gridAfter w:val="1"/>
          <w:wAfter w:w="36" w:type="dxa"/>
        </w:trPr>
        <w:tc>
          <w:tcPr>
            <w:tcW w:w="3807" w:type="dxa"/>
            <w:gridSpan w:val="4"/>
          </w:tcPr>
          <w:p w:rsidR="007A36AC" w:rsidRDefault="00FE7ACF">
            <w:pPr>
              <w:jc w:val="center"/>
              <w:rPr>
                <w:noProof/>
              </w:rPr>
            </w:pPr>
            <w:r>
              <w:rPr>
                <w:noProof/>
              </w:rPr>
              <w:t>Driving axles with air suspension or recognised as equivalent</w:t>
            </w:r>
          </w:p>
        </w:tc>
        <w:tc>
          <w:tcPr>
            <w:tcW w:w="3808" w:type="dxa"/>
            <w:gridSpan w:val="4"/>
          </w:tcPr>
          <w:p w:rsidR="007A36AC" w:rsidRDefault="00FE7ACF">
            <w:pPr>
              <w:jc w:val="center"/>
              <w:rPr>
                <w:noProof/>
              </w:rPr>
            </w:pPr>
            <w:r>
              <w:rPr>
                <w:noProof/>
              </w:rPr>
              <w:t>Other driving axle</w:t>
            </w:r>
            <w:r>
              <w:rPr>
                <w:noProof/>
              </w:rPr>
              <w:t xml:space="preserve"> suspension systems</w:t>
            </w:r>
          </w:p>
        </w:tc>
        <w:tc>
          <w:tcPr>
            <w:tcW w:w="1671" w:type="dxa"/>
            <w:gridSpan w:val="2"/>
          </w:tcPr>
          <w:p w:rsidR="007A36AC" w:rsidRDefault="00FE7ACF">
            <w:pPr>
              <w:jc w:val="center"/>
              <w:rPr>
                <w:noProof/>
                <w:lang w:val="fr-FR"/>
              </w:rPr>
            </w:pPr>
            <w:r>
              <w:rPr>
                <w:noProof/>
                <w:lang w:val="fr-FR"/>
              </w:rPr>
              <w:t>Damage class</w:t>
            </w:r>
          </w:p>
        </w:tc>
      </w:tr>
      <w:tr w:rsidR="007A36AC">
        <w:trPr>
          <w:gridAfter w:val="1"/>
          <w:wAfter w:w="36" w:type="dxa"/>
        </w:trPr>
        <w:tc>
          <w:tcPr>
            <w:tcW w:w="3807" w:type="dxa"/>
            <w:gridSpan w:val="4"/>
          </w:tcPr>
          <w:p w:rsidR="007A36AC" w:rsidRDefault="00FE7ACF">
            <w:pPr>
              <w:jc w:val="center"/>
              <w:rPr>
                <w:noProof/>
              </w:rPr>
            </w:pPr>
            <w:r>
              <w:rPr>
                <w:noProof/>
              </w:rPr>
              <w:t>Number of axles and maximum permissible gross laden weight (in tonnes)</w:t>
            </w:r>
          </w:p>
        </w:tc>
        <w:tc>
          <w:tcPr>
            <w:tcW w:w="3808" w:type="dxa"/>
            <w:gridSpan w:val="4"/>
          </w:tcPr>
          <w:p w:rsidR="007A36AC" w:rsidRDefault="00FE7ACF">
            <w:pPr>
              <w:jc w:val="center"/>
              <w:rPr>
                <w:noProof/>
              </w:rPr>
            </w:pPr>
            <w:r>
              <w:rPr>
                <w:noProof/>
              </w:rPr>
              <w:t>Number of axles and maximum permissible gross laden weight (in tonnes)</w:t>
            </w:r>
          </w:p>
        </w:tc>
        <w:tc>
          <w:tcPr>
            <w:tcW w:w="1671" w:type="dxa"/>
            <w:gridSpan w:val="2"/>
          </w:tcPr>
          <w:p w:rsidR="007A36AC" w:rsidRDefault="007A36AC">
            <w:pPr>
              <w:jc w:val="center"/>
              <w:rPr>
                <w:noProof/>
              </w:rPr>
            </w:pPr>
          </w:p>
        </w:tc>
      </w:tr>
      <w:tr w:rsidR="007A36AC">
        <w:trPr>
          <w:gridAfter w:val="1"/>
          <w:wAfter w:w="36" w:type="dxa"/>
        </w:trPr>
        <w:tc>
          <w:tcPr>
            <w:tcW w:w="1857" w:type="dxa"/>
            <w:gridSpan w:val="2"/>
          </w:tcPr>
          <w:p w:rsidR="007A36AC" w:rsidRDefault="00FE7ACF">
            <w:pPr>
              <w:jc w:val="center"/>
              <w:rPr>
                <w:noProof/>
                <w:lang w:val="fr-FR"/>
              </w:rPr>
            </w:pPr>
            <w:r>
              <w:rPr>
                <w:noProof/>
                <w:lang w:val="fr-FR"/>
              </w:rPr>
              <w:t>Not less than</w:t>
            </w:r>
          </w:p>
        </w:tc>
        <w:tc>
          <w:tcPr>
            <w:tcW w:w="1950" w:type="dxa"/>
            <w:gridSpan w:val="2"/>
          </w:tcPr>
          <w:p w:rsidR="007A36AC" w:rsidRDefault="00FE7ACF">
            <w:pPr>
              <w:jc w:val="center"/>
              <w:rPr>
                <w:noProof/>
                <w:lang w:val="fr-FR"/>
              </w:rPr>
            </w:pPr>
            <w:r>
              <w:rPr>
                <w:noProof/>
                <w:lang w:val="fr-FR"/>
              </w:rPr>
              <w:t>Less than</w:t>
            </w:r>
          </w:p>
        </w:tc>
        <w:tc>
          <w:tcPr>
            <w:tcW w:w="1857" w:type="dxa"/>
            <w:gridSpan w:val="3"/>
          </w:tcPr>
          <w:p w:rsidR="007A36AC" w:rsidRDefault="00FE7ACF">
            <w:pPr>
              <w:jc w:val="center"/>
              <w:rPr>
                <w:noProof/>
                <w:lang w:val="fr-FR"/>
              </w:rPr>
            </w:pPr>
            <w:r>
              <w:rPr>
                <w:noProof/>
                <w:lang w:val="fr-FR"/>
              </w:rPr>
              <w:t>Not less than</w:t>
            </w:r>
          </w:p>
        </w:tc>
        <w:tc>
          <w:tcPr>
            <w:tcW w:w="1951" w:type="dxa"/>
          </w:tcPr>
          <w:p w:rsidR="007A36AC" w:rsidRDefault="00FE7ACF">
            <w:pPr>
              <w:jc w:val="center"/>
              <w:rPr>
                <w:noProof/>
                <w:lang w:val="fr-FR"/>
              </w:rPr>
            </w:pPr>
            <w:r>
              <w:rPr>
                <w:noProof/>
                <w:lang w:val="fr-FR"/>
              </w:rPr>
              <w:t>Less than</w:t>
            </w:r>
          </w:p>
        </w:tc>
        <w:tc>
          <w:tcPr>
            <w:tcW w:w="1671" w:type="dxa"/>
            <w:gridSpan w:val="2"/>
          </w:tcPr>
          <w:p w:rsidR="007A36AC" w:rsidRDefault="007A36AC">
            <w:pPr>
              <w:jc w:val="center"/>
              <w:rPr>
                <w:noProof/>
                <w:lang w:val="fr-FR"/>
              </w:rPr>
            </w:pPr>
          </w:p>
        </w:tc>
      </w:tr>
      <w:tr w:rsidR="007A36AC">
        <w:trPr>
          <w:gridAfter w:val="1"/>
          <w:wAfter w:w="36" w:type="dxa"/>
        </w:trPr>
        <w:tc>
          <w:tcPr>
            <w:tcW w:w="7615" w:type="dxa"/>
            <w:gridSpan w:val="8"/>
          </w:tcPr>
          <w:p w:rsidR="007A36AC" w:rsidRDefault="00FE7ACF">
            <w:pPr>
              <w:jc w:val="left"/>
              <w:rPr>
                <w:noProof/>
                <w:lang w:val="fr-FR"/>
              </w:rPr>
            </w:pPr>
            <w:r>
              <w:rPr>
                <w:i/>
                <w:iCs/>
                <w:noProof/>
                <w:lang w:val="fr-FR"/>
              </w:rPr>
              <w:t>2 + 1 axles</w:t>
            </w:r>
          </w:p>
        </w:tc>
        <w:tc>
          <w:tcPr>
            <w:tcW w:w="1671" w:type="dxa"/>
            <w:gridSpan w:val="2"/>
          </w:tcPr>
          <w:p w:rsidR="007A36AC" w:rsidRDefault="007A36AC">
            <w:pPr>
              <w:jc w:val="left"/>
              <w:rPr>
                <w:noProof/>
                <w:lang w:val="fr-FR"/>
              </w:rPr>
            </w:pPr>
          </w:p>
        </w:tc>
      </w:tr>
      <w:tr w:rsidR="007A36AC">
        <w:trPr>
          <w:gridAfter w:val="1"/>
          <w:wAfter w:w="36" w:type="dxa"/>
        </w:trPr>
        <w:tc>
          <w:tcPr>
            <w:tcW w:w="1857" w:type="dxa"/>
            <w:gridSpan w:val="2"/>
          </w:tcPr>
          <w:p w:rsidR="007A36AC" w:rsidRDefault="00FE7ACF">
            <w:pPr>
              <w:jc w:val="left"/>
              <w:rPr>
                <w:noProof/>
                <w:lang w:val="fr-FR"/>
              </w:rPr>
            </w:pPr>
            <w:r>
              <w:rPr>
                <w:noProof/>
                <w:lang w:val="fr-FR"/>
              </w:rPr>
              <w:t>7,5</w:t>
            </w:r>
          </w:p>
          <w:p w:rsidR="007A36AC" w:rsidRDefault="00FE7ACF">
            <w:pPr>
              <w:jc w:val="left"/>
              <w:rPr>
                <w:noProof/>
                <w:lang w:val="fr-FR"/>
              </w:rPr>
            </w:pPr>
            <w:r>
              <w:rPr>
                <w:noProof/>
                <w:lang w:val="fr-FR"/>
              </w:rPr>
              <w:t>12</w:t>
            </w:r>
          </w:p>
          <w:p w:rsidR="007A36AC" w:rsidRDefault="00FE7ACF">
            <w:pPr>
              <w:jc w:val="left"/>
              <w:rPr>
                <w:noProof/>
                <w:lang w:val="fr-FR"/>
              </w:rPr>
            </w:pPr>
            <w:r>
              <w:rPr>
                <w:noProof/>
                <w:lang w:val="fr-FR"/>
              </w:rPr>
              <w:t>14</w:t>
            </w:r>
          </w:p>
          <w:p w:rsidR="007A36AC" w:rsidRDefault="00FE7ACF">
            <w:pPr>
              <w:jc w:val="left"/>
              <w:rPr>
                <w:noProof/>
                <w:lang w:val="fr-FR"/>
              </w:rPr>
            </w:pPr>
            <w:r>
              <w:rPr>
                <w:noProof/>
                <w:lang w:val="fr-FR"/>
              </w:rPr>
              <w:t>16</w:t>
            </w:r>
          </w:p>
          <w:p w:rsidR="007A36AC" w:rsidRDefault="00FE7ACF">
            <w:pPr>
              <w:jc w:val="left"/>
              <w:rPr>
                <w:noProof/>
                <w:lang w:val="fr-FR"/>
              </w:rPr>
            </w:pPr>
            <w:r>
              <w:rPr>
                <w:noProof/>
                <w:lang w:val="fr-FR"/>
              </w:rPr>
              <w:t>18</w:t>
            </w:r>
          </w:p>
          <w:p w:rsidR="007A36AC" w:rsidRDefault="00FE7ACF">
            <w:pPr>
              <w:jc w:val="left"/>
              <w:rPr>
                <w:noProof/>
                <w:lang w:val="fr-FR"/>
              </w:rPr>
            </w:pPr>
            <w:r>
              <w:rPr>
                <w:noProof/>
                <w:lang w:val="fr-FR"/>
              </w:rPr>
              <w:t>20</w:t>
            </w:r>
          </w:p>
          <w:p w:rsidR="007A36AC" w:rsidRDefault="00FE7ACF">
            <w:pPr>
              <w:jc w:val="left"/>
              <w:rPr>
                <w:noProof/>
                <w:lang w:val="fr-FR"/>
              </w:rPr>
            </w:pPr>
            <w:r>
              <w:rPr>
                <w:noProof/>
                <w:lang w:val="fr-FR"/>
              </w:rPr>
              <w:t>22</w:t>
            </w:r>
          </w:p>
          <w:p w:rsidR="007A36AC" w:rsidRDefault="00FE7ACF">
            <w:pPr>
              <w:jc w:val="left"/>
              <w:rPr>
                <w:noProof/>
                <w:lang w:val="fr-FR"/>
              </w:rPr>
            </w:pPr>
            <w:r>
              <w:rPr>
                <w:noProof/>
                <w:lang w:val="fr-FR"/>
              </w:rPr>
              <w:t>23</w:t>
            </w:r>
          </w:p>
          <w:p w:rsidR="007A36AC" w:rsidRDefault="00FE7ACF">
            <w:pPr>
              <w:jc w:val="left"/>
              <w:rPr>
                <w:noProof/>
                <w:lang w:val="fr-FR"/>
              </w:rPr>
            </w:pPr>
            <w:r>
              <w:rPr>
                <w:noProof/>
                <w:lang w:val="fr-FR"/>
              </w:rPr>
              <w:t>25</w:t>
            </w:r>
          </w:p>
        </w:tc>
        <w:tc>
          <w:tcPr>
            <w:tcW w:w="1950" w:type="dxa"/>
            <w:gridSpan w:val="2"/>
          </w:tcPr>
          <w:p w:rsidR="007A36AC" w:rsidRDefault="00FE7ACF">
            <w:pPr>
              <w:jc w:val="left"/>
              <w:rPr>
                <w:noProof/>
                <w:lang w:val="fr-FR"/>
              </w:rPr>
            </w:pPr>
            <w:r>
              <w:rPr>
                <w:noProof/>
                <w:lang w:val="fr-FR"/>
              </w:rPr>
              <w:t>12</w:t>
            </w:r>
          </w:p>
          <w:p w:rsidR="007A36AC" w:rsidRDefault="00FE7ACF">
            <w:pPr>
              <w:jc w:val="left"/>
              <w:rPr>
                <w:noProof/>
                <w:lang w:val="fr-FR"/>
              </w:rPr>
            </w:pPr>
            <w:r>
              <w:rPr>
                <w:noProof/>
                <w:lang w:val="fr-FR"/>
              </w:rPr>
              <w:t>14</w:t>
            </w:r>
          </w:p>
          <w:p w:rsidR="007A36AC" w:rsidRDefault="00FE7ACF">
            <w:pPr>
              <w:jc w:val="left"/>
              <w:rPr>
                <w:noProof/>
                <w:lang w:val="fr-FR"/>
              </w:rPr>
            </w:pPr>
            <w:r>
              <w:rPr>
                <w:noProof/>
                <w:lang w:val="fr-FR"/>
              </w:rPr>
              <w:t>16</w:t>
            </w:r>
          </w:p>
          <w:p w:rsidR="007A36AC" w:rsidRDefault="00FE7ACF">
            <w:pPr>
              <w:jc w:val="left"/>
              <w:rPr>
                <w:noProof/>
                <w:lang w:val="fr-FR"/>
              </w:rPr>
            </w:pPr>
            <w:r>
              <w:rPr>
                <w:noProof/>
                <w:lang w:val="fr-FR"/>
              </w:rPr>
              <w:t>18</w:t>
            </w:r>
          </w:p>
          <w:p w:rsidR="007A36AC" w:rsidRDefault="00FE7ACF">
            <w:pPr>
              <w:jc w:val="left"/>
              <w:rPr>
                <w:noProof/>
                <w:lang w:val="fr-FR"/>
              </w:rPr>
            </w:pPr>
            <w:r>
              <w:rPr>
                <w:noProof/>
                <w:lang w:val="fr-FR"/>
              </w:rPr>
              <w:t>20</w:t>
            </w:r>
          </w:p>
          <w:p w:rsidR="007A36AC" w:rsidRDefault="00FE7ACF">
            <w:pPr>
              <w:jc w:val="left"/>
              <w:rPr>
                <w:noProof/>
                <w:lang w:val="fr-FR"/>
              </w:rPr>
            </w:pPr>
            <w:r>
              <w:rPr>
                <w:noProof/>
                <w:lang w:val="fr-FR"/>
              </w:rPr>
              <w:t>22</w:t>
            </w:r>
          </w:p>
          <w:p w:rsidR="007A36AC" w:rsidRDefault="00FE7ACF">
            <w:pPr>
              <w:jc w:val="left"/>
              <w:rPr>
                <w:noProof/>
                <w:lang w:val="fr-FR"/>
              </w:rPr>
            </w:pPr>
            <w:r>
              <w:rPr>
                <w:noProof/>
                <w:lang w:val="fr-FR"/>
              </w:rPr>
              <w:t>23</w:t>
            </w:r>
          </w:p>
          <w:p w:rsidR="007A36AC" w:rsidRDefault="00FE7ACF">
            <w:pPr>
              <w:jc w:val="left"/>
              <w:rPr>
                <w:noProof/>
                <w:lang w:val="fr-FR"/>
              </w:rPr>
            </w:pPr>
            <w:r>
              <w:rPr>
                <w:noProof/>
                <w:lang w:val="fr-FR"/>
              </w:rPr>
              <w:t>25</w:t>
            </w:r>
          </w:p>
          <w:p w:rsidR="007A36AC" w:rsidRDefault="00FE7ACF">
            <w:pPr>
              <w:jc w:val="left"/>
              <w:rPr>
                <w:noProof/>
                <w:lang w:val="fr-FR"/>
              </w:rPr>
            </w:pPr>
            <w:r>
              <w:rPr>
                <w:noProof/>
                <w:lang w:val="fr-FR"/>
              </w:rPr>
              <w:t>28</w:t>
            </w:r>
          </w:p>
        </w:tc>
        <w:tc>
          <w:tcPr>
            <w:tcW w:w="1857" w:type="dxa"/>
            <w:gridSpan w:val="3"/>
          </w:tcPr>
          <w:p w:rsidR="007A36AC" w:rsidRDefault="00FE7ACF">
            <w:pPr>
              <w:jc w:val="left"/>
              <w:rPr>
                <w:noProof/>
                <w:lang w:val="fr-FR"/>
              </w:rPr>
            </w:pPr>
            <w:r>
              <w:rPr>
                <w:noProof/>
                <w:lang w:val="fr-FR"/>
              </w:rPr>
              <w:t>7,5</w:t>
            </w:r>
          </w:p>
          <w:p w:rsidR="007A36AC" w:rsidRDefault="00FE7ACF">
            <w:pPr>
              <w:jc w:val="left"/>
              <w:rPr>
                <w:noProof/>
                <w:lang w:val="fr-FR"/>
              </w:rPr>
            </w:pPr>
            <w:r>
              <w:rPr>
                <w:noProof/>
                <w:lang w:val="fr-FR"/>
              </w:rPr>
              <w:t>12</w:t>
            </w:r>
          </w:p>
          <w:p w:rsidR="007A36AC" w:rsidRDefault="00FE7ACF">
            <w:pPr>
              <w:jc w:val="left"/>
              <w:rPr>
                <w:noProof/>
                <w:lang w:val="fr-FR"/>
              </w:rPr>
            </w:pPr>
            <w:r>
              <w:rPr>
                <w:noProof/>
                <w:lang w:val="fr-FR"/>
              </w:rPr>
              <w:t>14</w:t>
            </w:r>
          </w:p>
          <w:p w:rsidR="007A36AC" w:rsidRDefault="00FE7ACF">
            <w:pPr>
              <w:jc w:val="left"/>
              <w:rPr>
                <w:noProof/>
                <w:lang w:val="fr-FR"/>
              </w:rPr>
            </w:pPr>
            <w:r>
              <w:rPr>
                <w:noProof/>
                <w:lang w:val="fr-FR"/>
              </w:rPr>
              <w:t>16</w:t>
            </w:r>
          </w:p>
          <w:p w:rsidR="007A36AC" w:rsidRDefault="00FE7ACF">
            <w:pPr>
              <w:jc w:val="left"/>
              <w:rPr>
                <w:noProof/>
                <w:lang w:val="fr-FR"/>
              </w:rPr>
            </w:pPr>
            <w:r>
              <w:rPr>
                <w:noProof/>
                <w:lang w:val="fr-FR"/>
              </w:rPr>
              <w:t>18</w:t>
            </w:r>
          </w:p>
          <w:p w:rsidR="007A36AC" w:rsidRDefault="00FE7ACF">
            <w:pPr>
              <w:jc w:val="left"/>
              <w:rPr>
                <w:noProof/>
                <w:lang w:val="fr-FR"/>
              </w:rPr>
            </w:pPr>
            <w:r>
              <w:rPr>
                <w:noProof/>
                <w:lang w:val="fr-FR"/>
              </w:rPr>
              <w:t>20</w:t>
            </w:r>
          </w:p>
          <w:p w:rsidR="007A36AC" w:rsidRDefault="00FE7ACF">
            <w:pPr>
              <w:jc w:val="left"/>
              <w:rPr>
                <w:noProof/>
                <w:lang w:val="fr-FR"/>
              </w:rPr>
            </w:pPr>
            <w:r>
              <w:rPr>
                <w:noProof/>
                <w:lang w:val="fr-FR"/>
              </w:rPr>
              <w:t>22</w:t>
            </w:r>
          </w:p>
          <w:p w:rsidR="007A36AC" w:rsidRDefault="00FE7ACF">
            <w:pPr>
              <w:jc w:val="left"/>
              <w:rPr>
                <w:noProof/>
                <w:lang w:val="fr-FR"/>
              </w:rPr>
            </w:pPr>
            <w:r>
              <w:rPr>
                <w:noProof/>
                <w:lang w:val="fr-FR"/>
              </w:rPr>
              <w:t>23</w:t>
            </w:r>
          </w:p>
          <w:p w:rsidR="007A36AC" w:rsidRDefault="00FE7ACF">
            <w:pPr>
              <w:jc w:val="left"/>
              <w:rPr>
                <w:noProof/>
                <w:lang w:val="fr-FR"/>
              </w:rPr>
            </w:pPr>
            <w:r>
              <w:rPr>
                <w:noProof/>
                <w:lang w:val="fr-FR"/>
              </w:rPr>
              <w:t>25</w:t>
            </w:r>
          </w:p>
        </w:tc>
        <w:tc>
          <w:tcPr>
            <w:tcW w:w="1951" w:type="dxa"/>
          </w:tcPr>
          <w:p w:rsidR="007A36AC" w:rsidRDefault="00FE7ACF">
            <w:pPr>
              <w:jc w:val="left"/>
              <w:rPr>
                <w:noProof/>
                <w:lang w:val="fr-FR"/>
              </w:rPr>
            </w:pPr>
            <w:r>
              <w:rPr>
                <w:noProof/>
                <w:lang w:val="fr-FR"/>
              </w:rPr>
              <w:t>12</w:t>
            </w:r>
          </w:p>
          <w:p w:rsidR="007A36AC" w:rsidRDefault="00FE7ACF">
            <w:pPr>
              <w:jc w:val="left"/>
              <w:rPr>
                <w:noProof/>
                <w:lang w:val="fr-FR"/>
              </w:rPr>
            </w:pPr>
            <w:r>
              <w:rPr>
                <w:noProof/>
                <w:lang w:val="fr-FR"/>
              </w:rPr>
              <w:t>14</w:t>
            </w:r>
          </w:p>
          <w:p w:rsidR="007A36AC" w:rsidRDefault="00FE7ACF">
            <w:pPr>
              <w:jc w:val="left"/>
              <w:rPr>
                <w:noProof/>
                <w:lang w:val="fr-FR"/>
              </w:rPr>
            </w:pPr>
            <w:r>
              <w:rPr>
                <w:noProof/>
                <w:lang w:val="fr-FR"/>
              </w:rPr>
              <w:t>16</w:t>
            </w:r>
          </w:p>
          <w:p w:rsidR="007A36AC" w:rsidRDefault="00FE7ACF">
            <w:pPr>
              <w:jc w:val="left"/>
              <w:rPr>
                <w:noProof/>
                <w:lang w:val="fr-FR"/>
              </w:rPr>
            </w:pPr>
            <w:r>
              <w:rPr>
                <w:noProof/>
                <w:lang w:val="fr-FR"/>
              </w:rPr>
              <w:t>18</w:t>
            </w:r>
          </w:p>
          <w:p w:rsidR="007A36AC" w:rsidRDefault="00FE7ACF">
            <w:pPr>
              <w:jc w:val="left"/>
              <w:rPr>
                <w:noProof/>
                <w:lang w:val="fr-FR"/>
              </w:rPr>
            </w:pPr>
            <w:r>
              <w:rPr>
                <w:noProof/>
                <w:lang w:val="fr-FR"/>
              </w:rPr>
              <w:t>20</w:t>
            </w:r>
          </w:p>
          <w:p w:rsidR="007A36AC" w:rsidRDefault="00FE7ACF">
            <w:pPr>
              <w:jc w:val="left"/>
              <w:rPr>
                <w:noProof/>
                <w:lang w:val="fr-FR"/>
              </w:rPr>
            </w:pPr>
            <w:r>
              <w:rPr>
                <w:noProof/>
                <w:lang w:val="fr-FR"/>
              </w:rPr>
              <w:t>22</w:t>
            </w:r>
          </w:p>
          <w:p w:rsidR="007A36AC" w:rsidRDefault="00FE7ACF">
            <w:pPr>
              <w:jc w:val="left"/>
              <w:rPr>
                <w:noProof/>
                <w:lang w:val="fr-FR"/>
              </w:rPr>
            </w:pPr>
            <w:r>
              <w:rPr>
                <w:noProof/>
                <w:lang w:val="fr-FR"/>
              </w:rPr>
              <w:t>23</w:t>
            </w:r>
          </w:p>
          <w:p w:rsidR="007A36AC" w:rsidRDefault="00FE7ACF">
            <w:pPr>
              <w:jc w:val="left"/>
              <w:rPr>
                <w:noProof/>
                <w:lang w:val="fr-FR"/>
              </w:rPr>
            </w:pPr>
            <w:r>
              <w:rPr>
                <w:noProof/>
                <w:lang w:val="fr-FR"/>
              </w:rPr>
              <w:t>25</w:t>
            </w:r>
          </w:p>
          <w:p w:rsidR="007A36AC" w:rsidRDefault="00FE7ACF">
            <w:pPr>
              <w:jc w:val="left"/>
              <w:rPr>
                <w:noProof/>
                <w:lang w:val="fr-FR"/>
              </w:rPr>
            </w:pPr>
            <w:r>
              <w:rPr>
                <w:noProof/>
                <w:lang w:val="fr-FR"/>
              </w:rPr>
              <w:t>28</w:t>
            </w:r>
          </w:p>
        </w:tc>
        <w:tc>
          <w:tcPr>
            <w:tcW w:w="1671" w:type="dxa"/>
            <w:gridSpan w:val="2"/>
          </w:tcPr>
          <w:p w:rsidR="007A36AC" w:rsidRDefault="00FE7ACF">
            <w:pPr>
              <w:jc w:val="left"/>
              <w:rPr>
                <w:noProof/>
                <w:lang w:val="fr-FR"/>
              </w:rPr>
            </w:pPr>
            <w:r>
              <w:rPr>
                <w:noProof/>
                <w:lang w:val="fr-FR"/>
              </w:rPr>
              <w:t>I</w:t>
            </w:r>
          </w:p>
        </w:tc>
      </w:tr>
      <w:tr w:rsidR="007A36AC">
        <w:trPr>
          <w:gridAfter w:val="1"/>
          <w:wAfter w:w="36" w:type="dxa"/>
        </w:trPr>
        <w:tc>
          <w:tcPr>
            <w:tcW w:w="7615" w:type="dxa"/>
            <w:gridSpan w:val="8"/>
          </w:tcPr>
          <w:p w:rsidR="007A36AC" w:rsidRDefault="00FE7ACF">
            <w:pPr>
              <w:jc w:val="left"/>
              <w:rPr>
                <w:noProof/>
                <w:lang w:val="fr-FR"/>
              </w:rPr>
            </w:pPr>
            <w:r>
              <w:rPr>
                <w:i/>
                <w:iCs/>
                <w:noProof/>
                <w:lang w:val="fr-FR"/>
              </w:rPr>
              <w:t>2 + 2 axles</w:t>
            </w:r>
          </w:p>
        </w:tc>
        <w:tc>
          <w:tcPr>
            <w:tcW w:w="1671" w:type="dxa"/>
            <w:gridSpan w:val="2"/>
          </w:tcPr>
          <w:p w:rsidR="007A36AC" w:rsidRDefault="007A36AC">
            <w:pPr>
              <w:jc w:val="left"/>
              <w:rPr>
                <w:noProof/>
                <w:lang w:val="fr-FR"/>
              </w:rPr>
            </w:pPr>
          </w:p>
        </w:tc>
      </w:tr>
      <w:tr w:rsidR="007A36AC">
        <w:trPr>
          <w:gridAfter w:val="1"/>
          <w:wAfter w:w="36" w:type="dxa"/>
        </w:trPr>
        <w:tc>
          <w:tcPr>
            <w:tcW w:w="1857" w:type="dxa"/>
            <w:gridSpan w:val="2"/>
          </w:tcPr>
          <w:p w:rsidR="007A36AC" w:rsidRDefault="00FE7ACF">
            <w:pPr>
              <w:jc w:val="left"/>
              <w:rPr>
                <w:noProof/>
                <w:lang w:val="fr-FR"/>
              </w:rPr>
            </w:pPr>
            <w:r>
              <w:rPr>
                <w:noProof/>
                <w:lang w:val="fr-FR"/>
              </w:rPr>
              <w:t>23</w:t>
            </w:r>
          </w:p>
          <w:p w:rsidR="007A36AC" w:rsidRDefault="00FE7ACF">
            <w:pPr>
              <w:jc w:val="left"/>
              <w:rPr>
                <w:noProof/>
                <w:lang w:val="fr-FR"/>
              </w:rPr>
            </w:pPr>
            <w:r>
              <w:rPr>
                <w:noProof/>
                <w:lang w:val="fr-FR"/>
              </w:rPr>
              <w:t>25</w:t>
            </w:r>
          </w:p>
          <w:p w:rsidR="007A36AC" w:rsidRDefault="00FE7ACF">
            <w:pPr>
              <w:jc w:val="left"/>
              <w:rPr>
                <w:noProof/>
                <w:lang w:val="fr-FR"/>
              </w:rPr>
            </w:pPr>
            <w:r>
              <w:rPr>
                <w:noProof/>
                <w:lang w:val="fr-FR"/>
              </w:rPr>
              <w:t>26</w:t>
            </w:r>
          </w:p>
          <w:p w:rsidR="007A36AC" w:rsidRDefault="00FE7ACF">
            <w:pPr>
              <w:jc w:val="left"/>
              <w:rPr>
                <w:noProof/>
                <w:lang w:val="fr-FR"/>
              </w:rPr>
            </w:pPr>
            <w:r>
              <w:rPr>
                <w:noProof/>
                <w:lang w:val="fr-FR"/>
              </w:rPr>
              <w:t>28</w:t>
            </w:r>
          </w:p>
        </w:tc>
        <w:tc>
          <w:tcPr>
            <w:tcW w:w="1950" w:type="dxa"/>
            <w:gridSpan w:val="2"/>
          </w:tcPr>
          <w:p w:rsidR="007A36AC" w:rsidRDefault="00FE7ACF">
            <w:pPr>
              <w:jc w:val="left"/>
              <w:rPr>
                <w:noProof/>
                <w:lang w:val="fr-FR"/>
              </w:rPr>
            </w:pPr>
            <w:r>
              <w:rPr>
                <w:noProof/>
                <w:lang w:val="fr-FR"/>
              </w:rPr>
              <w:t>25</w:t>
            </w:r>
          </w:p>
          <w:p w:rsidR="007A36AC" w:rsidRDefault="00FE7ACF">
            <w:pPr>
              <w:jc w:val="left"/>
              <w:rPr>
                <w:noProof/>
                <w:lang w:val="fr-FR"/>
              </w:rPr>
            </w:pPr>
            <w:r>
              <w:rPr>
                <w:noProof/>
                <w:lang w:val="fr-FR"/>
              </w:rPr>
              <w:t>26</w:t>
            </w:r>
          </w:p>
          <w:p w:rsidR="007A36AC" w:rsidRDefault="00FE7ACF">
            <w:pPr>
              <w:jc w:val="left"/>
              <w:rPr>
                <w:noProof/>
                <w:lang w:val="fr-FR"/>
              </w:rPr>
            </w:pPr>
            <w:r>
              <w:rPr>
                <w:noProof/>
                <w:lang w:val="fr-FR"/>
              </w:rPr>
              <w:t>28</w:t>
            </w:r>
          </w:p>
          <w:p w:rsidR="007A36AC" w:rsidRDefault="00FE7ACF">
            <w:pPr>
              <w:jc w:val="left"/>
              <w:rPr>
                <w:noProof/>
                <w:lang w:val="fr-FR"/>
              </w:rPr>
            </w:pPr>
            <w:r>
              <w:rPr>
                <w:noProof/>
                <w:lang w:val="fr-FR"/>
              </w:rPr>
              <w:t>29</w:t>
            </w:r>
          </w:p>
        </w:tc>
        <w:tc>
          <w:tcPr>
            <w:tcW w:w="1857" w:type="dxa"/>
            <w:gridSpan w:val="3"/>
          </w:tcPr>
          <w:p w:rsidR="007A36AC" w:rsidRDefault="00FE7ACF">
            <w:pPr>
              <w:jc w:val="left"/>
              <w:rPr>
                <w:noProof/>
                <w:lang w:val="fr-FR"/>
              </w:rPr>
            </w:pPr>
            <w:r>
              <w:rPr>
                <w:noProof/>
                <w:lang w:val="fr-FR"/>
              </w:rPr>
              <w:t>23</w:t>
            </w:r>
          </w:p>
          <w:p w:rsidR="007A36AC" w:rsidRDefault="00FE7ACF">
            <w:pPr>
              <w:jc w:val="left"/>
              <w:rPr>
                <w:noProof/>
                <w:lang w:val="fr-FR"/>
              </w:rPr>
            </w:pPr>
            <w:r>
              <w:rPr>
                <w:noProof/>
                <w:lang w:val="fr-FR"/>
              </w:rPr>
              <w:t>25</w:t>
            </w:r>
          </w:p>
          <w:p w:rsidR="007A36AC" w:rsidRDefault="00FE7ACF">
            <w:pPr>
              <w:jc w:val="left"/>
              <w:rPr>
                <w:noProof/>
                <w:lang w:val="fr-FR"/>
              </w:rPr>
            </w:pPr>
            <w:r>
              <w:rPr>
                <w:noProof/>
                <w:lang w:val="fr-FR"/>
              </w:rPr>
              <w:t>26</w:t>
            </w:r>
          </w:p>
          <w:p w:rsidR="007A36AC" w:rsidRDefault="00FE7ACF">
            <w:pPr>
              <w:jc w:val="left"/>
              <w:rPr>
                <w:noProof/>
                <w:lang w:val="fr-FR"/>
              </w:rPr>
            </w:pPr>
            <w:r>
              <w:rPr>
                <w:noProof/>
                <w:lang w:val="fr-FR"/>
              </w:rPr>
              <w:t>28</w:t>
            </w:r>
          </w:p>
        </w:tc>
        <w:tc>
          <w:tcPr>
            <w:tcW w:w="1951" w:type="dxa"/>
          </w:tcPr>
          <w:p w:rsidR="007A36AC" w:rsidRDefault="00FE7ACF">
            <w:pPr>
              <w:jc w:val="left"/>
              <w:rPr>
                <w:noProof/>
                <w:lang w:val="fr-FR"/>
              </w:rPr>
            </w:pPr>
            <w:r>
              <w:rPr>
                <w:noProof/>
                <w:lang w:val="fr-FR"/>
              </w:rPr>
              <w:t>25</w:t>
            </w:r>
          </w:p>
          <w:p w:rsidR="007A36AC" w:rsidRDefault="00FE7ACF">
            <w:pPr>
              <w:jc w:val="left"/>
              <w:rPr>
                <w:noProof/>
                <w:lang w:val="fr-FR"/>
              </w:rPr>
            </w:pPr>
            <w:r>
              <w:rPr>
                <w:noProof/>
                <w:lang w:val="fr-FR"/>
              </w:rPr>
              <w:t>26</w:t>
            </w:r>
          </w:p>
          <w:p w:rsidR="007A36AC" w:rsidRDefault="00FE7ACF">
            <w:pPr>
              <w:jc w:val="left"/>
              <w:rPr>
                <w:noProof/>
                <w:lang w:val="fr-FR"/>
              </w:rPr>
            </w:pPr>
            <w:r>
              <w:rPr>
                <w:noProof/>
                <w:lang w:val="fr-FR"/>
              </w:rPr>
              <w:t>28</w:t>
            </w:r>
          </w:p>
          <w:p w:rsidR="007A36AC" w:rsidRDefault="00FE7ACF">
            <w:pPr>
              <w:jc w:val="left"/>
              <w:rPr>
                <w:noProof/>
                <w:lang w:val="fr-FR"/>
              </w:rPr>
            </w:pPr>
            <w:r>
              <w:rPr>
                <w:noProof/>
                <w:lang w:val="fr-FR"/>
              </w:rPr>
              <w:t>29</w:t>
            </w:r>
          </w:p>
        </w:tc>
        <w:tc>
          <w:tcPr>
            <w:tcW w:w="1671" w:type="dxa"/>
            <w:gridSpan w:val="2"/>
          </w:tcPr>
          <w:p w:rsidR="007A36AC" w:rsidRDefault="007A36AC">
            <w:pPr>
              <w:jc w:val="left"/>
              <w:rPr>
                <w:noProof/>
                <w:lang w:val="fr-FR"/>
              </w:rPr>
            </w:pPr>
          </w:p>
        </w:tc>
      </w:tr>
      <w:tr w:rsidR="007A36AC">
        <w:trPr>
          <w:gridAfter w:val="1"/>
          <w:wAfter w:w="36" w:type="dxa"/>
        </w:trPr>
        <w:tc>
          <w:tcPr>
            <w:tcW w:w="1857" w:type="dxa"/>
            <w:gridSpan w:val="2"/>
          </w:tcPr>
          <w:p w:rsidR="007A36AC" w:rsidRDefault="00FE7ACF">
            <w:pPr>
              <w:jc w:val="left"/>
              <w:rPr>
                <w:noProof/>
                <w:lang w:val="fr-FR"/>
              </w:rPr>
            </w:pPr>
            <w:r>
              <w:rPr>
                <w:noProof/>
                <w:lang w:val="fr-FR"/>
              </w:rPr>
              <w:t>29</w:t>
            </w:r>
          </w:p>
        </w:tc>
        <w:tc>
          <w:tcPr>
            <w:tcW w:w="1950" w:type="dxa"/>
            <w:gridSpan w:val="2"/>
          </w:tcPr>
          <w:p w:rsidR="007A36AC" w:rsidRDefault="00FE7ACF">
            <w:pPr>
              <w:jc w:val="left"/>
              <w:rPr>
                <w:noProof/>
                <w:lang w:val="fr-FR"/>
              </w:rPr>
            </w:pPr>
            <w:r>
              <w:rPr>
                <w:noProof/>
                <w:lang w:val="fr-FR"/>
              </w:rPr>
              <w:t>31</w:t>
            </w:r>
          </w:p>
        </w:tc>
        <w:tc>
          <w:tcPr>
            <w:tcW w:w="1857" w:type="dxa"/>
            <w:gridSpan w:val="3"/>
          </w:tcPr>
          <w:p w:rsidR="007A36AC" w:rsidRDefault="00FE7ACF">
            <w:pPr>
              <w:jc w:val="left"/>
              <w:rPr>
                <w:noProof/>
                <w:lang w:val="fr-FR"/>
              </w:rPr>
            </w:pPr>
            <w:r>
              <w:rPr>
                <w:noProof/>
                <w:lang w:val="fr-FR"/>
              </w:rPr>
              <w:t>29</w:t>
            </w:r>
          </w:p>
        </w:tc>
        <w:tc>
          <w:tcPr>
            <w:tcW w:w="1951" w:type="dxa"/>
          </w:tcPr>
          <w:p w:rsidR="007A36AC" w:rsidRDefault="00FE7ACF">
            <w:pPr>
              <w:jc w:val="left"/>
              <w:rPr>
                <w:noProof/>
                <w:lang w:val="fr-FR"/>
              </w:rPr>
            </w:pPr>
            <w:r>
              <w:rPr>
                <w:noProof/>
                <w:lang w:val="fr-FR"/>
              </w:rPr>
              <w:t>31</w:t>
            </w:r>
          </w:p>
        </w:tc>
        <w:tc>
          <w:tcPr>
            <w:tcW w:w="1671" w:type="dxa"/>
            <w:gridSpan w:val="2"/>
          </w:tcPr>
          <w:p w:rsidR="007A36AC" w:rsidRDefault="00FE7ACF">
            <w:pPr>
              <w:jc w:val="left"/>
              <w:rPr>
                <w:noProof/>
                <w:lang w:val="fr-FR"/>
              </w:rPr>
            </w:pPr>
            <w:r>
              <w:rPr>
                <w:noProof/>
                <w:lang w:val="fr-FR"/>
              </w:rPr>
              <w:t>II</w:t>
            </w:r>
          </w:p>
        </w:tc>
      </w:tr>
      <w:tr w:rsidR="007A36AC">
        <w:trPr>
          <w:gridAfter w:val="1"/>
          <w:wAfter w:w="36" w:type="dxa"/>
        </w:trPr>
        <w:tc>
          <w:tcPr>
            <w:tcW w:w="1857" w:type="dxa"/>
            <w:gridSpan w:val="2"/>
          </w:tcPr>
          <w:p w:rsidR="007A36AC" w:rsidRDefault="00FE7ACF">
            <w:pPr>
              <w:jc w:val="left"/>
              <w:rPr>
                <w:noProof/>
                <w:lang w:val="fr-FR"/>
              </w:rPr>
            </w:pPr>
            <w:r>
              <w:rPr>
                <w:noProof/>
                <w:lang w:val="fr-FR"/>
              </w:rPr>
              <w:t>31</w:t>
            </w:r>
          </w:p>
        </w:tc>
        <w:tc>
          <w:tcPr>
            <w:tcW w:w="1950" w:type="dxa"/>
            <w:gridSpan w:val="2"/>
          </w:tcPr>
          <w:p w:rsidR="007A36AC" w:rsidRDefault="00FE7ACF">
            <w:pPr>
              <w:jc w:val="left"/>
              <w:rPr>
                <w:noProof/>
                <w:lang w:val="fr-FR"/>
              </w:rPr>
            </w:pPr>
            <w:r>
              <w:rPr>
                <w:noProof/>
                <w:lang w:val="fr-FR"/>
              </w:rPr>
              <w:t>33</w:t>
            </w:r>
          </w:p>
        </w:tc>
        <w:tc>
          <w:tcPr>
            <w:tcW w:w="1857" w:type="dxa"/>
            <w:gridSpan w:val="3"/>
          </w:tcPr>
          <w:p w:rsidR="007A36AC" w:rsidRDefault="00FE7ACF">
            <w:pPr>
              <w:jc w:val="left"/>
              <w:rPr>
                <w:noProof/>
                <w:lang w:val="fr-FR"/>
              </w:rPr>
            </w:pPr>
            <w:r>
              <w:rPr>
                <w:noProof/>
                <w:lang w:val="fr-FR"/>
              </w:rPr>
              <w:t>31</w:t>
            </w:r>
          </w:p>
        </w:tc>
        <w:tc>
          <w:tcPr>
            <w:tcW w:w="1951" w:type="dxa"/>
          </w:tcPr>
          <w:p w:rsidR="007A36AC" w:rsidRDefault="00FE7ACF">
            <w:pPr>
              <w:jc w:val="left"/>
              <w:rPr>
                <w:noProof/>
                <w:lang w:val="fr-FR"/>
              </w:rPr>
            </w:pPr>
            <w:r>
              <w:rPr>
                <w:noProof/>
                <w:lang w:val="fr-FR"/>
              </w:rPr>
              <w:t>33</w:t>
            </w:r>
          </w:p>
        </w:tc>
        <w:tc>
          <w:tcPr>
            <w:tcW w:w="1671" w:type="dxa"/>
            <w:gridSpan w:val="2"/>
          </w:tcPr>
          <w:p w:rsidR="007A36AC" w:rsidRDefault="007A36AC">
            <w:pPr>
              <w:jc w:val="left"/>
              <w:rPr>
                <w:noProof/>
                <w:lang w:val="fr-FR"/>
              </w:rPr>
            </w:pPr>
          </w:p>
        </w:tc>
      </w:tr>
      <w:tr w:rsidR="007A36AC">
        <w:trPr>
          <w:gridAfter w:val="1"/>
          <w:wAfter w:w="36" w:type="dxa"/>
        </w:trPr>
        <w:tc>
          <w:tcPr>
            <w:tcW w:w="1857" w:type="dxa"/>
            <w:gridSpan w:val="2"/>
          </w:tcPr>
          <w:p w:rsidR="007A36AC" w:rsidRDefault="00FE7ACF">
            <w:pPr>
              <w:jc w:val="left"/>
              <w:rPr>
                <w:noProof/>
                <w:lang w:val="fr-FR"/>
              </w:rPr>
            </w:pPr>
            <w:r>
              <w:rPr>
                <w:noProof/>
                <w:lang w:val="fr-FR"/>
              </w:rPr>
              <w:t>33</w:t>
            </w:r>
          </w:p>
          <w:p w:rsidR="007A36AC" w:rsidRDefault="00FE7ACF">
            <w:pPr>
              <w:jc w:val="left"/>
              <w:rPr>
                <w:noProof/>
                <w:lang w:val="fr-FR"/>
              </w:rPr>
            </w:pPr>
            <w:r>
              <w:rPr>
                <w:noProof/>
                <w:lang w:val="fr-FR"/>
              </w:rPr>
              <w:t>36</w:t>
            </w:r>
          </w:p>
        </w:tc>
        <w:tc>
          <w:tcPr>
            <w:tcW w:w="1950" w:type="dxa"/>
            <w:gridSpan w:val="2"/>
          </w:tcPr>
          <w:p w:rsidR="007A36AC" w:rsidRDefault="00FE7ACF">
            <w:pPr>
              <w:jc w:val="left"/>
              <w:rPr>
                <w:noProof/>
                <w:lang w:val="fr-FR"/>
              </w:rPr>
            </w:pPr>
            <w:r>
              <w:rPr>
                <w:noProof/>
                <w:lang w:val="fr-FR"/>
              </w:rPr>
              <w:t>36</w:t>
            </w:r>
          </w:p>
          <w:p w:rsidR="007A36AC" w:rsidRDefault="00FE7ACF">
            <w:pPr>
              <w:jc w:val="left"/>
              <w:rPr>
                <w:noProof/>
                <w:lang w:val="fr-FR"/>
              </w:rPr>
            </w:pPr>
            <w:r>
              <w:rPr>
                <w:noProof/>
                <w:lang w:val="fr-FR"/>
              </w:rPr>
              <w:t>38</w:t>
            </w:r>
          </w:p>
        </w:tc>
        <w:tc>
          <w:tcPr>
            <w:tcW w:w="1857" w:type="dxa"/>
            <w:gridSpan w:val="3"/>
          </w:tcPr>
          <w:p w:rsidR="007A36AC" w:rsidRDefault="00FE7ACF">
            <w:pPr>
              <w:jc w:val="left"/>
              <w:rPr>
                <w:noProof/>
                <w:lang w:val="fr-FR"/>
              </w:rPr>
            </w:pPr>
            <w:r>
              <w:rPr>
                <w:noProof/>
                <w:lang w:val="fr-FR"/>
              </w:rPr>
              <w:t>33</w:t>
            </w:r>
          </w:p>
        </w:tc>
        <w:tc>
          <w:tcPr>
            <w:tcW w:w="1951" w:type="dxa"/>
          </w:tcPr>
          <w:p w:rsidR="007A36AC" w:rsidRDefault="00FE7ACF">
            <w:pPr>
              <w:jc w:val="left"/>
              <w:rPr>
                <w:noProof/>
                <w:lang w:val="fr-FR"/>
              </w:rPr>
            </w:pPr>
            <w:r>
              <w:rPr>
                <w:noProof/>
                <w:lang w:val="fr-FR"/>
              </w:rPr>
              <w:t>36</w:t>
            </w:r>
          </w:p>
        </w:tc>
        <w:tc>
          <w:tcPr>
            <w:tcW w:w="1671" w:type="dxa"/>
            <w:gridSpan w:val="2"/>
          </w:tcPr>
          <w:p w:rsidR="007A36AC" w:rsidRDefault="00FE7ACF">
            <w:pPr>
              <w:jc w:val="left"/>
              <w:rPr>
                <w:noProof/>
                <w:lang w:val="fr-FR"/>
              </w:rPr>
            </w:pPr>
            <w:r>
              <w:rPr>
                <w:noProof/>
                <w:lang w:val="fr-FR"/>
              </w:rPr>
              <w:t>III</w:t>
            </w:r>
          </w:p>
        </w:tc>
      </w:tr>
      <w:tr w:rsidR="007A36AC">
        <w:trPr>
          <w:gridAfter w:val="1"/>
          <w:wAfter w:w="36" w:type="dxa"/>
        </w:trPr>
        <w:tc>
          <w:tcPr>
            <w:tcW w:w="7615" w:type="dxa"/>
            <w:gridSpan w:val="8"/>
          </w:tcPr>
          <w:p w:rsidR="007A36AC" w:rsidRDefault="00FE7ACF">
            <w:pPr>
              <w:jc w:val="left"/>
              <w:rPr>
                <w:noProof/>
                <w:lang w:val="fr-FR"/>
              </w:rPr>
            </w:pPr>
            <w:r>
              <w:rPr>
                <w:i/>
                <w:iCs/>
                <w:noProof/>
                <w:lang w:val="fr-FR"/>
              </w:rPr>
              <w:t>2 + 3 axles</w:t>
            </w:r>
          </w:p>
        </w:tc>
        <w:tc>
          <w:tcPr>
            <w:tcW w:w="1671" w:type="dxa"/>
            <w:gridSpan w:val="2"/>
          </w:tcPr>
          <w:p w:rsidR="007A36AC" w:rsidRDefault="00FE7ACF">
            <w:pPr>
              <w:jc w:val="left"/>
              <w:rPr>
                <w:noProof/>
                <w:lang w:val="fr-FR"/>
              </w:rPr>
            </w:pPr>
            <w:r>
              <w:rPr>
                <w:noProof/>
                <w:lang w:val="fr-FR"/>
              </w:rPr>
              <w:t>II</w:t>
            </w:r>
          </w:p>
        </w:tc>
      </w:tr>
      <w:tr w:rsidR="007A36AC">
        <w:trPr>
          <w:gridAfter w:val="1"/>
          <w:wAfter w:w="36" w:type="dxa"/>
        </w:trPr>
        <w:tc>
          <w:tcPr>
            <w:tcW w:w="1857" w:type="dxa"/>
            <w:gridSpan w:val="2"/>
          </w:tcPr>
          <w:p w:rsidR="007A36AC" w:rsidRDefault="00FE7ACF">
            <w:pPr>
              <w:jc w:val="left"/>
              <w:rPr>
                <w:noProof/>
                <w:lang w:val="fr-FR"/>
              </w:rPr>
            </w:pPr>
            <w:r>
              <w:rPr>
                <w:noProof/>
                <w:lang w:val="fr-FR"/>
              </w:rPr>
              <w:t>36</w:t>
            </w:r>
          </w:p>
          <w:p w:rsidR="007A36AC" w:rsidRDefault="00FE7ACF">
            <w:pPr>
              <w:jc w:val="left"/>
              <w:rPr>
                <w:noProof/>
                <w:lang w:val="fr-FR"/>
              </w:rPr>
            </w:pPr>
            <w:r>
              <w:rPr>
                <w:noProof/>
                <w:lang w:val="fr-FR"/>
              </w:rPr>
              <w:t>38</w:t>
            </w:r>
          </w:p>
        </w:tc>
        <w:tc>
          <w:tcPr>
            <w:tcW w:w="1950" w:type="dxa"/>
            <w:gridSpan w:val="2"/>
          </w:tcPr>
          <w:p w:rsidR="007A36AC" w:rsidRDefault="00FE7ACF">
            <w:pPr>
              <w:jc w:val="left"/>
              <w:rPr>
                <w:noProof/>
                <w:lang w:val="fr-FR"/>
              </w:rPr>
            </w:pPr>
            <w:r>
              <w:rPr>
                <w:noProof/>
                <w:lang w:val="fr-FR"/>
              </w:rPr>
              <w:t>38</w:t>
            </w:r>
          </w:p>
          <w:p w:rsidR="007A36AC" w:rsidRDefault="00FE7ACF">
            <w:pPr>
              <w:jc w:val="left"/>
              <w:rPr>
                <w:noProof/>
                <w:lang w:val="fr-FR"/>
              </w:rPr>
            </w:pPr>
            <w:r>
              <w:rPr>
                <w:noProof/>
                <w:lang w:val="fr-FR"/>
              </w:rPr>
              <w:t>40</w:t>
            </w:r>
          </w:p>
        </w:tc>
        <w:tc>
          <w:tcPr>
            <w:tcW w:w="1857" w:type="dxa"/>
            <w:gridSpan w:val="3"/>
          </w:tcPr>
          <w:p w:rsidR="007A36AC" w:rsidRDefault="00FE7ACF">
            <w:pPr>
              <w:jc w:val="left"/>
              <w:rPr>
                <w:noProof/>
                <w:lang w:val="fr-FR"/>
              </w:rPr>
            </w:pPr>
            <w:r>
              <w:rPr>
                <w:noProof/>
                <w:lang w:val="fr-FR"/>
              </w:rPr>
              <w:t>36</w:t>
            </w:r>
          </w:p>
        </w:tc>
        <w:tc>
          <w:tcPr>
            <w:tcW w:w="1951" w:type="dxa"/>
          </w:tcPr>
          <w:p w:rsidR="007A36AC" w:rsidRDefault="00FE7ACF">
            <w:pPr>
              <w:jc w:val="left"/>
              <w:rPr>
                <w:noProof/>
                <w:lang w:val="fr-FR"/>
              </w:rPr>
            </w:pPr>
            <w:r>
              <w:rPr>
                <w:noProof/>
                <w:lang w:val="fr-FR"/>
              </w:rPr>
              <w:t>38</w:t>
            </w:r>
          </w:p>
        </w:tc>
        <w:tc>
          <w:tcPr>
            <w:tcW w:w="1671" w:type="dxa"/>
            <w:gridSpan w:val="2"/>
          </w:tcPr>
          <w:p w:rsidR="007A36AC" w:rsidRDefault="007A36AC">
            <w:pPr>
              <w:jc w:val="left"/>
              <w:rPr>
                <w:noProof/>
                <w:lang w:val="fr-FR"/>
              </w:rPr>
            </w:pPr>
          </w:p>
        </w:tc>
      </w:tr>
      <w:tr w:rsidR="007A36AC">
        <w:trPr>
          <w:gridAfter w:val="1"/>
          <w:wAfter w:w="36" w:type="dxa"/>
        </w:trPr>
        <w:tc>
          <w:tcPr>
            <w:tcW w:w="1857" w:type="dxa"/>
            <w:gridSpan w:val="2"/>
          </w:tcPr>
          <w:p w:rsidR="007A36AC" w:rsidRDefault="007A36AC">
            <w:pPr>
              <w:adjustRightInd w:val="0"/>
              <w:spacing w:before="0" w:after="0"/>
              <w:jc w:val="left"/>
              <w:rPr>
                <w:noProof/>
                <w:lang w:val="en-US"/>
              </w:rPr>
            </w:pPr>
          </w:p>
        </w:tc>
        <w:tc>
          <w:tcPr>
            <w:tcW w:w="1950" w:type="dxa"/>
            <w:gridSpan w:val="2"/>
          </w:tcPr>
          <w:p w:rsidR="007A36AC" w:rsidRDefault="007A36AC">
            <w:pPr>
              <w:adjustRightInd w:val="0"/>
              <w:spacing w:before="0" w:after="0"/>
              <w:jc w:val="left"/>
              <w:rPr>
                <w:noProof/>
                <w:lang w:val="en-US"/>
              </w:rPr>
            </w:pPr>
          </w:p>
        </w:tc>
        <w:tc>
          <w:tcPr>
            <w:tcW w:w="1857" w:type="dxa"/>
            <w:gridSpan w:val="3"/>
          </w:tcPr>
          <w:p w:rsidR="007A36AC" w:rsidRDefault="00FE7ACF">
            <w:pPr>
              <w:jc w:val="left"/>
              <w:rPr>
                <w:noProof/>
                <w:lang w:val="fr-FR"/>
              </w:rPr>
            </w:pPr>
            <w:r>
              <w:rPr>
                <w:noProof/>
                <w:lang w:val="fr-FR"/>
              </w:rPr>
              <w:t>38</w:t>
            </w:r>
          </w:p>
        </w:tc>
        <w:tc>
          <w:tcPr>
            <w:tcW w:w="1951" w:type="dxa"/>
          </w:tcPr>
          <w:p w:rsidR="007A36AC" w:rsidRDefault="00FE7ACF">
            <w:pPr>
              <w:jc w:val="left"/>
              <w:rPr>
                <w:noProof/>
                <w:lang w:val="fr-FR"/>
              </w:rPr>
            </w:pPr>
            <w:r>
              <w:rPr>
                <w:noProof/>
                <w:lang w:val="fr-FR"/>
              </w:rPr>
              <w:t>40</w:t>
            </w:r>
          </w:p>
        </w:tc>
        <w:tc>
          <w:tcPr>
            <w:tcW w:w="1671" w:type="dxa"/>
            <w:gridSpan w:val="2"/>
          </w:tcPr>
          <w:p w:rsidR="007A36AC" w:rsidRDefault="00FE7ACF">
            <w:pPr>
              <w:jc w:val="left"/>
              <w:rPr>
                <w:noProof/>
                <w:lang w:val="fr-FR"/>
              </w:rPr>
            </w:pPr>
            <w:r>
              <w:rPr>
                <w:noProof/>
                <w:lang w:val="fr-FR"/>
              </w:rPr>
              <w:t>III</w:t>
            </w:r>
          </w:p>
        </w:tc>
      </w:tr>
      <w:tr w:rsidR="007A36AC">
        <w:trPr>
          <w:gridAfter w:val="1"/>
          <w:wAfter w:w="36" w:type="dxa"/>
        </w:trPr>
        <w:tc>
          <w:tcPr>
            <w:tcW w:w="7615" w:type="dxa"/>
            <w:gridSpan w:val="8"/>
          </w:tcPr>
          <w:p w:rsidR="007A36AC" w:rsidRDefault="00FE7ACF">
            <w:pPr>
              <w:jc w:val="left"/>
              <w:rPr>
                <w:noProof/>
                <w:lang w:val="fr-FR"/>
              </w:rPr>
            </w:pPr>
            <w:r>
              <w:rPr>
                <w:i/>
                <w:iCs/>
                <w:noProof/>
                <w:lang w:val="fr-FR"/>
              </w:rPr>
              <w:t>3 + 2 axles</w:t>
            </w:r>
          </w:p>
        </w:tc>
        <w:tc>
          <w:tcPr>
            <w:tcW w:w="1671" w:type="dxa"/>
            <w:gridSpan w:val="2"/>
          </w:tcPr>
          <w:p w:rsidR="007A36AC" w:rsidRDefault="00FE7ACF">
            <w:pPr>
              <w:jc w:val="left"/>
              <w:rPr>
                <w:noProof/>
                <w:lang w:val="fr-FR"/>
              </w:rPr>
            </w:pPr>
            <w:r>
              <w:rPr>
                <w:noProof/>
                <w:lang w:val="fr-FR"/>
              </w:rPr>
              <w:t>II</w:t>
            </w:r>
          </w:p>
        </w:tc>
      </w:tr>
      <w:tr w:rsidR="007A36AC">
        <w:trPr>
          <w:gridAfter w:val="1"/>
          <w:wAfter w:w="36" w:type="dxa"/>
        </w:trPr>
        <w:tc>
          <w:tcPr>
            <w:tcW w:w="1857" w:type="dxa"/>
            <w:gridSpan w:val="2"/>
          </w:tcPr>
          <w:p w:rsidR="007A36AC" w:rsidRDefault="00FE7ACF">
            <w:pPr>
              <w:jc w:val="left"/>
              <w:rPr>
                <w:noProof/>
                <w:lang w:val="fr-FR"/>
              </w:rPr>
            </w:pPr>
            <w:r>
              <w:rPr>
                <w:noProof/>
                <w:lang w:val="fr-FR"/>
              </w:rPr>
              <w:t>36</w:t>
            </w:r>
          </w:p>
          <w:p w:rsidR="007A36AC" w:rsidRDefault="00FE7ACF">
            <w:pPr>
              <w:jc w:val="left"/>
              <w:rPr>
                <w:noProof/>
                <w:lang w:val="fr-FR"/>
              </w:rPr>
            </w:pPr>
            <w:r>
              <w:rPr>
                <w:noProof/>
                <w:lang w:val="fr-FR"/>
              </w:rPr>
              <w:t>38</w:t>
            </w:r>
          </w:p>
        </w:tc>
        <w:tc>
          <w:tcPr>
            <w:tcW w:w="1950" w:type="dxa"/>
            <w:gridSpan w:val="2"/>
          </w:tcPr>
          <w:p w:rsidR="007A36AC" w:rsidRDefault="00FE7ACF">
            <w:pPr>
              <w:jc w:val="left"/>
              <w:rPr>
                <w:noProof/>
                <w:lang w:val="fr-FR"/>
              </w:rPr>
            </w:pPr>
            <w:r>
              <w:rPr>
                <w:noProof/>
                <w:lang w:val="fr-FR"/>
              </w:rPr>
              <w:t>38</w:t>
            </w:r>
          </w:p>
          <w:p w:rsidR="007A36AC" w:rsidRDefault="00FE7ACF">
            <w:pPr>
              <w:jc w:val="left"/>
              <w:rPr>
                <w:noProof/>
                <w:lang w:val="fr-FR"/>
              </w:rPr>
            </w:pPr>
            <w:r>
              <w:rPr>
                <w:noProof/>
                <w:lang w:val="fr-FR"/>
              </w:rPr>
              <w:t>40</w:t>
            </w:r>
          </w:p>
        </w:tc>
        <w:tc>
          <w:tcPr>
            <w:tcW w:w="1857" w:type="dxa"/>
            <w:gridSpan w:val="3"/>
          </w:tcPr>
          <w:p w:rsidR="007A36AC" w:rsidRDefault="00FE7ACF">
            <w:pPr>
              <w:jc w:val="left"/>
              <w:rPr>
                <w:noProof/>
                <w:lang w:val="fr-FR"/>
              </w:rPr>
            </w:pPr>
            <w:r>
              <w:rPr>
                <w:noProof/>
                <w:lang w:val="fr-FR"/>
              </w:rPr>
              <w:t>36</w:t>
            </w:r>
          </w:p>
        </w:tc>
        <w:tc>
          <w:tcPr>
            <w:tcW w:w="1951" w:type="dxa"/>
          </w:tcPr>
          <w:p w:rsidR="007A36AC" w:rsidRDefault="00FE7ACF">
            <w:pPr>
              <w:jc w:val="left"/>
              <w:rPr>
                <w:noProof/>
                <w:lang w:val="fr-FR"/>
              </w:rPr>
            </w:pPr>
            <w:r>
              <w:rPr>
                <w:noProof/>
                <w:lang w:val="fr-FR"/>
              </w:rPr>
              <w:t>38</w:t>
            </w:r>
          </w:p>
        </w:tc>
        <w:tc>
          <w:tcPr>
            <w:tcW w:w="1671" w:type="dxa"/>
            <w:gridSpan w:val="2"/>
          </w:tcPr>
          <w:p w:rsidR="007A36AC" w:rsidRDefault="007A36AC">
            <w:pPr>
              <w:jc w:val="left"/>
              <w:rPr>
                <w:noProof/>
                <w:lang w:val="fr-FR"/>
              </w:rPr>
            </w:pPr>
          </w:p>
        </w:tc>
      </w:tr>
      <w:tr w:rsidR="007A36AC">
        <w:trPr>
          <w:gridAfter w:val="1"/>
          <w:wAfter w:w="36" w:type="dxa"/>
        </w:trPr>
        <w:tc>
          <w:tcPr>
            <w:tcW w:w="1857" w:type="dxa"/>
            <w:gridSpan w:val="2"/>
          </w:tcPr>
          <w:p w:rsidR="007A36AC" w:rsidRDefault="007A36AC">
            <w:pPr>
              <w:adjustRightInd w:val="0"/>
              <w:spacing w:before="0" w:after="0"/>
              <w:jc w:val="left"/>
              <w:rPr>
                <w:noProof/>
                <w:lang w:val="en-US"/>
              </w:rPr>
            </w:pPr>
          </w:p>
        </w:tc>
        <w:tc>
          <w:tcPr>
            <w:tcW w:w="1950" w:type="dxa"/>
            <w:gridSpan w:val="2"/>
          </w:tcPr>
          <w:p w:rsidR="007A36AC" w:rsidRDefault="007A36AC">
            <w:pPr>
              <w:adjustRightInd w:val="0"/>
              <w:spacing w:before="0" w:after="0"/>
              <w:jc w:val="left"/>
              <w:rPr>
                <w:noProof/>
                <w:lang w:val="en-US"/>
              </w:rPr>
            </w:pPr>
          </w:p>
        </w:tc>
        <w:tc>
          <w:tcPr>
            <w:tcW w:w="1857" w:type="dxa"/>
            <w:gridSpan w:val="3"/>
          </w:tcPr>
          <w:p w:rsidR="007A36AC" w:rsidRDefault="00FE7ACF">
            <w:pPr>
              <w:jc w:val="left"/>
              <w:rPr>
                <w:noProof/>
                <w:lang w:val="fr-FR"/>
              </w:rPr>
            </w:pPr>
            <w:r>
              <w:rPr>
                <w:noProof/>
                <w:lang w:val="fr-FR"/>
              </w:rPr>
              <w:t>38</w:t>
            </w:r>
          </w:p>
          <w:p w:rsidR="007A36AC" w:rsidRDefault="00FE7ACF">
            <w:pPr>
              <w:jc w:val="left"/>
              <w:rPr>
                <w:noProof/>
                <w:lang w:val="fr-FR"/>
              </w:rPr>
            </w:pPr>
            <w:r>
              <w:rPr>
                <w:noProof/>
                <w:lang w:val="fr-FR"/>
              </w:rPr>
              <w:t>40</w:t>
            </w:r>
          </w:p>
        </w:tc>
        <w:tc>
          <w:tcPr>
            <w:tcW w:w="1951" w:type="dxa"/>
          </w:tcPr>
          <w:p w:rsidR="007A36AC" w:rsidRDefault="00FE7ACF">
            <w:pPr>
              <w:jc w:val="left"/>
              <w:rPr>
                <w:noProof/>
                <w:lang w:val="fr-FR"/>
              </w:rPr>
            </w:pPr>
            <w:r>
              <w:rPr>
                <w:noProof/>
                <w:lang w:val="fr-FR"/>
              </w:rPr>
              <w:t>40</w:t>
            </w:r>
          </w:p>
          <w:p w:rsidR="007A36AC" w:rsidRDefault="00FE7ACF">
            <w:pPr>
              <w:jc w:val="left"/>
              <w:rPr>
                <w:noProof/>
                <w:lang w:val="fr-FR"/>
              </w:rPr>
            </w:pPr>
            <w:r>
              <w:rPr>
                <w:noProof/>
                <w:lang w:val="fr-FR"/>
              </w:rPr>
              <w:t>44</w:t>
            </w:r>
          </w:p>
        </w:tc>
        <w:tc>
          <w:tcPr>
            <w:tcW w:w="1671" w:type="dxa"/>
            <w:gridSpan w:val="2"/>
          </w:tcPr>
          <w:p w:rsidR="007A36AC" w:rsidRDefault="00FE7ACF">
            <w:pPr>
              <w:jc w:val="left"/>
              <w:rPr>
                <w:noProof/>
                <w:lang w:val="fr-FR"/>
              </w:rPr>
            </w:pPr>
            <w:r>
              <w:rPr>
                <w:noProof/>
                <w:lang w:val="fr-FR"/>
              </w:rPr>
              <w:t>III</w:t>
            </w:r>
          </w:p>
        </w:tc>
      </w:tr>
      <w:tr w:rsidR="007A36AC">
        <w:trPr>
          <w:gridAfter w:val="1"/>
          <w:wAfter w:w="36" w:type="dxa"/>
        </w:trPr>
        <w:tc>
          <w:tcPr>
            <w:tcW w:w="1857" w:type="dxa"/>
            <w:gridSpan w:val="2"/>
          </w:tcPr>
          <w:p w:rsidR="007A36AC" w:rsidRDefault="00FE7ACF">
            <w:pPr>
              <w:jc w:val="left"/>
              <w:rPr>
                <w:noProof/>
                <w:lang w:val="fr-FR"/>
              </w:rPr>
            </w:pPr>
            <w:r>
              <w:rPr>
                <w:noProof/>
                <w:lang w:val="fr-FR"/>
              </w:rPr>
              <w:t>40</w:t>
            </w:r>
          </w:p>
        </w:tc>
        <w:tc>
          <w:tcPr>
            <w:tcW w:w="1950" w:type="dxa"/>
            <w:gridSpan w:val="2"/>
          </w:tcPr>
          <w:p w:rsidR="007A36AC" w:rsidRDefault="00FE7ACF">
            <w:pPr>
              <w:jc w:val="left"/>
              <w:rPr>
                <w:noProof/>
                <w:lang w:val="fr-FR"/>
              </w:rPr>
            </w:pPr>
            <w:r>
              <w:rPr>
                <w:noProof/>
                <w:lang w:val="fr-FR"/>
              </w:rPr>
              <w:t>44</w:t>
            </w:r>
          </w:p>
        </w:tc>
        <w:tc>
          <w:tcPr>
            <w:tcW w:w="1857" w:type="dxa"/>
            <w:gridSpan w:val="3"/>
          </w:tcPr>
          <w:p w:rsidR="007A36AC" w:rsidRDefault="007A36AC">
            <w:pPr>
              <w:jc w:val="left"/>
              <w:rPr>
                <w:noProof/>
                <w:lang w:val="fr-FR"/>
              </w:rPr>
            </w:pPr>
          </w:p>
        </w:tc>
        <w:tc>
          <w:tcPr>
            <w:tcW w:w="1951" w:type="dxa"/>
          </w:tcPr>
          <w:p w:rsidR="007A36AC" w:rsidRDefault="007A36AC">
            <w:pPr>
              <w:jc w:val="left"/>
              <w:rPr>
                <w:noProof/>
                <w:lang w:val="fr-FR"/>
              </w:rPr>
            </w:pPr>
          </w:p>
        </w:tc>
        <w:tc>
          <w:tcPr>
            <w:tcW w:w="1671" w:type="dxa"/>
            <w:gridSpan w:val="2"/>
          </w:tcPr>
          <w:p w:rsidR="007A36AC" w:rsidRDefault="007A36AC">
            <w:pPr>
              <w:jc w:val="left"/>
              <w:rPr>
                <w:noProof/>
                <w:lang w:val="fr-FR"/>
              </w:rPr>
            </w:pPr>
          </w:p>
        </w:tc>
      </w:tr>
      <w:tr w:rsidR="007A36AC">
        <w:trPr>
          <w:gridAfter w:val="1"/>
          <w:wAfter w:w="36" w:type="dxa"/>
        </w:trPr>
        <w:tc>
          <w:tcPr>
            <w:tcW w:w="7615" w:type="dxa"/>
            <w:gridSpan w:val="8"/>
          </w:tcPr>
          <w:p w:rsidR="007A36AC" w:rsidRDefault="00FE7ACF">
            <w:pPr>
              <w:jc w:val="left"/>
              <w:rPr>
                <w:noProof/>
                <w:lang w:val="fr-FR"/>
              </w:rPr>
            </w:pPr>
            <w:r>
              <w:rPr>
                <w:i/>
                <w:iCs/>
                <w:noProof/>
                <w:lang w:val="fr-FR"/>
              </w:rPr>
              <w:t>3 + 3 axles</w:t>
            </w:r>
          </w:p>
        </w:tc>
        <w:tc>
          <w:tcPr>
            <w:tcW w:w="1671" w:type="dxa"/>
            <w:gridSpan w:val="2"/>
          </w:tcPr>
          <w:p w:rsidR="007A36AC" w:rsidRDefault="007A36AC">
            <w:pPr>
              <w:jc w:val="left"/>
              <w:rPr>
                <w:noProof/>
                <w:lang w:val="fr-FR"/>
              </w:rPr>
            </w:pPr>
          </w:p>
        </w:tc>
      </w:tr>
      <w:tr w:rsidR="007A36AC">
        <w:trPr>
          <w:gridAfter w:val="1"/>
          <w:wAfter w:w="36" w:type="dxa"/>
        </w:trPr>
        <w:tc>
          <w:tcPr>
            <w:tcW w:w="1857" w:type="dxa"/>
            <w:gridSpan w:val="2"/>
          </w:tcPr>
          <w:p w:rsidR="007A36AC" w:rsidRDefault="00FE7ACF">
            <w:pPr>
              <w:jc w:val="left"/>
              <w:rPr>
                <w:noProof/>
                <w:lang w:val="fr-FR"/>
              </w:rPr>
            </w:pPr>
            <w:r>
              <w:rPr>
                <w:noProof/>
                <w:lang w:val="fr-FR"/>
              </w:rPr>
              <w:t>36</w:t>
            </w:r>
          </w:p>
          <w:p w:rsidR="007A36AC" w:rsidRDefault="00FE7ACF">
            <w:pPr>
              <w:jc w:val="left"/>
              <w:rPr>
                <w:noProof/>
                <w:lang w:val="fr-FR"/>
              </w:rPr>
            </w:pPr>
            <w:r>
              <w:rPr>
                <w:noProof/>
                <w:lang w:val="fr-FR"/>
              </w:rPr>
              <w:t>38</w:t>
            </w:r>
          </w:p>
        </w:tc>
        <w:tc>
          <w:tcPr>
            <w:tcW w:w="1950" w:type="dxa"/>
            <w:gridSpan w:val="2"/>
          </w:tcPr>
          <w:p w:rsidR="007A36AC" w:rsidRDefault="00FE7ACF">
            <w:pPr>
              <w:jc w:val="left"/>
              <w:rPr>
                <w:noProof/>
                <w:lang w:val="fr-FR"/>
              </w:rPr>
            </w:pPr>
            <w:r>
              <w:rPr>
                <w:noProof/>
                <w:lang w:val="fr-FR"/>
              </w:rPr>
              <w:t>38</w:t>
            </w:r>
          </w:p>
          <w:p w:rsidR="007A36AC" w:rsidRDefault="00FE7ACF">
            <w:pPr>
              <w:jc w:val="left"/>
              <w:rPr>
                <w:noProof/>
                <w:lang w:val="fr-FR"/>
              </w:rPr>
            </w:pPr>
            <w:r>
              <w:rPr>
                <w:noProof/>
                <w:lang w:val="fr-FR"/>
              </w:rPr>
              <w:t>40</w:t>
            </w:r>
          </w:p>
        </w:tc>
        <w:tc>
          <w:tcPr>
            <w:tcW w:w="1857" w:type="dxa"/>
            <w:gridSpan w:val="3"/>
          </w:tcPr>
          <w:p w:rsidR="007A36AC" w:rsidRDefault="00FE7ACF">
            <w:pPr>
              <w:jc w:val="left"/>
              <w:rPr>
                <w:noProof/>
                <w:lang w:val="fr-FR"/>
              </w:rPr>
            </w:pPr>
            <w:r>
              <w:rPr>
                <w:noProof/>
                <w:lang w:val="fr-FR"/>
              </w:rPr>
              <w:t>36</w:t>
            </w:r>
          </w:p>
        </w:tc>
        <w:tc>
          <w:tcPr>
            <w:tcW w:w="1951" w:type="dxa"/>
          </w:tcPr>
          <w:p w:rsidR="007A36AC" w:rsidRDefault="00FE7ACF">
            <w:pPr>
              <w:jc w:val="left"/>
              <w:rPr>
                <w:noProof/>
                <w:lang w:val="fr-FR"/>
              </w:rPr>
            </w:pPr>
            <w:r>
              <w:rPr>
                <w:noProof/>
                <w:lang w:val="fr-FR"/>
              </w:rPr>
              <w:t>38</w:t>
            </w:r>
          </w:p>
        </w:tc>
        <w:tc>
          <w:tcPr>
            <w:tcW w:w="1671" w:type="dxa"/>
            <w:gridSpan w:val="2"/>
          </w:tcPr>
          <w:p w:rsidR="007A36AC" w:rsidRDefault="00FE7ACF">
            <w:pPr>
              <w:jc w:val="left"/>
              <w:rPr>
                <w:noProof/>
                <w:lang w:val="fr-FR"/>
              </w:rPr>
            </w:pPr>
            <w:r>
              <w:rPr>
                <w:noProof/>
                <w:lang w:val="fr-FR"/>
              </w:rPr>
              <w:t>I</w:t>
            </w:r>
          </w:p>
        </w:tc>
      </w:tr>
      <w:tr w:rsidR="007A36AC">
        <w:trPr>
          <w:gridAfter w:val="1"/>
          <w:wAfter w:w="36" w:type="dxa"/>
        </w:trPr>
        <w:tc>
          <w:tcPr>
            <w:tcW w:w="1857" w:type="dxa"/>
            <w:gridSpan w:val="2"/>
          </w:tcPr>
          <w:p w:rsidR="007A36AC" w:rsidRDefault="007A36AC">
            <w:pPr>
              <w:adjustRightInd w:val="0"/>
              <w:spacing w:before="0" w:after="0"/>
              <w:jc w:val="left"/>
              <w:rPr>
                <w:noProof/>
                <w:lang w:val="en-US"/>
              </w:rPr>
            </w:pPr>
          </w:p>
        </w:tc>
        <w:tc>
          <w:tcPr>
            <w:tcW w:w="1950" w:type="dxa"/>
            <w:gridSpan w:val="2"/>
          </w:tcPr>
          <w:p w:rsidR="007A36AC" w:rsidRDefault="007A36AC">
            <w:pPr>
              <w:adjustRightInd w:val="0"/>
              <w:spacing w:before="0" w:after="0"/>
              <w:jc w:val="left"/>
              <w:rPr>
                <w:noProof/>
                <w:lang w:val="en-US"/>
              </w:rPr>
            </w:pPr>
          </w:p>
        </w:tc>
        <w:tc>
          <w:tcPr>
            <w:tcW w:w="1857" w:type="dxa"/>
            <w:gridSpan w:val="3"/>
          </w:tcPr>
          <w:p w:rsidR="007A36AC" w:rsidRDefault="00FE7ACF">
            <w:pPr>
              <w:jc w:val="left"/>
              <w:rPr>
                <w:noProof/>
                <w:lang w:val="fr-FR"/>
              </w:rPr>
            </w:pPr>
            <w:r>
              <w:rPr>
                <w:noProof/>
                <w:lang w:val="fr-FR"/>
              </w:rPr>
              <w:t>38</w:t>
            </w:r>
          </w:p>
        </w:tc>
        <w:tc>
          <w:tcPr>
            <w:tcW w:w="1951" w:type="dxa"/>
          </w:tcPr>
          <w:p w:rsidR="007A36AC" w:rsidRDefault="00FE7ACF">
            <w:pPr>
              <w:jc w:val="left"/>
              <w:rPr>
                <w:noProof/>
                <w:lang w:val="fr-FR"/>
              </w:rPr>
            </w:pPr>
            <w:r>
              <w:rPr>
                <w:noProof/>
                <w:lang w:val="fr-FR"/>
              </w:rPr>
              <w:t>40</w:t>
            </w:r>
          </w:p>
        </w:tc>
        <w:tc>
          <w:tcPr>
            <w:tcW w:w="1671" w:type="dxa"/>
            <w:gridSpan w:val="2"/>
          </w:tcPr>
          <w:p w:rsidR="007A36AC" w:rsidRDefault="00FE7ACF">
            <w:pPr>
              <w:jc w:val="left"/>
              <w:rPr>
                <w:noProof/>
                <w:lang w:val="fr-FR"/>
              </w:rPr>
            </w:pPr>
            <w:r>
              <w:rPr>
                <w:noProof/>
                <w:lang w:val="fr-FR"/>
              </w:rPr>
              <w:t>II</w:t>
            </w:r>
          </w:p>
        </w:tc>
      </w:tr>
      <w:tr w:rsidR="007A36AC">
        <w:trPr>
          <w:gridAfter w:val="1"/>
          <w:wAfter w:w="36" w:type="dxa"/>
        </w:trPr>
        <w:tc>
          <w:tcPr>
            <w:tcW w:w="1857" w:type="dxa"/>
            <w:gridSpan w:val="2"/>
          </w:tcPr>
          <w:p w:rsidR="007A36AC" w:rsidRDefault="00FE7ACF">
            <w:pPr>
              <w:jc w:val="left"/>
              <w:rPr>
                <w:noProof/>
                <w:lang w:val="fr-FR"/>
              </w:rPr>
            </w:pPr>
            <w:r>
              <w:rPr>
                <w:noProof/>
                <w:lang w:val="fr-FR"/>
              </w:rPr>
              <w:t>40</w:t>
            </w:r>
          </w:p>
        </w:tc>
        <w:tc>
          <w:tcPr>
            <w:tcW w:w="1950" w:type="dxa"/>
            <w:gridSpan w:val="2"/>
          </w:tcPr>
          <w:p w:rsidR="007A36AC" w:rsidRDefault="00FE7ACF">
            <w:pPr>
              <w:jc w:val="left"/>
              <w:rPr>
                <w:noProof/>
                <w:lang w:val="fr-FR"/>
              </w:rPr>
            </w:pPr>
            <w:r>
              <w:rPr>
                <w:noProof/>
                <w:lang w:val="fr-FR"/>
              </w:rPr>
              <w:t>44</w:t>
            </w:r>
          </w:p>
        </w:tc>
        <w:tc>
          <w:tcPr>
            <w:tcW w:w="1857" w:type="dxa"/>
            <w:gridSpan w:val="3"/>
          </w:tcPr>
          <w:p w:rsidR="007A36AC" w:rsidRDefault="00FE7ACF">
            <w:pPr>
              <w:jc w:val="left"/>
              <w:rPr>
                <w:noProof/>
                <w:lang w:val="fr-FR"/>
              </w:rPr>
            </w:pPr>
            <w:r>
              <w:rPr>
                <w:noProof/>
                <w:lang w:val="fr-FR"/>
              </w:rPr>
              <w:t>40</w:t>
            </w:r>
          </w:p>
        </w:tc>
        <w:tc>
          <w:tcPr>
            <w:tcW w:w="1951" w:type="dxa"/>
          </w:tcPr>
          <w:p w:rsidR="007A36AC" w:rsidRDefault="00FE7ACF">
            <w:pPr>
              <w:jc w:val="left"/>
              <w:rPr>
                <w:noProof/>
                <w:lang w:val="fr-FR"/>
              </w:rPr>
            </w:pPr>
            <w:r>
              <w:rPr>
                <w:noProof/>
                <w:lang w:val="fr-FR"/>
              </w:rPr>
              <w:t>44</w:t>
            </w:r>
          </w:p>
        </w:tc>
        <w:tc>
          <w:tcPr>
            <w:tcW w:w="1671" w:type="dxa"/>
            <w:gridSpan w:val="2"/>
          </w:tcPr>
          <w:p w:rsidR="007A36AC" w:rsidRDefault="007A36AC">
            <w:pPr>
              <w:jc w:val="left"/>
              <w:rPr>
                <w:noProof/>
                <w:lang w:val="fr-FR"/>
              </w:rPr>
            </w:pPr>
          </w:p>
        </w:tc>
      </w:tr>
      <w:tr w:rsidR="007A36AC">
        <w:tblPrEx>
          <w:tblLook w:val="04A0" w:firstRow="1" w:lastRow="0" w:firstColumn="1" w:lastColumn="0" w:noHBand="0" w:noVBand="1"/>
        </w:tblPrEx>
        <w:tc>
          <w:tcPr>
            <w:tcW w:w="9322" w:type="dxa"/>
            <w:gridSpan w:val="11"/>
          </w:tcPr>
          <w:p w:rsidR="007A36AC" w:rsidRDefault="00FE7ACF">
            <w:pPr>
              <w:spacing w:before="100" w:beforeAutospacing="1" w:after="100" w:afterAutospacing="1"/>
              <w:rPr>
                <w:i/>
                <w:noProof/>
                <w:lang w:val="fr-FR"/>
              </w:rPr>
            </w:pPr>
            <w:r>
              <w:rPr>
                <w:i/>
                <w:noProof/>
                <w:lang w:val="fr-FR"/>
              </w:rPr>
              <w:t>7 axles</w:t>
            </w:r>
          </w:p>
        </w:tc>
      </w:tr>
      <w:tr w:rsidR="007A36AC">
        <w:tblPrEx>
          <w:tblLook w:val="04A0" w:firstRow="1" w:lastRow="0" w:firstColumn="1" w:lastColumn="0" w:noHBand="0" w:noVBand="1"/>
        </w:tblPrEx>
        <w:tc>
          <w:tcPr>
            <w:tcW w:w="1809" w:type="dxa"/>
            <w:tcBorders>
              <w:bottom w:val="single" w:sz="4" w:space="0" w:color="auto"/>
            </w:tcBorders>
          </w:tcPr>
          <w:p w:rsidR="007A36AC" w:rsidRDefault="00FE7ACF">
            <w:pPr>
              <w:spacing w:before="100" w:beforeAutospacing="1" w:after="100" w:afterAutospacing="1"/>
              <w:rPr>
                <w:noProof/>
                <w:lang w:val="fr-FR"/>
              </w:rPr>
            </w:pPr>
            <w:r>
              <w:rPr>
                <w:noProof/>
                <w:lang w:val="fr-FR"/>
              </w:rPr>
              <w:t>40</w:t>
            </w:r>
          </w:p>
        </w:tc>
        <w:tc>
          <w:tcPr>
            <w:tcW w:w="1985" w:type="dxa"/>
            <w:gridSpan w:val="2"/>
            <w:tcBorders>
              <w:bottom w:val="single" w:sz="4" w:space="0" w:color="auto"/>
            </w:tcBorders>
          </w:tcPr>
          <w:p w:rsidR="007A36AC" w:rsidRDefault="00FE7ACF">
            <w:pPr>
              <w:spacing w:before="100" w:beforeAutospacing="1" w:after="100" w:afterAutospacing="1"/>
              <w:rPr>
                <w:noProof/>
                <w:lang w:val="fr-FR"/>
              </w:rPr>
            </w:pPr>
            <w:r>
              <w:rPr>
                <w:noProof/>
                <w:lang w:val="fr-FR"/>
              </w:rPr>
              <w:t>50</w:t>
            </w:r>
          </w:p>
        </w:tc>
        <w:tc>
          <w:tcPr>
            <w:tcW w:w="1843" w:type="dxa"/>
            <w:gridSpan w:val="3"/>
            <w:tcBorders>
              <w:bottom w:val="single" w:sz="4" w:space="0" w:color="auto"/>
            </w:tcBorders>
          </w:tcPr>
          <w:p w:rsidR="007A36AC" w:rsidRDefault="00FE7ACF">
            <w:pPr>
              <w:spacing w:before="100" w:beforeAutospacing="1" w:after="100" w:afterAutospacing="1"/>
              <w:rPr>
                <w:noProof/>
                <w:lang w:val="fr-FR"/>
              </w:rPr>
            </w:pPr>
            <w:r>
              <w:rPr>
                <w:noProof/>
                <w:lang w:val="fr-FR"/>
              </w:rPr>
              <w:t>40</w:t>
            </w:r>
          </w:p>
        </w:tc>
        <w:tc>
          <w:tcPr>
            <w:tcW w:w="1984" w:type="dxa"/>
            <w:gridSpan w:val="3"/>
            <w:tcBorders>
              <w:bottom w:val="single" w:sz="4" w:space="0" w:color="auto"/>
            </w:tcBorders>
          </w:tcPr>
          <w:p w:rsidR="007A36AC" w:rsidRDefault="00FE7ACF">
            <w:pPr>
              <w:spacing w:before="100" w:beforeAutospacing="1" w:after="100" w:afterAutospacing="1"/>
              <w:rPr>
                <w:noProof/>
                <w:lang w:val="fr-FR"/>
              </w:rPr>
            </w:pPr>
            <w:r>
              <w:rPr>
                <w:noProof/>
                <w:lang w:val="fr-FR"/>
              </w:rPr>
              <w:t>50</w:t>
            </w:r>
          </w:p>
        </w:tc>
        <w:tc>
          <w:tcPr>
            <w:tcW w:w="1701" w:type="dxa"/>
            <w:gridSpan w:val="2"/>
            <w:tcBorders>
              <w:bottom w:val="single" w:sz="4" w:space="0" w:color="auto"/>
            </w:tcBorders>
          </w:tcPr>
          <w:p w:rsidR="007A36AC" w:rsidRDefault="00FE7ACF">
            <w:pPr>
              <w:spacing w:before="100" w:beforeAutospacing="1" w:after="100" w:afterAutospacing="1"/>
              <w:rPr>
                <w:noProof/>
                <w:lang w:val="fr-FR"/>
              </w:rPr>
            </w:pPr>
            <w:r>
              <w:rPr>
                <w:noProof/>
                <w:lang w:val="fr-FR"/>
              </w:rPr>
              <w:t>II</w:t>
            </w:r>
          </w:p>
        </w:tc>
      </w:tr>
      <w:tr w:rsidR="007A36AC">
        <w:tblPrEx>
          <w:tblLook w:val="04A0" w:firstRow="1" w:lastRow="0" w:firstColumn="1" w:lastColumn="0" w:noHBand="0" w:noVBand="1"/>
        </w:tblPrEx>
        <w:tc>
          <w:tcPr>
            <w:tcW w:w="1809" w:type="dxa"/>
            <w:tcBorders>
              <w:top w:val="single" w:sz="4" w:space="0" w:color="auto"/>
              <w:left w:val="single" w:sz="4" w:space="0" w:color="auto"/>
              <w:bottom w:val="nil"/>
              <w:right w:val="single" w:sz="4" w:space="0" w:color="auto"/>
            </w:tcBorders>
          </w:tcPr>
          <w:p w:rsidR="007A36AC" w:rsidRDefault="00FE7ACF">
            <w:pPr>
              <w:spacing w:before="100" w:beforeAutospacing="1" w:after="100" w:afterAutospacing="1"/>
              <w:rPr>
                <w:noProof/>
                <w:lang w:val="fr-FR"/>
              </w:rPr>
            </w:pPr>
            <w:r>
              <w:rPr>
                <w:noProof/>
                <w:lang w:val="fr-FR"/>
              </w:rPr>
              <w:t>50</w:t>
            </w:r>
          </w:p>
        </w:tc>
        <w:tc>
          <w:tcPr>
            <w:tcW w:w="1985" w:type="dxa"/>
            <w:gridSpan w:val="2"/>
            <w:tcBorders>
              <w:top w:val="single" w:sz="4" w:space="0" w:color="auto"/>
              <w:left w:val="single" w:sz="4" w:space="0" w:color="auto"/>
              <w:bottom w:val="nil"/>
              <w:right w:val="single" w:sz="4" w:space="0" w:color="auto"/>
            </w:tcBorders>
          </w:tcPr>
          <w:p w:rsidR="007A36AC" w:rsidRDefault="00FE7ACF">
            <w:pPr>
              <w:spacing w:before="100" w:beforeAutospacing="1" w:after="100" w:afterAutospacing="1"/>
              <w:rPr>
                <w:noProof/>
                <w:lang w:val="fr-FR"/>
              </w:rPr>
            </w:pPr>
            <w:r>
              <w:rPr>
                <w:noProof/>
                <w:lang w:val="fr-FR"/>
              </w:rPr>
              <w:t>60</w:t>
            </w:r>
          </w:p>
        </w:tc>
        <w:tc>
          <w:tcPr>
            <w:tcW w:w="1843" w:type="dxa"/>
            <w:gridSpan w:val="3"/>
            <w:tcBorders>
              <w:top w:val="single" w:sz="4" w:space="0" w:color="auto"/>
              <w:left w:val="single" w:sz="4" w:space="0" w:color="auto"/>
              <w:bottom w:val="nil"/>
              <w:right w:val="single" w:sz="4" w:space="0" w:color="auto"/>
            </w:tcBorders>
          </w:tcPr>
          <w:p w:rsidR="007A36AC" w:rsidRDefault="00FE7ACF">
            <w:pPr>
              <w:spacing w:before="100" w:beforeAutospacing="1" w:after="100" w:afterAutospacing="1"/>
              <w:rPr>
                <w:noProof/>
                <w:lang w:val="fr-FR"/>
              </w:rPr>
            </w:pPr>
            <w:r>
              <w:rPr>
                <w:noProof/>
                <w:lang w:val="fr-FR"/>
              </w:rPr>
              <w:t>50</w:t>
            </w:r>
          </w:p>
        </w:tc>
        <w:tc>
          <w:tcPr>
            <w:tcW w:w="1984" w:type="dxa"/>
            <w:gridSpan w:val="3"/>
            <w:tcBorders>
              <w:top w:val="single" w:sz="4" w:space="0" w:color="auto"/>
              <w:left w:val="single" w:sz="4" w:space="0" w:color="auto"/>
              <w:bottom w:val="nil"/>
              <w:right w:val="single" w:sz="4" w:space="0" w:color="auto"/>
            </w:tcBorders>
          </w:tcPr>
          <w:p w:rsidR="007A36AC" w:rsidRDefault="00FE7ACF">
            <w:pPr>
              <w:spacing w:before="100" w:beforeAutospacing="1" w:after="100" w:afterAutospacing="1"/>
              <w:rPr>
                <w:noProof/>
                <w:lang w:val="fr-FR"/>
              </w:rPr>
            </w:pPr>
            <w:r>
              <w:rPr>
                <w:noProof/>
                <w:lang w:val="fr-FR"/>
              </w:rPr>
              <w:t>60</w:t>
            </w:r>
          </w:p>
        </w:tc>
        <w:tc>
          <w:tcPr>
            <w:tcW w:w="1701" w:type="dxa"/>
            <w:gridSpan w:val="2"/>
            <w:vMerge w:val="restart"/>
            <w:tcBorders>
              <w:top w:val="single" w:sz="4" w:space="0" w:color="auto"/>
              <w:left w:val="single" w:sz="4" w:space="0" w:color="auto"/>
              <w:right w:val="single" w:sz="4" w:space="0" w:color="auto"/>
            </w:tcBorders>
          </w:tcPr>
          <w:p w:rsidR="007A36AC" w:rsidRDefault="00FE7ACF">
            <w:pPr>
              <w:jc w:val="left"/>
              <w:rPr>
                <w:noProof/>
                <w:lang w:val="fr-FR"/>
              </w:rPr>
            </w:pPr>
            <w:r>
              <w:rPr>
                <w:noProof/>
                <w:lang w:val="fr-FR"/>
              </w:rPr>
              <w:t>III</w:t>
            </w:r>
          </w:p>
        </w:tc>
      </w:tr>
      <w:tr w:rsidR="007A36AC">
        <w:tblPrEx>
          <w:tblLook w:val="04A0" w:firstRow="1" w:lastRow="0" w:firstColumn="1" w:lastColumn="0" w:noHBand="0" w:noVBand="1"/>
        </w:tblPrEx>
        <w:tc>
          <w:tcPr>
            <w:tcW w:w="1809" w:type="dxa"/>
            <w:tcBorders>
              <w:top w:val="nil"/>
              <w:left w:val="single" w:sz="4" w:space="0" w:color="auto"/>
              <w:bottom w:val="single" w:sz="4" w:space="0" w:color="auto"/>
              <w:right w:val="single" w:sz="4" w:space="0" w:color="auto"/>
            </w:tcBorders>
          </w:tcPr>
          <w:p w:rsidR="007A36AC" w:rsidRDefault="00FE7ACF">
            <w:pPr>
              <w:spacing w:before="100" w:beforeAutospacing="1" w:after="100" w:afterAutospacing="1"/>
              <w:rPr>
                <w:noProof/>
                <w:lang w:val="fr-FR"/>
              </w:rPr>
            </w:pPr>
            <w:r>
              <w:rPr>
                <w:noProof/>
                <w:lang w:val="fr-FR"/>
              </w:rPr>
              <w:t>60</w:t>
            </w:r>
          </w:p>
        </w:tc>
        <w:tc>
          <w:tcPr>
            <w:tcW w:w="1985" w:type="dxa"/>
            <w:gridSpan w:val="2"/>
            <w:tcBorders>
              <w:top w:val="nil"/>
              <w:left w:val="single" w:sz="4" w:space="0" w:color="auto"/>
              <w:bottom w:val="single" w:sz="4" w:space="0" w:color="auto"/>
              <w:right w:val="single" w:sz="4" w:space="0" w:color="auto"/>
            </w:tcBorders>
          </w:tcPr>
          <w:p w:rsidR="007A36AC" w:rsidRDefault="007A36AC">
            <w:pPr>
              <w:spacing w:before="100" w:beforeAutospacing="1" w:after="100" w:afterAutospacing="1"/>
              <w:rPr>
                <w:noProof/>
                <w:lang w:val="fr-FR"/>
              </w:rPr>
            </w:pPr>
          </w:p>
        </w:tc>
        <w:tc>
          <w:tcPr>
            <w:tcW w:w="1843" w:type="dxa"/>
            <w:gridSpan w:val="3"/>
            <w:tcBorders>
              <w:top w:val="nil"/>
              <w:left w:val="single" w:sz="4" w:space="0" w:color="auto"/>
              <w:bottom w:val="single" w:sz="4" w:space="0" w:color="auto"/>
              <w:right w:val="single" w:sz="4" w:space="0" w:color="auto"/>
            </w:tcBorders>
          </w:tcPr>
          <w:p w:rsidR="007A36AC" w:rsidRDefault="00FE7ACF">
            <w:pPr>
              <w:spacing w:before="100" w:beforeAutospacing="1" w:after="100" w:afterAutospacing="1"/>
              <w:rPr>
                <w:noProof/>
                <w:lang w:val="fr-FR"/>
              </w:rPr>
            </w:pPr>
            <w:r>
              <w:rPr>
                <w:noProof/>
                <w:lang w:val="fr-FR"/>
              </w:rPr>
              <w:t>60</w:t>
            </w:r>
          </w:p>
        </w:tc>
        <w:tc>
          <w:tcPr>
            <w:tcW w:w="1984" w:type="dxa"/>
            <w:gridSpan w:val="3"/>
            <w:tcBorders>
              <w:top w:val="nil"/>
              <w:left w:val="single" w:sz="4" w:space="0" w:color="auto"/>
              <w:bottom w:val="single" w:sz="4" w:space="0" w:color="auto"/>
              <w:right w:val="single" w:sz="4" w:space="0" w:color="auto"/>
            </w:tcBorders>
          </w:tcPr>
          <w:p w:rsidR="007A36AC" w:rsidRDefault="007A36AC">
            <w:pPr>
              <w:spacing w:before="100" w:beforeAutospacing="1" w:after="100" w:afterAutospacing="1"/>
              <w:rPr>
                <w:noProof/>
                <w:lang w:val="fr-FR"/>
              </w:rPr>
            </w:pPr>
          </w:p>
        </w:tc>
        <w:tc>
          <w:tcPr>
            <w:tcW w:w="1701" w:type="dxa"/>
            <w:gridSpan w:val="2"/>
            <w:vMerge/>
            <w:tcBorders>
              <w:left w:val="single" w:sz="4" w:space="0" w:color="auto"/>
              <w:bottom w:val="single" w:sz="4" w:space="0" w:color="auto"/>
              <w:right w:val="single" w:sz="4" w:space="0" w:color="auto"/>
            </w:tcBorders>
          </w:tcPr>
          <w:p w:rsidR="007A36AC" w:rsidRDefault="007A36AC">
            <w:pPr>
              <w:spacing w:before="100" w:beforeAutospacing="1" w:after="100" w:afterAutospacing="1"/>
              <w:rPr>
                <w:noProof/>
                <w:lang w:val="fr-FR"/>
              </w:rPr>
            </w:pPr>
          </w:p>
        </w:tc>
      </w:tr>
      <w:tr w:rsidR="007A36AC">
        <w:tblPrEx>
          <w:tblLook w:val="04A0" w:firstRow="1" w:lastRow="0" w:firstColumn="1" w:lastColumn="0" w:noHBand="0" w:noVBand="1"/>
        </w:tblPrEx>
        <w:tc>
          <w:tcPr>
            <w:tcW w:w="9322" w:type="dxa"/>
            <w:gridSpan w:val="11"/>
            <w:tcBorders>
              <w:top w:val="single" w:sz="4" w:space="0" w:color="auto"/>
            </w:tcBorders>
          </w:tcPr>
          <w:p w:rsidR="007A36AC" w:rsidRDefault="00FE7ACF">
            <w:pPr>
              <w:spacing w:before="100" w:beforeAutospacing="1" w:after="100" w:afterAutospacing="1"/>
              <w:rPr>
                <w:i/>
                <w:noProof/>
                <w:lang w:val="fr-FR"/>
              </w:rPr>
            </w:pPr>
            <w:r>
              <w:rPr>
                <w:i/>
                <w:noProof/>
                <w:lang w:val="fr-FR"/>
              </w:rPr>
              <w:t>8 or 9 axles</w:t>
            </w:r>
          </w:p>
        </w:tc>
      </w:tr>
      <w:tr w:rsidR="007A36AC">
        <w:tblPrEx>
          <w:tblLook w:val="04A0" w:firstRow="1" w:lastRow="0" w:firstColumn="1" w:lastColumn="0" w:noHBand="0" w:noVBand="1"/>
        </w:tblPrEx>
        <w:tc>
          <w:tcPr>
            <w:tcW w:w="1809" w:type="dxa"/>
          </w:tcPr>
          <w:p w:rsidR="007A36AC" w:rsidRDefault="00FE7ACF">
            <w:pPr>
              <w:spacing w:before="100" w:beforeAutospacing="1" w:after="100" w:afterAutospacing="1"/>
              <w:rPr>
                <w:noProof/>
                <w:lang w:val="fr-FR"/>
              </w:rPr>
            </w:pPr>
            <w:r>
              <w:rPr>
                <w:noProof/>
                <w:lang w:val="fr-FR"/>
              </w:rPr>
              <w:t>40</w:t>
            </w:r>
          </w:p>
        </w:tc>
        <w:tc>
          <w:tcPr>
            <w:tcW w:w="2019" w:type="dxa"/>
            <w:gridSpan w:val="4"/>
          </w:tcPr>
          <w:p w:rsidR="007A36AC" w:rsidRDefault="00FE7ACF">
            <w:pPr>
              <w:spacing w:before="100" w:beforeAutospacing="1" w:after="100" w:afterAutospacing="1"/>
              <w:rPr>
                <w:noProof/>
                <w:lang w:val="fr-FR"/>
              </w:rPr>
            </w:pPr>
            <w:r>
              <w:rPr>
                <w:noProof/>
                <w:lang w:val="fr-FR"/>
              </w:rPr>
              <w:t>50</w:t>
            </w:r>
          </w:p>
        </w:tc>
        <w:tc>
          <w:tcPr>
            <w:tcW w:w="1809" w:type="dxa"/>
          </w:tcPr>
          <w:p w:rsidR="007A36AC" w:rsidRDefault="00FE7ACF">
            <w:pPr>
              <w:spacing w:before="100" w:beforeAutospacing="1" w:after="100" w:afterAutospacing="1"/>
              <w:rPr>
                <w:noProof/>
                <w:lang w:val="fr-FR"/>
              </w:rPr>
            </w:pPr>
            <w:r>
              <w:rPr>
                <w:noProof/>
                <w:lang w:val="fr-FR"/>
              </w:rPr>
              <w:t>40</w:t>
            </w:r>
          </w:p>
        </w:tc>
        <w:tc>
          <w:tcPr>
            <w:tcW w:w="1984" w:type="dxa"/>
            <w:gridSpan w:val="3"/>
          </w:tcPr>
          <w:p w:rsidR="007A36AC" w:rsidRDefault="00FE7ACF">
            <w:pPr>
              <w:spacing w:before="100" w:beforeAutospacing="1" w:after="100" w:afterAutospacing="1"/>
              <w:rPr>
                <w:noProof/>
                <w:lang w:val="fr-FR"/>
              </w:rPr>
            </w:pPr>
            <w:r>
              <w:rPr>
                <w:noProof/>
                <w:lang w:val="fr-FR"/>
              </w:rPr>
              <w:t>50</w:t>
            </w:r>
          </w:p>
        </w:tc>
        <w:tc>
          <w:tcPr>
            <w:tcW w:w="1701" w:type="dxa"/>
            <w:gridSpan w:val="2"/>
          </w:tcPr>
          <w:p w:rsidR="007A36AC" w:rsidRDefault="00FE7ACF">
            <w:pPr>
              <w:spacing w:before="100" w:beforeAutospacing="1" w:after="100" w:afterAutospacing="1"/>
              <w:rPr>
                <w:noProof/>
                <w:lang w:val="fr-FR"/>
              </w:rPr>
            </w:pPr>
            <w:r>
              <w:rPr>
                <w:noProof/>
                <w:lang w:val="fr-FR"/>
              </w:rPr>
              <w:t>I</w:t>
            </w:r>
          </w:p>
        </w:tc>
      </w:tr>
      <w:tr w:rsidR="007A36AC">
        <w:tblPrEx>
          <w:tblLook w:val="04A0" w:firstRow="1" w:lastRow="0" w:firstColumn="1" w:lastColumn="0" w:noHBand="0" w:noVBand="1"/>
        </w:tblPrEx>
        <w:tc>
          <w:tcPr>
            <w:tcW w:w="1809" w:type="dxa"/>
          </w:tcPr>
          <w:p w:rsidR="007A36AC" w:rsidRDefault="00FE7ACF">
            <w:pPr>
              <w:spacing w:before="100" w:beforeAutospacing="1" w:after="100" w:afterAutospacing="1"/>
              <w:rPr>
                <w:noProof/>
                <w:lang w:val="fr-FR"/>
              </w:rPr>
            </w:pPr>
            <w:r>
              <w:rPr>
                <w:noProof/>
                <w:lang w:val="fr-FR"/>
              </w:rPr>
              <w:t>50</w:t>
            </w:r>
          </w:p>
        </w:tc>
        <w:tc>
          <w:tcPr>
            <w:tcW w:w="2019" w:type="dxa"/>
            <w:gridSpan w:val="4"/>
          </w:tcPr>
          <w:p w:rsidR="007A36AC" w:rsidRDefault="00FE7ACF">
            <w:pPr>
              <w:spacing w:before="100" w:beforeAutospacing="1" w:after="100" w:afterAutospacing="1"/>
              <w:rPr>
                <w:noProof/>
                <w:lang w:val="fr-FR"/>
              </w:rPr>
            </w:pPr>
            <w:r>
              <w:rPr>
                <w:noProof/>
                <w:lang w:val="fr-FR"/>
              </w:rPr>
              <w:t>60</w:t>
            </w:r>
          </w:p>
        </w:tc>
        <w:tc>
          <w:tcPr>
            <w:tcW w:w="1809" w:type="dxa"/>
          </w:tcPr>
          <w:p w:rsidR="007A36AC" w:rsidRDefault="00FE7ACF">
            <w:pPr>
              <w:spacing w:before="100" w:beforeAutospacing="1" w:after="100" w:afterAutospacing="1"/>
              <w:rPr>
                <w:noProof/>
                <w:lang w:val="fr-FR"/>
              </w:rPr>
            </w:pPr>
            <w:r>
              <w:rPr>
                <w:noProof/>
                <w:lang w:val="fr-FR"/>
              </w:rPr>
              <w:t>50</w:t>
            </w:r>
          </w:p>
        </w:tc>
        <w:tc>
          <w:tcPr>
            <w:tcW w:w="1984" w:type="dxa"/>
            <w:gridSpan w:val="3"/>
          </w:tcPr>
          <w:p w:rsidR="007A36AC" w:rsidRDefault="00FE7ACF">
            <w:pPr>
              <w:spacing w:before="100" w:beforeAutospacing="1" w:after="100" w:afterAutospacing="1"/>
              <w:rPr>
                <w:noProof/>
                <w:lang w:val="fr-FR"/>
              </w:rPr>
            </w:pPr>
            <w:r>
              <w:rPr>
                <w:noProof/>
                <w:lang w:val="fr-FR"/>
              </w:rPr>
              <w:t>60</w:t>
            </w:r>
          </w:p>
        </w:tc>
        <w:tc>
          <w:tcPr>
            <w:tcW w:w="1701" w:type="dxa"/>
            <w:gridSpan w:val="2"/>
          </w:tcPr>
          <w:p w:rsidR="007A36AC" w:rsidRDefault="00FE7ACF">
            <w:pPr>
              <w:spacing w:before="100" w:beforeAutospacing="1" w:after="100" w:afterAutospacing="1"/>
              <w:rPr>
                <w:noProof/>
                <w:lang w:val="fr-FR"/>
              </w:rPr>
            </w:pPr>
            <w:r>
              <w:rPr>
                <w:noProof/>
                <w:lang w:val="fr-FR"/>
              </w:rPr>
              <w:t>II</w:t>
            </w:r>
          </w:p>
        </w:tc>
      </w:tr>
      <w:tr w:rsidR="007A36AC">
        <w:tblPrEx>
          <w:tblLook w:val="04A0" w:firstRow="1" w:lastRow="0" w:firstColumn="1" w:lastColumn="0" w:noHBand="0" w:noVBand="1"/>
        </w:tblPrEx>
        <w:tc>
          <w:tcPr>
            <w:tcW w:w="3828" w:type="dxa"/>
            <w:gridSpan w:val="5"/>
          </w:tcPr>
          <w:p w:rsidR="007A36AC" w:rsidRDefault="00FE7ACF">
            <w:pPr>
              <w:spacing w:before="100" w:beforeAutospacing="1" w:after="100" w:afterAutospacing="1"/>
              <w:rPr>
                <w:noProof/>
                <w:lang w:val="fr-FR"/>
              </w:rPr>
            </w:pPr>
            <w:r>
              <w:rPr>
                <w:noProof/>
                <w:lang w:val="fr-FR"/>
              </w:rPr>
              <w:t>60</w:t>
            </w:r>
          </w:p>
        </w:tc>
        <w:tc>
          <w:tcPr>
            <w:tcW w:w="3793" w:type="dxa"/>
            <w:gridSpan w:val="4"/>
          </w:tcPr>
          <w:p w:rsidR="007A36AC" w:rsidRDefault="00FE7ACF">
            <w:pPr>
              <w:spacing w:before="100" w:beforeAutospacing="1" w:after="100" w:afterAutospacing="1"/>
              <w:rPr>
                <w:noProof/>
                <w:lang w:val="fr-FR"/>
              </w:rPr>
            </w:pPr>
            <w:r>
              <w:rPr>
                <w:noProof/>
                <w:lang w:val="fr-FR"/>
              </w:rPr>
              <w:t>60</w:t>
            </w:r>
          </w:p>
        </w:tc>
        <w:tc>
          <w:tcPr>
            <w:tcW w:w="1701" w:type="dxa"/>
            <w:gridSpan w:val="2"/>
          </w:tcPr>
          <w:p w:rsidR="007A36AC" w:rsidRDefault="00FE7ACF">
            <w:pPr>
              <w:spacing w:before="100" w:beforeAutospacing="1" w:after="100" w:afterAutospacing="1"/>
              <w:rPr>
                <w:noProof/>
                <w:lang w:val="fr-FR"/>
              </w:rPr>
            </w:pPr>
            <w:r>
              <w:rPr>
                <w:noProof/>
                <w:lang w:val="fr-FR"/>
              </w:rPr>
              <w:t>III';</w:t>
            </w:r>
          </w:p>
        </w:tc>
      </w:tr>
    </w:tbl>
    <w:p w:rsidR="007A36AC" w:rsidRDefault="007A36AC">
      <w:pPr>
        <w:rPr>
          <w:noProof/>
        </w:rPr>
      </w:pPr>
    </w:p>
    <w:p w:rsidR="007A36AC" w:rsidRDefault="00FE7ACF">
      <w:pPr>
        <w:rPr>
          <w:noProof/>
        </w:rPr>
      </w:pPr>
      <w:r>
        <w:rPr>
          <w:noProof/>
        </w:rPr>
        <w:t>(2)</w:t>
      </w:r>
      <w:r>
        <w:rPr>
          <w:noProof/>
        </w:rPr>
        <w:tab/>
        <w:t xml:space="preserve">the </w:t>
      </w:r>
      <w:r>
        <w:rPr>
          <w:noProof/>
        </w:rPr>
        <w:t>following Annexes V, VI and VII are added:</w:t>
      </w:r>
    </w:p>
    <w:p w:rsidR="007A36AC" w:rsidRDefault="00FE7ACF">
      <w:pPr>
        <w:jc w:val="center"/>
        <w:rPr>
          <w:rFonts w:eastAsia="Arial Unicode MS"/>
          <w:i/>
          <w:iCs/>
          <w:noProof/>
        </w:rPr>
      </w:pPr>
      <w:r>
        <w:rPr>
          <w:rFonts w:eastAsia="Arial Unicode MS"/>
          <w:i/>
          <w:iCs/>
          <w:noProof/>
        </w:rPr>
        <w:t>'ANNEX V</w:t>
      </w:r>
    </w:p>
    <w:p w:rsidR="007A36AC" w:rsidRDefault="00FE7ACF">
      <w:pPr>
        <w:jc w:val="center"/>
        <w:rPr>
          <w:rFonts w:eastAsia="Arial Unicode MS"/>
          <w:b/>
          <w:bCs/>
          <w:noProof/>
        </w:rPr>
      </w:pPr>
      <w:r>
        <w:rPr>
          <w:rFonts w:eastAsia="Arial Unicode MS"/>
          <w:b/>
          <w:bCs/>
          <w:noProof/>
        </w:rPr>
        <w:t>MINIMUM REQUIREMENTS FOR LEVYING A CONGESTION CHARGE</w:t>
      </w:r>
    </w:p>
    <w:p w:rsidR="007A36AC" w:rsidRDefault="00FE7ACF">
      <w:pPr>
        <w:spacing w:after="0"/>
        <w:rPr>
          <w:rFonts w:eastAsia="Arial Unicode MS"/>
          <w:noProof/>
        </w:rPr>
      </w:pPr>
      <w:r>
        <w:rPr>
          <w:rFonts w:eastAsia="Arial Unicode MS"/>
          <w:noProof/>
        </w:rPr>
        <w:t>This Annex sets out the minimum requirements for levying a congestion charge.</w:t>
      </w:r>
    </w:p>
    <w:p w:rsidR="007A36AC" w:rsidRDefault="00FE7ACF">
      <w:pPr>
        <w:spacing w:after="0"/>
        <w:rPr>
          <w:rFonts w:eastAsia="Arial Unicode MS"/>
          <w:noProof/>
        </w:rPr>
      </w:pPr>
      <w:r>
        <w:rPr>
          <w:rFonts w:eastAsia="Arial Unicode MS"/>
          <w:noProof/>
        </w:rPr>
        <w:t>1.   </w:t>
      </w:r>
      <w:r>
        <w:rPr>
          <w:rFonts w:eastAsia="Arial Unicode MS"/>
          <w:b/>
          <w:bCs/>
          <w:noProof/>
        </w:rPr>
        <w:t xml:space="preserve"> The parts of the network subject to congestion charging, vehicles a</w:t>
      </w:r>
      <w:r>
        <w:rPr>
          <w:rFonts w:eastAsia="Arial Unicode MS"/>
          <w:b/>
          <w:bCs/>
          <w:noProof/>
        </w:rPr>
        <w:t>nd time periods covered</w:t>
      </w:r>
    </w:p>
    <w:p w:rsidR="007A36AC" w:rsidRDefault="00FE7ACF">
      <w:pPr>
        <w:spacing w:after="0"/>
        <w:rPr>
          <w:rFonts w:eastAsia="Arial Unicode MS"/>
          <w:noProof/>
        </w:rPr>
      </w:pPr>
      <w:r>
        <w:rPr>
          <w:rFonts w:eastAsia="Arial Unicode MS"/>
          <w:noProof/>
        </w:rPr>
        <w:t>Member States shall specify precisely:</w:t>
      </w:r>
    </w:p>
    <w:p w:rsidR="007A36AC" w:rsidRDefault="00FE7ACF">
      <w:pPr>
        <w:spacing w:after="0"/>
        <w:rPr>
          <w:rFonts w:eastAsia="Arial Unicode MS"/>
          <w:noProof/>
        </w:rPr>
      </w:pPr>
      <w:r>
        <w:rPr>
          <w:rFonts w:eastAsia="Arial Unicode MS"/>
          <w:noProof/>
        </w:rPr>
        <w:t>(a) the part or parts of their network composed of their share in the trans-European road network and their motorways referred to in Article 7(1), which are to be subject to a congestion charge</w:t>
      </w:r>
      <w:r>
        <w:rPr>
          <w:rFonts w:eastAsia="Arial Unicode MS"/>
          <w:noProof/>
        </w:rPr>
        <w:t xml:space="preserve">, in accordance with Article 7da(1) and (3).  </w:t>
      </w:r>
    </w:p>
    <w:p w:rsidR="007A36AC" w:rsidRDefault="00FE7ACF">
      <w:pPr>
        <w:spacing w:after="0"/>
        <w:rPr>
          <w:rFonts w:eastAsia="Arial Unicode MS"/>
          <w:noProof/>
        </w:rPr>
      </w:pPr>
      <w:r>
        <w:rPr>
          <w:rFonts w:eastAsia="Arial Unicode MS"/>
          <w:noProof/>
        </w:rPr>
        <w:t>(b) the classification of sections of the network which are subject to the congestion charge as "</w:t>
      </w:r>
      <w:r>
        <w:rPr>
          <w:noProof/>
        </w:rPr>
        <w:t>metropolitan" and "non-metropolitan</w:t>
      </w:r>
      <w:r>
        <w:rPr>
          <w:rFonts w:eastAsia="Arial Unicode MS"/>
          <w:noProof/>
        </w:rPr>
        <w:t>". Member States shall use the criteria set out in Table 1 for the purposes o</w:t>
      </w:r>
      <w:r>
        <w:rPr>
          <w:rFonts w:eastAsia="Arial Unicode MS"/>
          <w:noProof/>
        </w:rPr>
        <w:t>f determining the classification of each road segment.</w:t>
      </w:r>
    </w:p>
    <w:p w:rsidR="007A36AC" w:rsidRDefault="00FE7ACF">
      <w:pPr>
        <w:spacing w:after="0"/>
        <w:rPr>
          <w:rFonts w:eastAsia="Arial Unicode MS"/>
          <w:i/>
          <w:noProof/>
        </w:rPr>
      </w:pPr>
      <w:r>
        <w:rPr>
          <w:rFonts w:eastAsia="Arial Unicode MS"/>
          <w:i/>
          <w:noProof/>
        </w:rPr>
        <w:t>Table1: Criteria for classifying roads on the network referred to in points (a) as 'metropolitan' and 'non-metropolitan'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A36AC">
        <w:tc>
          <w:tcPr>
            <w:tcW w:w="4644" w:type="dxa"/>
            <w:shd w:val="clear" w:color="auto" w:fill="auto"/>
          </w:tcPr>
          <w:p w:rsidR="007A36AC" w:rsidRDefault="00FE7ACF">
            <w:pPr>
              <w:spacing w:after="0"/>
              <w:rPr>
                <w:rFonts w:eastAsia="Arial Unicode MS"/>
                <w:b/>
                <w:noProof/>
              </w:rPr>
            </w:pPr>
            <w:r>
              <w:rPr>
                <w:rFonts w:eastAsia="Arial Unicode MS"/>
                <w:b/>
                <w:noProof/>
              </w:rPr>
              <w:t>Road category</w:t>
            </w:r>
          </w:p>
        </w:tc>
        <w:tc>
          <w:tcPr>
            <w:tcW w:w="4644" w:type="dxa"/>
            <w:shd w:val="clear" w:color="auto" w:fill="auto"/>
          </w:tcPr>
          <w:p w:rsidR="007A36AC" w:rsidRDefault="00FE7ACF">
            <w:pPr>
              <w:spacing w:after="0"/>
              <w:rPr>
                <w:rFonts w:eastAsia="Arial Unicode MS"/>
                <w:b/>
                <w:noProof/>
              </w:rPr>
            </w:pPr>
            <w:r>
              <w:rPr>
                <w:rFonts w:eastAsia="Arial Unicode MS"/>
                <w:b/>
                <w:noProof/>
              </w:rPr>
              <w:t>Classification criterion</w:t>
            </w:r>
          </w:p>
        </w:tc>
      </w:tr>
      <w:tr w:rsidR="007A36AC">
        <w:tc>
          <w:tcPr>
            <w:tcW w:w="4644" w:type="dxa"/>
            <w:shd w:val="clear" w:color="auto" w:fill="auto"/>
          </w:tcPr>
          <w:p w:rsidR="007A36AC" w:rsidRDefault="00FE7ACF">
            <w:pPr>
              <w:spacing w:after="0"/>
              <w:rPr>
                <w:rFonts w:eastAsia="Arial Unicode MS"/>
                <w:noProof/>
              </w:rPr>
            </w:pPr>
            <w:r>
              <w:rPr>
                <w:rFonts w:eastAsia="Arial Unicode MS"/>
                <w:noProof/>
              </w:rPr>
              <w:t>'metropolitan'</w:t>
            </w:r>
          </w:p>
        </w:tc>
        <w:tc>
          <w:tcPr>
            <w:tcW w:w="4644" w:type="dxa"/>
            <w:shd w:val="clear" w:color="auto" w:fill="auto"/>
          </w:tcPr>
          <w:p w:rsidR="007A36AC" w:rsidRDefault="00FE7ACF">
            <w:pPr>
              <w:spacing w:after="0"/>
              <w:rPr>
                <w:rFonts w:eastAsia="Arial Unicode MS"/>
                <w:noProof/>
              </w:rPr>
            </w:pPr>
            <w:r>
              <w:rPr>
                <w:rFonts w:eastAsia="Arial Unicode MS"/>
                <w:noProof/>
              </w:rPr>
              <w:t xml:space="preserve">Sections of the network </w:t>
            </w:r>
            <w:r>
              <w:rPr>
                <w:rFonts w:eastAsia="Arial Unicode MS"/>
                <w:noProof/>
              </w:rPr>
              <w:t>running inside agglomerations with a population of 250,000 inhabitants or more</w:t>
            </w:r>
          </w:p>
        </w:tc>
      </w:tr>
      <w:tr w:rsidR="007A36AC">
        <w:tc>
          <w:tcPr>
            <w:tcW w:w="4644" w:type="dxa"/>
            <w:shd w:val="clear" w:color="auto" w:fill="auto"/>
          </w:tcPr>
          <w:p w:rsidR="007A36AC" w:rsidRDefault="00FE7ACF">
            <w:pPr>
              <w:spacing w:after="0"/>
              <w:rPr>
                <w:rFonts w:eastAsia="Arial Unicode MS"/>
                <w:noProof/>
              </w:rPr>
            </w:pPr>
            <w:r>
              <w:rPr>
                <w:rFonts w:eastAsia="Arial Unicode MS"/>
                <w:noProof/>
              </w:rPr>
              <w:t>'non-metropolitan'</w:t>
            </w:r>
          </w:p>
        </w:tc>
        <w:tc>
          <w:tcPr>
            <w:tcW w:w="4644" w:type="dxa"/>
            <w:shd w:val="clear" w:color="auto" w:fill="auto"/>
          </w:tcPr>
          <w:p w:rsidR="007A36AC" w:rsidRDefault="00FE7ACF">
            <w:pPr>
              <w:spacing w:after="0"/>
              <w:rPr>
                <w:rFonts w:eastAsia="Arial Unicode MS"/>
                <w:noProof/>
              </w:rPr>
            </w:pPr>
            <w:r>
              <w:rPr>
                <w:rFonts w:eastAsia="Arial Unicode MS"/>
                <w:noProof/>
              </w:rPr>
              <w:t>Sections of the network which are not qualified as 'metropolitan'</w:t>
            </w:r>
          </w:p>
        </w:tc>
      </w:tr>
    </w:tbl>
    <w:p w:rsidR="007A36AC" w:rsidRDefault="00FE7ACF">
      <w:pPr>
        <w:spacing w:after="0"/>
        <w:rPr>
          <w:rFonts w:eastAsia="Arial Unicode MS"/>
          <w:noProof/>
        </w:rPr>
      </w:pPr>
      <w:r>
        <w:rPr>
          <w:rFonts w:eastAsia="Arial Unicode MS"/>
          <w:noProof/>
        </w:rPr>
        <w:t xml:space="preserve">(c) the periods during which the charge applies, for each individual segment. Where </w:t>
      </w:r>
      <w:r>
        <w:rPr>
          <w:rFonts w:eastAsia="Arial Unicode MS"/>
          <w:noProof/>
        </w:rPr>
        <w:t>different charge levels apply throughout the charging period, Member States shall clearly specify the beginning and the end of each period during which a specific charge is applied.</w:t>
      </w:r>
    </w:p>
    <w:p w:rsidR="007A36AC" w:rsidRDefault="00FE7ACF">
      <w:pPr>
        <w:spacing w:after="0"/>
        <w:rPr>
          <w:noProof/>
        </w:rPr>
      </w:pPr>
      <w:r>
        <w:rPr>
          <w:rFonts w:eastAsia="Arial Unicode MS"/>
          <w:noProof/>
        </w:rPr>
        <w:t xml:space="preserve">Member States shall use the equivalence factors provided in </w:t>
      </w:r>
      <w:r>
        <w:rPr>
          <w:noProof/>
        </w:rPr>
        <w:t>Table 2</w:t>
      </w:r>
      <w:r>
        <w:rPr>
          <w:rFonts w:eastAsia="Arial Unicode MS"/>
          <w:noProof/>
        </w:rPr>
        <w:t xml:space="preserve"> for th</w:t>
      </w:r>
      <w:r>
        <w:rPr>
          <w:rFonts w:eastAsia="Arial Unicode MS"/>
          <w:noProof/>
        </w:rPr>
        <w:t>e purpose of establishing the proportion between charge levels for different vehicle categories</w:t>
      </w:r>
      <w:r>
        <w:rPr>
          <w:noProof/>
        </w:rPr>
        <w:t>:</w:t>
      </w:r>
    </w:p>
    <w:p w:rsidR="007A36AC" w:rsidRDefault="00FE7ACF">
      <w:pPr>
        <w:spacing w:after="0"/>
        <w:rPr>
          <w:rFonts w:eastAsia="Arial Unicode MS"/>
          <w:i/>
          <w:noProof/>
        </w:rPr>
      </w:pPr>
      <w:r>
        <w:rPr>
          <w:rFonts w:eastAsia="Arial Unicode MS"/>
          <w:i/>
          <w:noProof/>
        </w:rPr>
        <w:t>Table 2: Equivalence factors for establishing the proportion between congestion charge levels for different vehicle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7A36AC">
        <w:tc>
          <w:tcPr>
            <w:tcW w:w="4644" w:type="dxa"/>
          </w:tcPr>
          <w:p w:rsidR="007A36AC" w:rsidRDefault="00FE7ACF">
            <w:pPr>
              <w:spacing w:after="0"/>
              <w:rPr>
                <w:rFonts w:eastAsia="Arial Unicode MS"/>
                <w:b/>
                <w:noProof/>
              </w:rPr>
            </w:pPr>
            <w:r>
              <w:rPr>
                <w:rFonts w:eastAsia="Arial Unicode MS"/>
                <w:b/>
                <w:noProof/>
              </w:rPr>
              <w:t>Vehicle category</w:t>
            </w:r>
          </w:p>
        </w:tc>
        <w:tc>
          <w:tcPr>
            <w:tcW w:w="4644" w:type="dxa"/>
          </w:tcPr>
          <w:p w:rsidR="007A36AC" w:rsidRDefault="00FE7ACF">
            <w:pPr>
              <w:spacing w:after="0"/>
              <w:rPr>
                <w:rFonts w:eastAsia="Arial Unicode MS"/>
                <w:b/>
                <w:noProof/>
              </w:rPr>
            </w:pPr>
            <w:r>
              <w:rPr>
                <w:rFonts w:eastAsia="Arial Unicode MS"/>
                <w:b/>
                <w:noProof/>
              </w:rPr>
              <w:t>Equivalence fac</w:t>
            </w:r>
            <w:r>
              <w:rPr>
                <w:rFonts w:eastAsia="Arial Unicode MS"/>
                <w:b/>
                <w:noProof/>
              </w:rPr>
              <w:t>tor</w:t>
            </w:r>
          </w:p>
        </w:tc>
      </w:tr>
      <w:tr w:rsidR="007A36AC">
        <w:tc>
          <w:tcPr>
            <w:tcW w:w="4644" w:type="dxa"/>
          </w:tcPr>
          <w:p w:rsidR="007A36AC" w:rsidRDefault="00FE7ACF">
            <w:pPr>
              <w:spacing w:after="0"/>
              <w:rPr>
                <w:rFonts w:eastAsia="Arial Unicode MS"/>
                <w:noProof/>
              </w:rPr>
            </w:pPr>
            <w:r>
              <w:rPr>
                <w:rFonts w:eastAsia="Arial Unicode MS"/>
                <w:noProof/>
              </w:rPr>
              <w:t>Light duty vehicles</w:t>
            </w:r>
          </w:p>
        </w:tc>
        <w:tc>
          <w:tcPr>
            <w:tcW w:w="4644" w:type="dxa"/>
          </w:tcPr>
          <w:p w:rsidR="007A36AC" w:rsidRDefault="00FE7ACF">
            <w:pPr>
              <w:spacing w:after="0"/>
              <w:rPr>
                <w:rFonts w:eastAsia="Arial Unicode MS"/>
                <w:noProof/>
              </w:rPr>
            </w:pPr>
            <w:r>
              <w:rPr>
                <w:rFonts w:eastAsia="Arial Unicode MS"/>
                <w:noProof/>
              </w:rPr>
              <w:t>1</w:t>
            </w:r>
          </w:p>
        </w:tc>
      </w:tr>
      <w:tr w:rsidR="007A36AC">
        <w:tc>
          <w:tcPr>
            <w:tcW w:w="4644" w:type="dxa"/>
          </w:tcPr>
          <w:p w:rsidR="007A36AC" w:rsidRDefault="00FE7ACF">
            <w:pPr>
              <w:spacing w:after="0"/>
              <w:rPr>
                <w:rFonts w:eastAsia="Arial Unicode MS"/>
                <w:noProof/>
              </w:rPr>
            </w:pPr>
            <w:r>
              <w:rPr>
                <w:rFonts w:eastAsia="Arial Unicode MS"/>
                <w:noProof/>
              </w:rPr>
              <w:t>Rigid heavy goods vehicles</w:t>
            </w:r>
          </w:p>
        </w:tc>
        <w:tc>
          <w:tcPr>
            <w:tcW w:w="4644" w:type="dxa"/>
          </w:tcPr>
          <w:p w:rsidR="007A36AC" w:rsidRDefault="00FE7ACF">
            <w:pPr>
              <w:spacing w:after="0"/>
              <w:rPr>
                <w:rFonts w:eastAsia="Arial Unicode MS"/>
                <w:noProof/>
              </w:rPr>
            </w:pPr>
            <w:r>
              <w:rPr>
                <w:rFonts w:eastAsia="Arial Unicode MS"/>
                <w:noProof/>
              </w:rPr>
              <w:t>1.9</w:t>
            </w:r>
          </w:p>
        </w:tc>
      </w:tr>
      <w:tr w:rsidR="007A36AC">
        <w:tc>
          <w:tcPr>
            <w:tcW w:w="4644" w:type="dxa"/>
          </w:tcPr>
          <w:p w:rsidR="007A36AC" w:rsidRDefault="00FE7ACF">
            <w:pPr>
              <w:spacing w:after="0"/>
              <w:rPr>
                <w:rFonts w:eastAsia="Arial Unicode MS"/>
                <w:noProof/>
              </w:rPr>
            </w:pPr>
            <w:r>
              <w:rPr>
                <w:rFonts w:eastAsia="Arial Unicode MS"/>
                <w:noProof/>
              </w:rPr>
              <w:t>Buses and coaches</w:t>
            </w:r>
          </w:p>
        </w:tc>
        <w:tc>
          <w:tcPr>
            <w:tcW w:w="4644" w:type="dxa"/>
          </w:tcPr>
          <w:p w:rsidR="007A36AC" w:rsidRDefault="00FE7ACF">
            <w:pPr>
              <w:spacing w:after="0"/>
              <w:rPr>
                <w:rFonts w:eastAsia="Arial Unicode MS"/>
                <w:noProof/>
              </w:rPr>
            </w:pPr>
            <w:r>
              <w:rPr>
                <w:rFonts w:eastAsia="Arial Unicode MS"/>
                <w:noProof/>
              </w:rPr>
              <w:t>2.5</w:t>
            </w:r>
          </w:p>
        </w:tc>
      </w:tr>
      <w:tr w:rsidR="007A36AC">
        <w:tc>
          <w:tcPr>
            <w:tcW w:w="4644" w:type="dxa"/>
          </w:tcPr>
          <w:p w:rsidR="007A36AC" w:rsidRDefault="00FE7ACF">
            <w:pPr>
              <w:spacing w:after="0"/>
              <w:rPr>
                <w:rFonts w:eastAsia="Arial Unicode MS"/>
                <w:noProof/>
              </w:rPr>
            </w:pPr>
            <w:r>
              <w:rPr>
                <w:rFonts w:eastAsia="Arial Unicode MS"/>
                <w:noProof/>
              </w:rPr>
              <w:t>Articulated heavy goods vehicles</w:t>
            </w:r>
          </w:p>
        </w:tc>
        <w:tc>
          <w:tcPr>
            <w:tcW w:w="4644" w:type="dxa"/>
          </w:tcPr>
          <w:p w:rsidR="007A36AC" w:rsidRDefault="00FE7ACF">
            <w:pPr>
              <w:spacing w:after="0"/>
              <w:rPr>
                <w:rFonts w:eastAsia="Arial Unicode MS"/>
                <w:noProof/>
              </w:rPr>
            </w:pPr>
            <w:r>
              <w:rPr>
                <w:rFonts w:eastAsia="Arial Unicode MS"/>
                <w:noProof/>
              </w:rPr>
              <w:t>2.9</w:t>
            </w:r>
          </w:p>
        </w:tc>
      </w:tr>
    </w:tbl>
    <w:p w:rsidR="007A36AC" w:rsidRDefault="007A36AC">
      <w:pPr>
        <w:spacing w:after="0"/>
        <w:rPr>
          <w:noProof/>
        </w:rPr>
      </w:pPr>
    </w:p>
    <w:p w:rsidR="007A36AC" w:rsidRDefault="00FE7ACF">
      <w:pPr>
        <w:spacing w:after="0"/>
        <w:rPr>
          <w:rFonts w:eastAsia="Arial Unicode MS"/>
          <w:noProof/>
        </w:rPr>
      </w:pPr>
      <w:r>
        <w:rPr>
          <w:rFonts w:eastAsia="Arial Unicode MS"/>
          <w:noProof/>
        </w:rPr>
        <w:t>2.   </w:t>
      </w:r>
      <w:r>
        <w:rPr>
          <w:rFonts w:eastAsia="Arial Unicode MS"/>
          <w:b/>
          <w:bCs/>
          <w:noProof/>
        </w:rPr>
        <w:t xml:space="preserve"> Amount of the charge</w:t>
      </w:r>
    </w:p>
    <w:p w:rsidR="007A36AC" w:rsidRDefault="00FE7ACF">
      <w:pPr>
        <w:spacing w:after="0"/>
        <w:rPr>
          <w:rFonts w:eastAsia="Arial Unicode MS"/>
          <w:noProof/>
        </w:rPr>
      </w:pPr>
      <w:r>
        <w:rPr>
          <w:rFonts w:eastAsia="Arial Unicode MS"/>
          <w:noProof/>
        </w:rPr>
        <w:t xml:space="preserve">For each vehicle category, road segment and time period, the Member State or, where appropriate, an </w:t>
      </w:r>
      <w:r>
        <w:rPr>
          <w:rFonts w:eastAsia="Arial Unicode MS"/>
          <w:noProof/>
        </w:rPr>
        <w:t>independent authority shall determine a single specific amount, set in accordance with the provisions of Section 1 of this Annex, taking into account the corresponding maximum value set out in the table in Annex VI. The resulting charging structure shall b</w:t>
      </w:r>
      <w:r>
        <w:rPr>
          <w:rFonts w:eastAsia="Arial Unicode MS"/>
          <w:noProof/>
        </w:rPr>
        <w:t>e transparent, made public and available to all users on equal terms.</w:t>
      </w:r>
    </w:p>
    <w:p w:rsidR="007A36AC" w:rsidRDefault="00FE7ACF">
      <w:pPr>
        <w:spacing w:after="0"/>
        <w:rPr>
          <w:rFonts w:eastAsia="Arial Unicode MS"/>
          <w:noProof/>
        </w:rPr>
      </w:pPr>
      <w:r>
        <w:rPr>
          <w:rFonts w:eastAsia="Arial Unicode MS"/>
          <w:noProof/>
        </w:rPr>
        <w:t>The Member State shall publish all of the following in a timely manner before implementing a congestion charge:</w:t>
      </w:r>
    </w:p>
    <w:p w:rsidR="007A36AC" w:rsidRDefault="00FE7ACF">
      <w:pPr>
        <w:spacing w:after="0"/>
        <w:rPr>
          <w:rFonts w:eastAsia="Arial Unicode MS"/>
          <w:noProof/>
        </w:rPr>
      </w:pPr>
      <w:r>
        <w:rPr>
          <w:rFonts w:eastAsia="Arial Unicode MS"/>
          <w:noProof/>
        </w:rPr>
        <w:t>(a)</w:t>
      </w:r>
      <w:r>
        <w:rPr>
          <w:rFonts w:eastAsia="Arial Unicode MS"/>
          <w:noProof/>
        </w:rPr>
        <w:tab/>
        <w:t>all parameters, data and other information necessary to understand how</w:t>
      </w:r>
      <w:r>
        <w:rPr>
          <w:rFonts w:eastAsia="Arial Unicode MS"/>
          <w:noProof/>
        </w:rPr>
        <w:t xml:space="preserve"> the classification of roads and vehicles and determination of periods of application of the charge are established;</w:t>
      </w:r>
    </w:p>
    <w:p w:rsidR="007A36AC" w:rsidRDefault="00FE7ACF">
      <w:pPr>
        <w:spacing w:after="0"/>
        <w:rPr>
          <w:rFonts w:eastAsia="Arial Unicode MS"/>
          <w:noProof/>
        </w:rPr>
      </w:pPr>
      <w:r>
        <w:rPr>
          <w:rFonts w:eastAsia="Arial Unicode MS"/>
          <w:noProof/>
        </w:rPr>
        <w:t>(b)</w:t>
      </w:r>
      <w:r>
        <w:rPr>
          <w:rFonts w:eastAsia="Arial Unicode MS"/>
          <w:noProof/>
        </w:rPr>
        <w:tab/>
        <w:t xml:space="preserve">the complete description of congestion charges applying to each vehicle category on each road segment and for each time period. </w:t>
      </w:r>
    </w:p>
    <w:p w:rsidR="007A36AC" w:rsidRDefault="00FE7ACF">
      <w:pPr>
        <w:spacing w:after="0"/>
        <w:rPr>
          <w:rFonts w:eastAsia="Arial Unicode MS"/>
          <w:noProof/>
        </w:rPr>
      </w:pPr>
      <w:r>
        <w:rPr>
          <w:rFonts w:eastAsia="Arial Unicode MS"/>
          <w:noProof/>
        </w:rPr>
        <w:t>Member</w:t>
      </w:r>
      <w:r>
        <w:rPr>
          <w:rFonts w:eastAsia="Arial Unicode MS"/>
          <w:noProof/>
        </w:rPr>
        <w:t xml:space="preserve"> States shall make available to the Commission all information to be published pursuant to points (a) and (b).</w:t>
      </w:r>
    </w:p>
    <w:p w:rsidR="007A36AC" w:rsidRDefault="00FE7ACF">
      <w:pPr>
        <w:spacing w:after="0"/>
        <w:rPr>
          <w:rFonts w:eastAsia="Arial Unicode MS"/>
          <w:noProof/>
        </w:rPr>
      </w:pPr>
      <w:r>
        <w:rPr>
          <w:rFonts w:eastAsia="Arial Unicode MS"/>
          <w:noProof/>
        </w:rPr>
        <w:t>The charge shall be set only after having considered the risk of traffic diversion together with any adverse effects on road safety, the environm</w:t>
      </w:r>
      <w:r>
        <w:rPr>
          <w:rFonts w:eastAsia="Arial Unicode MS"/>
          <w:noProof/>
        </w:rPr>
        <w:t>ent and congestion, and any solutions to mitigate these risks.</w:t>
      </w:r>
    </w:p>
    <w:p w:rsidR="007A36AC" w:rsidRDefault="00FE7ACF">
      <w:pPr>
        <w:spacing w:after="0"/>
        <w:rPr>
          <w:rFonts w:eastAsia="Arial Unicode MS"/>
          <w:noProof/>
        </w:rPr>
      </w:pPr>
      <w:r>
        <w:rPr>
          <w:rFonts w:eastAsia="Arial Unicode MS"/>
          <w:noProof/>
        </w:rPr>
        <w:t>The Member State or, where appropriate, an independent authority, shall monitor the effectiveness of the charging scheme in reducing congestion. It shall adjust every year, where appropriate, t</w:t>
      </w:r>
      <w:r>
        <w:rPr>
          <w:rFonts w:eastAsia="Arial Unicode MS"/>
          <w:noProof/>
        </w:rPr>
        <w:t>he charging structure, charging period(s) and the specific amount of the charge set for each given category of vehicle, type of road and period to the changes in transport supply and demand.</w:t>
      </w:r>
    </w:p>
    <w:p w:rsidR="007A36AC" w:rsidRDefault="007A36AC">
      <w:pPr>
        <w:spacing w:before="0" w:after="200" w:line="276" w:lineRule="auto"/>
        <w:jc w:val="left"/>
        <w:rPr>
          <w:rFonts w:eastAsia="Arial Unicode MS"/>
          <w:noProof/>
        </w:rPr>
      </w:pPr>
    </w:p>
    <w:p w:rsidR="007A36AC" w:rsidRDefault="00FE7ACF">
      <w:pPr>
        <w:jc w:val="center"/>
        <w:rPr>
          <w:rFonts w:eastAsia="Arial Unicode MS"/>
          <w:i/>
          <w:iCs/>
          <w:noProof/>
        </w:rPr>
      </w:pPr>
      <w:r>
        <w:rPr>
          <w:rFonts w:eastAsia="Arial Unicode MS"/>
          <w:i/>
          <w:iCs/>
          <w:noProof/>
        </w:rPr>
        <w:t>ANNEX VI</w:t>
      </w:r>
    </w:p>
    <w:p w:rsidR="007A36AC" w:rsidRDefault="00FE7ACF">
      <w:pPr>
        <w:spacing w:after="0"/>
        <w:jc w:val="center"/>
        <w:rPr>
          <w:rFonts w:eastAsia="Arial Unicode MS"/>
          <w:b/>
          <w:bCs/>
          <w:noProof/>
        </w:rPr>
      </w:pPr>
      <w:r>
        <w:rPr>
          <w:rFonts w:eastAsia="Arial Unicode MS"/>
          <w:b/>
          <w:bCs/>
          <w:noProof/>
        </w:rPr>
        <w:t>MAXIMUM LEVEL OF CONGESTION CHARGE</w:t>
      </w:r>
    </w:p>
    <w:p w:rsidR="007A36AC" w:rsidRDefault="00FE7ACF">
      <w:pPr>
        <w:spacing w:after="0"/>
        <w:rPr>
          <w:rFonts w:eastAsia="Arial Unicode MS"/>
          <w:noProof/>
        </w:rPr>
      </w:pPr>
      <w:r>
        <w:rPr>
          <w:rFonts w:eastAsia="Arial Unicode MS"/>
          <w:noProof/>
        </w:rPr>
        <w:t xml:space="preserve">This Annex sets out </w:t>
      </w:r>
      <w:r>
        <w:rPr>
          <w:rFonts w:eastAsia="Arial Unicode MS"/>
          <w:noProof/>
        </w:rPr>
        <w:t>the maximum level of congestion charge.</w:t>
      </w:r>
    </w:p>
    <w:p w:rsidR="007A36AC" w:rsidRDefault="00FE7ACF">
      <w:pPr>
        <w:spacing w:after="0"/>
        <w:rPr>
          <w:rFonts w:eastAsia="Arial Unicode MS"/>
          <w:noProof/>
        </w:rPr>
      </w:pPr>
      <w:r>
        <w:rPr>
          <w:rFonts w:eastAsia="Arial Unicode MS"/>
          <w:noProof/>
        </w:rPr>
        <w:t>The maximum levels provided for in the table below shall be applied to light duty vehicles. Charges for other vehicle categories shall be established by multiplying the charge applied to light duty vehicles by the eq</w:t>
      </w:r>
      <w:r>
        <w:rPr>
          <w:rFonts w:eastAsia="Arial Unicode MS"/>
          <w:noProof/>
        </w:rPr>
        <w:t>uivalence factors provided in the table in Annex V.</w:t>
      </w:r>
    </w:p>
    <w:tbl>
      <w:tblPr>
        <w:tblpPr w:leftFromText="180" w:rightFromText="180" w:vertAnchor="text" w:horzAnchor="page" w:tblpX="1903" w:tblpY="709"/>
        <w:tblW w:w="6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2001"/>
        <w:gridCol w:w="2567"/>
      </w:tblGrid>
      <w:tr w:rsidR="007A36AC">
        <w:tc>
          <w:tcPr>
            <w:tcW w:w="1523" w:type="pct"/>
          </w:tcPr>
          <w:p w:rsidR="007A36AC" w:rsidRDefault="00FE7ACF">
            <w:pPr>
              <w:spacing w:before="100" w:beforeAutospacing="1" w:after="100" w:afterAutospacing="1"/>
              <w:jc w:val="center"/>
              <w:rPr>
                <w:b/>
                <w:bCs/>
                <w:noProof/>
                <w:lang w:val="fr-FR"/>
              </w:rPr>
            </w:pPr>
            <w:r>
              <w:rPr>
                <w:b/>
                <w:bCs/>
                <w:noProof/>
                <w:lang w:val="fr-FR"/>
              </w:rPr>
              <w:t>cent/vehicle-kilometre</w:t>
            </w:r>
          </w:p>
        </w:tc>
        <w:tc>
          <w:tcPr>
            <w:tcW w:w="1523" w:type="pct"/>
            <w:hideMark/>
          </w:tcPr>
          <w:p w:rsidR="007A36AC" w:rsidRDefault="00FE7ACF">
            <w:pPr>
              <w:spacing w:before="100" w:beforeAutospacing="1" w:after="100" w:afterAutospacing="1"/>
              <w:jc w:val="center"/>
              <w:rPr>
                <w:b/>
                <w:noProof/>
                <w:lang w:val="fr-FR"/>
              </w:rPr>
            </w:pPr>
            <w:r>
              <w:rPr>
                <w:b/>
                <w:bCs/>
                <w:noProof/>
                <w:lang w:val="fr-FR"/>
              </w:rPr>
              <w:t>Metropolitan</w:t>
            </w:r>
          </w:p>
        </w:tc>
        <w:tc>
          <w:tcPr>
            <w:tcW w:w="1954" w:type="pct"/>
            <w:hideMark/>
          </w:tcPr>
          <w:p w:rsidR="007A36AC" w:rsidRDefault="00FE7ACF">
            <w:pPr>
              <w:spacing w:before="100" w:beforeAutospacing="1" w:after="100" w:afterAutospacing="1"/>
              <w:jc w:val="center"/>
              <w:rPr>
                <w:b/>
                <w:noProof/>
                <w:lang w:val="fr-FR"/>
              </w:rPr>
            </w:pPr>
            <w:r>
              <w:rPr>
                <w:b/>
                <w:bCs/>
                <w:noProof/>
                <w:lang w:val="fr-FR"/>
              </w:rPr>
              <w:t>Non-metropolitan</w:t>
            </w:r>
          </w:p>
        </w:tc>
      </w:tr>
      <w:tr w:rsidR="007A36AC">
        <w:tc>
          <w:tcPr>
            <w:tcW w:w="1523" w:type="pct"/>
          </w:tcPr>
          <w:p w:rsidR="007A36AC" w:rsidRDefault="00FE7ACF">
            <w:pPr>
              <w:spacing w:before="100" w:beforeAutospacing="1" w:after="100" w:afterAutospacing="1"/>
              <w:jc w:val="center"/>
              <w:rPr>
                <w:noProof/>
                <w:lang w:val="fr-FR"/>
              </w:rPr>
            </w:pPr>
            <w:r>
              <w:rPr>
                <w:noProof/>
                <w:lang w:val="fr-FR"/>
              </w:rPr>
              <w:t>Motorways</w:t>
            </w:r>
          </w:p>
        </w:tc>
        <w:tc>
          <w:tcPr>
            <w:tcW w:w="1523" w:type="pct"/>
            <w:hideMark/>
          </w:tcPr>
          <w:p w:rsidR="007A36AC" w:rsidRDefault="00FE7ACF">
            <w:pPr>
              <w:spacing w:before="100" w:beforeAutospacing="1" w:after="100" w:afterAutospacing="1"/>
              <w:jc w:val="center"/>
              <w:rPr>
                <w:noProof/>
                <w:lang w:val="fr-FR"/>
              </w:rPr>
            </w:pPr>
            <w:r>
              <w:rPr>
                <w:noProof/>
                <w:lang w:val="fr-FR"/>
              </w:rPr>
              <w:t>67</w:t>
            </w:r>
          </w:p>
        </w:tc>
        <w:tc>
          <w:tcPr>
            <w:tcW w:w="1954" w:type="pct"/>
            <w:hideMark/>
          </w:tcPr>
          <w:p w:rsidR="007A36AC" w:rsidRDefault="00FE7ACF">
            <w:pPr>
              <w:spacing w:before="100" w:beforeAutospacing="1" w:after="100" w:afterAutospacing="1"/>
              <w:jc w:val="center"/>
              <w:rPr>
                <w:noProof/>
                <w:lang w:val="fr-FR"/>
              </w:rPr>
            </w:pPr>
            <w:r>
              <w:rPr>
                <w:noProof/>
                <w:lang w:val="fr-FR"/>
              </w:rPr>
              <w:t>34</w:t>
            </w:r>
          </w:p>
        </w:tc>
      </w:tr>
      <w:tr w:rsidR="007A36AC">
        <w:tc>
          <w:tcPr>
            <w:tcW w:w="1523" w:type="pct"/>
          </w:tcPr>
          <w:p w:rsidR="007A36AC" w:rsidRDefault="00FE7ACF">
            <w:pPr>
              <w:spacing w:before="100" w:beforeAutospacing="1" w:after="100" w:afterAutospacing="1"/>
              <w:jc w:val="center"/>
              <w:rPr>
                <w:noProof/>
                <w:lang w:val="fr-FR"/>
              </w:rPr>
            </w:pPr>
            <w:r>
              <w:rPr>
                <w:noProof/>
                <w:lang w:val="fr-FR"/>
              </w:rPr>
              <w:t>Main roads</w:t>
            </w:r>
          </w:p>
        </w:tc>
        <w:tc>
          <w:tcPr>
            <w:tcW w:w="1523" w:type="pct"/>
          </w:tcPr>
          <w:p w:rsidR="007A36AC" w:rsidRDefault="00FE7ACF">
            <w:pPr>
              <w:spacing w:before="100" w:beforeAutospacing="1" w:after="100" w:afterAutospacing="1"/>
              <w:jc w:val="center"/>
              <w:rPr>
                <w:noProof/>
                <w:lang w:val="fr-FR"/>
              </w:rPr>
            </w:pPr>
            <w:r>
              <w:rPr>
                <w:noProof/>
                <w:lang w:val="fr-FR"/>
              </w:rPr>
              <w:t>198</w:t>
            </w:r>
          </w:p>
        </w:tc>
        <w:tc>
          <w:tcPr>
            <w:tcW w:w="1954" w:type="pct"/>
          </w:tcPr>
          <w:p w:rsidR="007A36AC" w:rsidRDefault="00FE7ACF">
            <w:pPr>
              <w:spacing w:before="100" w:beforeAutospacing="1" w:after="100" w:afterAutospacing="1"/>
              <w:jc w:val="center"/>
              <w:rPr>
                <w:noProof/>
                <w:lang w:val="fr-FR"/>
              </w:rPr>
            </w:pPr>
            <w:r>
              <w:rPr>
                <w:noProof/>
                <w:lang w:val="fr-FR"/>
              </w:rPr>
              <w:t>66</w:t>
            </w:r>
          </w:p>
        </w:tc>
      </w:tr>
    </w:tbl>
    <w:p w:rsidR="007A36AC" w:rsidRDefault="00FE7ACF">
      <w:pPr>
        <w:spacing w:before="240" w:after="0"/>
        <w:ind w:left="806" w:hanging="403"/>
        <w:rPr>
          <w:rFonts w:eastAsia="Arial Unicode MS"/>
          <w:i/>
          <w:noProof/>
        </w:rPr>
      </w:pPr>
      <w:r>
        <w:rPr>
          <w:rFonts w:eastAsia="Arial Unicode MS"/>
          <w:i/>
          <w:noProof/>
        </w:rPr>
        <w:t>Table: Maximum level of congestion charge for light duty vehicles</w:t>
      </w:r>
    </w:p>
    <w:p w:rsidR="007A36AC" w:rsidRDefault="007A36AC">
      <w:pPr>
        <w:spacing w:before="100" w:beforeAutospacing="1" w:after="0"/>
        <w:ind w:left="806" w:hanging="403"/>
        <w:rPr>
          <w:rFonts w:eastAsia="Arial Unicode MS"/>
          <w:i/>
          <w:noProof/>
        </w:rPr>
      </w:pPr>
    </w:p>
    <w:p w:rsidR="007A36AC" w:rsidRDefault="007A36AC">
      <w:pPr>
        <w:spacing w:before="100" w:beforeAutospacing="1" w:after="0"/>
        <w:ind w:left="806" w:hanging="403"/>
        <w:rPr>
          <w:rFonts w:eastAsia="Arial Unicode MS"/>
          <w:i/>
          <w:iCs/>
          <w:noProof/>
        </w:rPr>
      </w:pPr>
    </w:p>
    <w:p w:rsidR="007A36AC" w:rsidRDefault="007A36AC">
      <w:pPr>
        <w:jc w:val="center"/>
        <w:rPr>
          <w:rFonts w:eastAsia="Arial Unicode MS"/>
          <w:i/>
          <w:iCs/>
          <w:noProof/>
        </w:rPr>
      </w:pPr>
    </w:p>
    <w:p w:rsidR="007A36AC" w:rsidRDefault="00FE7ACF">
      <w:pPr>
        <w:spacing w:before="0" w:after="200" w:line="276" w:lineRule="auto"/>
        <w:jc w:val="left"/>
        <w:rPr>
          <w:rFonts w:eastAsia="Arial Unicode MS"/>
          <w:i/>
          <w:iCs/>
          <w:noProof/>
        </w:rPr>
      </w:pPr>
      <w:r>
        <w:rPr>
          <w:rFonts w:eastAsia="Arial Unicode MS"/>
          <w:i/>
          <w:iCs/>
          <w:noProof/>
        </w:rPr>
        <w:br w:type="page"/>
      </w:r>
    </w:p>
    <w:p w:rsidR="007A36AC" w:rsidRDefault="00FE7ACF">
      <w:pPr>
        <w:jc w:val="center"/>
        <w:rPr>
          <w:rFonts w:eastAsia="Arial Unicode MS"/>
          <w:i/>
          <w:iCs/>
          <w:noProof/>
        </w:rPr>
      </w:pPr>
      <w:r>
        <w:rPr>
          <w:rFonts w:eastAsia="Arial Unicode MS"/>
          <w:i/>
          <w:iCs/>
          <w:noProof/>
        </w:rPr>
        <w:t>ANNEX VII</w:t>
      </w:r>
    </w:p>
    <w:p w:rsidR="007A36AC" w:rsidRDefault="00FE7ACF">
      <w:pPr>
        <w:spacing w:after="0"/>
        <w:jc w:val="center"/>
        <w:rPr>
          <w:rFonts w:eastAsia="Arial Unicode MS"/>
          <w:b/>
          <w:bCs/>
          <w:noProof/>
        </w:rPr>
      </w:pPr>
      <w:r>
        <w:rPr>
          <w:rFonts w:eastAsia="Arial Unicode MS"/>
          <w:b/>
          <w:bCs/>
          <w:noProof/>
        </w:rPr>
        <w:t xml:space="preserve">VARIATION OF TOLLS AND USER </w:t>
      </w:r>
      <w:r>
        <w:rPr>
          <w:rFonts w:eastAsia="Arial Unicode MS"/>
          <w:b/>
          <w:bCs/>
          <w:noProof/>
        </w:rPr>
        <w:t>CHARGES FOR LIGHT DUTY VEHICLES</w:t>
      </w:r>
    </w:p>
    <w:p w:rsidR="007A36AC" w:rsidRDefault="007A36AC">
      <w:pPr>
        <w:spacing w:after="0"/>
        <w:rPr>
          <w:rFonts w:eastAsia="Arial Unicode MS"/>
          <w:noProof/>
        </w:rPr>
      </w:pPr>
    </w:p>
    <w:p w:rsidR="007A36AC" w:rsidRDefault="00FE7ACF">
      <w:pPr>
        <w:spacing w:after="0"/>
        <w:rPr>
          <w:rFonts w:eastAsia="Arial Unicode MS"/>
          <w:noProof/>
        </w:rPr>
      </w:pPr>
      <w:r>
        <w:rPr>
          <w:rFonts w:eastAsia="Arial Unicode MS"/>
          <w:noProof/>
        </w:rPr>
        <w:t>This Annex specifies the emission categories according to which tolls and user charges shall be differentiated.</w:t>
      </w:r>
    </w:p>
    <w:p w:rsidR="007A36AC" w:rsidRDefault="00FE7ACF">
      <w:pPr>
        <w:spacing w:after="0"/>
        <w:rPr>
          <w:rFonts w:eastAsia="Arial Unicode MS"/>
          <w:noProof/>
        </w:rPr>
      </w:pPr>
      <w:r>
        <w:rPr>
          <w:rFonts w:eastAsia="Arial Unicode MS"/>
          <w:noProof/>
        </w:rPr>
        <w:t xml:space="preserve">Pollutant emissions shall be measured in accordance with Commission Regulation (EU) </w:t>
      </w:r>
      <w:r>
        <w:rPr>
          <w:noProof/>
        </w:rPr>
        <w:t>…/…*</w:t>
      </w:r>
      <w:r>
        <w:rPr>
          <w:rFonts w:eastAsia="Arial Unicode MS"/>
          <w:noProof/>
        </w:rPr>
        <w:t>.</w:t>
      </w:r>
    </w:p>
    <w:p w:rsidR="007A36AC" w:rsidRDefault="00FE7ACF">
      <w:pPr>
        <w:spacing w:after="0"/>
        <w:rPr>
          <w:rFonts w:eastAsia="Arial Unicode MS"/>
          <w:noProof/>
        </w:rPr>
      </w:pPr>
      <w:r>
        <w:rPr>
          <w:rFonts w:eastAsia="Arial Unicode MS"/>
          <w:noProof/>
        </w:rPr>
        <w:t>The lower rates shall</w:t>
      </w:r>
      <w:r>
        <w:rPr>
          <w:rFonts w:eastAsia="Arial Unicode MS"/>
          <w:noProof/>
        </w:rPr>
        <w:t xml:space="preserve"> apply for any passenger car and light commercial vehicle with specific CO</w:t>
      </w:r>
      <w:r>
        <w:rPr>
          <w:rFonts w:eastAsia="Arial Unicode MS"/>
          <w:noProof/>
          <w:vertAlign w:val="subscript"/>
        </w:rPr>
        <w:t>2</w:t>
      </w:r>
      <w:r>
        <w:rPr>
          <w:rFonts w:eastAsia="Arial Unicode MS"/>
          <w:noProof/>
        </w:rPr>
        <w:t xml:space="preserve"> emissions, as measured in accordance with Regulation (EC) No 715/2007of the European Parliament and of the Council**, that are below the levels corresponding to the applicable EU f</w:t>
      </w:r>
      <w:r>
        <w:rPr>
          <w:rFonts w:eastAsia="Arial Unicode MS"/>
          <w:noProof/>
        </w:rPr>
        <w:t>leet wide targets set out in Regulation (EC) No 443/2009of the European Parliament and of the Council*** and Regulation (EU) No 510/2011of the European Parliament and of the Council****.</w:t>
      </w:r>
    </w:p>
    <w:p w:rsidR="007A36AC" w:rsidRDefault="00FE7ACF">
      <w:pPr>
        <w:spacing w:after="0"/>
        <w:rPr>
          <w:rFonts w:eastAsia="Arial Unicode MS"/>
          <w:i/>
          <w:noProof/>
        </w:rPr>
      </w:pPr>
      <w:r>
        <w:rPr>
          <w:rFonts w:eastAsia="Arial Unicode MS"/>
          <w:i/>
          <w:noProof/>
        </w:rPr>
        <w:t>Table: emission categories of light duty vehicles</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1888"/>
        <w:gridCol w:w="1889"/>
        <w:gridCol w:w="1801"/>
        <w:gridCol w:w="1801"/>
      </w:tblGrid>
      <w:tr w:rsidR="007A36AC">
        <w:trPr>
          <w:trHeight w:val="832"/>
        </w:trPr>
        <w:tc>
          <w:tcPr>
            <w:tcW w:w="981" w:type="pct"/>
            <w:shd w:val="clear" w:color="auto" w:fill="FFFFFF" w:themeFill="background1"/>
            <w:vAlign w:val="center"/>
          </w:tcPr>
          <w:p w:rsidR="007A36AC" w:rsidRDefault="00FE7ACF">
            <w:pPr>
              <w:spacing w:before="100" w:beforeAutospacing="1" w:after="100" w:afterAutospacing="1"/>
              <w:jc w:val="center"/>
              <w:rPr>
                <w:b/>
                <w:noProof/>
              </w:rPr>
            </w:pPr>
            <w:r>
              <w:rPr>
                <w:b/>
                <w:noProof/>
              </w:rPr>
              <w:t>Conformity factor</w:t>
            </w:r>
          </w:p>
        </w:tc>
        <w:tc>
          <w:tcPr>
            <w:tcW w:w="1028" w:type="pct"/>
            <w:shd w:val="clear" w:color="auto" w:fill="FFFFFF" w:themeFill="background1"/>
            <w:vAlign w:val="center"/>
          </w:tcPr>
          <w:p w:rsidR="007A36AC" w:rsidRDefault="00FE7ACF">
            <w:pPr>
              <w:spacing w:before="100" w:beforeAutospacing="1" w:after="100" w:afterAutospacing="1"/>
              <w:jc w:val="center"/>
              <w:rPr>
                <w:b/>
                <w:noProof/>
              </w:rPr>
            </w:pPr>
            <w:r>
              <w:rPr>
                <w:b/>
                <w:noProof/>
              </w:rPr>
              <w:t>1.5-2.1</w:t>
            </w:r>
          </w:p>
        </w:tc>
        <w:tc>
          <w:tcPr>
            <w:tcW w:w="1029" w:type="pct"/>
            <w:shd w:val="clear" w:color="auto" w:fill="FFFFFF" w:themeFill="background1"/>
            <w:vAlign w:val="center"/>
          </w:tcPr>
          <w:p w:rsidR="007A36AC" w:rsidRDefault="00FE7ACF">
            <w:pPr>
              <w:spacing w:before="100" w:beforeAutospacing="1" w:after="100" w:afterAutospacing="1"/>
              <w:jc w:val="center"/>
              <w:rPr>
                <w:b/>
                <w:noProof/>
              </w:rPr>
            </w:pPr>
            <w:r>
              <w:rPr>
                <w:b/>
                <w:noProof/>
              </w:rPr>
              <w:t>1-1.5</w:t>
            </w:r>
          </w:p>
        </w:tc>
        <w:tc>
          <w:tcPr>
            <w:tcW w:w="981" w:type="pct"/>
            <w:shd w:val="clear" w:color="auto" w:fill="FFFFFF" w:themeFill="background1"/>
            <w:vAlign w:val="center"/>
          </w:tcPr>
          <w:p w:rsidR="007A36AC" w:rsidRDefault="00FE7ACF">
            <w:pPr>
              <w:spacing w:before="100" w:beforeAutospacing="1" w:after="100" w:afterAutospacing="1"/>
              <w:jc w:val="center"/>
              <w:rPr>
                <w:b/>
                <w:noProof/>
              </w:rPr>
            </w:pPr>
            <w:r>
              <w:rPr>
                <w:b/>
                <w:noProof/>
              </w:rPr>
              <w:t>below 1</w:t>
            </w:r>
          </w:p>
        </w:tc>
        <w:tc>
          <w:tcPr>
            <w:tcW w:w="981" w:type="pct"/>
            <w:shd w:val="clear" w:color="auto" w:fill="FFFFFF" w:themeFill="background1"/>
            <w:vAlign w:val="center"/>
          </w:tcPr>
          <w:p w:rsidR="007A36AC" w:rsidRDefault="00FE7ACF">
            <w:pPr>
              <w:spacing w:before="100" w:beforeAutospacing="1" w:after="100" w:afterAutospacing="1"/>
              <w:jc w:val="center"/>
              <w:rPr>
                <w:b/>
                <w:noProof/>
              </w:rPr>
            </w:pPr>
            <w:r>
              <w:rPr>
                <w:b/>
                <w:noProof/>
              </w:rPr>
              <w:t>Zero-emission vehicles</w:t>
            </w:r>
          </w:p>
        </w:tc>
      </w:tr>
      <w:tr w:rsidR="007A36AC">
        <w:trPr>
          <w:trHeight w:val="832"/>
        </w:trPr>
        <w:tc>
          <w:tcPr>
            <w:tcW w:w="981" w:type="pct"/>
            <w:vAlign w:val="center"/>
          </w:tcPr>
          <w:p w:rsidR="007A36AC" w:rsidRDefault="00FE7ACF">
            <w:pPr>
              <w:spacing w:before="100" w:beforeAutospacing="1" w:after="100" w:afterAutospacing="1"/>
              <w:jc w:val="center"/>
              <w:rPr>
                <w:b/>
                <w:noProof/>
              </w:rPr>
            </w:pPr>
            <w:r>
              <w:rPr>
                <w:b/>
                <w:noProof/>
              </w:rPr>
              <w:t>Charge per km</w:t>
            </w:r>
          </w:p>
        </w:tc>
        <w:tc>
          <w:tcPr>
            <w:tcW w:w="1028" w:type="pct"/>
            <w:shd w:val="clear" w:color="auto" w:fill="FFFFFF"/>
            <w:vAlign w:val="center"/>
          </w:tcPr>
          <w:p w:rsidR="007A36AC" w:rsidRDefault="00FE7ACF">
            <w:pPr>
              <w:spacing w:before="100" w:beforeAutospacing="1" w:after="100" w:afterAutospacing="1"/>
              <w:jc w:val="center"/>
              <w:rPr>
                <w:noProof/>
              </w:rPr>
            </w:pPr>
            <w:r>
              <w:rPr>
                <w:noProof/>
              </w:rPr>
              <w:t>10% below highest rate</w:t>
            </w:r>
          </w:p>
        </w:tc>
        <w:tc>
          <w:tcPr>
            <w:tcW w:w="1029" w:type="pct"/>
            <w:vAlign w:val="center"/>
          </w:tcPr>
          <w:p w:rsidR="007A36AC" w:rsidRDefault="00FE7ACF">
            <w:pPr>
              <w:spacing w:before="100" w:beforeAutospacing="1" w:after="100" w:afterAutospacing="1"/>
              <w:jc w:val="center"/>
              <w:rPr>
                <w:noProof/>
              </w:rPr>
            </w:pPr>
            <w:r>
              <w:rPr>
                <w:noProof/>
              </w:rPr>
              <w:t>20% below highest rate</w:t>
            </w:r>
          </w:p>
        </w:tc>
        <w:tc>
          <w:tcPr>
            <w:tcW w:w="981" w:type="pct"/>
            <w:vAlign w:val="center"/>
          </w:tcPr>
          <w:p w:rsidR="007A36AC" w:rsidRDefault="00FE7ACF">
            <w:pPr>
              <w:spacing w:before="100" w:beforeAutospacing="1" w:after="100" w:afterAutospacing="1"/>
              <w:jc w:val="center"/>
              <w:rPr>
                <w:noProof/>
              </w:rPr>
            </w:pPr>
            <w:r>
              <w:rPr>
                <w:noProof/>
              </w:rPr>
              <w:t>30% below highest rate</w:t>
            </w:r>
          </w:p>
        </w:tc>
        <w:tc>
          <w:tcPr>
            <w:tcW w:w="981" w:type="pct"/>
            <w:vAlign w:val="center"/>
          </w:tcPr>
          <w:p w:rsidR="007A36AC" w:rsidRDefault="00FE7ACF">
            <w:pPr>
              <w:spacing w:before="100" w:beforeAutospacing="1" w:after="100" w:afterAutospacing="1"/>
              <w:jc w:val="center"/>
              <w:rPr>
                <w:noProof/>
              </w:rPr>
            </w:pPr>
            <w:r>
              <w:rPr>
                <w:noProof/>
              </w:rPr>
              <w:t>75% below highest rate</w:t>
            </w:r>
          </w:p>
        </w:tc>
      </w:tr>
    </w:tbl>
    <w:p w:rsidR="007A36AC" w:rsidRDefault="007A36AC">
      <w:pPr>
        <w:adjustRightInd w:val="0"/>
        <w:spacing w:before="0" w:after="0"/>
        <w:jc w:val="left"/>
        <w:rPr>
          <w:noProof/>
        </w:rPr>
      </w:pPr>
    </w:p>
    <w:p w:rsidR="007A36AC" w:rsidRDefault="00FE7ACF">
      <w:pPr>
        <w:adjustRightInd w:val="0"/>
        <w:spacing w:before="0" w:after="0"/>
        <w:jc w:val="left"/>
        <w:rPr>
          <w:noProof/>
        </w:rPr>
      </w:pPr>
      <w:r>
        <w:rPr>
          <w:noProof/>
        </w:rPr>
        <w:t>__________________</w:t>
      </w:r>
    </w:p>
    <w:p w:rsidR="007A36AC" w:rsidRDefault="007A36AC">
      <w:pPr>
        <w:adjustRightInd w:val="0"/>
        <w:spacing w:before="0" w:after="0"/>
        <w:jc w:val="left"/>
        <w:rPr>
          <w:noProof/>
        </w:rPr>
      </w:pPr>
    </w:p>
    <w:p w:rsidR="007A36AC" w:rsidRDefault="00FE7ACF">
      <w:pPr>
        <w:adjustRightInd w:val="0"/>
        <w:spacing w:before="0" w:after="0"/>
        <w:ind w:left="720" w:hanging="720"/>
        <w:jc w:val="left"/>
        <w:rPr>
          <w:noProof/>
        </w:rPr>
      </w:pPr>
      <w:r>
        <w:rPr>
          <w:noProof/>
        </w:rPr>
        <w:t>*</w:t>
      </w:r>
      <w:r>
        <w:rPr>
          <w:noProof/>
        </w:rPr>
        <w:tab/>
        <w:t xml:space="preserve">COMMISSION REGULATION (EU) …/… of XXX amending Commission Regulation (EU) </w:t>
      </w:r>
      <w:r>
        <w:rPr>
          <w:noProof/>
        </w:rPr>
        <w:t>2017/xxx and Directive 2007/46/EC of the European Parliament and of the Council as regards real-driving emissions from light passenger and commercial vehicles (Euro 6) [RDE 3] (OJ L …, ……..2017, p. …).</w:t>
      </w:r>
    </w:p>
    <w:p w:rsidR="007A36AC" w:rsidRDefault="00FE7ACF">
      <w:pPr>
        <w:adjustRightInd w:val="0"/>
        <w:spacing w:before="0" w:after="0"/>
        <w:ind w:left="720" w:hanging="720"/>
        <w:jc w:val="left"/>
        <w:rPr>
          <w:noProof/>
        </w:rPr>
      </w:pPr>
      <w:r>
        <w:rPr>
          <w:noProof/>
        </w:rPr>
        <w:t>**</w:t>
      </w:r>
      <w:r>
        <w:rPr>
          <w:noProof/>
        </w:rPr>
        <w:tab/>
        <w:t>Regulation (EC) No 715/2007 of the European Parliam</w:t>
      </w:r>
      <w:r>
        <w:rPr>
          <w:noProof/>
        </w:rPr>
        <w:t>ent and of the Council of 20 June 2007 on type approval of motor vehicles with respect to emissions from light passenger and commercial vehicles (Euro 5 and Euro 6) and on access to vehicle repair and maintenance information (OJ L 171, 29.6.2007, p. 1).</w:t>
      </w:r>
    </w:p>
    <w:p w:rsidR="007A36AC" w:rsidRDefault="00FE7ACF">
      <w:pPr>
        <w:adjustRightInd w:val="0"/>
        <w:spacing w:before="0" w:after="0"/>
        <w:ind w:left="720" w:hanging="720"/>
        <w:jc w:val="left"/>
        <w:rPr>
          <w:noProof/>
        </w:rPr>
      </w:pPr>
      <w:r>
        <w:rPr>
          <w:noProof/>
        </w:rPr>
        <w:t>**</w:t>
      </w:r>
      <w:r>
        <w:rPr>
          <w:noProof/>
        </w:rPr>
        <w:t>*</w:t>
      </w:r>
      <w:r>
        <w:rPr>
          <w:noProof/>
        </w:rPr>
        <w:tab/>
        <w:t xml:space="preserve">Regulation (EC) No 443/2009 of the European Parliament and of the Council of 23 April 2009 setting emission performance standards for new passenger cars as part of the Community's integrated approach to reduce CO 2 emissions from light-duty vehicles (OJ </w:t>
      </w:r>
      <w:r>
        <w:rPr>
          <w:noProof/>
        </w:rPr>
        <w:t>L 140, 5.6.2009, p. 1).</w:t>
      </w:r>
    </w:p>
    <w:p w:rsidR="007A36AC" w:rsidRDefault="00FE7ACF">
      <w:pPr>
        <w:adjustRightInd w:val="0"/>
        <w:spacing w:before="0" w:after="0"/>
        <w:ind w:left="720" w:hanging="720"/>
        <w:jc w:val="left"/>
        <w:rPr>
          <w:noProof/>
        </w:rPr>
      </w:pPr>
      <w:r>
        <w:rPr>
          <w:noProof/>
        </w:rPr>
        <w:t>****</w:t>
      </w:r>
      <w:r>
        <w:rPr>
          <w:noProof/>
        </w:rPr>
        <w:tab/>
        <w:t>Regulation (EC) No 443/2009 of the European Parliament and of the Council of 23 April 2009 setting emission performance standards for new passenger cars as part of the Community's integrated approach to reduce CO 2 emissions fr</w:t>
      </w:r>
      <w:r>
        <w:rPr>
          <w:noProof/>
        </w:rPr>
        <w:t>om light-duty vehicles (OJ L 140, 5.6.2009, p. 1).'.</w:t>
      </w:r>
    </w:p>
    <w:sectPr w:rsidR="007A36AC" w:rsidSect="00FE7ACF">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6AC" w:rsidRDefault="00FE7ACF">
      <w:pPr>
        <w:spacing w:before="0" w:after="0"/>
      </w:pPr>
      <w:r>
        <w:separator/>
      </w:r>
    </w:p>
  </w:endnote>
  <w:endnote w:type="continuationSeparator" w:id="0">
    <w:p w:rsidR="007A36AC" w:rsidRDefault="00FE7A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ACF" w:rsidRPr="00FE7ACF" w:rsidRDefault="00FE7ACF" w:rsidP="00FE7A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ACF" w:rsidRPr="00FE7ACF" w:rsidRDefault="00FE7ACF" w:rsidP="00FE7ACF">
    <w:pPr>
      <w:pStyle w:val="Footer"/>
      <w:rPr>
        <w:rFonts w:ascii="Arial" w:hAnsi="Arial" w:cs="Arial"/>
        <w:b/>
        <w:sz w:val="48"/>
      </w:rPr>
    </w:pPr>
    <w:r w:rsidRPr="00FE7ACF">
      <w:rPr>
        <w:rFonts w:ascii="Arial" w:hAnsi="Arial" w:cs="Arial"/>
        <w:b/>
        <w:sz w:val="48"/>
      </w:rPr>
      <w:t>EN</w:t>
    </w:r>
    <w:r w:rsidRPr="00FE7ACF">
      <w:rPr>
        <w:rFonts w:ascii="Arial" w:hAnsi="Arial" w:cs="Arial"/>
        <w:b/>
        <w:sz w:val="48"/>
      </w:rPr>
      <w:tab/>
    </w:r>
    <w:r w:rsidRPr="00FE7ACF">
      <w:rPr>
        <w:rFonts w:ascii="Arial" w:hAnsi="Arial" w:cs="Arial"/>
        <w:b/>
        <w:sz w:val="48"/>
      </w:rPr>
      <w:tab/>
    </w:r>
    <w:fldSimple w:instr=" DOCVARIABLE &quot;LW_Confidence&quot; \* MERGEFORMAT ">
      <w:r>
        <w:t xml:space="preserve"> </w:t>
      </w:r>
    </w:fldSimple>
    <w:r w:rsidRPr="00FE7ACF">
      <w:tab/>
    </w:r>
    <w:r w:rsidRPr="00FE7ACF">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ACF" w:rsidRPr="00FE7ACF" w:rsidRDefault="00FE7ACF" w:rsidP="00FE7A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ACF" w:rsidRPr="00FE7ACF" w:rsidRDefault="00FE7ACF" w:rsidP="00FE7ACF">
    <w:pPr>
      <w:pStyle w:val="Footer"/>
      <w:rPr>
        <w:rFonts w:ascii="Arial" w:hAnsi="Arial" w:cs="Arial"/>
        <w:b/>
        <w:sz w:val="48"/>
      </w:rPr>
    </w:pPr>
    <w:r w:rsidRPr="00FE7ACF">
      <w:rPr>
        <w:rFonts w:ascii="Arial" w:hAnsi="Arial" w:cs="Arial"/>
        <w:b/>
        <w:sz w:val="48"/>
      </w:rPr>
      <w:t>EN</w:t>
    </w:r>
    <w:r w:rsidRPr="00FE7ACF">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FE7ACF">
      <w:tab/>
    </w:r>
    <w:r w:rsidRPr="00FE7ACF">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ACF" w:rsidRPr="00FE7ACF" w:rsidRDefault="00FE7ACF" w:rsidP="00FE7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6AC" w:rsidRDefault="00FE7ACF">
      <w:pPr>
        <w:spacing w:before="0" w:after="0"/>
      </w:pPr>
      <w:r>
        <w:separator/>
      </w:r>
    </w:p>
  </w:footnote>
  <w:footnote w:type="continuationSeparator" w:id="0">
    <w:p w:rsidR="007A36AC" w:rsidRDefault="00FE7AC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ACF" w:rsidRPr="00FE7ACF" w:rsidRDefault="00FE7ACF" w:rsidP="00FE7A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ACF" w:rsidRPr="00FE7ACF" w:rsidRDefault="00FE7ACF" w:rsidP="00FE7A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ACF" w:rsidRPr="00FE7ACF" w:rsidRDefault="00FE7ACF" w:rsidP="00FE7A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3656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CD015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C280316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660EE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2EEE6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BBC7B2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383202"/>
    <w:lvl w:ilvl="0">
      <w:start w:val="1"/>
      <w:numFmt w:val="decimal"/>
      <w:pStyle w:val="ListNumber"/>
      <w:lvlText w:val="%1."/>
      <w:lvlJc w:val="left"/>
      <w:pPr>
        <w:tabs>
          <w:tab w:val="num" w:pos="360"/>
        </w:tabs>
        <w:ind w:left="360" w:hanging="360"/>
      </w:pPr>
    </w:lvl>
  </w:abstractNum>
  <w:abstractNum w:abstractNumId="7">
    <w:nsid w:val="FFFFFF89"/>
    <w:multiLevelType w:val="singleLevel"/>
    <w:tmpl w:val="EC783F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8"/>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isplayBackgroundShape/>
  <w:hideSpellingErrors/>
  <w:hideGrammaticalErrors/>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26 11:20:29"/>
    <w:docVar w:name="DQCResult_Distribution" w:val="1;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1"/>
    <w:docVar w:name="DQCResult_ModifiedMarkers" w:val="0;0"/>
    <w:docVar w:name="DQCResult_ModifiedNumbering" w:val="0;0"/>
    <w:docVar w:name="DQCResult_Objects" w:val="0;0"/>
    <w:docVar w:name="DQCResult_Sections" w:val="0;0"/>
    <w:docVar w:name="DQCResult_StructureCheck" w:val="0;0"/>
    <w:docVar w:name="DQCResult_SuperfluousWhitespace" w:val="0;21"/>
    <w:docVar w:name="DQCResult_UnknownFonts" w:val="0;0"/>
    <w:docVar w:name="DQCResult_UnknownStyles" w:val="0;0"/>
    <w:docVar w:name="DQCStatus" w:val="Red"/>
    <w:docVar w:name="DQCVersion" w:val="3"/>
    <w:docVar w:name="DQCWithWarnings" w:val="0"/>
    <w:docVar w:name="LW_ACCOMPAGNANT.CP" w:val="to the"/>
    <w:docVar w:name="LW_ANNEX_NBR_FIRST" w:val="1"/>
    <w:docVar w:name="LW_ANNEX_NBR_LAST" w:val="1"/>
    <w:docVar w:name="LW_CONFIDENCE" w:val=" "/>
    <w:docVar w:name="LW_CONST_RESTREINT_UE" w:val="RESTREINT UE/EU RESTRICTED"/>
    <w:docVar w:name="LW_CORRIGENDUM" w:val="&lt;UNUSED&gt;"/>
    <w:docVar w:name="LW_COVERPAGE_GUID" w:val="BFDDBEFE614441F3A8C4BFBAF5C8B478"/>
    <w:docVar w:name="LW_CROSSREFERENCE" w:val="{SWD(2017) 180 final}_x000b_{SWD(2017) 181 final}"/>
    <w:docVar w:name="LW_DocType" w:val="ANNEX"/>
    <w:docVar w:name="LW_EMISSION" w:val="31.5.2017"/>
    <w:docVar w:name="LW_EMISSION_ISODATE" w:val="2017-05-31"/>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amending Directive 1999/62/EC on the charging of heavy goods vehicles for the use of certain infrastructures_x000b_(Text with EEA relevance)"/>
    <w:docVar w:name="LW_PART_NBR" w:val="1"/>
    <w:docVar w:name="LW_PART_NBR_TOTAL" w:val="1"/>
    <w:docVar w:name="LW_REF.INST.NEW" w:val="COM"/>
    <w:docVar w:name="LW_REF.INST.NEW_ADOPTED" w:val="final"/>
    <w:docVar w:name="LW_REF.INST.NEW_TEXT" w:val="(2017) 275"/>
    <w:docVar w:name="LW_REF.INTERNE" w:val="&lt;UNUSED&gt;"/>
    <w:docVar w:name="LW_SUPERTITRE" w:val="&lt;UNUSED&gt;"/>
    <w:docVar w:name="LW_TITRE.OBJ.CP" w:val="&lt;UNUSED&gt;"/>
    <w:docVar w:name="LW_TYPE.DOC.CP" w:val="ANNEX"/>
    <w:docVar w:name="LW_TYPEACTEPRINCIPAL.CP" w:val="DIRECTIVE OF THE EUROPEAN PARLIAMENT AND OF THE COUNCIL"/>
  </w:docVars>
  <w:rsids>
    <w:rsidRoot w:val="007A36AC"/>
    <w:rsid w:val="007A36AC"/>
    <w:rsid w:val="00FE7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lang w:val="fr-FR" w:eastAsia="en-GB"/>
    </w:rPr>
  </w:style>
  <w:style w:type="character" w:styleId="Hyperlink">
    <w:name w:val="Hyperlink"/>
    <w:uiPriority w:val="99"/>
    <w:unhideWhenUsed/>
    <w:rPr>
      <w:rFonts w:cs="Times New Roman"/>
      <w:color w:val="0000FF"/>
      <w:u w:val="single"/>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rsid w:val="00FE7ACF"/>
    <w:pPr>
      <w:tabs>
        <w:tab w:val="center" w:pos="4535"/>
        <w:tab w:val="right" w:pos="9071"/>
      </w:tabs>
      <w:spacing w:before="0"/>
    </w:pPr>
  </w:style>
  <w:style w:type="character" w:customStyle="1" w:styleId="HeaderChar">
    <w:name w:val="Header Char"/>
    <w:basedOn w:val="DefaultParagraphFont"/>
    <w:link w:val="Header"/>
    <w:uiPriority w:val="99"/>
    <w:rsid w:val="00FE7ACF"/>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E7ACF"/>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acte">
    <w:name w:val="Annexe titre (acte)"/>
    <w:basedOn w:val="Normal"/>
    <w:next w:val="Normal"/>
    <w:uiPriority w:val="99"/>
    <w:pPr>
      <w:autoSpaceDE w:val="0"/>
      <w:autoSpaceDN w:val="0"/>
      <w:jc w:val="center"/>
    </w:pPr>
    <w:rPr>
      <w:rFonts w:eastAsia="Times New Roman"/>
      <w:b/>
      <w:bCs/>
      <w:szCs w:val="24"/>
      <w:u w:val="single"/>
      <w:lang w:val="fr-FR" w:eastAsia="en-GB"/>
    </w:rPr>
  </w:style>
  <w:style w:type="character" w:styleId="Hyperlink">
    <w:name w:val="Hyperlink"/>
    <w:uiPriority w:val="99"/>
    <w:unhideWhenUsed/>
    <w:rPr>
      <w:rFonts w:cs="Times New Roman"/>
      <w:color w:val="0000FF"/>
      <w:u w:val="single"/>
    </w:rPr>
  </w:style>
  <w:style w:type="character" w:customStyle="1" w:styleId="CRMarker">
    <w:name w:val="CR Marker"/>
    <w:uiPriority w:val="99"/>
    <w:rPr>
      <w:rFonts w:ascii="Wingdings" w:hAnsi="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imes New Roman"/>
      <w:szCs w:val="24"/>
      <w:lang w:val="fr-FR" w:eastAsia="en-GB"/>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imes New Roman"/>
      <w:szCs w:val="24"/>
      <w:lang w:val="fr-FR" w:eastAsia="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rsid w:val="00FE7ACF"/>
    <w:pPr>
      <w:tabs>
        <w:tab w:val="center" w:pos="4535"/>
        <w:tab w:val="right" w:pos="9071"/>
      </w:tabs>
      <w:spacing w:before="0"/>
    </w:pPr>
  </w:style>
  <w:style w:type="character" w:customStyle="1" w:styleId="HeaderChar">
    <w:name w:val="Header Char"/>
    <w:basedOn w:val="DefaultParagraphFont"/>
    <w:link w:val="Header"/>
    <w:uiPriority w:val="99"/>
    <w:rsid w:val="00FE7ACF"/>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E7ACF"/>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16512">
      <w:bodyDiv w:val="1"/>
      <w:marLeft w:val="0"/>
      <w:marRight w:val="0"/>
      <w:marTop w:val="0"/>
      <w:marBottom w:val="0"/>
      <w:divBdr>
        <w:top w:val="none" w:sz="0" w:space="0" w:color="auto"/>
        <w:left w:val="none" w:sz="0" w:space="0" w:color="auto"/>
        <w:bottom w:val="none" w:sz="0" w:space="0" w:color="auto"/>
        <w:right w:val="none" w:sz="0" w:space="0" w:color="auto"/>
      </w:divBdr>
    </w:div>
    <w:div w:id="123971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2</TotalTime>
  <Pages>12</Pages>
  <Words>3298</Words>
  <Characters>16961</Characters>
  <Application>Microsoft Office Word</Application>
  <DocSecurity>0</DocSecurity>
  <Lines>808</Lines>
  <Paragraphs>521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SZATMARI Peter (MOVE)</dc:creator>
  <cp:lastModifiedBy>Stefanie Heilemann</cp:lastModifiedBy>
  <cp:revision>9</cp:revision>
  <cp:lastPrinted>2017-05-28T06:32:00Z</cp:lastPrinted>
  <dcterms:created xsi:type="dcterms:W3CDTF">2017-05-28T06:32:00Z</dcterms:created>
  <dcterms:modified xsi:type="dcterms:W3CDTF">2017-05-30T17:57:00Z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Red (DQC version 03)</vt:lpwstr>
  </property>
</Properties>
</file>