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436BEBCB83473EA339DDE738B7FCA3"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Основания и цели на предложението</w:t>
      </w:r>
    </w:p>
    <w:p>
      <w:pPr>
        <w:spacing w:before="100" w:beforeAutospacing="1" w:after="0"/>
        <w:rPr>
          <w:rFonts w:eastAsia="Calibri"/>
          <w:noProof/>
        </w:rPr>
      </w:pPr>
      <w:r>
        <w:rPr>
          <w:noProof/>
        </w:rPr>
        <w:t>Настоящото предложение за решение на Съвета има за цел да разреши сключването от името на Съюза, в съответствие с член 218, параграф 6 от Договора за функционирането на Европейския съюз (ДФЕС), на Споразумението за сътрудничество между Европейския съюз, от една страна, и Агенцията за сигурност на въздухоплаването в Африка и Мадагаскар (ASECNA)</w:t>
      </w:r>
      <w:r>
        <w:rPr>
          <w:rStyle w:val="FootnoteReference"/>
          <w:noProof/>
        </w:rPr>
        <w:footnoteReference w:id="1"/>
      </w:r>
      <w:r>
        <w:rPr>
          <w:noProof/>
        </w:rPr>
        <w:t>, от друга страна, относно развитието на спътниковата навигация и за предоставяне на свързаните с него услуги в областта на компетентност на ASECNA, в полза на гражданското въздухоплаване. То е в съответствие с Регламент (ЕС) № 1285/2013, който е основният акт за европейските програми за спътникова навигация, и в чийто член 29 е предвидено, че Съюзът може да сключва споразумения с трети държави и международни организации в рамките на програмите „Галилео“ и EGNОЅ.</w:t>
      </w:r>
    </w:p>
    <w:p>
      <w:pPr>
        <w:spacing w:before="100" w:beforeAutospacing="1" w:after="0"/>
        <w:rPr>
          <w:rFonts w:eastAsia="Calibri"/>
          <w:noProof/>
        </w:rPr>
      </w:pPr>
      <w:r>
        <w:rPr>
          <w:noProof/>
        </w:rPr>
        <w:t>Спътниковата навигация е предмет на сътрудничество между Европейския съюз и Африка от приемането на Плана за действие 2011—2013 г. за осъществяване на стратегическо партньорство Африка—ЕС по време на третата среща на върха Африка—ЕС в Триполи през ноември 2010 г.  Необходимостта от сътрудничество в тази област е препотвърдена в „Пътна карта 2014—2017 г.“, приета по време на срещата на върха Африка—ЕС през април 2014 г.</w:t>
      </w:r>
    </w:p>
    <w:p>
      <w:pPr>
        <w:spacing w:before="100" w:beforeAutospacing="1" w:after="0"/>
        <w:rPr>
          <w:rFonts w:eastAsia="Calibri"/>
          <w:noProof/>
        </w:rPr>
      </w:pPr>
      <w:r>
        <w:rPr>
          <w:noProof/>
        </w:rPr>
        <w:t>При проучванията бяха откроени значителни социално-икономически предимства за африканския континент. Сътрудничеството ще бъде благоприятно и за европейската космическа промишленост, която в Африка ще може да се възползва от разширен пазар за развитието на технологиите, разгръщането на нова инфраструктура и използването на услуги, свързани с навигационните спътникови системи</w:t>
      </w:r>
      <w:r>
        <w:rPr>
          <w:rStyle w:val="FootnoteReference"/>
          <w:noProof/>
        </w:rPr>
        <w:footnoteReference w:id="2"/>
      </w:r>
      <w:r>
        <w:rPr>
          <w:noProof/>
        </w:rPr>
        <w:t>.</w:t>
      </w:r>
    </w:p>
    <w:p>
      <w:pPr>
        <w:spacing w:before="100" w:beforeAutospacing="1" w:after="0"/>
        <w:rPr>
          <w:rFonts w:eastAsia="Calibri"/>
          <w:noProof/>
          <w:szCs w:val="24"/>
        </w:rPr>
      </w:pPr>
      <w:r>
        <w:rPr>
          <w:noProof/>
        </w:rPr>
        <w:t>На 25 септември 2014 г., въз основа на препоръка на Комисията (COM(2014)260) Съветът по конкурентоспособност упълномощи Комисията да договори от името на Съюза международно споразумение с ASECNA за определяне на условията за доставка на спътникови услуги за повишаване на точността (SBAS) в Африка въз основа на европейската програма за спътникова навигация EGNOS. Преговорите започнаха през март 2015 г. Те завършиха през април 2016 г. с проект на споразумение, което определя рамката на необходимото сътрудничество за изграждане и експлоатация на независима SBAS система, основана на европейската система EGNOS, в областта на компетентност на ASECNA. Съобразно мандата, даден от Съвета, в споразумението се съдържа техническа част, като се разглеждат и въпроси относно финансирането и управлението.</w:t>
      </w:r>
    </w:p>
    <w:p>
      <w:pPr>
        <w:spacing w:before="100" w:beforeAutospacing="1" w:after="0"/>
        <w:rPr>
          <w:rFonts w:eastAsia="Calibri"/>
          <w:noProof/>
        </w:rPr>
      </w:pPr>
      <w:r>
        <w:rPr>
          <w:noProof/>
        </w:rPr>
        <w:t>На 21 ноември 2016 г., по предложение на Комисията от 12 септември 2016 г. (с номер COM(2016)574), Съветът прие Решение (ЕС) 2016/2234</w:t>
      </w:r>
      <w:r>
        <w:rPr>
          <w:rStyle w:val="FootnoteReference"/>
          <w:noProof/>
        </w:rPr>
        <w:footnoteReference w:id="3"/>
      </w:r>
      <w:r>
        <w:rPr>
          <w:noProof/>
        </w:rPr>
        <w:t>, с което се разрешава подписването на Споразумението от името на Съюза. Споразумението бе официално подписано от Европейския съюз и ASECNA на 5 декември 2016 г. в Брюксел.</w:t>
      </w:r>
    </w:p>
    <w:p>
      <w:pPr>
        <w:pStyle w:val="ManualHeading2"/>
        <w:spacing w:before="100" w:beforeAutospacing="1" w:after="0"/>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между съществуващите разпоредби в тази област на политиката и останалите политики на Съюза</w:t>
      </w:r>
    </w:p>
    <w:p>
      <w:pPr>
        <w:spacing w:before="100" w:beforeAutospacing="1" w:after="0"/>
        <w:rPr>
          <w:rFonts w:eastAsia="Calibri"/>
          <w:noProof/>
        </w:rPr>
      </w:pPr>
      <w:r>
        <w:rPr>
          <w:noProof/>
        </w:rPr>
        <w:t>Европейските програми за спътникова навигация са основен елемент на политиката на Европейския съюз в областта на транспорта, и по-специално в областта на въздушния транспорт. Те допринасят за повишаване на сигурността и непрекъснатостта на въздухоплавателните навигационни услуги, като ги усъвършенстват от икономическа и екологична гледна точка. Те са популяризирани в международен мащаб, по-специално благодарение на сключените споразумения за сътрудничество с държави като Съединените американски щати, Китай, Южна Корея и Израел.</w:t>
      </w:r>
    </w:p>
    <w:p>
      <w:pPr>
        <w:spacing w:before="100" w:beforeAutospacing="1" w:after="0"/>
        <w:rPr>
          <w:rFonts w:eastAsia="Calibri"/>
          <w:noProof/>
        </w:rPr>
      </w:pPr>
      <w:r>
        <w:rPr>
          <w:noProof/>
        </w:rPr>
        <w:t>С оглед на общите за Европа и Африка предимства за развитието на навигационните спътникови услуги на африканския континент, от няколко години активното сътрудничество между Европейския съюз и Африка в тази насока е предмет на множество политически инициативи, сред които:</w:t>
      </w:r>
    </w:p>
    <w:p>
      <w:pPr>
        <w:pBdr>
          <w:top w:val="nil"/>
          <w:left w:val="nil"/>
          <w:bottom w:val="nil"/>
          <w:right w:val="nil"/>
          <w:between w:val="nil"/>
          <w:bar w:val="nil"/>
        </w:pBdr>
        <w:spacing w:before="100" w:beforeAutospacing="1" w:after="0"/>
        <w:rPr>
          <w:noProof/>
        </w:rPr>
      </w:pPr>
      <w:r>
        <w:rPr>
          <w:noProof/>
        </w:rPr>
        <w:t>•</w:t>
      </w:r>
      <w:r>
        <w:rPr>
          <w:noProof/>
        </w:rPr>
        <w:tab/>
        <w:t>Декларация на референтната група за инфраструктурите на Стратегическото партньорство Африка—ЕС за срещата на ниво „комисии“ между Европейската комисия и Комисията на Африканския съюз (Адис Абеба, 25—26 февруари 2016 г.);</w:t>
      </w:r>
    </w:p>
    <w:p>
      <w:pPr>
        <w:pBdr>
          <w:top w:val="nil"/>
          <w:left w:val="nil"/>
          <w:bottom w:val="nil"/>
          <w:right w:val="nil"/>
          <w:between w:val="nil"/>
          <w:bar w:val="nil"/>
        </w:pBdr>
        <w:spacing w:before="100" w:beforeAutospacing="1" w:after="0"/>
        <w:rPr>
          <w:noProof/>
        </w:rPr>
      </w:pPr>
      <w:r>
        <w:rPr>
          <w:noProof/>
        </w:rPr>
        <w:t>•</w:t>
      </w:r>
      <w:r>
        <w:rPr>
          <w:noProof/>
        </w:rPr>
        <w:tab/>
        <w:t>Пътна карта за периода (2014—2017 г.), приета на четвъртата среща на върха Африка—ЕС (Брюксел, 2 и 3 април 2014 г.);</w:t>
      </w:r>
    </w:p>
    <w:p>
      <w:pPr>
        <w:pBdr>
          <w:top w:val="nil"/>
          <w:left w:val="nil"/>
          <w:bottom w:val="nil"/>
          <w:right w:val="nil"/>
          <w:between w:val="nil"/>
          <w:bar w:val="nil"/>
        </w:pBdr>
        <w:spacing w:before="100" w:beforeAutospacing="1" w:after="0"/>
        <w:rPr>
          <w:noProof/>
        </w:rPr>
      </w:pPr>
      <w:r>
        <w:rPr>
          <w:noProof/>
        </w:rPr>
        <w:t>•</w:t>
      </w:r>
      <w:r>
        <w:rPr>
          <w:noProof/>
        </w:rPr>
        <w:tab/>
        <w:t>Съвместна декларация на предприятията от 5-ия Бизнес форум ЕС—Африка (Брюксел, 1 април 2014 г.);</w:t>
      </w:r>
    </w:p>
    <w:p>
      <w:pPr>
        <w:pBdr>
          <w:top w:val="nil"/>
          <w:left w:val="nil"/>
          <w:bottom w:val="nil"/>
          <w:right w:val="nil"/>
          <w:between w:val="nil"/>
          <w:bar w:val="nil"/>
        </w:pBdr>
        <w:spacing w:before="100" w:beforeAutospacing="1" w:after="0"/>
        <w:rPr>
          <w:noProof/>
        </w:rPr>
      </w:pPr>
      <w:r>
        <w:rPr>
          <w:noProof/>
        </w:rPr>
        <w:t>•</w:t>
      </w:r>
      <w:r>
        <w:rPr>
          <w:noProof/>
        </w:rPr>
        <w:tab/>
        <w:t>Обща позиция, приета на Конференцията на министрите на транспорта от Съюза, за Средиземноморието (Брюксел, 14 ноември 2013 г.);</w:t>
      </w:r>
    </w:p>
    <w:p>
      <w:pPr>
        <w:pBdr>
          <w:top w:val="nil"/>
          <w:left w:val="nil"/>
          <w:bottom w:val="nil"/>
          <w:right w:val="nil"/>
          <w:between w:val="nil"/>
          <w:bar w:val="nil"/>
        </w:pBdr>
        <w:spacing w:before="100" w:beforeAutospacing="1" w:after="0"/>
        <w:rPr>
          <w:noProof/>
        </w:rPr>
      </w:pPr>
      <w:r>
        <w:rPr>
          <w:noProof/>
        </w:rPr>
        <w:t>•</w:t>
      </w:r>
      <w:r>
        <w:rPr>
          <w:noProof/>
        </w:rPr>
        <w:tab/>
        <w:t>Съвместно съобщение до Европейския съвет, Европейския парламент, Съвета, Европейския икономически и социален комитет и Комитета на регионите от 8 март 2011 г. „Партньорство за демокрация и споделен просперитет с Южното Средиземноморие“ (COM(2011) 200 окончателен);</w:t>
      </w:r>
    </w:p>
    <w:p>
      <w:pPr>
        <w:pBdr>
          <w:top w:val="nil"/>
          <w:left w:val="nil"/>
          <w:bottom w:val="nil"/>
          <w:right w:val="nil"/>
          <w:between w:val="nil"/>
          <w:bar w:val="nil"/>
        </w:pBdr>
        <w:spacing w:before="100" w:beforeAutospacing="1" w:after="0"/>
        <w:rPr>
          <w:noProof/>
        </w:rPr>
      </w:pPr>
      <w:r>
        <w:rPr>
          <w:noProof/>
        </w:rPr>
        <w:t>•</w:t>
      </w:r>
      <w:r>
        <w:rPr>
          <w:noProof/>
        </w:rPr>
        <w:tab/>
        <w:t>Съобщение на Комисията от 14 юни 2010 г. „План за действие във връзка с приложенията, базирани на глобалната навигационна спътникова система (ГНСС)“ (COM(2010) 308 окончателен);</w:t>
      </w:r>
    </w:p>
    <w:p>
      <w:pPr>
        <w:pBdr>
          <w:top w:val="nil"/>
          <w:left w:val="nil"/>
          <w:bottom w:val="nil"/>
          <w:right w:val="nil"/>
          <w:between w:val="nil"/>
          <w:bar w:val="nil"/>
        </w:pBdr>
        <w:spacing w:before="100" w:beforeAutospacing="1" w:after="0"/>
        <w:rPr>
          <w:noProof/>
        </w:rPr>
      </w:pPr>
      <w:r>
        <w:rPr>
          <w:noProof/>
        </w:rPr>
        <w:t>•</w:t>
      </w:r>
      <w:r>
        <w:rPr>
          <w:noProof/>
        </w:rPr>
        <w:tab/>
        <w:t>Заключения от срещата на високо равнище на тема: „Космосът за африканските граждани“, организирана от белгийското председателство на ЕС на 16 септември 2010 г.;</w:t>
      </w:r>
    </w:p>
    <w:p>
      <w:pPr>
        <w:pBdr>
          <w:top w:val="nil"/>
          <w:left w:val="nil"/>
          <w:bottom w:val="nil"/>
          <w:right w:val="nil"/>
          <w:between w:val="nil"/>
          <w:bar w:val="nil"/>
        </w:pBdr>
        <w:spacing w:before="100" w:beforeAutospacing="1" w:after="0"/>
        <w:rPr>
          <w:noProof/>
        </w:rPr>
      </w:pPr>
      <w:r>
        <w:rPr>
          <w:noProof/>
        </w:rPr>
        <w:t>•</w:t>
      </w:r>
      <w:r>
        <w:rPr>
          <w:noProof/>
        </w:rPr>
        <w:tab/>
        <w:t>Резолюция от седмото заседание на Съвета по въпросите на космическото пространство: „Глобални предизвикателства: пълноценно използване на европейските космически системи“ — Брюксел, 25 ноември 2010 г.;</w:t>
      </w:r>
    </w:p>
    <w:p>
      <w:pPr>
        <w:pBdr>
          <w:top w:val="nil"/>
          <w:left w:val="nil"/>
          <w:bottom w:val="nil"/>
          <w:right w:val="nil"/>
          <w:between w:val="nil"/>
          <w:bar w:val="nil"/>
        </w:pBdr>
        <w:spacing w:before="100" w:beforeAutospacing="1" w:after="0"/>
        <w:rPr>
          <w:noProof/>
        </w:rPr>
      </w:pPr>
      <w:r>
        <w:rPr>
          <w:noProof/>
        </w:rPr>
        <w:t>•</w:t>
      </w:r>
      <w:r>
        <w:rPr>
          <w:noProof/>
        </w:rPr>
        <w:tab/>
        <w:t>План за действие за периода 2011—2013 г. за прилагане на Стратегическото партньорство Африка—ЕС, приет по време на третата среща на високо равнище Африка—ЕС (Триполи, 29 и 30 ноември 2010 г.);</w:t>
      </w:r>
    </w:p>
    <w:p>
      <w:pPr>
        <w:pBdr>
          <w:top w:val="nil"/>
          <w:left w:val="nil"/>
          <w:bottom w:val="nil"/>
          <w:right w:val="nil"/>
          <w:between w:val="nil"/>
          <w:bar w:val="nil"/>
        </w:pBdr>
        <w:spacing w:before="100" w:beforeAutospacing="1" w:after="0"/>
        <w:rPr>
          <w:noProof/>
        </w:rPr>
      </w:pPr>
      <w:r>
        <w:rPr>
          <w:noProof/>
        </w:rPr>
        <w:t>•</w:t>
      </w:r>
      <w:r>
        <w:rPr>
          <w:noProof/>
        </w:rPr>
        <w:tab/>
        <w:t>Съвместна декларация на предприятията от 4-ия Бизнес форум ЕС—Африка (Триполи, 26 и 28 ноември 2010 г.);</w:t>
      </w:r>
    </w:p>
    <w:p>
      <w:pPr>
        <w:pBdr>
          <w:top w:val="nil"/>
          <w:left w:val="nil"/>
          <w:bottom w:val="nil"/>
          <w:right w:val="nil"/>
          <w:between w:val="nil"/>
          <w:bar w:val="nil"/>
        </w:pBdr>
        <w:spacing w:before="100" w:beforeAutospacing="1" w:after="0"/>
        <w:rPr>
          <w:noProof/>
        </w:rPr>
      </w:pPr>
      <w:r>
        <w:rPr>
          <w:noProof/>
        </w:rPr>
        <w:t>•</w:t>
      </w:r>
      <w:r>
        <w:rPr>
          <w:noProof/>
        </w:rPr>
        <w:tab/>
        <w:t>Съобщение на Комисията до Европейския парламент и Съвета от 24 юни 2009 г. — „Партньорство Европейски съюз—Африка — Свързване на Африка и Европа: засилване на сътрудничеството в областта на транспорта“ (COM(2009)301 окончателен, 24.6.2009 г.).</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предложението е член 172 от Договора за функционирането на Европейския съюз, във връзка с член 218, параграф 6.</w:t>
      </w:r>
    </w:p>
    <w:p>
      <w:pPr>
        <w:pStyle w:val="ManualHeading2"/>
        <w:rPr>
          <w:rFonts w:eastAsia="Arial Unicode MS"/>
          <w:noProof/>
          <w:u w:color="000000"/>
          <w:bdr w:val="nil"/>
        </w:rPr>
      </w:pPr>
      <w:r>
        <w:rPr>
          <w:noProof/>
        </w:rPr>
        <w:t>•</w:t>
      </w:r>
      <w:r>
        <w:rPr>
          <w:noProof/>
        </w:rPr>
        <w:tab/>
        <w:t>Субсидиарност</w:t>
      </w:r>
    </w:p>
    <w:p>
      <w:pPr>
        <w:pBdr>
          <w:top w:val="nil"/>
          <w:left w:val="nil"/>
          <w:bottom w:val="nil"/>
          <w:right w:val="nil"/>
          <w:between w:val="nil"/>
          <w:bar w:val="nil"/>
        </w:pBdr>
        <w:spacing w:before="0" w:after="240"/>
        <w:rPr>
          <w:rFonts w:eastAsia="Arial Unicode MS"/>
          <w:noProof/>
        </w:rPr>
      </w:pPr>
      <w:r>
        <w:rPr>
          <w:noProof/>
        </w:rPr>
        <w:t>Принципът за субсидиарност в случая е неприложим, тъй като европейските системи за спътникова навигация принадлежат на Европейския съюз.</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Разпоредбите на споразумението отговарят на преследваната цел, а именно да позволят на ASECNA да развие своя собствена система за повишаване на точността на спътниковите услуги въз основа на европейската програма за спътникова навигация EGNOS. Те отговарят също така на ангажимента на Европейския съюз да предоставя опита си в областта на спътниковата навигация на африканския континент.</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За създаването на правно обвързваща рамка за международно сътрудничество е необходимо да бъде сключено международно споразумение. В член 29 от Регламент (ЕС) № 1285/2013 изрично се предвижда възможността за сключване на споразумения с международни организации в рамките на програмите „Галилео“ и EGNOS.</w:t>
      </w:r>
    </w:p>
    <w:p>
      <w:pPr>
        <w:pStyle w:val="ManualHeading1"/>
        <w:rPr>
          <w:noProof/>
        </w:rPr>
      </w:pPr>
      <w:r>
        <w:rPr>
          <w:noProof/>
        </w:rPr>
        <w:t>3.</w:t>
      </w:r>
      <w:r>
        <w:rPr>
          <w:noProof/>
        </w:rPr>
        <w:tab/>
        <w:t>РЕЗУЛТАТИ ОТ КОНСУЛТАЦИИТЕ СЪС ЗАИНТЕРЕСОВАНИТЕ СТРАНИ</w:t>
      </w:r>
    </w:p>
    <w:p>
      <w:pPr>
        <w:rPr>
          <w:rFonts w:eastAsia="Calibri"/>
          <w:noProof/>
          <w:szCs w:val="24"/>
        </w:rPr>
      </w:pPr>
      <w:r>
        <w:rPr>
          <w:noProof/>
        </w:rPr>
        <w:t>Използването на спътникови навигационни услуги в Африка въз основа на EGNOS бе подложено на социално-икономически и технически анализ. Резултатите от този анализ бяха представени и обсъдени неколкократно със заинтересованите африкански държави на семинари, работни срещи и международни форуми като Регионалната група за планиране и изпълнение AFI (APIRG) в рамките на Международната организация за гражданско въздухоплаване (ИКАО).</w:t>
      </w:r>
    </w:p>
    <w:p>
      <w:pPr>
        <w:rPr>
          <w:rFonts w:eastAsia="Calibri"/>
          <w:noProof/>
        </w:rPr>
      </w:pPr>
      <w:r>
        <w:rPr>
          <w:noProof/>
        </w:rPr>
        <w:t>В рамките на Европейския съюз Комисията се отчиташе редовно, устно и писмено, за напредъка на преговорите пред специалния комитет, определен от Съвета. Също така държавите — членки на Европейския съюз, бяха информирани за проведените обсъждания и им бе дадена възможност да участват в срещите за преговори. И накрая, в рамките на работната група „Транспорт — интермодални въпроси и мрежи“ на Съвета държавите — членки на Европейския съюз, имаха възможността да направят коментари по проекта за споразумение преди приключването на преговорите. Тези коментари бяха взети предвид в окончателния текст на споразумението, чието подписване бе разрешено от Съвета на 21 ноември 2016 г.</w:t>
      </w:r>
    </w:p>
    <w:p>
      <w:pPr>
        <w:pStyle w:val="ManualHeading1"/>
        <w:rPr>
          <w:noProof/>
        </w:rPr>
      </w:pPr>
      <w:r>
        <w:rPr>
          <w:noProof/>
        </w:rPr>
        <w:t>4.</w:t>
      </w:r>
      <w:r>
        <w:rPr>
          <w:noProof/>
        </w:rPr>
        <w:tab/>
        <w:t>ОТРАЖЕНИЕ ВЪРХУ БЮДЖЕТА</w:t>
      </w:r>
    </w:p>
    <w:p>
      <w:pPr>
        <w:rPr>
          <w:rFonts w:eastAsia="Calibri"/>
          <w:noProof/>
        </w:rPr>
      </w:pPr>
      <w:r>
        <w:rPr>
          <w:noProof/>
        </w:rPr>
        <w:t>Предложеното споразумение няма да окаже въздействие върху бюджета, отпуснат за европейските програми за спътникова навигация с Регламент (ЕС) № 1285/2013.</w:t>
      </w:r>
    </w:p>
    <w:p>
      <w:pPr>
        <w:spacing w:before="0" w:after="240"/>
        <w:rPr>
          <w:rFonts w:eastAsia="Calibri"/>
          <w:noProof/>
        </w:rPr>
      </w:pPr>
      <w:r>
        <w:rPr>
          <w:noProof/>
        </w:rPr>
        <w:t>Разходите за изграждането и експлоатацията на предвидената в споразумението инфраструктура, която принадлежи на ASECNA, ще бъдат финансирани от бюджета на ASECNA, от нейните държави членки или чрез вноски — под формата на заеми или дарения — от държави от Европейския съюз и от международни финансови институции (Европейска инвестиционна банка, Африканска банка за развитие и др.).</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rFonts w:eastAsia="Arial Unicode MS"/>
          <w:noProof/>
        </w:rPr>
      </w:pPr>
      <w:r>
        <w:rPr>
          <w:noProof/>
        </w:rPr>
        <w:t>В споразумението се предвижда създаването на съвместен комитет за неговото управление и правилно прилагане. Освен това е предвидена арбитражна процедура в случай на спор между двете страни по споразумението.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2017/0104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за сътрудничество между Европейския съюз и Агенцията за сигурност на въздухоплаването в Африка и Мадагаскар (ASECNA) относно развитието на спътниковата навигация и за предоставяне на свързаните с нея слуги в областта на компетентност на ASECNA, в полза на гражданското въздухоплаване</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172, във връзка с член 218, параграф 6, втора алинея, буква а) и член 218, параграф 8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В съответствие с Решение (ЕС) 2016/2234</w:t>
      </w:r>
      <w:r>
        <w:t xml:space="preserve"> </w:t>
      </w:r>
      <w:r>
        <w:rPr>
          <w:noProof/>
        </w:rPr>
        <w:t>на Съвета от 21 ноември 2016 г.</w:t>
      </w:r>
      <w:r>
        <w:rPr>
          <w:rStyle w:val="FootnoteReference"/>
          <w:noProof/>
        </w:rPr>
        <w:footnoteReference w:id="4"/>
      </w:r>
      <w:r>
        <w:rPr>
          <w:noProof/>
        </w:rPr>
        <w:t xml:space="preserve"> Споразумението за сътрудничество между Европейския съюз и Агенцията за сигурност на въздухоплаването в Африка и Мадагаскар (ASECNA) относно развитието на спътниковата навигация и за предоставяне на свързаните с нея услуги в областта на компетентност на ASECNA, в полза на гражданското въздухоплаване бе подписано на 5 декември 2016 г., при условие че бъде сключено на по-късна дата. </w:t>
      </w:r>
    </w:p>
    <w:p>
      <w:pPr>
        <w:pStyle w:val="ManualConsidrant"/>
        <w:rPr>
          <w:noProof/>
        </w:rPr>
      </w:pPr>
      <w:r>
        <w:t>(2)</w:t>
      </w:r>
      <w:r>
        <w:tab/>
      </w:r>
      <w:r>
        <w:rPr>
          <w:noProof/>
        </w:rPr>
        <w:t>Стратегията на Европейския съюз, с която въз основа на европейските програми за спътникова навигация се цели, от една страна, да се развие използването на тази технология и да бъдат предоставени свързаните с нея услуги в областта на компетентност на ASECNA, по-специално чрез създаването на автономна спътникова услуга за повишаване на точността (SBAS) в полза на ASECNA, а от друга страна и в по-общ план — да се популяризира спътниковата навигация на африканския континент, се прилага активно в рамките на Споразумението.</w:t>
      </w:r>
    </w:p>
    <w:p>
      <w:pPr>
        <w:pStyle w:val="ManualConsidrant"/>
        <w:rPr>
          <w:noProof/>
        </w:rPr>
      </w:pPr>
      <w:r>
        <w:t>(3)</w:t>
      </w:r>
      <w:r>
        <w:tab/>
      </w:r>
      <w:r>
        <w:rPr>
          <w:noProof/>
        </w:rPr>
        <w:t>Споразумението следва да бъде одобрено от името на Европейския съюз,</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Одобрява се, от името на Съюза, Споразумението за сътрудничество между Европейския съюз и Агенцията за сигурност на въздухоплаването в Африка и Мадагаскар (ASECNA) относно развитието на спътниковата навигация и за предоставяне на свързаните с нея услуги в областта на компетентност на ASECNA, в полза на гражданското въздухоплаване.</w:t>
      </w:r>
    </w:p>
    <w:p>
      <w:pPr>
        <w:rPr>
          <w:noProof/>
        </w:rPr>
      </w:pPr>
      <w:r>
        <w:rPr>
          <w:noProof/>
        </w:rPr>
        <w:t>Текстът на Споразумението е приложен към настоящото решение.</w:t>
      </w:r>
    </w:p>
    <w:p>
      <w:pPr>
        <w:pStyle w:val="Titrearticle"/>
        <w:rPr>
          <w:noProof/>
        </w:rPr>
      </w:pPr>
      <w:r>
        <w:rPr>
          <w:noProof/>
        </w:rPr>
        <w:t>Член 2</w:t>
      </w:r>
    </w:p>
    <w:p>
      <w:pPr>
        <w:keepNext/>
        <w:rPr>
          <w:noProof/>
        </w:rPr>
      </w:pPr>
      <w:r>
        <w:rPr>
          <w:noProof/>
        </w:rPr>
        <w:t>Председателят на Съвета посочва лицето, упълномощено да пристъпи от името на Европейския съюз към депозирането на предвидения в член 36 от Споразумението инструмент за одобрение, за да изрази съгласието на Европейския съюз за обвързване със Споразумението.</w:t>
      </w:r>
    </w:p>
    <w:p>
      <w:pPr>
        <w:pStyle w:val="Titrearticle"/>
        <w:rPr>
          <w:noProof/>
        </w:rPr>
      </w:pPr>
      <w:r>
        <w:rPr>
          <w:noProof/>
        </w:rPr>
        <w:t>Член 3</w:t>
      </w:r>
    </w:p>
    <w:p>
      <w:pPr>
        <w:keepNext/>
        <w:rPr>
          <w:noProof/>
        </w:rPr>
      </w:pPr>
      <w:r>
        <w:rPr>
          <w:noProof/>
        </w:rPr>
        <w:t>Настоящото решение влиза в сила на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tab/>
      </w:r>
      <w:r>
        <w:rPr>
          <w:sz w:val="20"/>
        </w:rPr>
        <w:t>ASECNA е международна организация със седалище в Дакар, Сенегал, чиято мисия е да обезпечи сигурността на въздухоплаването в полза на своите 18 държави членки: Бенин, Буркина Фасо, Камерун, Централноафриканска република, Чад, Коморски острови, Конго, Кот д’Ивоар, Габон, Гвинея Бисау, Екваториална Гвинея, Мадагаскар, Мали, Мавритания, Нигер, Сенегал, Того и Франция.</w:t>
      </w:r>
    </w:p>
  </w:footnote>
  <w:footnote w:id="2">
    <w:p>
      <w:pPr>
        <w:pStyle w:val="FootnoteText"/>
        <w:spacing w:after="120"/>
        <w:ind w:left="0" w:hanging="11"/>
      </w:pPr>
      <w:r>
        <w:rPr>
          <w:rStyle w:val="FootnoteReference"/>
        </w:rPr>
        <w:footnoteRef/>
      </w:r>
      <w:r>
        <w:tab/>
        <w:t>Въз основа на анализи на разходите и ползите социално-икономическите предимства за целия африкански континент бяха оценени на повече от 4,8 милиарда евро,  без да бъдат включени ползите в областта на икономическото развитие и регионалната интеграция, които не биха могли да бъдат измерени количествено.</w:t>
      </w:r>
    </w:p>
  </w:footnote>
  <w:footnote w:id="3">
    <w:p>
      <w:pPr>
        <w:pStyle w:val="FootnoteText"/>
        <w:spacing w:after="120"/>
      </w:pPr>
      <w:r>
        <w:rPr>
          <w:rStyle w:val="FootnoteReference"/>
        </w:rPr>
        <w:footnoteRef/>
      </w:r>
      <w:r>
        <w:tab/>
        <w:t>ОВ L 337, 13.12.2016 г., стр. 1.</w:t>
      </w:r>
    </w:p>
  </w:footnote>
  <w:footnote w:id="4">
    <w:p>
      <w:pPr>
        <w:pStyle w:val="FootnoteText"/>
        <w:rPr>
          <w:szCs w:val="24"/>
        </w:rPr>
      </w:pPr>
      <w:r>
        <w:rPr>
          <w:rStyle w:val="FootnoteReference"/>
        </w:rPr>
        <w:footnoteRef/>
      </w:r>
      <w:r>
        <w:tab/>
        <w:t>ОВ L 337, 13.12.2016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58BE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022E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42C2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C6A6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209C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C18BA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0E126C"/>
    <w:lvl w:ilvl="0">
      <w:start w:val="1"/>
      <w:numFmt w:val="decimal"/>
      <w:pStyle w:val="ListNumber"/>
      <w:lvlText w:val="%1."/>
      <w:lvlJc w:val="left"/>
      <w:pPr>
        <w:tabs>
          <w:tab w:val="num" w:pos="360"/>
        </w:tabs>
        <w:ind w:left="360" w:hanging="360"/>
      </w:pPr>
    </w:lvl>
  </w:abstractNum>
  <w:abstractNum w:abstractNumId="7">
    <w:nsid w:val="FFFFFF89"/>
    <w:multiLevelType w:val="singleLevel"/>
    <w:tmpl w:val="30FCC1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4:53:2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8C436BEBCB83473EA339DDE738B7FCA3"/>
    <w:docVar w:name="LW_CROSSREFERENCE" w:val="&lt;UNUSED&gt;"/>
    <w:docVar w:name="LW_DocType" w:val="COM"/>
    <w:docVar w:name="LW_EMISSION" w:val="1.6.2017"/>
    <w:docVar w:name="LW_EMISSION_ISODATE" w:val="2017-06-0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04"/>
    <w:docVar w:name="LW_REF.II.NEW.CP_YEAR" w:val="2017"/>
    <w:docVar w:name="LW_REF.INST.NEW" w:val="COM"/>
    <w:docVar w:name="LW_REF.INST.NEW_ADOPTED" w:val="final"/>
    <w:docVar w:name="LW_REF.INST.NEW_TEXT" w:val="(2017) 258"/>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79?\u1072? \u1089?\u1098?\u1090?\u1088?\u1091?\u1076?\u1085?\u1080?\u1095?\u1077?\u1089?\u1090?\u1074?\u1086? \u1084?\u1077?\u1078?\u1076?\u1091? \u1045?\u1074?\u1088?\u1086?\u1087?\u1077?\u1081?\u1089?\u1082?\u1080?\u1103? \u1089?\u1098?\u1102?\u1079? \u1080? \u1040?\u1075?\u1077?\u1085?\u1094?\u1080?\u1103?\u1090?\u1072? \u1079?\u1072? \u1089?\u1080?\u1075?\u1091?\u1088?\u1085?\u1086?\u1089?\u1090? \u1085?\u1072? \u1074?\u1098?\u1079?\u1076?\u1091?\u1093?\u1086?\u1087?\u1083?\u1072?\u1074?\u1072?\u1085?\u1077?\u1090?\u1086? \u1074? \u1040?\u1092?\u1088?\u1080?\u1082?\u1072? \u1080? \u1052?\u1072?\u1076?\u1072?\u1075?\u1072?\u1089?\u1082?\u1072?\u1088? (ASECNA) \u1086?\u1090?\u1085?\u1086?\u1089?\u1085?\u1086? \u1088?\u1072?\u1079?\u1074?\u1080?\u1090?\u1080?\u1077?\u1090?\u1086? \u1085?\u1072? \u1089?\u1087?\u1098?\u1090?\u1085?\u1080?\u1082?\u1086?\u1074?\u1072?\u1090?\u1072? \u1085?\u1072?\u1074?\u1080?\u1075?\u1072?\u1094?\u1080?\u1103? \u1080? \u1079?\u1072? \u1087?\u1088?\u1077?\u1076?\u1086?\u1089?\u1090?\u1072?\u1074?\u1103?\u1085?\u1077? \u1085?\u1072? \u1089?\u1074?\u1098?\u1088?\u1079?\u1072?\u1085?\u1080?\u1090?\u1077? \u1089? \u1085?\u1077?\u1103? \u1089?\u1083?\u1091?\u1075?\u1080? \u1074? \u1086?\u1073?\u1083?\u1072?\u1089?\u1090?\u1090?\u1072? \u1085?\u1072? \u1082?\u1086?\u1084?\u1087?\u1077?\u1090?\u1077?\u1085?\u1090?\u1085?\u1086?\u1089?\u1090? \u1085?\u1072? ASECNA, \u1074? \u1087?\u1086?\u1083?\u1079?\u1072? \u1085?\u1072? \u1075?\u1088?\u1072?\u1078?\u1076?\u1072?\u1085?\u1089?\u1082?\u1086?\u1090?\u1086? \u1074?\u1098?\u1079?\u1076?\u1091?\u1093?\u1086?\u1087?\u1083?\u1072?\u1074?\u1072?\u1085?\u1077?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2BF0-1243-4037-9B82-5BA68B20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1615</Words>
  <Characters>9662</Characters>
  <Application>Microsoft Office Word</Application>
  <DocSecurity>0</DocSecurity>
  <Lines>185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2017-04-07T09:28:00Z</cp:lastPrinted>
  <dcterms:created xsi:type="dcterms:W3CDTF">2017-05-05T10:48:00Z</dcterms:created>
  <dcterms:modified xsi:type="dcterms:W3CDTF">2017-05-22T12:53:00Z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