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_Toc472341201"/>
      <w:bookmarkStart w:id="1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alt="4224DE7E61D8421A9285EC28E5F235FE" style="width:450.75pt;height:334.5pt">
            <v:imagedata r:id="rId9" o:title=""/>
          </v:shape>
        </w:pict>
      </w:r>
    </w:p>
    <w:bookmarkEnd w:id="1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Heading1"/>
        <w:spacing w:before="120" w:after="200"/>
        <w:rPr>
          <w:rFonts w:ascii="Times New Roman" w:hAnsi="Times New Roman" w:cs="Times New Roman"/>
          <w:noProof/>
          <w:color w:val="auto"/>
          <w:sz w:val="24"/>
          <w:szCs w:val="24"/>
        </w:rPr>
      </w:pPr>
      <w:bookmarkStart w:id="2" w:name="_GoBack"/>
      <w:bookmarkEnd w:id="2"/>
      <w:r>
        <w:rPr>
          <w:rFonts w:ascii="Times New Roman" w:hAnsi="Times New Roman"/>
          <w:noProof/>
          <w:color w:val="auto"/>
          <w:sz w:val="24"/>
        </w:rPr>
        <w:lastRenderedPageBreak/>
        <w:t>1.</w:t>
      </w:r>
      <w:r>
        <w:rPr>
          <w:noProof/>
        </w:rPr>
        <w:tab/>
      </w:r>
      <w:r>
        <w:rPr>
          <w:rFonts w:ascii="Times New Roman" w:hAnsi="Times New Roman"/>
          <w:noProof/>
          <w:color w:val="auto"/>
          <w:sz w:val="24"/>
        </w:rPr>
        <w:t xml:space="preserve">НОВ ТЛАСЪК ЗА ВИСШЕТО ОБРАЗОВАНИЕ </w:t>
      </w:r>
      <w:bookmarkEnd w:id="0"/>
      <w:r>
        <w:rPr>
          <w:rFonts w:ascii="Times New Roman" w:hAnsi="Times New Roman"/>
          <w:noProof/>
          <w:color w:val="auto"/>
          <w:sz w:val="24"/>
        </w:rPr>
        <w:t>В ЕС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/>
          <w:b/>
          <w:i/>
          <w:noProof/>
          <w:sz w:val="24"/>
        </w:rPr>
        <w:t>Нова програма на ЕС за висшето образование …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Успехът на европейския проект зависи от капацитета на ЕС да изгради по-добро бъдеще за европейските граждани. Това е ключовото послание в Бялата книга на Комисията за бъдещето на Европа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"/>
      </w:r>
      <w:r>
        <w:rPr>
          <w:rFonts w:ascii="Times New Roman" w:hAnsi="Times New Roman" w:cs="Times New Roman"/>
          <w:noProof/>
          <w:sz w:val="24"/>
          <w:szCs w:val="24"/>
        </w:rPr>
        <w:t>. То е и в основата на инициативата „Инвестиране в младежта на Европа“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2"/>
      </w:r>
      <w:r>
        <w:rPr>
          <w:rFonts w:ascii="Times New Roman" w:hAnsi="Times New Roman" w:cs="Times New Roman"/>
          <w:noProof/>
          <w:sz w:val="24"/>
          <w:szCs w:val="24"/>
        </w:rPr>
        <w:t xml:space="preserve"> и Новата европейска програма за умения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3"/>
      </w:r>
      <w:r>
        <w:rPr>
          <w:rFonts w:ascii="Times New Roman" w:hAnsi="Times New Roman" w:cs="Times New Roman"/>
          <w:noProof/>
          <w:sz w:val="24"/>
          <w:szCs w:val="24"/>
        </w:rPr>
        <w:t>. От тези инициативи става видно, че ефективните системи за образование и обучение са в основата на справедливите, отворените демократични общества и на устойчивото развитие и заетостта. С „Европейския стълб на социалните права“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4"/>
      </w:r>
      <w:r>
        <w:rPr>
          <w:rFonts w:ascii="Times New Roman" w:hAnsi="Times New Roman" w:cs="Times New Roman"/>
          <w:noProof/>
          <w:sz w:val="24"/>
          <w:szCs w:val="24"/>
        </w:rPr>
        <w:t xml:space="preserve"> и неотдавнашния документ за размисъл относно извличането на ползите от глобализацията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5"/>
      </w:r>
      <w:r>
        <w:rPr>
          <w:rFonts w:ascii="Times New Roman" w:hAnsi="Times New Roman" w:cs="Times New Roman"/>
          <w:noProof/>
          <w:sz w:val="24"/>
          <w:szCs w:val="24"/>
        </w:rPr>
        <w:t xml:space="preserve"> образованието и уменията се определят като приоритет на европейското сътрудничество.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pacing w:val="6"/>
          <w:sz w:val="24"/>
          <w:szCs w:val="24"/>
        </w:rPr>
      </w:pPr>
      <w:r>
        <w:rPr>
          <w:rFonts w:ascii="Times New Roman" w:hAnsi="Times New Roman" w:cs="Times New Roman"/>
          <w:noProof/>
          <w:spacing w:val="6"/>
          <w:sz w:val="24"/>
          <w:szCs w:val="24"/>
        </w:rPr>
        <w:t>Ролята на висшето образование е уникална. Търсенето на високо квалифицирани, социално ангажирани служители едновременно нараства и се променя. В периода до 2025 г. се очаква половината от работните места да изискват високи квалификации. Вече са пропуски по отношение на уменията на високо равнище. Движени от дигиталните технологии, свързаните с работните места изисквания стават все по-гъвкави и сложни. Способностите на хората да бъдат предприемчиви, да обработват сложна информация, да мислят независимо и творчески, да използват интелигентно ресурси, включително цифрови, да общуват ефективно и да бъдат устойчиви, са по-важни от всякога. Европа също така има нужда от успешни хора, които да могат да разработват авангардни технологии и решения, тъй като бъдещият ни просперитет зависи от тях. Същевременно противодействието на нарастващото разделение в нашите общества и недоверието в демократичните институции задължава всички — включително университетските преподаватели и студентите— да се ангажират още по-активно с общностите около тях и да подпомагат социалното приобщаване и мобилността.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Европа не може да отговори на тези предизвикателства без висшите учебни заведения и системи, които са ефективни в областта на образованието, изследователската и развойната дейност, и са свързани със своите общества. Реформирането на висшето образование е отговорност на държавите членки и е част от усилията им за създаване на обучение и образование от световна класа. ЕС може да помогне на държавите членки в усилията им да проведат образователни реформи. Целта на тази обновена програма за </w:t>
      </w:r>
      <w:r>
        <w:rPr>
          <w:rFonts w:ascii="Times New Roman" w:hAnsi="Times New Roman" w:cs="Times New Roman"/>
          <w:noProof/>
          <w:sz w:val="24"/>
          <w:szCs w:val="24"/>
        </w:rPr>
        <w:lastRenderedPageBreak/>
        <w:t>висше образование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6"/>
      </w:r>
      <w:r>
        <w:rPr>
          <w:rFonts w:ascii="Times New Roman" w:hAnsi="Times New Roman" w:cs="Times New Roman"/>
          <w:noProof/>
          <w:sz w:val="24"/>
          <w:szCs w:val="24"/>
        </w:rPr>
        <w:t xml:space="preserve"> е да се гарантира, че инициативите на ЕС в подкрепа на висшето образование са съсредоточени върху важни проблеми, като същевременно подпомагат подготовката за следващия финансов период на ЕС.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t>…която се основава на това, което вече е постигнато…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ЕС има успешна практика в подкрепата на висшето образование чрез политическо сътрудничество и програми за финансиране. Европейският семестър е основен двигател на реформата, по-специално чрез специфичните за всяка държава препоръки, свързани с образованието. Като част от стратегията „Европа 2020“ и стратегическата рамка за европейско сътрудничество в областта на образованието и обучението (ЕТ 2020) Съветът изрази съгласие, че до 2020 г. 40 % от младите хора следва да имат завършено висше или аналогично образование. В подкрепа на тази цел от 2011 г. насам в Програмата за модернизиране на висшето образование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7"/>
      </w:r>
      <w:r>
        <w:rPr>
          <w:rFonts w:ascii="Times New Roman" w:hAnsi="Times New Roman" w:cs="Times New Roman"/>
          <w:noProof/>
          <w:sz w:val="24"/>
          <w:szCs w:val="24"/>
        </w:rPr>
        <w:t xml:space="preserve"> са предвидени стратегически насоки за ЕС и държавите членки, които да предприемат действия за:</w:t>
      </w:r>
    </w:p>
    <w:p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Събиране на сведения за работещите практики в сферата на висшето образование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(в областта на образованието, изследователската дейност, иновациите и проектирането на системи) чрез проучвания, работни групи и анализ и проследяване на критериите и показателите;</w:t>
      </w:r>
    </w:p>
    <w:p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Подкрепа на сътрудничеството, взаимното обучение и целевите насоки за политиките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между правителствата и органите, отговарящи за висшето образование;</w:t>
      </w:r>
    </w:p>
    <w:p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Укрепване на капацитета и резултатите на висшите учебни заведения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чрез финансиране на проекти за сътрудничество в областта на иновациите между институциите и техните партньори („Еразъм+”, „Хоризонт 2020”) и — чрез Европейските структурни и инвестиционни фондове (ЕСИФ) — инвестиции в инфраструктура, материално-техническа база, умения и иновативни проекти. С проекти на Европейската инвестиционна банка също бяха подкрепени инвестиции в инфраструктура на висши учебни заведения, включително чрез Европейския фонд за стратегически инвестиции (ЕФСИ);</w:t>
      </w:r>
    </w:p>
    <w:p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Подкрепа на международната мобилност на студенти, преподаватели и научни работници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като възможност за тях за натрупване на опит и развиване на умения (програмите „Еразъм+” и „Мария Склодовска-Кюри”); както и</w:t>
      </w:r>
    </w:p>
    <w:p>
      <w:pPr>
        <w:pStyle w:val="ListParagraph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Засилване на сътрудничеството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между сферите на висшето образование, научните изследвания и бизнеса.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</w:p>
    <w:p>
      <w:pPr>
        <w:pStyle w:val="ListParagraph"/>
        <w:ind w:left="0"/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t>...но отново насочва усилията върху съществуващите и развиващите се възможности и предизвикателства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Положителното въздействие на дейностите на ЕС и тяхното международно измерение бе признато от държавите членки, социалните партньори и сферата на висшето образование. ЕС е на път да постигне целта от 40 %, но както беше подчертано по време на обществените консултации относно бъдещата подкрепа на ЕС за висшето образование, проведени през 2016 г.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8"/>
      </w:r>
      <w:r>
        <w:rPr>
          <w:rFonts w:ascii="Times New Roman" w:hAnsi="Times New Roman" w:cs="Times New Roman"/>
          <w:noProof/>
          <w:sz w:val="24"/>
          <w:szCs w:val="24"/>
        </w:rPr>
        <w:t>, европейските системи за висше образование са изправени пред предизвикателства, включително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9"/>
      </w:r>
      <w:r>
        <w:rPr>
          <w:rFonts w:ascii="Times New Roman" w:hAnsi="Times New Roman" w:cs="Times New Roman"/>
          <w:noProof/>
          <w:sz w:val="24"/>
          <w:szCs w:val="24"/>
        </w:rPr>
        <w:t>:</w:t>
      </w:r>
    </w:p>
    <w:p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noProof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-2"/>
          <w:sz w:val="24"/>
          <w:szCs w:val="24"/>
        </w:rPr>
        <w:t>Несъответствие между уменията, от които Европа се нуждае, и тези, с които разполага:</w:t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 xml:space="preserve"> в много части на ЕС се усеща недостиг в някои висококвалифицирани професии</w:t>
      </w:r>
      <w:r>
        <w:rPr>
          <w:rStyle w:val="FootnoteReference"/>
          <w:rFonts w:ascii="Times New Roman" w:hAnsi="Times New Roman" w:cs="Times New Roman"/>
          <w:noProof/>
          <w:spacing w:val="-2"/>
          <w:sz w:val="24"/>
          <w:szCs w:val="24"/>
        </w:rPr>
        <w:footnoteReference w:id="10"/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>, както във връзка с квалификациите, така и по отношение на качеството на съответните умения. В същото време твърде много студенти завършват със слабо развити основни умения (езикова и математическа грамотност и тази в областта на цифровите технологии) и без съответния набор от общоприложими умения (решаване на проблеми, комуникативни умения и др.), от които се нуждаят, за да проявяват устойчивост в един променящ се свят.</w:t>
      </w:r>
    </w:p>
    <w:p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noProof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-2"/>
          <w:sz w:val="24"/>
          <w:szCs w:val="24"/>
        </w:rPr>
        <w:t>Продължително и растящо социално разделение:</w:t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 xml:space="preserve"> много по-малко вероятно е хората от групи в неравностойно социално-икономическо положение и с мигрантски произход да бъдат приети и да завършат висше образование; често на академичните преподаватели и на завършилите висше образование се гледа като на хора, които нямат връзка с останалата част от обществото; а сегрегацията по полов признак в различните учебни сфери е все още широко разпространена.</w:t>
      </w:r>
    </w:p>
    <w:p>
      <w:pPr>
        <w:pStyle w:val="ListParagraph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Пропуски по отношение на иновациите: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висшите учебни заведения често не допринасят достатъчно за иновациите в икономиката като цяло, и по-специално за тези в собствения им регион. Постиженията на висшето образование по отношение на иновациите варират съществено между различните региони в ЕС.</w:t>
      </w:r>
    </w:p>
    <w:p>
      <w:pPr>
        <w:pStyle w:val="ListParagraph"/>
        <w:numPr>
          <w:ilvl w:val="0"/>
          <w:numId w:val="21"/>
        </w:numPr>
        <w:jc w:val="both"/>
        <w:rPr>
          <w:rFonts w:ascii="Times New Roman" w:hAnsi="Times New Roman" w:cs="Times New Roman"/>
          <w:noProof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-2"/>
          <w:sz w:val="24"/>
          <w:szCs w:val="24"/>
        </w:rPr>
        <w:t>Съвместната работа между различните компоненти на системата на висшето образование не винаги протича гладко:</w:t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 xml:space="preserve"> механизмите за финансиране, стимулиране и заплащане във висшето образование не винаги са направени така, че да възнаграждават качествената преподавателска и изследователска дейност, иновациите, социалното приобщаване и ангажираността. Сътрудничеството между училищата, доставчиците на услуги в сферата на професионалното образование и институциите за учене за възрастни често е ограничено.</w:t>
      </w:r>
    </w:p>
    <w:p>
      <w:pPr>
        <w:pStyle w:val="Heading1"/>
        <w:spacing w:before="360" w:after="200"/>
        <w:rPr>
          <w:rFonts w:ascii="Times New Roman" w:hAnsi="Times New Roman" w:cs="Times New Roman"/>
          <w:noProof/>
          <w:color w:val="auto"/>
          <w:sz w:val="24"/>
          <w:szCs w:val="24"/>
        </w:rPr>
      </w:pPr>
      <w:bookmarkStart w:id="3" w:name="_Toc472341202"/>
      <w:r>
        <w:rPr>
          <w:rFonts w:ascii="Times New Roman" w:hAnsi="Times New Roman" w:cs="Times New Roman"/>
          <w:noProof/>
          <w:color w:val="auto"/>
          <w:sz w:val="24"/>
          <w:szCs w:val="24"/>
        </w:rPr>
        <w:t>2.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ПРИОРИТЕТИ ЗА ДЕЙСТВИЕ</w:t>
      </w:r>
      <w:bookmarkEnd w:id="3"/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bookmarkStart w:id="4" w:name="_Toc472341203"/>
      <w:r>
        <w:rPr>
          <w:rFonts w:ascii="Times New Roman" w:hAnsi="Times New Roman" w:cs="Times New Roman"/>
          <w:noProof/>
          <w:sz w:val="24"/>
          <w:szCs w:val="24"/>
        </w:rPr>
        <w:t>Време е да се даде нова ориентация на помощта на ЕС в областта на висшето образование. Тя ще бъде насочена към разрешаване на посочените по-горе четири предизвикателства чрез акцентиране съответно върху четири приоритета за действие, подкрепени от действия на равнище ЕС:</w:t>
      </w:r>
    </w:p>
    <w:p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Преодоляване на несъответствията по отношения на уменията и насърчаване на върхови постижения за развитието на уменията;</w:t>
      </w:r>
    </w:p>
    <w:p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Изграждане на приобщаващи и свързани системи на висше образование;</w:t>
      </w:r>
    </w:p>
    <w:p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Гарантиране, че заведенията за висше образование допринасят за иновациите;</w:t>
      </w:r>
    </w:p>
    <w:p>
      <w:pPr>
        <w:pStyle w:val="ListParagraph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Подкрепа за ефективни системи за висше образование</w:t>
      </w:r>
      <w:r>
        <w:rPr>
          <w:rStyle w:val="CommentReference"/>
          <w:rFonts w:ascii="Times New Roman" w:hAnsi="Times New Roman" w:cs="Times New Roman"/>
          <w:noProof/>
          <w:sz w:val="24"/>
          <w:szCs w:val="24"/>
        </w:rPr>
        <w:t>.</w:t>
      </w:r>
    </w:p>
    <w:p>
      <w:pPr>
        <w:pStyle w:val="Heading2"/>
        <w:spacing w:before="240" w:after="200"/>
        <w:jc w:val="both"/>
        <w:rPr>
          <w:rFonts w:ascii="Times New Roman Bold" w:hAnsi="Times New Roman Bold" w:cs="Times New Roman" w:hint="eastAsia"/>
          <w:noProof/>
          <w:color w:val="auto"/>
          <w:spacing w:val="-4"/>
          <w:sz w:val="24"/>
          <w:szCs w:val="24"/>
        </w:rPr>
      </w:pPr>
      <w:r>
        <w:rPr>
          <w:rFonts w:ascii="Times New Roman Bold" w:hAnsi="Times New Roman Bold" w:cs="Times New Roman"/>
          <w:noProof/>
          <w:color w:val="auto"/>
          <w:spacing w:val="-4"/>
          <w:sz w:val="24"/>
          <w:szCs w:val="24"/>
        </w:rPr>
        <w:t>2.1.</w:t>
      </w:r>
      <w:r>
        <w:rPr>
          <w:rFonts w:ascii="Times New Roman Bold" w:hAnsi="Times New Roman Bold" w:cs="Times New Roman"/>
          <w:noProof/>
          <w:spacing w:val="-4"/>
          <w:sz w:val="24"/>
          <w:szCs w:val="24"/>
        </w:rPr>
        <w:tab/>
      </w:r>
      <w:r>
        <w:rPr>
          <w:rFonts w:ascii="Times New Roman Bold" w:hAnsi="Times New Roman Bold" w:cs="Times New Roman"/>
          <w:noProof/>
          <w:color w:val="auto"/>
          <w:spacing w:val="-4"/>
          <w:sz w:val="24"/>
          <w:szCs w:val="24"/>
        </w:rPr>
        <w:t>Преодоляване на несъответствията по отношения на уменията и насърчаване на върховни постижения за развитието на умения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pacing w:val="-2"/>
          <w:sz w:val="24"/>
          <w:szCs w:val="24"/>
        </w:rPr>
      </w:pPr>
      <w:r>
        <w:rPr>
          <w:rFonts w:ascii="Times New Roman" w:hAnsi="Times New Roman" w:cs="Times New Roman"/>
          <w:noProof/>
          <w:spacing w:val="-2"/>
          <w:sz w:val="24"/>
          <w:szCs w:val="24"/>
        </w:rPr>
        <w:t xml:space="preserve">Разрешаването на проблема с </w:t>
      </w:r>
      <w:r>
        <w:rPr>
          <w:rFonts w:ascii="Times New Roman" w:hAnsi="Times New Roman" w:cs="Times New Roman"/>
          <w:b/>
          <w:noProof/>
          <w:spacing w:val="-2"/>
          <w:sz w:val="24"/>
          <w:szCs w:val="24"/>
        </w:rPr>
        <w:t>нуждата от високо ниво на умения</w:t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>в Европа изисква действия. Първо, повече хора трябва да бъдат привлечени в учебните дисциплини, които подготвят студентите за професии, за които е налице или се очаква недостиг от кадри. В много държави членки на ЕС съществува недостиг от дипломирани лица в областта на науката, технологиите, инженерството, (изкуствата) и математиката (НТМ(И)M), медицинските професии и преподавателската дейност</w:t>
      </w:r>
      <w:r>
        <w:rPr>
          <w:rStyle w:val="FootnoteReference"/>
          <w:rFonts w:ascii="Times New Roman" w:hAnsi="Times New Roman" w:cs="Times New Roman"/>
          <w:noProof/>
          <w:spacing w:val="-2"/>
          <w:sz w:val="24"/>
          <w:szCs w:val="24"/>
        </w:rPr>
        <w:footnoteReference w:id="11"/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>. Второ, всички студенти във висши училища, независимо от изучаваната специалност, трябва да придобият високи общоприложими умения и ключови компетенции, които да им позволят да просперират. Високото ниво на компетенции в областта на цифровите технологии</w:t>
      </w:r>
      <w:r>
        <w:rPr>
          <w:rStyle w:val="FootnoteReference"/>
          <w:rFonts w:ascii="Times New Roman" w:hAnsi="Times New Roman" w:cs="Times New Roman"/>
          <w:noProof/>
          <w:spacing w:val="-2"/>
          <w:sz w:val="24"/>
          <w:szCs w:val="24"/>
        </w:rPr>
        <w:footnoteReference w:id="12"/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>, математическата грамотност, самостоятелност, критично мислене и възможности за решаване на проблеми са способности с все по-нарастващо значение.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-2"/>
          <w:sz w:val="24"/>
          <w:szCs w:val="24"/>
        </w:rPr>
        <w:t xml:space="preserve">Специалността, която хората избират да изучават в </w:t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>университета зависи от личната мотивация, правилното насочване и наличието на привлекателни възможности за учене и професионално развитие. Възможностите за професионална реализация в крайна сметка зависят от работодателите и икономиката като цяло, но образованието и обучението играят ключова роля. Училищата могат да мотивират учениците да проявяват интерес към всички предмети, включително математиката и естествените науки и да насочват техния избор. Те играят също така ключова роля в разрешаването на проблема с малкия дял на жените, малцинствата и други слабо представени групи в научни и технически специалности в университета и, в последствие, в съответните професии. Наличието на полезна информация относно перспективите за завършилите висше образование, контактите с бивши университетски възпитаници и прогнозите за бъдещите нужди от умения са ценни за консултантите в областта на професионалното ориентиране. Висшето образование има за задача да гарантира, че учебното съдържание е актуално, предлага подходящи програми за обучение в области, в които е налице недостиг от умения и развиват методологии за учене и обучение, които позволяват на студентите да придобият съответните умения в достатъчно задълбочена и всеобхватна степен.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noProof/>
          <w:spacing w:val="-2"/>
          <w:sz w:val="24"/>
          <w:szCs w:val="24"/>
        </w:rPr>
        <w:t>Добре разработените университетски програми и учебни планове</w:t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>, фокусирани върху образователните потребности на студентите, са от решаващо значение за ефективното развиване на умения. Наличието на широк спектър от избираеми програми, включително двугодишни образователни степени</w:t>
      </w:r>
      <w:r>
        <w:rPr>
          <w:rStyle w:val="FootnoteReference"/>
          <w:rFonts w:ascii="Times New Roman" w:hAnsi="Times New Roman" w:cs="Times New Roman"/>
          <w:noProof/>
          <w:spacing w:val="-2"/>
          <w:sz w:val="24"/>
          <w:szCs w:val="24"/>
        </w:rPr>
        <w:footnoteReference w:id="13"/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 xml:space="preserve"> и възможности за постоянно професионално развитие, спомагат за това висшето образование да отговори в по-голяма степен на потребностите на хората. Технологиите предлагат нови начини за структуриране и организация на ученето и обучението</w:t>
      </w:r>
      <w:r>
        <w:rPr>
          <w:rStyle w:val="FootnoteReference"/>
          <w:rFonts w:ascii="Times New Roman" w:hAnsi="Times New Roman" w:cs="Times New Roman"/>
          <w:noProof/>
          <w:spacing w:val="-2"/>
          <w:sz w:val="24"/>
          <w:szCs w:val="24"/>
        </w:rPr>
        <w:footnoteReference w:id="14"/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>, включително чрез обучение със свободен достъп, онлайн и смесено обучение</w:t>
      </w:r>
      <w:r>
        <w:rPr>
          <w:rStyle w:val="FootnoteReference"/>
          <w:rFonts w:ascii="Times New Roman" w:hAnsi="Times New Roman" w:cs="Times New Roman"/>
          <w:noProof/>
          <w:spacing w:val="-2"/>
          <w:sz w:val="24"/>
          <w:szCs w:val="24"/>
        </w:rPr>
        <w:footnoteReference w:id="15"/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 xml:space="preserve"> за повишаване на степента на гъвкавост и на взаимодействието между преподаватели и студенти. Образователните ресурси със свободен достъп и анализът на ученето</w:t>
      </w:r>
      <w:r>
        <w:rPr>
          <w:rStyle w:val="FootnoteReference"/>
          <w:rFonts w:ascii="Times New Roman" w:hAnsi="Times New Roman" w:cs="Times New Roman"/>
          <w:noProof/>
          <w:spacing w:val="-2"/>
          <w:sz w:val="24"/>
          <w:szCs w:val="24"/>
        </w:rPr>
        <w:footnoteReference w:id="16"/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 xml:space="preserve"> имат потенциала да подобрят ученето, но остават недостатъчно използвани. Въпреки че по-голямата част от преподаването в рамките на висшето образование се извършва в изследователски институции, изследователската дейност не се използва достатъчно като материал за преподаване, а студентите често не биват включвани в извършваните изследвания. Това ограничава възможностите на студентите да изследват съвременните проблеми и да развиват изследователските си умения. Инициативата за наука със свободен достъп, прилагаща цифрови технологии</w:t>
      </w:r>
      <w:r>
        <w:rPr>
          <w:rStyle w:val="FootnoteReference"/>
          <w:rFonts w:ascii="Times New Roman" w:hAnsi="Times New Roman" w:cs="Times New Roman"/>
          <w:noProof/>
          <w:spacing w:val="-2"/>
          <w:sz w:val="24"/>
          <w:szCs w:val="24"/>
        </w:rPr>
        <w:footnoteReference w:id="17"/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>, отваря нови възможности за разрешаването на този проблем.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Висшето образование също следва да позволи на студентите да придобият умения и опит чрез </w:t>
      </w:r>
      <w:r>
        <w:rPr>
          <w:rFonts w:ascii="Times New Roman" w:hAnsi="Times New Roman" w:cs="Times New Roman"/>
          <w:b/>
          <w:noProof/>
          <w:sz w:val="24"/>
          <w:szCs w:val="24"/>
        </w:rPr>
        <w:t>дейности, основаващи се на проблеми от реалния живот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, да включи практическо обучение и, когато е възможно, да предлага международна мобилност. </w:t>
      </w:r>
      <w:r>
        <w:rPr>
          <w:rFonts w:ascii="Times New Roman" w:hAnsi="Times New Roman" w:cs="Times New Roman"/>
          <w:b/>
          <w:noProof/>
          <w:sz w:val="24"/>
          <w:szCs w:val="24"/>
        </w:rPr>
        <w:t>Сътрудничеството с работодателите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може да позволи на висшите учебни институции да актуализират своите учебни програми и да ги провеждат ефективно, като увеличат възможностите за достъп на студентите до практическо обучение.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Разработването, създаването и провеждането на добри програми за обучение не е лесно. Наличието на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добри преподаватели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 от съществено значение. Твърде голям брой университетски преподаватели са получили ограничено или никакво педагогическо обучение, а системното инвестиране в постоянното професионално развитие на преподавателите все още е изключение. Национални и институционални стратегии за подобряване на възможностите за професионална реализация и възнагражденията за добрите преподаватели се срещат все по-често, но са доста под необходимото равнище.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spacing w:after="120"/>
        <w:jc w:val="both"/>
        <w:rPr>
          <w:rFonts w:eastAsia="Times New Roman"/>
          <w:noProof/>
        </w:rPr>
      </w:pPr>
      <w:r>
        <w:rPr>
          <w:noProof/>
        </w:rPr>
        <w:t>Какво ще предприеме Комисията:</w:t>
      </w:r>
    </w:p>
    <w:p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Ще стартира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европейска инициатива за проследяване на дипломираните висшисти </w:t>
      </w:r>
      <w:r>
        <w:rPr>
          <w:rFonts w:ascii="Times New Roman" w:hAnsi="Times New Roman" w:cs="Times New Roman"/>
          <w:noProof/>
          <w:sz w:val="24"/>
          <w:szCs w:val="24"/>
        </w:rPr>
        <w:t>за по-добра информираност относно тяхното професионално развитие или в последващото образование на национално равнище и на равнище ЕС. Това ще доведе до подобрения по отношение на професионалното ориентиране, разработването на програми, стратегиите на институциите и изработването на политиките. Препоръката на Съвета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8"/>
      </w:r>
      <w:r>
        <w:rPr>
          <w:rFonts w:ascii="Times New Roman" w:hAnsi="Times New Roman" w:cs="Times New Roman"/>
          <w:noProof/>
          <w:sz w:val="24"/>
          <w:szCs w:val="24"/>
        </w:rPr>
        <w:t>, предложена като част от този пакет, ще бъде подкрепена от проучване относно дипломираните висшисти на равнище ЕС и сътрудничество за подобряване на националните механизми за проследяване на университетските възпитаници.</w:t>
      </w:r>
    </w:p>
    <w:p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Ще постави началото на </w:t>
      </w:r>
      <w:r>
        <w:rPr>
          <w:rFonts w:ascii="Times New Roman" w:hAnsi="Times New Roman" w:cs="Times New Roman"/>
          <w:b/>
          <w:noProof/>
          <w:sz w:val="24"/>
          <w:szCs w:val="24"/>
        </w:rPr>
        <w:t>коалиция НТМ(И)M на ЕС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19"/>
      </w:r>
      <w:r>
        <w:rPr>
          <w:rFonts w:ascii="Times New Roman" w:hAnsi="Times New Roman" w:cs="Times New Roman"/>
          <w:noProof/>
          <w:sz w:val="24"/>
          <w:szCs w:val="24"/>
        </w:rPr>
        <w:t>, включваща различни образователни сектори, работодатели в бизнеса и публичния сектор за подпомагане и изпълнение на актуални програми в НТМ(И)M, модернизиране на НТМ(И)M и други учебни програми, включително чрез повече мултидисциплинарни програми и сътрудничество между съответните предприятия и висшите учебни заведения.</w:t>
      </w:r>
    </w:p>
    <w:p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Ще насърчава включването на стажове, признати чрез точките по ECTS, в университетски програми, ще засили подкрепата си за </w:t>
      </w:r>
      <w:r>
        <w:rPr>
          <w:rFonts w:ascii="Times New Roman" w:hAnsi="Times New Roman" w:cs="Times New Roman"/>
          <w:b/>
          <w:noProof/>
          <w:sz w:val="24"/>
          <w:szCs w:val="24"/>
        </w:rPr>
        <w:t>бизнес консорциумите по „Еразъм+”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с цел увеличаване на наличието и качеството на стажове и ще подкрепя </w:t>
      </w:r>
      <w:r>
        <w:rPr>
          <w:rFonts w:ascii="Times New Roman" w:hAnsi="Times New Roman" w:cs="Times New Roman"/>
          <w:b/>
          <w:noProof/>
          <w:sz w:val="24"/>
          <w:szCs w:val="24"/>
        </w:rPr>
        <w:t>студентските стажове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в рамките на „Еразъм+”,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като поставя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специален акцент върху дигиталните умения</w:t>
      </w:r>
      <w:r>
        <w:rPr>
          <w:rStyle w:val="FootnoteReference"/>
          <w:rFonts w:ascii="Times New Roman" w:hAnsi="Times New Roman" w:cs="Times New Roman"/>
          <w:b/>
          <w:noProof/>
          <w:sz w:val="24"/>
          <w:szCs w:val="24"/>
        </w:rPr>
        <w:footnoteReference w:id="20"/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Ще разработи и ще развива </w:t>
      </w:r>
      <w:r>
        <w:rPr>
          <w:rFonts w:ascii="Times New Roman" w:hAnsi="Times New Roman" w:cs="Times New Roman"/>
          <w:b/>
          <w:noProof/>
          <w:sz w:val="24"/>
          <w:szCs w:val="24"/>
        </w:rPr>
        <w:t>модел за цифрова подготвеност,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за да помогне на висшите учебни заведения, на техния персонал и на студентите да прилагат стратегии за изучаване на цифровите технологии и да изследват потенциала на модерните технологии, включително анализа на ученето. Това ще бъде придружено от </w:t>
      </w:r>
      <w:r>
        <w:rPr>
          <w:rFonts w:ascii="Times New Roman" w:hAnsi="Times New Roman" w:cs="Times New Roman"/>
          <w:b/>
          <w:noProof/>
          <w:sz w:val="24"/>
          <w:szCs w:val="24"/>
        </w:rPr>
        <w:t>насоки по отношение на инициативи за отворено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t>образование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Ще ускори </w:t>
      </w:r>
      <w:r>
        <w:rPr>
          <w:rFonts w:ascii="Times New Roman" w:hAnsi="Times New Roman" w:cs="Times New Roman"/>
          <w:b/>
          <w:noProof/>
          <w:sz w:val="24"/>
          <w:szCs w:val="24"/>
        </w:rPr>
        <w:t>стратегическата подкрепа за преподавателите в сферата на висшето образование, кандидатите за докторанти и завършилите докторантура чрез „Еразъм+”</w:t>
      </w:r>
      <w:r>
        <w:rPr>
          <w:rFonts w:ascii="Times New Roman" w:hAnsi="Times New Roman" w:cs="Times New Roman"/>
          <w:noProof/>
          <w:sz w:val="24"/>
          <w:szCs w:val="24"/>
        </w:rPr>
        <w:t>, за да им окаже помощ в развиването на педагогически умения и умения за разработване на програми чрез целенасочени възможности за мобилност на служители с цел педагогическо обучение и засилено сътрудничество между центровете за обучение на преподаватели в целия ЕС.</w:t>
      </w:r>
    </w:p>
    <w:p>
      <w:pPr>
        <w:pStyle w:val="Heading2"/>
        <w:spacing w:before="240" w:after="200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t>2.2.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bookmarkEnd w:id="4"/>
      <w:r>
        <w:rPr>
          <w:rFonts w:ascii="Times New Roman" w:hAnsi="Times New Roman" w:cs="Times New Roman"/>
          <w:noProof/>
          <w:color w:val="auto"/>
          <w:sz w:val="24"/>
          <w:szCs w:val="24"/>
        </w:rPr>
        <w:t>Изграждане на приобщаващи и свързани системи за висше образование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iCs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Висшето образование трябва да изпълни своята роля в борбата със </w:t>
      </w:r>
      <w:r>
        <w:rPr>
          <w:rFonts w:ascii="Times New Roman" w:hAnsi="Times New Roman" w:cs="Times New Roman"/>
          <w:b/>
          <w:noProof/>
          <w:sz w:val="24"/>
          <w:szCs w:val="24"/>
        </w:rPr>
        <w:t>социалните и демографските предизвикателства,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пред които е изправена Европа. Това означава предоставяне на гаранции, че висшето образование е включващо, отворено за талантливи хора от всякакъв произход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21"/>
      </w:r>
      <w:r>
        <w:rPr>
          <w:rFonts w:ascii="Times New Roman" w:hAnsi="Times New Roman" w:cs="Times New Roman"/>
          <w:noProof/>
          <w:sz w:val="24"/>
          <w:szCs w:val="24"/>
        </w:rPr>
        <w:t xml:space="preserve"> и че висшите учебни институции не са кули от слонова кост, а академични общности с гражданска съвест, свързани със своите общности. На академичните преподаватели и студентите е отредена съществена роля в отстояването на емпиричните факти и доказателства и в ефективното и широкото оповестяване на резултатите от изследователската дейност.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Профилът на студентите, които влизат и завършват висше образование, трябва да е отражение на по-широката общественост. Това изисква намесата на правителства, училища и университети. По-вероятно е социалните групи, които са най-слабо представени в сферата на висшето образование, да са лишени от основни умения (езикова и математическа грамотност и компетенции в областта на цифровите технологии), опит в самостоятелното учене и ясна представа за това, какво означава висшето образование. Системното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сътрудничество между висшите учебни институции, училищата и доставчиците на услуги в сферата на професионалното образование и обучение </w:t>
      </w:r>
      <w:r>
        <w:rPr>
          <w:rFonts w:ascii="Times New Roman" w:hAnsi="Times New Roman" w:cs="Times New Roman"/>
          <w:noProof/>
          <w:sz w:val="24"/>
          <w:szCs w:val="24"/>
        </w:rPr>
        <w:t>е нужно, за да подготви и насочва учениците въз основа на техните таланти, а не на техния произход, и за да осигури гъвкави модели за образование и обучение. Правилното професионално ориентиране и наставничеството са от решаващо значение.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pacing w:val="2"/>
          <w:sz w:val="24"/>
          <w:szCs w:val="24"/>
        </w:rPr>
      </w:pPr>
      <w:r>
        <w:rPr>
          <w:rFonts w:ascii="Times New Roman" w:hAnsi="Times New Roman" w:cs="Times New Roman"/>
          <w:noProof/>
          <w:spacing w:val="2"/>
          <w:sz w:val="24"/>
          <w:szCs w:val="24"/>
        </w:rPr>
        <w:t xml:space="preserve">Превръщането на системите за висше образование в приобщаващи изисква осигуряването на </w:t>
      </w:r>
      <w:r>
        <w:rPr>
          <w:rFonts w:ascii="Times New Roman" w:hAnsi="Times New Roman" w:cs="Times New Roman"/>
          <w:b/>
          <w:noProof/>
          <w:spacing w:val="2"/>
          <w:sz w:val="24"/>
          <w:szCs w:val="24"/>
        </w:rPr>
        <w:t>подходящи условия за успех на студентите с различен произход</w:t>
      </w:r>
      <w:r>
        <w:rPr>
          <w:rFonts w:ascii="Times New Roman" w:hAnsi="Times New Roman" w:cs="Times New Roman"/>
          <w:noProof/>
          <w:spacing w:val="2"/>
          <w:sz w:val="24"/>
          <w:szCs w:val="24"/>
        </w:rPr>
        <w:t>. Това надхвърля финансовата помощ за групите в неравностойно положение, въпреки че тя е от съществено значение за хората с ограничени доходи. За да се насърчат успешното завършване на образованието, доставчиците на услуги в сферата на висшето образование следва да възприемат цялостен подход към организирането на обучението и оценката, да въведат мерки за наставничество на студентите и да осигуряват подкрепа във връзка с работата в университета и извън него</w:t>
      </w:r>
      <w:r>
        <w:rPr>
          <w:rStyle w:val="FootnoteReference"/>
          <w:rFonts w:ascii="Times New Roman" w:hAnsi="Times New Roman" w:cs="Times New Roman"/>
          <w:noProof/>
          <w:spacing w:val="2"/>
          <w:sz w:val="24"/>
          <w:szCs w:val="24"/>
        </w:rPr>
        <w:footnoteReference w:id="22"/>
      </w:r>
      <w:r>
        <w:rPr>
          <w:rFonts w:ascii="Times New Roman" w:hAnsi="Times New Roman" w:cs="Times New Roman"/>
          <w:noProof/>
          <w:spacing w:val="2"/>
          <w:sz w:val="24"/>
          <w:szCs w:val="24"/>
        </w:rPr>
        <w:t>. Студентските градчета трябва да бъдат безопасни за всички студенти, да са свободни от насилие въз основа на пол и дискриминация. Ранното откриване на проблеми е от решаващо значение за определяне на това от каква помощ се нуждаят студентите. Гъвкавите възможности за учене (задочно или онлайн) и по-широкото признаване на предишно обучение също са необходими, за да стане висшето образование по-достъпно, по-специално за възрастни учащи се лица. Стратегиите за подпомагане на студенти в неравностойно положение при достъпа им до висши учебни заведения, и обучението в тях до завършване на съответната образователна степен, са перспективно средство за постигане на тези цели.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Разрушаването на </w:t>
      </w: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бариерите между висшето образование и останалата част от обществото</w: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може да помогне на студентите да развият своите </w:t>
      </w: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>социални и граждански компетенции</w:t>
      </w:r>
      <w:r>
        <w:rPr>
          <w:rStyle w:val="FootnoteReference"/>
          <w:rFonts w:ascii="Times New Roman" w:hAnsi="Times New Roman" w:cs="Times New Roman"/>
          <w:noProof/>
          <w:color w:val="auto"/>
          <w:sz w:val="24"/>
          <w:szCs w:val="24"/>
        </w:rPr>
        <w:footnoteReference w:id="23"/>
      </w:r>
      <w:r>
        <w:rPr>
          <w:rFonts w:ascii="Times New Roman" w:hAnsi="Times New Roman" w:cs="Times New Roman"/>
          <w:noProof/>
          <w:sz w:val="24"/>
          <w:szCs w:val="24"/>
        </w:rPr>
        <w:t>.</w: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Някои институции развиват своя облик като </w:t>
      </w:r>
      <w:r>
        <w:rPr>
          <w:rFonts w:ascii="Times New Roman" w:hAnsi="Times New Roman" w:cs="Times New Roman"/>
          <w:b/>
          <w:noProof/>
          <w:color w:val="auto"/>
          <w:sz w:val="24"/>
          <w:szCs w:val="24"/>
        </w:rPr>
        <w:t xml:space="preserve">„граждански университети“, </w: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включвайки в учебната програма местни, регионални и обществени проблеми, ангажирайки местната общност в процеса на преподаването и изследователските проекти, предлагайки обучение за възрастни и изграждайки връзки с местните общности. </w:t>
      </w:r>
      <w:r>
        <w:rPr>
          <w:rFonts w:ascii="Times New Roman" w:hAnsi="Times New Roman" w:cs="Times New Roman"/>
          <w:noProof/>
          <w:sz w:val="24"/>
          <w:szCs w:val="24"/>
        </w:rPr>
        <w:t>Добре организираната доброволна и обществена работа може да се превърне в особено ефективен начин за подпомагане на студентите да развият в по-голяма степен своите практически опит и умения. Висшите учебни заведения следва да се ангажират в развитието на градовете и регионите си, като допринасят със стратегии за благоустрояване, сътрудничество с бизнеса, публичния сектор и доброволческите организации. Информационните дейности на местните езици, надхвърлящи рамките на академичната общност, трябва да се насърчават и възнаграждават, включително като част от кариерното развитие.</w:t>
      </w:r>
    </w:p>
    <w:p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spacing w:after="120"/>
        <w:jc w:val="both"/>
        <w:rPr>
          <w:noProof/>
        </w:rPr>
      </w:pPr>
      <w:r>
        <w:rPr>
          <w:noProof/>
        </w:rPr>
        <w:t>Какво ще предприеме Комисията:</w:t>
      </w:r>
    </w:p>
    <w:p>
      <w:pPr>
        <w:pStyle w:val="ListParagraph"/>
        <w:numPr>
          <w:ilvl w:val="0"/>
          <w:numId w:val="1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Ще насочва помощ в рамките на „Еразъм+”, за да помогне на висшите учебни заведения в разработването и изпълнението на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интегрирани институционални стратегии за приобщаване, равенство между половете и успешно обучение </w:t>
      </w:r>
      <w:r>
        <w:rPr>
          <w:rFonts w:ascii="Times New Roman" w:hAnsi="Times New Roman" w:cs="Times New Roman"/>
          <w:noProof/>
          <w:sz w:val="24"/>
          <w:szCs w:val="24"/>
        </w:rPr>
        <w:t>от приемането до завършването, включително чрез сътрудничество с училища и доставчици на услуги в сферата на професионалното образование и обучение.</w:t>
      </w:r>
    </w:p>
    <w:p>
      <w:pPr>
        <w:pStyle w:val="ListParagraph"/>
        <w:numPr>
          <w:ilvl w:val="0"/>
          <w:numId w:val="1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Ще насърчава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разработването и изпробването на гъвкави модулни курсове </w:t>
      </w:r>
      <w:r>
        <w:rPr>
          <w:rFonts w:ascii="Times New Roman" w:hAnsi="Times New Roman" w:cs="Times New Roman"/>
          <w:noProof/>
          <w:sz w:val="24"/>
          <w:szCs w:val="24"/>
        </w:rPr>
        <w:t>в подкрепа на достъпа до висше образование чрез конкретни приоритети за стратегически партньорства по „Еразъм+”.</w:t>
      </w:r>
    </w:p>
    <w:p>
      <w:pPr>
        <w:pStyle w:val="ListParagraph"/>
        <w:numPr>
          <w:ilvl w:val="0"/>
          <w:numId w:val="1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Ще подкрепя висшите учебни заведения, желаещи да </w:t>
      </w:r>
      <w:r>
        <w:rPr>
          <w:rFonts w:ascii="Times New Roman" w:hAnsi="Times New Roman" w:cs="Times New Roman"/>
          <w:b/>
          <w:noProof/>
          <w:sz w:val="24"/>
          <w:szCs w:val="24"/>
        </w:rPr>
        <w:t>присъждат ECTS точки на студенти за доброволчески и обществени дейности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въз основа на съществуващите положителни примери.</w:t>
      </w:r>
    </w:p>
    <w:p>
      <w:pPr>
        <w:pStyle w:val="ListParagraph"/>
        <w:numPr>
          <w:ilvl w:val="0"/>
          <w:numId w:val="12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Ще подкрепя </w:t>
      </w:r>
      <w:r>
        <w:rPr>
          <w:rFonts w:ascii="Times New Roman" w:hAnsi="Times New Roman" w:cs="Times New Roman"/>
          <w:b/>
          <w:noProof/>
          <w:sz w:val="24"/>
          <w:szCs w:val="24"/>
        </w:rPr>
        <w:t>признаването на квалификации на бежанци,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за да улесни достъпа им до висше образование. Дейностите ще се основават върху текущия проект по Еразъм+, с който се предоставят практически насоки, и ще включват консултации на партньори между националните информационни центрове за академично признаване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24"/>
      </w:r>
      <w:r>
        <w:rPr>
          <w:rFonts w:ascii="Times New Roman" w:hAnsi="Times New Roman" w:cs="Times New Roman"/>
          <w:noProof/>
          <w:sz w:val="24"/>
          <w:szCs w:val="24"/>
        </w:rPr>
        <w:t xml:space="preserve"> и заинтересованите лица, както и модули за електронно обучение, както и ще допълват инструмента за съставяне на профил на уменията за гражданите на трети държави.</w:t>
      </w:r>
    </w:p>
    <w:p>
      <w:pPr>
        <w:pStyle w:val="Heading2"/>
        <w:spacing w:before="240" w:after="200"/>
        <w:rPr>
          <w:rFonts w:ascii="Times New Roman Bold" w:hAnsi="Times New Roman Bold" w:cs="Times New Roman" w:hint="eastAsia"/>
          <w:noProof/>
          <w:color w:val="auto"/>
          <w:spacing w:val="-6"/>
          <w:sz w:val="24"/>
          <w:szCs w:val="24"/>
        </w:rPr>
      </w:pPr>
      <w:bookmarkStart w:id="5" w:name="_Toc472341205"/>
      <w:r>
        <w:rPr>
          <w:rFonts w:ascii="Times New Roman Bold" w:hAnsi="Times New Roman Bold" w:cs="Times New Roman"/>
          <w:noProof/>
          <w:color w:val="auto"/>
          <w:spacing w:val="-6"/>
          <w:sz w:val="24"/>
          <w:szCs w:val="24"/>
        </w:rPr>
        <w:t xml:space="preserve">2.3. </w:t>
      </w:r>
      <w:r>
        <w:rPr>
          <w:rFonts w:ascii="Times New Roman Bold" w:hAnsi="Times New Roman Bold" w:cs="Times New Roman"/>
          <w:noProof/>
          <w:spacing w:val="-6"/>
          <w:sz w:val="24"/>
          <w:szCs w:val="24"/>
        </w:rPr>
        <w:tab/>
      </w:r>
      <w:bookmarkEnd w:id="5"/>
      <w:r>
        <w:rPr>
          <w:rFonts w:ascii="Times New Roman Bold" w:hAnsi="Times New Roman Bold" w:cs="Times New Roman"/>
          <w:noProof/>
          <w:color w:val="auto"/>
          <w:spacing w:val="-6"/>
          <w:sz w:val="24"/>
          <w:szCs w:val="24"/>
        </w:rPr>
        <w:t>Гарантиране, че институциите за висше образование допринасят за иновациите</w:t>
      </w:r>
    </w:p>
    <w:p>
      <w:pPr>
        <w:pStyle w:val="ListParagraph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Много висши учебни заведения разработват </w:t>
      </w:r>
      <w:r>
        <w:rPr>
          <w:rFonts w:ascii="Times New Roman" w:hAnsi="Times New Roman" w:cs="Times New Roman"/>
          <w:b/>
          <w:noProof/>
          <w:sz w:val="24"/>
          <w:szCs w:val="24"/>
        </w:rPr>
        <w:t>нови решения на икономически, социални и екологични проблеми</w:t>
      </w:r>
      <w:r>
        <w:rPr>
          <w:rFonts w:ascii="Times New Roman" w:hAnsi="Times New Roman" w:cs="Times New Roman"/>
          <w:noProof/>
          <w:sz w:val="24"/>
          <w:szCs w:val="24"/>
        </w:rPr>
        <w:t>. Гарантирането, че тези усилия са правилно насочени и помагат за разрешаването на непосредствени, както и на дългосрочни предизвикателства, не е проста задача. Иновациите са най-важният двигател на икономическия растеж. Изследователските институти, университетите, развиващи интензивна изследователска дейност, и висшите учебни заведения за приложни науки допринасят към иновациите по различни, взаимосвързани начини; както и в рамките на и извън множество географски граници. Укрепването на приноса на висшето образование към иновациите изисква действия от всички сфери на дейност на висшите учебни заведения — образованието, изследователската дейност и участието в обществения живот като цяло. Заведенията трябва да изградят насочена навън култура по отношение на иновациите и предприемачеството.</w:t>
      </w:r>
    </w:p>
    <w:p>
      <w:pPr>
        <w:pStyle w:val="ListParagraph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Човешката любознателност, творчество и инициативност са източник на нови идеи и открития. Всички форми на университетско образование следва да имат за цел да изградят у студентите способности да разбират нови понятия, да мислят критично и творчески, и да действат предприемчиво за разработването и прилагането на нови идеи. Висококачественото </w:t>
      </w:r>
      <w:r>
        <w:rPr>
          <w:rFonts w:ascii="Times New Roman" w:hAnsi="Times New Roman" w:cs="Times New Roman"/>
          <w:b/>
          <w:noProof/>
          <w:sz w:val="24"/>
          <w:szCs w:val="24"/>
        </w:rPr>
        <w:t>следдипломно обучение и докторантурите</w:t>
      </w:r>
      <w:r>
        <w:rPr>
          <w:rFonts w:ascii="Times New Roman" w:hAnsi="Times New Roman" w:cs="Times New Roman"/>
          <w:b/>
          <w:noProof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са от огромно значение. Те обучават изследователи, компютърни специалисти и „мениджъри в областта на иновациите“, които са двигателите на научните открития и утвърждаването и възприемането на нови идеи. В сравнение със САЩ и Япония твърде малко докторанти в ЕС работят извън университетите. Висшите учебни институции трябва да насърчат този процес чрез по-силно акцентиране върху докторските програми за прилагане на знания и взаимодействия с бъдещи работодатели.</w:t>
      </w:r>
    </w:p>
    <w:p>
      <w:pPr>
        <w:pStyle w:val="ListParagraph"/>
        <w:ind w:left="0"/>
        <w:jc w:val="both"/>
        <w:rPr>
          <w:rFonts w:ascii="Times New Roman" w:eastAsia="Times New Roman" w:hAnsi="Times New Roman" w:cs="Times New Roman"/>
          <w:noProof/>
          <w:spacing w:val="-2"/>
          <w:sz w:val="24"/>
          <w:szCs w:val="24"/>
        </w:rPr>
      </w:pPr>
      <w:r>
        <w:rPr>
          <w:rFonts w:ascii="Times New Roman" w:hAnsi="Times New Roman" w:cs="Times New Roman"/>
          <w:noProof/>
          <w:spacing w:val="-2"/>
          <w:sz w:val="24"/>
          <w:szCs w:val="24"/>
        </w:rPr>
        <w:t xml:space="preserve">Висшите учебни заведения също следва да играят по-голяма роля в местното и регионалното развитие. Инвестициите на ЕС в регионалното развитие чрез иновации се ръководят от принципа на </w:t>
      </w:r>
      <w:r>
        <w:rPr>
          <w:rFonts w:ascii="Times New Roman" w:hAnsi="Times New Roman" w:cs="Times New Roman"/>
          <w:b/>
          <w:noProof/>
          <w:spacing w:val="-2"/>
          <w:sz w:val="24"/>
          <w:szCs w:val="24"/>
        </w:rPr>
        <w:t>интелигентна специализация</w:t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 xml:space="preserve"> — чрез съсредоточване на регионалните инвестиции и усилия върху иновациите в сектори с висок потенциал за растеж. Висшите учебни заведения могат да допринесат повече за улесняване на контактите между академичните институции, предприемачите и публичните власти, да съгласуват предлаганите от тях възможности за обучение с потребностите, посочени в стратегиите за интелигентна специализация, да използват възможностите за иновации в приоритетни сектори и да помогнат на местния бизнес и на други организации да разберат и да възприемат нови начини на мислене. Осъществяването на всичко това трябва да бъде част от една по-широкомащабна промяна, в рамките на която висшите учебни заведения действат като </w:t>
      </w:r>
      <w:r>
        <w:rPr>
          <w:rFonts w:ascii="Times New Roman" w:hAnsi="Times New Roman" w:cs="Times New Roman"/>
          <w:b/>
          <w:noProof/>
          <w:spacing w:val="-2"/>
          <w:sz w:val="24"/>
          <w:szCs w:val="24"/>
        </w:rPr>
        <w:t>„предприемачи</w:t>
      </w:r>
      <w:r>
        <w:rPr>
          <w:rFonts w:ascii="Times New Roman" w:hAnsi="Times New Roman" w:cs="Times New Roman"/>
          <w:b/>
          <w:noProof/>
          <w:sz w:val="24"/>
          <w:szCs w:val="24"/>
        </w:rPr>
        <w:t>“</w:t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>. Подкрепяният от ЕС иновационен инструмент за висшите учебни заведения</w:t>
      </w:r>
      <w:r>
        <w:rPr>
          <w:rStyle w:val="FootnoteReference"/>
          <w:rFonts w:ascii="Times New Roman" w:hAnsi="Times New Roman" w:cs="Times New Roman"/>
          <w:noProof/>
          <w:spacing w:val="-2"/>
          <w:sz w:val="24"/>
          <w:szCs w:val="24"/>
        </w:rPr>
        <w:footnoteReference w:id="25"/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 xml:space="preserve"> оказва помощ в превръщането на иновациите и предприемачеството в основна част от цялостната стратегия на институцията. С „печата за високи постижения“ се предоставя допълнителна възможност за инвестиции в научни изследвания и иновации</w:t>
      </w:r>
      <w:r>
        <w:rPr>
          <w:rStyle w:val="FootnoteReference"/>
          <w:rFonts w:ascii="Times New Roman" w:hAnsi="Times New Roman" w:cs="Times New Roman"/>
          <w:noProof/>
          <w:spacing w:val="-2"/>
          <w:sz w:val="24"/>
          <w:szCs w:val="24"/>
        </w:rPr>
        <w:footnoteReference w:id="26"/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>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Утрешните иновации зависят от предприетата днес изследователска дейност и от творческия талант за използване на получените резултати. Правителствата и системите за висше образование трябва да правят интелигентни инвестиции, за да развиват силни области в сферата на революционните научни изследвания. Високите постижения в изследователската дейност са свързани с международното сътрудничество и мобилността: основна мисия на програмата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„Хоризонт 2020“. ЕС обаче може да положи повече усилия за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укрепването на центровете за върхови изследователски постижения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 повече части на Европа и за насърчаването на превръщането на научните постижения в атрактивни за пазара иновации.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spacing w:after="120"/>
        <w:jc w:val="both"/>
        <w:rPr>
          <w:noProof/>
        </w:rPr>
      </w:pPr>
      <w:r>
        <w:rPr>
          <w:noProof/>
        </w:rPr>
        <w:t>Какво ще предприеме Комисията:</w:t>
      </w:r>
    </w:p>
    <w:p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spacing w:after="120"/>
        <w:jc w:val="both"/>
        <w:rPr>
          <w:rFonts w:ascii="Times New Roman" w:hAnsi="Times New Roman" w:cs="Times New Roman"/>
          <w:noProof/>
          <w:spacing w:val="-2"/>
          <w:sz w:val="24"/>
          <w:szCs w:val="24"/>
        </w:rPr>
      </w:pPr>
      <w:r>
        <w:rPr>
          <w:rFonts w:ascii="Times New Roman" w:hAnsi="Times New Roman" w:cs="Times New Roman"/>
          <w:noProof/>
          <w:spacing w:val="-2"/>
          <w:sz w:val="24"/>
          <w:szCs w:val="24"/>
        </w:rPr>
        <w:t xml:space="preserve">Ще разшири модела на </w:t>
      </w:r>
      <w:r>
        <w:rPr>
          <w:rFonts w:ascii="Times New Roman" w:hAnsi="Times New Roman" w:cs="Times New Roman"/>
          <w:b/>
          <w:noProof/>
          <w:spacing w:val="-2"/>
          <w:sz w:val="24"/>
          <w:szCs w:val="24"/>
        </w:rPr>
        <w:t>Регионалната иновационна схема (EIT-RIS)</w:t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 xml:space="preserve"> на Европейския институт за иновации и технологии (EIT) и означението на EIT</w:t>
      </w:r>
      <w:r>
        <w:rPr>
          <w:rStyle w:val="FootnoteReference"/>
          <w:rFonts w:ascii="Times New Roman" w:hAnsi="Times New Roman" w:cs="Times New Roman"/>
          <w:noProof/>
          <w:spacing w:val="-2"/>
          <w:sz w:val="24"/>
          <w:szCs w:val="24"/>
        </w:rPr>
        <w:footnoteReference w:id="27"/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 xml:space="preserve"> за повече университети и региони с цел укрепване на развиването на </w:t>
      </w:r>
      <w:r>
        <w:rPr>
          <w:rFonts w:ascii="Times New Roman" w:hAnsi="Times New Roman" w:cs="Times New Roman"/>
          <w:b/>
          <w:noProof/>
          <w:spacing w:val="-2"/>
          <w:sz w:val="24"/>
          <w:szCs w:val="24"/>
        </w:rPr>
        <w:t>предприемачески и иновационни умения</w:t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>, и по-добрата подготовка на докторантите и дипломираните висшисти за работа в иновативни предприятия.</w:t>
      </w:r>
    </w:p>
    <w:p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spacing w:after="120"/>
        <w:jc w:val="both"/>
        <w:rPr>
          <w:rFonts w:ascii="Times New Roman" w:hAnsi="Times New Roman" w:cs="Times New Roman"/>
          <w:noProof/>
          <w:spacing w:val="-2"/>
          <w:sz w:val="24"/>
          <w:szCs w:val="24"/>
        </w:rPr>
      </w:pPr>
      <w:r>
        <w:rPr>
          <w:rFonts w:ascii="Times New Roman" w:hAnsi="Times New Roman" w:cs="Times New Roman"/>
          <w:noProof/>
          <w:spacing w:val="-2"/>
          <w:sz w:val="24"/>
          <w:szCs w:val="24"/>
        </w:rPr>
        <w:t xml:space="preserve">Ще подкрепи по-нататъшното развитие и изпробване на </w:t>
      </w:r>
      <w:r>
        <w:rPr>
          <w:rFonts w:ascii="Times New Roman" w:hAnsi="Times New Roman" w:cs="Times New Roman"/>
          <w:b/>
          <w:noProof/>
          <w:spacing w:val="-2"/>
          <w:sz w:val="24"/>
          <w:szCs w:val="24"/>
        </w:rPr>
        <w:t xml:space="preserve">методите за преподаване за творчество и иновации </w:t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>в областта на висшето образование, като се основе върху съвместната работа между ОИСР и Европейската комисия</w:t>
      </w:r>
      <w:r>
        <w:rPr>
          <w:rStyle w:val="FootnoteReference"/>
          <w:rFonts w:ascii="Times New Roman" w:hAnsi="Times New Roman" w:cs="Times New Roman"/>
          <w:noProof/>
          <w:spacing w:val="-2"/>
          <w:sz w:val="24"/>
          <w:szCs w:val="24"/>
        </w:rPr>
        <w:footnoteReference w:id="28"/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 xml:space="preserve"> в училищния сектор.</w:t>
      </w:r>
    </w:p>
    <w:p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spacing w:after="120"/>
        <w:jc w:val="both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Ще продължи да развива проекта </w:t>
      </w:r>
      <w:r>
        <w:rPr>
          <w:rFonts w:ascii="Times New Roman" w:hAnsi="Times New Roman" w:cs="Times New Roman"/>
          <w:b/>
          <w:noProof/>
          <w:sz w:val="24"/>
          <w:szCs w:val="24"/>
        </w:rPr>
        <w:t>„Висше образование за интелигентна специализация“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29"/>
      </w:r>
      <w:r>
        <w:rPr>
          <w:rFonts w:ascii="Times New Roman" w:hAnsi="Times New Roman" w:cs="Times New Roman"/>
          <w:noProof/>
          <w:sz w:val="24"/>
          <w:szCs w:val="24"/>
        </w:rPr>
        <w:t>с цел предоставяне на съвети на публичните власти за включване на висшите учебни заведения и, когато това е възможно, на общностите на знание и иновации (ОЗИ)</w:t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 xml:space="preserve"> в разработването и изпълнението на стратегиите за интелигентна специализация. </w:t>
      </w:r>
    </w:p>
    <w:p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Ще създава възможности в рамките на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програмата „Мария Склодовска-Кюри”, </w:t>
      </w:r>
      <w:r>
        <w:rPr>
          <w:rFonts w:ascii="Times New Roman" w:hAnsi="Times New Roman" w:cs="Times New Roman"/>
          <w:noProof/>
          <w:sz w:val="24"/>
          <w:szCs w:val="24"/>
        </w:rPr>
        <w:t>които да спомогнат за преодоляване на разделението по отношение на изследователската и развойната дейност между различните държави членки и региони, и да способстват за разрешаването на проблема с изтичането на мозъци от по-малко развитите региони.</w:t>
      </w:r>
    </w:p>
    <w:p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Ще засили помощта по линия на ЕС за </w:t>
      </w:r>
      <w:r>
        <w:rPr>
          <w:rFonts w:ascii="Times New Roman" w:hAnsi="Times New Roman" w:cs="Times New Roman"/>
          <w:b/>
          <w:noProof/>
          <w:sz w:val="24"/>
          <w:szCs w:val="24"/>
        </w:rPr>
        <w:t>сътрудничество между университетите и бизнеса,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като превърне провеждания на две години Университетски бизнес форум в координационно звено за обмен на информация за висшите учебни заведения и регионалното развитие на европейско равнище и насърчи създаването на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регионални и национални университетски бизнес форуми </w:t>
      </w:r>
      <w:r>
        <w:rPr>
          <w:rFonts w:ascii="Times New Roman" w:hAnsi="Times New Roman" w:cs="Times New Roman"/>
          <w:noProof/>
          <w:sz w:val="24"/>
          <w:szCs w:val="24"/>
        </w:rPr>
        <w:t>в целия ЕС.</w:t>
      </w:r>
    </w:p>
    <w:p>
      <w:pPr>
        <w:pStyle w:val="Heading2"/>
        <w:spacing w:before="360" w:after="200"/>
        <w:rPr>
          <w:rFonts w:ascii="Times New Roman" w:hAnsi="Times New Roman" w:cs="Times New Roman"/>
          <w:noProof/>
          <w:color w:val="auto"/>
          <w:sz w:val="24"/>
          <w:szCs w:val="24"/>
        </w:rPr>
      </w:pPr>
      <w:bookmarkStart w:id="6" w:name="_Toc472341206"/>
      <w:r>
        <w:rPr>
          <w:rFonts w:ascii="Times New Roman" w:hAnsi="Times New Roman" w:cs="Times New Roman"/>
          <w:noProof/>
          <w:color w:val="auto"/>
          <w:sz w:val="24"/>
          <w:szCs w:val="24"/>
        </w:rPr>
        <w:t>2.4.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bookmarkEnd w:id="6"/>
      <w:r>
        <w:rPr>
          <w:rFonts w:ascii="Times New Roman" w:hAnsi="Times New Roman" w:cs="Times New Roman"/>
          <w:noProof/>
          <w:color w:val="auto"/>
          <w:sz w:val="24"/>
          <w:szCs w:val="24"/>
        </w:rPr>
        <w:t>Подкрепа за ефективни системи за висше образование</w:t>
      </w:r>
    </w:p>
    <w:p>
      <w:pPr>
        <w:pStyle w:val="ListParagraph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Способността на висшите учебни заведения да удовлетворят потребностите на Европа зависи от достатъчните човешки и финансови ресурси и ефективното използване на стимули и възнаграждения. Правителствата продължават да бъдат основен източник на финансиране на висшето образование в повечето държави — членки на ЕС и, във всички случаи, играят решаваща роля в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определянето на стимулите, целите и стандартите за качество </w:t>
      </w:r>
      <w:r>
        <w:rPr>
          <w:rFonts w:ascii="Times New Roman" w:hAnsi="Times New Roman" w:cs="Times New Roman"/>
          <w:noProof/>
          <w:sz w:val="24"/>
          <w:szCs w:val="24"/>
        </w:rPr>
        <w:t>на образователната система като цяло.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Тъй като към висшето образование се отправят призиви за повече усилия, предизвикателствата пред правителствата и висшите образователни заведения за определяне на най-добрите начини за извършване на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целенасочени и балансирани инвестиции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се увеличават. Един от въпросите е дали повече частно финансиране може и следва да бъде използвано за финансиране на висшето образование. Друг въпрос е как да се проектират системите за финансиране на висшето образование, така че да изпълнят потребностите на обществото и да бъдат съобразени с целите за ефективност, равенство и ефективност. Много държави членки изпробват основаващото се на изпълнение финансиране и институционални споразумения, които определят одобрени цели, които висшите учебни заведения да постигнат в замяна на публично финансиране. Въпреки че първоначалните резултати от тези дейности са обещаващи, определянето на достатъчно широкообхватни показатели за измерване на напредъка е все още предизвикателство.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pacing w:val="-2"/>
          <w:sz w:val="24"/>
          <w:szCs w:val="24"/>
        </w:rPr>
      </w:pPr>
      <w:r>
        <w:rPr>
          <w:rFonts w:ascii="Times New Roman" w:hAnsi="Times New Roman" w:cs="Times New Roman"/>
          <w:noProof/>
          <w:spacing w:val="-2"/>
          <w:sz w:val="24"/>
          <w:szCs w:val="24"/>
        </w:rPr>
        <w:t>Освен структурните мерки в цялостната система за финансиране, някои държави въвеждат целеви стимули</w:t>
      </w:r>
      <w:r>
        <w:rPr>
          <w:rFonts w:ascii="Times New Roman" w:hAnsi="Times New Roman" w:cs="Times New Roman"/>
          <w:b/>
          <w:noProof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 xml:space="preserve">за подобряване на конкретни аспекти от висшето образование. С цел повишаване на </w:t>
      </w:r>
      <w:r>
        <w:rPr>
          <w:rFonts w:ascii="Times New Roman" w:hAnsi="Times New Roman" w:cs="Times New Roman"/>
          <w:b/>
          <w:noProof/>
          <w:spacing w:val="-2"/>
          <w:sz w:val="24"/>
          <w:szCs w:val="24"/>
        </w:rPr>
        <w:t xml:space="preserve">престижа и възнагражденията за добро преподаване, </w:t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>някои от тях са въвели нови форми на преподавателски стипендии и рамки за върхови постижения в областта на преподаването. Други инициативи имат за цел да укрепят връзката между преподаването и изследователската дейност чрез по-добро интегриране на рамките за качество и системите за финансиране</w:t>
      </w:r>
      <w:r>
        <w:rPr>
          <w:rStyle w:val="FootnoteReference"/>
          <w:rFonts w:ascii="Times New Roman" w:hAnsi="Times New Roman" w:cs="Times New Roman"/>
          <w:noProof/>
          <w:spacing w:val="-2"/>
          <w:sz w:val="24"/>
          <w:szCs w:val="24"/>
        </w:rPr>
        <w:footnoteReference w:id="30"/>
      </w:r>
      <w:r>
        <w:rPr>
          <w:rFonts w:ascii="Times New Roman" w:hAnsi="Times New Roman" w:cs="Times New Roman"/>
          <w:noProof/>
          <w:spacing w:val="-2"/>
          <w:sz w:val="24"/>
          <w:szCs w:val="24"/>
        </w:rPr>
        <w:t xml:space="preserve">. Използват се също и инициативи за финансиране за изграждане на връзки между висшите образователни заведения и външни партньори, насърчаване на основаваща се на изследователската дейност преподавателска практика, подкрепа за интердисциплинарно образование и изследвания и въвеждане на практически иновации в класната стая.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Въпреки че висшите образователни институции работят съобразно рамка, определена от публичните власти (финансиране, акредитиране, осигуряване на качеството), разпределението на ресурсите и създаването на стимули </w:t>
      </w:r>
      <w:r>
        <w:rPr>
          <w:rFonts w:ascii="Times New Roman" w:hAnsi="Times New Roman" w:cs="Times New Roman"/>
          <w:i/>
          <w:noProof/>
          <w:sz w:val="24"/>
          <w:szCs w:val="24"/>
        </w:rPr>
        <w:t xml:space="preserve">в рамките на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институциите имат важно влияние. Доброто институционално ръководство и ефективното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международно сътрудничество, както и управлението на ресурсите </w:t>
      </w:r>
      <w:r>
        <w:rPr>
          <w:rFonts w:ascii="Times New Roman" w:hAnsi="Times New Roman" w:cs="Times New Roman"/>
          <w:noProof/>
          <w:sz w:val="24"/>
          <w:szCs w:val="24"/>
        </w:rPr>
        <w:t>играят все по-важна роля за увеличаване на спектъра от задачи на заведенията и засилване на акцента върху измерването и доказването на изпълнението.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spacing w:after="120"/>
        <w:jc w:val="both"/>
        <w:rPr>
          <w:noProof/>
        </w:rPr>
      </w:pPr>
      <w:r>
        <w:rPr>
          <w:noProof/>
        </w:rPr>
        <w:t>Какво ще предприеме Комисията:</w:t>
      </w:r>
    </w:p>
    <w:p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Ще стартира </w:t>
      </w:r>
      <w:r>
        <w:rPr>
          <w:rFonts w:ascii="Times New Roman" w:hAnsi="Times New Roman" w:cs="Times New Roman"/>
          <w:b/>
          <w:noProof/>
          <w:sz w:val="24"/>
          <w:szCs w:val="24"/>
        </w:rPr>
        <w:t>преглед на финансирането и структурите за стимулиране и възнаграждение в системите за висше образование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в сътрудничество с ОИСР и ще се основе на програмата за </w:t>
      </w:r>
      <w:r>
        <w:rPr>
          <w:rFonts w:ascii="Times New Roman" w:hAnsi="Times New Roman" w:cs="Times New Roman"/>
          <w:b/>
          <w:noProof/>
          <w:sz w:val="24"/>
          <w:szCs w:val="24"/>
        </w:rPr>
        <w:t>консултации между партньори от държавите — членки на ЕС,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относно правилното структуриране на стимулите и финансирането на висшето образование.</w:t>
      </w:r>
    </w:p>
    <w:p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Ще гарантира, че изследователите се насърчават да преподават и/или да бъдат обучаване да извършват тази дейност, като неразделна част от </w:t>
      </w:r>
      <w:r>
        <w:rPr>
          <w:rFonts w:ascii="Times New Roman" w:hAnsi="Times New Roman" w:cs="Times New Roman"/>
          <w:b/>
          <w:noProof/>
          <w:sz w:val="24"/>
          <w:szCs w:val="24"/>
        </w:rPr>
        <w:t>програмата „Мария Склодовска-Кюри”</w:t>
      </w:r>
      <w:r>
        <w:rPr>
          <w:rFonts w:ascii="Times New Roman" w:hAnsi="Times New Roman" w:cs="Times New Roman"/>
          <w:noProof/>
          <w:sz w:val="24"/>
          <w:szCs w:val="24"/>
        </w:rPr>
        <w:t>.</w:t>
      </w:r>
    </w:p>
    <w:p>
      <w:pPr>
        <w:pStyle w:val="Heading1"/>
        <w:spacing w:before="360" w:after="200"/>
        <w:jc w:val="both"/>
        <w:rPr>
          <w:rFonts w:ascii="Times New Roman" w:hAnsi="Times New Roman" w:cs="Times New Roman"/>
          <w:noProof/>
          <w:color w:val="auto"/>
          <w:sz w:val="24"/>
          <w:szCs w:val="24"/>
        </w:rPr>
      </w:pPr>
      <w:bookmarkStart w:id="7" w:name="_Toc472341207"/>
      <w:r>
        <w:rPr>
          <w:rFonts w:ascii="Times New Roman" w:hAnsi="Times New Roman" w:cs="Times New Roman"/>
          <w:noProof/>
          <w:color w:val="auto"/>
          <w:sz w:val="24"/>
          <w:szCs w:val="24"/>
        </w:rPr>
        <w:t>3.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ОПОЛЗОТВОРЯВАНЕ НА ПОМОЩТА ОТ ЕС ЗА ВИСШЕТО ОБРАЗОВАНИЕ</w:t>
      </w:r>
      <w:bookmarkEnd w:id="7"/>
    </w:p>
    <w:p>
      <w:pPr>
        <w:pStyle w:val="ListParagraph"/>
        <w:ind w:left="0"/>
        <w:jc w:val="both"/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t>За да се постигне напредък, дейностите и финансирането от ЕС трябва да бъдат по-добре координирани ...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Приоритетите, посочени в този документ, показват доколко ролите на висшето образование в образованието като цяло, изследователската дейност, обществото и иновациите — четирите елемента на спиралата на познанието — са свързани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31"/>
      </w:r>
      <w:r>
        <w:rPr>
          <w:rFonts w:ascii="Times New Roman" w:hAnsi="Times New Roman" w:cs="Times New Roman"/>
          <w:noProof/>
          <w:sz w:val="24"/>
          <w:szCs w:val="24"/>
        </w:rPr>
        <w:t xml:space="preserve">. С оглед на ефективната работа на системата за висше образование тези връзки трябва да бъдат признати и укрепени в стратегиите на отделните висши учебни заведения, в националната и регионалната политика за висшето образование и в предприеманите от ЕС дейности.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b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t>…да подкрепя събирането на сведения за провеждането на политиката и практиката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pacing w:val="-2"/>
          <w:sz w:val="24"/>
          <w:szCs w:val="24"/>
        </w:rPr>
      </w:pPr>
      <w:r>
        <w:rPr>
          <w:rFonts w:ascii="Times New Roman" w:hAnsi="Times New Roman" w:cs="Times New Roman"/>
          <w:noProof/>
          <w:spacing w:val="-2"/>
          <w:sz w:val="24"/>
          <w:szCs w:val="24"/>
        </w:rPr>
        <w:t xml:space="preserve">Като измерва и сравнява изпълнението на политиките, системите и отделни заведения за висше образование, ЕС помага за идентифицирането на работещите мерки. Това може да бъде използвано за организиране на дискусия в рамките на националните системи и институции и да служи за основа за намиране на по-добро решение на проблемите.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spacing w:after="120"/>
        <w:jc w:val="both"/>
        <w:rPr>
          <w:noProof/>
        </w:rPr>
      </w:pPr>
      <w:r>
        <w:rPr>
          <w:noProof/>
        </w:rPr>
        <w:t>За да консолидира и подобри надграждането на сведения за висшето образование, Комисията ще предприеме следното:</w:t>
      </w:r>
    </w:p>
    <w:p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Ще оптимизира синергията между инструментите за събиране на сведения чрез създаване на </w:t>
      </w:r>
      <w:r>
        <w:rPr>
          <w:rFonts w:ascii="Times New Roman" w:hAnsi="Times New Roman" w:cs="Times New Roman"/>
          <w:b/>
          <w:noProof/>
          <w:sz w:val="24"/>
          <w:szCs w:val="24"/>
        </w:rPr>
        <w:t>Научен център за висше образование</w:t>
      </w:r>
      <w:r>
        <w:rPr>
          <w:rFonts w:ascii="Times New Roman" w:hAnsi="Times New Roman" w:cs="Times New Roman"/>
          <w:noProof/>
          <w:sz w:val="24"/>
          <w:szCs w:val="24"/>
        </w:rPr>
        <w:t>. Включването на Европейския регистър на висшето образовани (ETER)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32"/>
      </w:r>
      <w:r>
        <w:rPr>
          <w:rFonts w:ascii="Times New Roman" w:hAnsi="Times New Roman" w:cs="Times New Roman"/>
          <w:noProof/>
          <w:sz w:val="24"/>
          <w:szCs w:val="24"/>
        </w:rPr>
        <w:t>. С инструмента за класация на университети (U-Multirank)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33"/>
      </w:r>
      <w:r>
        <w:rPr>
          <w:rFonts w:ascii="Times New Roman" w:hAnsi="Times New Roman" w:cs="Times New Roman"/>
          <w:noProof/>
          <w:sz w:val="24"/>
          <w:szCs w:val="24"/>
        </w:rPr>
        <w:t xml:space="preserve"> и предложената пилотна фаза на проучването за проследяване на дипломираните висшисти ще се подобри качеството на данните, сравнимостта, събирането на данни и показатели и ще способства за извличане на поуки от прилагането на инструментите за данни относно висшето образование в ЕС до този момент.</w:t>
      </w:r>
    </w:p>
    <w:p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Ще укрепи работата на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мрежата „Евридика“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сътрудничеството </w:t>
      </w:r>
      <w:r>
        <w:rPr>
          <w:rFonts w:ascii="Times New Roman" w:hAnsi="Times New Roman" w:cs="Times New Roman"/>
          <w:noProof/>
          <w:sz w:val="24"/>
          <w:szCs w:val="24"/>
        </w:rPr>
        <w:t>на Комисията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с</w:t>
      </w:r>
      <w:r>
        <w:rPr>
          <w:rFonts w:ascii="Times New Roman" w:hAnsi="Times New Roman" w:cs="Times New Roman"/>
          <w:noProof/>
          <w:sz w:val="24"/>
          <w:szCs w:val="24"/>
          <w:lang w:val="it-IT"/>
        </w:rPr>
        <w:t> 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ОИСР </w:t>
      </w:r>
      <w:r>
        <w:rPr>
          <w:rFonts w:ascii="Times New Roman" w:hAnsi="Times New Roman" w:cs="Times New Roman"/>
          <w:noProof/>
          <w:sz w:val="24"/>
          <w:szCs w:val="24"/>
        </w:rPr>
        <w:t>и нейните държави членки в областта на висшето образование, изследователската дейност и иновациите, за да се избегне дублиране на усилията и ползите от съвместната работа.</w:t>
      </w:r>
    </w:p>
    <w:p>
      <w:pPr>
        <w:pStyle w:val="ListParagraph"/>
        <w:spacing w:before="240"/>
        <w:ind w:left="0"/>
        <w:jc w:val="both"/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t>…да гарантира, че наличните ресурси се използват за стратегически инвестиции във висшето образование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pacing w:val="-4"/>
          <w:sz w:val="24"/>
          <w:szCs w:val="24"/>
        </w:rPr>
      </w:pPr>
      <w:r>
        <w:rPr>
          <w:rFonts w:ascii="Times New Roman" w:hAnsi="Times New Roman" w:cs="Times New Roman"/>
          <w:noProof/>
          <w:spacing w:val="-4"/>
          <w:sz w:val="24"/>
          <w:szCs w:val="24"/>
        </w:rPr>
        <w:t xml:space="preserve">Освен </w:t>
      </w:r>
      <w:r>
        <w:rPr>
          <w:rFonts w:ascii="Times New Roman" w:hAnsi="Times New Roman" w:cs="Times New Roman"/>
          <w:b/>
          <w:noProof/>
          <w:spacing w:val="-4"/>
          <w:sz w:val="24"/>
          <w:szCs w:val="24"/>
        </w:rPr>
        <w:t xml:space="preserve">финансирането по „Еразъм+” </w:t>
      </w:r>
      <w:r>
        <w:rPr>
          <w:rFonts w:ascii="Times New Roman" w:hAnsi="Times New Roman" w:cs="Times New Roman"/>
          <w:noProof/>
          <w:spacing w:val="-4"/>
          <w:sz w:val="24"/>
          <w:szCs w:val="24"/>
        </w:rPr>
        <w:t>бяха заделени</w:t>
      </w:r>
      <w:r>
        <w:rPr>
          <w:rFonts w:ascii="Times New Roman" w:hAnsi="Times New Roman" w:cs="Times New Roman"/>
          <w:b/>
          <w:noProof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pacing w:val="-4"/>
          <w:sz w:val="24"/>
          <w:szCs w:val="24"/>
        </w:rPr>
        <w:t>значителни</w:t>
      </w:r>
      <w:r>
        <w:rPr>
          <w:rFonts w:ascii="Times New Roman" w:hAnsi="Times New Roman" w:cs="Times New Roman"/>
          <w:b/>
          <w:noProof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pacing w:val="-4"/>
          <w:sz w:val="24"/>
          <w:szCs w:val="24"/>
        </w:rPr>
        <w:t>средства в рамките на</w:t>
      </w:r>
      <w:r>
        <w:rPr>
          <w:rFonts w:ascii="Times New Roman" w:hAnsi="Times New Roman" w:cs="Times New Roman"/>
          <w:b/>
          <w:noProof/>
          <w:spacing w:val="-4"/>
          <w:sz w:val="24"/>
          <w:szCs w:val="24"/>
        </w:rPr>
        <w:t xml:space="preserve"> Европейските структурни и инвестиционни фондове</w:t>
      </w:r>
      <w:r>
        <w:rPr>
          <w:rFonts w:ascii="Times New Roman" w:hAnsi="Times New Roman" w:cs="Times New Roman"/>
          <w:noProof/>
          <w:spacing w:val="-4"/>
          <w:sz w:val="24"/>
          <w:szCs w:val="24"/>
        </w:rPr>
        <w:t xml:space="preserve"> в подкрепа на висшето образование в много региони на ЕС, и по-специално в по-малко развитите региони</w:t>
      </w:r>
      <w:r>
        <w:rPr>
          <w:rStyle w:val="FootnoteReference"/>
          <w:rFonts w:ascii="Times New Roman" w:hAnsi="Times New Roman" w:cs="Times New Roman"/>
          <w:noProof/>
          <w:spacing w:val="-4"/>
          <w:sz w:val="24"/>
          <w:szCs w:val="24"/>
        </w:rPr>
        <w:footnoteReference w:id="34"/>
      </w:r>
      <w:r>
        <w:rPr>
          <w:rFonts w:ascii="Times New Roman" w:hAnsi="Times New Roman" w:cs="Times New Roman"/>
          <w:noProof/>
          <w:spacing w:val="-4"/>
          <w:sz w:val="24"/>
          <w:szCs w:val="24"/>
        </w:rPr>
        <w:t>. Проектът „Висше образование за интелигентна специализация“</w:t>
      </w:r>
      <w:r>
        <w:rPr>
          <w:rStyle w:val="FootnoteReference"/>
          <w:rFonts w:ascii="Times New Roman" w:hAnsi="Times New Roman" w:cs="Times New Roman"/>
          <w:noProof/>
          <w:spacing w:val="-4"/>
          <w:sz w:val="24"/>
          <w:szCs w:val="24"/>
        </w:rPr>
        <w:footnoteReference w:id="35"/>
      </w:r>
      <w:r>
        <w:rPr>
          <w:rFonts w:ascii="Times New Roman" w:hAnsi="Times New Roman" w:cs="Times New Roman"/>
          <w:noProof/>
          <w:spacing w:val="-4"/>
          <w:sz w:val="24"/>
          <w:szCs w:val="24"/>
        </w:rPr>
        <w:t xml:space="preserve"> е важен компонент от действащата стратегия на Комисията, с който се цели да се помогне на висшите учебни заведения да оптимизират тези ресурси, като подобрят влиянието им върху регионалните икономики и иновационния капацитет. </w:t>
      </w:r>
      <w:r>
        <w:rPr>
          <w:rFonts w:ascii="Times New Roman" w:hAnsi="Times New Roman" w:cs="Times New Roman"/>
          <w:b/>
          <w:noProof/>
          <w:spacing w:val="-4"/>
          <w:sz w:val="24"/>
          <w:szCs w:val="24"/>
        </w:rPr>
        <w:t>Европейският фонд за стратегически инвестиции</w:t>
      </w:r>
      <w:r>
        <w:rPr>
          <w:rFonts w:ascii="Times New Roman" w:hAnsi="Times New Roman" w:cs="Times New Roman"/>
          <w:noProof/>
          <w:spacing w:val="-4"/>
          <w:sz w:val="24"/>
          <w:szCs w:val="24"/>
        </w:rPr>
        <w:t xml:space="preserve"> (ЕФСИ) също вече се използва за привличане на частни инвестиции в конкретни, свързани с висшето образование дейности, които предлагат добри възможности за финансова възвращаемост, но възпират традиционните заемодатели от частния сектор.</w:t>
      </w:r>
    </w:p>
    <w:p>
      <w:pPr>
        <w:pStyle w:val="ListParagraph"/>
        <w:ind w:left="0"/>
        <w:jc w:val="both"/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</w:rPr>
      </w:pPr>
      <w:r>
        <w:rPr>
          <w:rFonts w:ascii="Times New Roman" w:hAnsi="Times New Roman" w:cs="Times New Roman"/>
          <w:b/>
          <w:i/>
          <w:noProof/>
          <w:sz w:val="24"/>
          <w:szCs w:val="24"/>
        </w:rPr>
        <w:t>… и да насърчават международното сътрудничество, обмена и мобилността за подобряване на качеството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С действията си Комисията се стреми да гарантира, че добрите практики и последните открития в сферите на образованието и иновациите се споделят и прилагат възможно най-широко в Европа и по света. Това </w:t>
      </w:r>
      <w:r>
        <w:rPr>
          <w:rFonts w:ascii="Times New Roman" w:hAnsi="Times New Roman" w:cs="Times New Roman"/>
          <w:b/>
          <w:noProof/>
          <w:sz w:val="24"/>
          <w:szCs w:val="24"/>
        </w:rPr>
        <w:t>международен обмен на идеи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е движен от </w:t>
      </w:r>
      <w:r>
        <w:rPr>
          <w:rFonts w:ascii="Times New Roman" w:hAnsi="Times New Roman" w:cs="Times New Roman"/>
          <w:b/>
          <w:noProof/>
          <w:sz w:val="24"/>
          <w:szCs w:val="24"/>
        </w:rPr>
        <w:t>сътрудничеството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между студентите, изследователите, служителите, институциите и правителствата; физическа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мобилност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за граждани; насърчаване на „интернационализация у дома“ в рамките на европейските висши учебни заведения. Това, от своя страна, помага на заведенията да бъдат по-отворени към света и способства за спирането на изтичането на мозъци.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Програмите за висше образование и изследователска дейност на ЕС поставят все по-силен акцент върху международното сътрудничество, което е отражение на диапазона от експертни познания, необходими за разрешаване на комплексни глобални предизвикателства. Комисията ще продължи да подпомага мобилността на студентите и служителите на висшите учебни институции, като се погрижи държавите членки да прилагат преработения вариант на Директивата за студенти и изследователи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36"/>
      </w:r>
      <w:r>
        <w:rPr>
          <w:rFonts w:ascii="Times New Roman" w:hAnsi="Times New Roman" w:cs="Times New Roman"/>
          <w:noProof/>
          <w:sz w:val="24"/>
          <w:szCs w:val="24"/>
        </w:rPr>
        <w:t xml:space="preserve"> и насърчава електронния обмен на данни между европейските висши учебни заведения и мобилните студенти и служители. Предвид министерската конференция във връзка с процеса от Болоня през 2018 г. Комисията също така ще събере държавите — членки на ЕС, за да обсъдят посоката на развитие на бъдещото сътрудничество в областта на европейското висше образование.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pacing w:val="6"/>
          <w:sz w:val="24"/>
          <w:szCs w:val="24"/>
        </w:rPr>
      </w:pPr>
      <w:r>
        <w:rPr>
          <w:rFonts w:ascii="Times New Roman" w:hAnsi="Times New Roman" w:cs="Times New Roman"/>
          <w:noProof/>
          <w:spacing w:val="6"/>
          <w:sz w:val="24"/>
          <w:szCs w:val="24"/>
        </w:rPr>
        <w:t xml:space="preserve">При подготовката на </w:t>
      </w:r>
      <w:r>
        <w:rPr>
          <w:rFonts w:ascii="Times New Roman" w:hAnsi="Times New Roman" w:cs="Times New Roman"/>
          <w:b/>
          <w:noProof/>
          <w:spacing w:val="6"/>
          <w:sz w:val="24"/>
          <w:szCs w:val="24"/>
        </w:rPr>
        <w:t xml:space="preserve">следващия многогодишен бюджет на ЕС </w:t>
      </w:r>
      <w:r>
        <w:rPr>
          <w:rFonts w:ascii="Times New Roman" w:hAnsi="Times New Roman" w:cs="Times New Roman"/>
          <w:noProof/>
          <w:spacing w:val="6"/>
          <w:sz w:val="24"/>
          <w:szCs w:val="24"/>
        </w:rPr>
        <w:t>тя ще проучи съвместно с държавите членки бъдещето на общите цели на ЕС в образованието, изследователската дейност и иновациите и ще се стреми да укрепи сътрудничеството в тези области като основа за постигането на целите, посочени в това съобщение.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spacing w:after="120"/>
        <w:jc w:val="both"/>
        <w:rPr>
          <w:noProof/>
        </w:rPr>
      </w:pPr>
      <w:r>
        <w:rPr>
          <w:noProof/>
        </w:rPr>
        <w:t>Какво ще предприеме Комисията:</w:t>
      </w:r>
    </w:p>
    <w:p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Ще опрости процеса за мобилност на студентите чрез надграждане върху действащите проекти по „“Еразъм+”</w:t>
      </w:r>
      <w:r>
        <w:rPr>
          <w:rStyle w:val="FootnoteReference"/>
          <w:rFonts w:ascii="Times New Roman" w:hAnsi="Times New Roman" w:cs="Times New Roman"/>
          <w:noProof/>
          <w:sz w:val="24"/>
          <w:szCs w:val="24"/>
        </w:rPr>
        <w:footnoteReference w:id="37"/>
      </w:r>
      <w:r>
        <w:rPr>
          <w:rFonts w:ascii="Times New Roman" w:hAnsi="Times New Roman" w:cs="Times New Roman"/>
          <w:noProof/>
          <w:sz w:val="24"/>
          <w:szCs w:val="24"/>
        </w:rPr>
        <w:t xml:space="preserve"> с цел осъществяването на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електронен обмен на данни за студенти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 ще проучи надеждността на създаването на 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електронни системи за идентификация на студенти, </w:t>
      </w:r>
      <w:r>
        <w:rPr>
          <w:rFonts w:ascii="Times New Roman" w:hAnsi="Times New Roman" w:cs="Times New Roman"/>
          <w:noProof/>
          <w:sz w:val="24"/>
          <w:szCs w:val="24"/>
        </w:rPr>
        <w:t>което ще позволи трансграничен достъп до студентски услуги и данни.</w:t>
      </w:r>
    </w:p>
    <w:p>
      <w:pPr>
        <w:pStyle w:val="ListParagraph"/>
        <w:numPr>
          <w:ilvl w:val="0"/>
          <w:numId w:val="1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none" w:sz="0" w:space="0" w:color="auto"/>
          <w:bar w:val="none" w:sz="0" w:color="auto"/>
        </w:pBdr>
        <w:shd w:val="clear" w:color="auto" w:fill="F2F2F2" w:themeFill="background1" w:themeFillShade="F2"/>
        <w:spacing w:after="12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Ще предприеме обсъждане с държавите членки и заинтересованите лица, като част от </w:t>
      </w:r>
      <w:r>
        <w:rPr>
          <w:rFonts w:ascii="Times New Roman" w:hAnsi="Times New Roman" w:cs="Times New Roman"/>
          <w:b/>
          <w:noProof/>
          <w:sz w:val="24"/>
          <w:szCs w:val="24"/>
        </w:rPr>
        <w:t>средносрочния преглед на „Еразъм+”,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на ефективната подкрепа за студентите, персонала, институциите и системите за висшето образование. </w:t>
      </w:r>
    </w:p>
    <w:p>
      <w:pPr>
        <w:pStyle w:val="Heading1"/>
        <w:spacing w:before="360" w:after="200"/>
        <w:rPr>
          <w:rFonts w:ascii="Times New Roman" w:hAnsi="Times New Roman" w:cs="Times New Roman"/>
          <w:noProof/>
          <w:color w:val="auto"/>
          <w:sz w:val="24"/>
          <w:szCs w:val="24"/>
        </w:rPr>
      </w:pPr>
      <w:r>
        <w:rPr>
          <w:rFonts w:ascii="Times New Roman" w:hAnsi="Times New Roman" w:cs="Times New Roman"/>
          <w:noProof/>
          <w:color w:val="auto"/>
          <w:sz w:val="24"/>
          <w:szCs w:val="24"/>
        </w:rPr>
        <w:t>4.</w: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color w:val="auto"/>
          <w:sz w:val="24"/>
          <w:szCs w:val="24"/>
        </w:rPr>
        <w:t>ЗАКЛЮЧЕНИЯ И СЛЕДВАЩИ СТЪПКИ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pacing w:val="-2"/>
          <w:sz w:val="24"/>
          <w:szCs w:val="24"/>
        </w:rPr>
      </w:pPr>
      <w:r>
        <w:rPr>
          <w:rFonts w:ascii="Times New Roman" w:hAnsi="Times New Roman" w:cs="Times New Roman"/>
          <w:noProof/>
          <w:spacing w:val="-2"/>
          <w:sz w:val="24"/>
          <w:szCs w:val="24"/>
        </w:rPr>
        <w:t xml:space="preserve">Изпълнението на тази обновена програма ще изисква сътрудничество между заинтересованите лица в сферата на висшето образование и извън нея. Комисията ще инициира диалог относно изпълнението на тези действия и ще продължи да си сътрудничи със заинтересованите лица, заедно с държавите членки, Европейския парламент, Комитета на регионите, Икономическия и социален комитет и Групата на Европейската инвестиционна банка, за да развива програмата и да осигури съгласуваност с други приоритети по действащи и бъдещи програми на ЕС за финансиране. </w:t>
      </w:r>
    </w:p>
    <w:p>
      <w:pPr>
        <w:pStyle w:val="ListParagraph"/>
        <w:ind w:left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Обновената програма за висше образование е част от по-широкообхватната стратегия на Комисията в подкрепа на младите хора и укрепването на европейския стълб на социалните права. Като допълва Съобщението за училищното развитие и върховите постижения в областта на преподаването и Европейския солидарен корпус, тя отчита жизненоважната роля на висшето образование при полагането на основите на проспериращи, включващи, демократични общества. Това е крайната цел, която Комисията, държавите членки и заинтересованите лица трябва да имат предвид при развиването на тази програма.</w:t>
      </w: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60179302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ootnoteText"/>
        <w:rPr>
          <w:rFonts w:ascii="Times New Roman" w:hAnsi="Times New Roman" w:cs="Times New Roman"/>
          <w:lang w:val="it-IT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hyperlink r:id="rId1">
        <w:r>
          <w:rPr>
            <w:rStyle w:val="Hyperlink"/>
            <w:rFonts w:ascii="Times New Roman" w:hAnsi="Times New Roman"/>
          </w:rPr>
          <w:t>COM(2017) 2025 final</w:t>
        </w:r>
      </w:hyperlink>
      <w:r>
        <w:rPr>
          <w:rStyle w:val="Hyperlink"/>
          <w:rFonts w:ascii="Times New Roman" w:hAnsi="Times New Roman"/>
          <w:u w:val="none"/>
          <w:lang w:val="it-IT"/>
        </w:rPr>
        <w:t>.</w:t>
      </w:r>
    </w:p>
  </w:footnote>
  <w:footnote w:id="2">
    <w:p>
      <w:pPr>
        <w:pStyle w:val="FootnoteText"/>
        <w:rPr>
          <w:rFonts w:ascii="Times New Roman" w:hAnsi="Times New Roman" w:cs="Times New Roman"/>
          <w:lang w:val="it-IT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hyperlink r:id="rId2">
        <w:r>
          <w:rPr>
            <w:rStyle w:val="Hyperlink"/>
            <w:rFonts w:ascii="Times New Roman" w:hAnsi="Times New Roman"/>
          </w:rPr>
          <w:t>СОМ(2016) 940 final</w:t>
        </w:r>
      </w:hyperlink>
      <w:r>
        <w:rPr>
          <w:rStyle w:val="Hyperlink"/>
          <w:rFonts w:ascii="Times New Roman" w:hAnsi="Times New Roman"/>
          <w:u w:val="none"/>
          <w:lang w:val="it-IT"/>
        </w:rPr>
        <w:t>.</w:t>
      </w:r>
    </w:p>
  </w:footnote>
  <w:footnote w:id="3">
    <w:p>
      <w:pPr>
        <w:pStyle w:val="FootnoteText"/>
        <w:ind w:left="720" w:hanging="720"/>
        <w:rPr>
          <w:rFonts w:ascii="Times New Roman" w:hAnsi="Times New Roman" w:cs="Times New Roman"/>
          <w:lang w:val="pt-PT"/>
        </w:rPr>
      </w:pPr>
      <w:r>
        <w:rPr>
          <w:rFonts w:ascii="Times New Roman" w:hAnsi="Times New Roman"/>
          <w:vertAlign w:val="superscript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hyperlink r:id="rId3">
        <w:r>
          <w:rPr>
            <w:rStyle w:val="Hyperlink"/>
            <w:rFonts w:ascii="Times New Roman" w:hAnsi="Times New Roman"/>
          </w:rPr>
          <w:t>COM(2016) 381 final</w:t>
        </w:r>
      </w:hyperlink>
      <w:r>
        <w:rPr>
          <w:rStyle w:val="Hyperlink"/>
          <w:rFonts w:ascii="Times New Roman" w:hAnsi="Times New Roman"/>
          <w:u w:val="none"/>
        </w:rPr>
        <w:t>.</w:t>
      </w:r>
    </w:p>
  </w:footnote>
  <w:footnote w:id="4">
    <w:p>
      <w:pPr>
        <w:pStyle w:val="FootnoteText"/>
        <w:rPr>
          <w:rFonts w:ascii="Times New Roman" w:hAnsi="Times New Roman" w:cs="Times New Roman"/>
          <w:lang w:val="pt-PT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hyperlink r:id="rId4">
        <w:r>
          <w:rPr>
            <w:rStyle w:val="Hyperlink"/>
            <w:rFonts w:ascii="Times New Roman" w:hAnsi="Times New Roman" w:cs="Times New Roman"/>
          </w:rPr>
          <w:t>COM(2017) 250 final</w:t>
        </w:r>
      </w:hyperlink>
      <w:r>
        <w:rPr>
          <w:rFonts w:ascii="Times New Roman" w:hAnsi="Times New Roman" w:cs="Times New Roman"/>
          <w:lang w:val="pt-PT"/>
        </w:rPr>
        <w:t>.</w:t>
      </w:r>
      <w:r>
        <w:rPr>
          <w:rFonts w:ascii="Times New Roman" w:hAnsi="Times New Roman" w:cs="Times New Roman"/>
        </w:rPr>
        <w:t xml:space="preserve"> </w:t>
      </w:r>
    </w:p>
  </w:footnote>
  <w:footnote w:id="5">
    <w:p>
      <w:pPr>
        <w:rPr>
          <w:color w:val="1F497D"/>
          <w:sz w:val="20"/>
          <w:szCs w:val="20"/>
          <w:lang w:val="pt-PT"/>
        </w:rPr>
      </w:pPr>
      <w:r>
        <w:rPr>
          <w:rStyle w:val="FootnoteReference"/>
          <w:sz w:val="20"/>
        </w:rPr>
        <w:footnoteRef/>
      </w:r>
      <w:r>
        <w:rPr>
          <w:sz w:val="20"/>
        </w:rPr>
        <w:t xml:space="preserve"> </w:t>
      </w:r>
      <w:r>
        <w:tab/>
      </w:r>
      <w:hyperlink r:id="rId5">
        <w:r>
          <w:rPr>
            <w:rStyle w:val="Hyperlink"/>
            <w:sz w:val="20"/>
            <w:szCs w:val="20"/>
          </w:rPr>
          <w:t>https://ec.europa.eu/commission/publications/reflection-paper-harnessing-globalisation_bg</w:t>
        </w:r>
      </w:hyperlink>
    </w:p>
  </w:footnote>
  <w:footnote w:id="6">
    <w:p>
      <w:pPr>
        <w:pStyle w:val="FootnoteText"/>
        <w:rPr>
          <w:rFonts w:ascii="Times New Roman" w:hAnsi="Times New Roman" w:cs="Times New Roman"/>
          <w:lang w:val="pt-PT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Оповестена в COM(2016) 941 final</w:t>
      </w:r>
      <w:r>
        <w:rPr>
          <w:rFonts w:ascii="Times New Roman" w:hAnsi="Times New Roman"/>
          <w:lang w:val="pt-PT"/>
        </w:rPr>
        <w:t>.</w:t>
      </w:r>
    </w:p>
  </w:footnote>
  <w:footnote w:id="7">
    <w:p>
      <w:pPr>
        <w:pStyle w:val="FootnoteText"/>
        <w:rPr>
          <w:rStyle w:val="Hyperlink"/>
          <w:rFonts w:ascii="Times New Roman" w:hAnsi="Times New Roman" w:cs="Times New Roman"/>
          <w:lang w:val="pt-PT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hyperlink r:id="rId6">
        <w:r>
          <w:rPr>
            <w:rStyle w:val="Hyperlink"/>
            <w:rFonts w:ascii="Times New Roman" w:hAnsi="Times New Roman"/>
          </w:rPr>
          <w:t>COM(2011) 567 final</w:t>
        </w:r>
      </w:hyperlink>
      <w:r>
        <w:rPr>
          <w:rStyle w:val="Hyperlink"/>
          <w:rFonts w:ascii="Times New Roman" w:hAnsi="Times New Roman"/>
        </w:rPr>
        <w:t>.</w:t>
      </w:r>
    </w:p>
  </w:footnote>
  <w:footnote w:id="8">
    <w:p>
      <w:pPr>
        <w:pStyle w:val="FootnoteText"/>
        <w:ind w:left="709" w:hanging="709"/>
        <w:rPr>
          <w:rFonts w:ascii="Times New Roman" w:hAnsi="Times New Roman" w:cs="Times New Roman"/>
          <w:lang w:val="pt-PT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 xml:space="preserve">Вж. </w:t>
      </w:r>
      <w:hyperlink r:id="rId7">
        <w:r>
          <w:rPr>
            <w:rStyle w:val="Hyperlink"/>
            <w:rFonts w:ascii="Times New Roman" w:hAnsi="Times New Roman"/>
          </w:rPr>
          <w:t>Приложение II към Работния документ на Комисията,</w:t>
        </w:r>
      </w:hyperlink>
      <w:r>
        <w:rPr>
          <w:rFonts w:ascii="Times New Roman" w:hAnsi="Times New Roman"/>
        </w:rPr>
        <w:t>, придружаващ Новата европейска програма за умения.</w:t>
      </w:r>
    </w:p>
  </w:footnote>
  <w:footnote w:id="9">
    <w:p>
      <w:pPr>
        <w:pStyle w:val="FootnoteText"/>
        <w:rPr>
          <w:rFonts w:ascii="Times New Roman" w:hAnsi="Times New Roman" w:cs="Times New Roman"/>
          <w:lang w:val="pt-PT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Вж. придружаващия Работен документ на Комисията</w:t>
      </w:r>
    </w:p>
  </w:footnote>
  <w:footnote w:id="10">
    <w:p>
      <w:pPr>
        <w:pStyle w:val="FootnoteText"/>
        <w:ind w:left="720" w:hanging="720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Times New Roman" w:hAnsi="Times New Roman"/>
        </w:rPr>
        <w:t>Вж. „Професии в Европа с недостиг и излишък на умения“ CEDEFOP, 2016 г.): „В Европа... Сред първите пет професии са специалисти в областта на информационните и комуникационните технологии; лекари, Специалисти в областта на науката, технологиите, инженерството, (изкуствата) и математиката (НТМ(И)M), медицински сестри и акушерки и учители.“ Ситуацията варира в различните региони.</w:t>
      </w:r>
    </w:p>
  </w:footnote>
  <w:footnote w:id="11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Вж. COM(2017) 228.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Times New Roman" w:hAnsi="Times New Roman"/>
        </w:rPr>
        <w:t xml:space="preserve">(DigComp): </w:t>
      </w:r>
      <w:hyperlink r:id="rId8">
        <w:r>
          <w:rPr>
            <w:rFonts w:ascii="Times New Roman" w:hAnsi="Times New Roman"/>
          </w:rPr>
          <w:t>https://ec.europa.eu/jrc/en/digcomp</w:t>
        </w:r>
      </w:hyperlink>
    </w:p>
  </w:footnote>
  <w:footnote w:id="13">
    <w:p>
      <w:pPr>
        <w:pStyle w:val="FootnoteText"/>
        <w:ind w:left="720" w:hanging="720"/>
        <w:rPr>
          <w:lang w:val="it-IT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Кратки курсове (EQF 5)</w:t>
      </w:r>
      <w:r>
        <w:rPr>
          <w:rFonts w:ascii="Times New Roman" w:hAnsi="Times New Roman"/>
          <w:lang w:val="it-IT"/>
        </w:rPr>
        <w:t>.</w:t>
      </w:r>
    </w:p>
  </w:footnote>
  <w:footnote w:id="14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Times New Roman" w:hAnsi="Times New Roman"/>
        </w:rPr>
        <w:t>https://ec.europa.eu/jrc/en/open-education</w:t>
      </w:r>
    </w:p>
  </w:footnote>
  <w:footnote w:id="15">
    <w:p>
      <w:pPr>
        <w:pStyle w:val="FootnoteText"/>
        <w:ind w:left="720" w:hanging="720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Обикновено съчетава дистанционно обучение и обучение в класната стая.</w:t>
      </w:r>
    </w:p>
  </w:footnote>
  <w:footnote w:id="16">
    <w:p>
      <w:pPr>
        <w:pStyle w:val="FootnoteText"/>
        <w:ind w:left="720" w:hanging="720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Данни за учещите и тяхната среда, използвани, за да се определят образователните потребности на студентите.</w:t>
      </w:r>
    </w:p>
  </w:footnote>
  <w:footnote w:id="17">
    <w:p>
      <w:pPr>
        <w:pStyle w:val="FootnoteText"/>
        <w:ind w:left="709" w:hanging="709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Инициативата за наука със свободен достъп цели да направи научните изследвания и данни достъпни за всички.</w:t>
      </w:r>
    </w:p>
  </w:footnote>
  <w:footnote w:id="18">
    <w:p>
      <w:pPr>
        <w:pStyle w:val="FootnoteText"/>
        <w:ind w:left="709" w:hanging="709"/>
        <w:rPr>
          <w:spacing w:val="-6"/>
        </w:rPr>
      </w:pPr>
      <w:r>
        <w:rPr>
          <w:rStyle w:val="FootnoteReference"/>
          <w:spacing w:val="-6"/>
        </w:rPr>
        <w:footnoteRef/>
      </w:r>
      <w:r>
        <w:rPr>
          <w:spacing w:val="-6"/>
        </w:rPr>
        <w:t xml:space="preserve"> </w:t>
      </w:r>
      <w:r>
        <w:rPr>
          <w:spacing w:val="-6"/>
        </w:rPr>
        <w:tab/>
      </w:r>
      <w:r>
        <w:rPr>
          <w:rFonts w:ascii="Times New Roman" w:hAnsi="Times New Roman"/>
          <w:spacing w:val="-6"/>
        </w:rPr>
        <w:t>То ще включва възпитаници на висши учебни заведения и институции за професионално образование и обучение, както и тези, които напускат образователната система без да добият квалификация.</w:t>
      </w:r>
      <w:r>
        <w:rPr>
          <w:spacing w:val="-6"/>
        </w:rPr>
        <w:t xml:space="preserve"> </w:t>
      </w:r>
    </w:p>
  </w:footnote>
  <w:footnote w:id="19">
    <w:p>
      <w:pPr>
        <w:pStyle w:val="FootnoteText"/>
        <w:ind w:left="720" w:hanging="720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 w:cs="Times New Roman"/>
        </w:rPr>
        <w:t>Надграждане върху досегашни проекти на ЕС, включително</w:t>
      </w:r>
      <w:r>
        <w:rPr>
          <w:rFonts w:ascii="Times New Roman" w:hAnsi="Times New Roman"/>
        </w:rPr>
        <w:t xml:space="preserve"> </w:t>
      </w:r>
      <w:hyperlink r:id="rId9">
        <w:r>
          <w:rPr>
            <w:rStyle w:val="Hyperlink"/>
            <w:rFonts w:ascii="Times New Roman" w:hAnsi="Times New Roman"/>
          </w:rPr>
          <w:t>проекта за коалиция НТММ на ЕС</w:t>
        </w:r>
      </w:hyperlink>
      <w:r>
        <w:rPr>
          <w:rFonts w:ascii="Times New Roman" w:hAnsi="Times New Roman"/>
        </w:rPr>
        <w:t>. Преминаването от НТММ към НТМ(И)M е отражение на признаването в рамките на висшето образование на нарастващото значение на интердисциплинарния подход. Взаимодействието между НТММ и изкуствата и дизайнът е движеща сила за иновациите и творчеството.</w:t>
      </w:r>
    </w:p>
  </w:footnote>
  <w:footnote w:id="20">
    <w:p>
      <w:pPr>
        <w:pStyle w:val="FootnoteText"/>
        <w:ind w:left="709" w:hanging="709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Вж. COM (2017) 228. Пример за това е финансираната по „Хоризонт 2020“ пилотна схема „Цифрова възможност“.</w:t>
      </w:r>
    </w:p>
  </w:footnote>
  <w:footnote w:id="21">
    <w:p>
      <w:pPr>
        <w:pStyle w:val="FootnoteText"/>
        <w:ind w:left="720" w:hanging="720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Times New Roman" w:hAnsi="Times New Roman"/>
        </w:rPr>
        <w:t>В съответствие с цел на ООН за устойчиво развитие № 4 относно гарантирането на приобщаващо и качествено образование за всички.</w:t>
      </w:r>
    </w:p>
  </w:footnote>
  <w:footnote w:id="22">
    <w:p>
      <w:pPr>
        <w:pStyle w:val="FootnoteText"/>
        <w:ind w:left="709" w:hanging="709"/>
      </w:pPr>
      <w:r>
        <w:rPr>
          <w:rStyle w:val="FootnoteReference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Включително обучение на преподавателите, за да се справят успешно с разнообразието от студенти в учебното заведение.</w:t>
      </w:r>
    </w:p>
  </w:footnote>
  <w:footnote w:id="23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Така, както е определено в Европейската рамка за ключови компетентности.</w:t>
      </w:r>
    </w:p>
  </w:footnote>
  <w:footnote w:id="24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Национални информационни центрове за академично признаване.</w:t>
      </w:r>
    </w:p>
  </w:footnote>
  <w:footnote w:id="25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https://heinnovate.eu</w:t>
      </w:r>
    </w:p>
  </w:footnote>
  <w:footnote w:id="26">
    <w:p>
      <w:pPr>
        <w:pStyle w:val="FootnoteText"/>
        <w:ind w:left="720" w:hanging="720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 xml:space="preserve">„Печатът за високи постижения“ е знак за качество на Европейската комисия, който се присъжда на отлични научноизследователски и иновационни предложения за проекти, внесени и положително оценени по програма „Хоризонт 2020“, но които не са получили финансиране поради ограничени ресурси (https://ec.europa.eu/research/soe/index.cfm?pg=opportunities_msca). </w:t>
      </w:r>
    </w:p>
  </w:footnote>
  <w:footnote w:id="27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https://eit.europa.eu/activities/education/eit-label</w:t>
      </w:r>
    </w:p>
  </w:footnote>
  <w:footnote w:id="28">
    <w:p>
      <w:pPr>
        <w:pStyle w:val="FootnoteText"/>
        <w:rPr>
          <w:rFonts w:ascii="Times New Roman" w:hAnsi="Times New Roman" w:cs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Проектът CREASSESS</w:t>
      </w:r>
      <w:r>
        <w:rPr>
          <w:rFonts w:ascii="Times New Roman" w:hAnsi="Times New Roman"/>
          <w:lang w:val="en-GB"/>
        </w:rPr>
        <w:t>.</w:t>
      </w:r>
    </w:p>
  </w:footnote>
  <w:footnote w:id="29">
    <w:p>
      <w:pPr>
        <w:pStyle w:val="FootnoteText"/>
        <w:rPr>
          <w:rFonts w:ascii="Times New Roman" w:hAnsi="Times New Roman" w:cs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hyperlink r:id="rId10">
        <w:r>
          <w:rPr>
            <w:rStyle w:val="Hyperlink"/>
            <w:rFonts w:ascii="Times New Roman" w:hAnsi="Times New Roman"/>
          </w:rPr>
          <w:t>http://s3platform.jrc.ec.europa.eu/hess</w:t>
        </w:r>
      </w:hyperlink>
      <w:r>
        <w:rPr>
          <w:rFonts w:ascii="Times New Roman" w:hAnsi="Times New Roman"/>
        </w:rPr>
        <w:t xml:space="preserve"> </w:t>
      </w:r>
    </w:p>
  </w:footnote>
  <w:footnote w:id="30">
    <w:p>
      <w:pPr>
        <w:pStyle w:val="FootnoteText"/>
        <w:ind w:left="709" w:hanging="709"/>
        <w:rPr>
          <w:rFonts w:ascii="Times New Roman" w:hAnsi="Times New Roman" w:cs="Times New Roman"/>
          <w:lang w:val="en-GB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Някои системи за финансиране на изследователската дейност включват като критерий за подбор използването на изследвания в преподавателската практика.</w:t>
      </w:r>
    </w:p>
  </w:footnote>
  <w:footnote w:id="31">
    <w:p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tab/>
      </w:r>
      <w:r>
        <w:rPr>
          <w:rFonts w:ascii="Times New Roman" w:hAnsi="Times New Roman"/>
        </w:rPr>
        <w:t>Вж. описанието на четворната спирала в работния документ на Комисията.</w:t>
      </w:r>
    </w:p>
  </w:footnote>
  <w:footnote w:id="32">
    <w:p>
      <w:pPr>
        <w:pStyle w:val="FootnoteText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hyperlink r:id="rId11">
        <w:r>
          <w:rPr>
            <w:rStyle w:val="Hyperlink"/>
            <w:rFonts w:ascii="Times New Roman" w:hAnsi="Times New Roman"/>
          </w:rPr>
          <w:t>https://ec.europa.eu/education/resources/european-tertiary-education-register_en</w:t>
        </w:r>
      </w:hyperlink>
      <w:r>
        <w:rPr>
          <w:rFonts w:ascii="Times New Roman" w:hAnsi="Times New Roman"/>
        </w:rPr>
        <w:t xml:space="preserve"> </w:t>
      </w:r>
    </w:p>
  </w:footnote>
  <w:footnote w:id="33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>
        <w:tab/>
      </w:r>
      <w:hyperlink r:id="rId12" w:anchor="!/home?trackType=home">
        <w:r>
          <w:rPr>
            <w:rStyle w:val="Hyperlink"/>
            <w:rFonts w:ascii="Times New Roman" w:hAnsi="Times New Roman"/>
          </w:rPr>
          <w:t>http://www.umultirank.org/#!/home?trackType=home</w:t>
        </w:r>
      </w:hyperlink>
      <w:r>
        <w:rPr>
          <w:rFonts w:ascii="Times New Roman" w:hAnsi="Times New Roman"/>
        </w:rPr>
        <w:t xml:space="preserve"> </w:t>
      </w:r>
    </w:p>
  </w:footnote>
  <w:footnote w:id="34">
    <w:p>
      <w:pPr>
        <w:pStyle w:val="FootnoteText"/>
        <w:ind w:left="709" w:hanging="709"/>
        <w:rPr>
          <w:rFonts w:ascii="Times New Roman" w:hAnsi="Times New Roman"/>
        </w:rPr>
      </w:pPr>
      <w:r>
        <w:rPr>
          <w:rStyle w:val="FootnoteReference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Почти 13 милиарда евро са заделени по Европейските структурни и инвестиционни фондове за висше образование и публичните научноизследователски инфрастурктури до 2020 г.</w:t>
      </w:r>
    </w:p>
  </w:footnote>
  <w:footnote w:id="35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r>
        <w:rPr>
          <w:rFonts w:ascii="Times New Roman" w:hAnsi="Times New Roman"/>
        </w:rPr>
        <w:t>„Висше образование за интелигентна специализация“.</w:t>
      </w:r>
    </w:p>
  </w:footnote>
  <w:footnote w:id="36">
    <w:p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</w:t>
      </w:r>
      <w:r>
        <w:tab/>
      </w:r>
      <w:hyperlink r:id="rId13">
        <w:r>
          <w:rPr>
            <w:rStyle w:val="Hyperlink"/>
            <w:rFonts w:ascii="Times New Roman" w:hAnsi="Times New Roman"/>
          </w:rPr>
          <w:t>Директива (ЕС) 2016/801</w:t>
        </w:r>
      </w:hyperlink>
      <w:r>
        <w:rPr>
          <w:rStyle w:val="Hyperlink"/>
          <w:rFonts w:ascii="Times New Roman" w:hAnsi="Times New Roman"/>
          <w:u w:val="none"/>
        </w:rPr>
        <w:t>.</w:t>
      </w:r>
    </w:p>
  </w:footnote>
  <w:footnote w:id="37">
    <w:p>
      <w:pPr>
        <w:rPr>
          <w:sz w:val="18"/>
          <w:szCs w:val="18"/>
        </w:rPr>
      </w:pPr>
      <w:r>
        <w:rPr>
          <w:rStyle w:val="FootnoteReference"/>
          <w:sz w:val="18"/>
        </w:rPr>
        <w:footnoteRef/>
      </w:r>
      <w:r>
        <w:rPr>
          <w:sz w:val="18"/>
        </w:rPr>
        <w:t xml:space="preserve"> </w:t>
      </w:r>
      <w:r>
        <w:tab/>
      </w:r>
      <w:hyperlink r:id="rId14">
        <w:r>
          <w:rPr>
            <w:color w:val="000000"/>
            <w:sz w:val="18"/>
            <w:u w:color="000000"/>
          </w:rPr>
          <w:t>https://www.erasmuswithoutpaper.eu/</w:t>
        </w:r>
      </w:hyperlink>
      <w:r>
        <w:rPr>
          <w:color w:val="000000"/>
          <w:sz w:val="18"/>
          <w:u w:color="000000"/>
        </w:rPr>
        <w:t xml:space="preserve">, </w:t>
      </w:r>
      <w:hyperlink r:id="rId15">
        <w:r>
          <w:rPr>
            <w:color w:val="000000"/>
            <w:sz w:val="18"/>
            <w:u w:color="000000"/>
          </w:rPr>
          <w:t>http://europeanstudentcard.eu/</w:t>
        </w:r>
      </w:hyperlink>
      <w:r>
        <w:rPr>
          <w:sz w:val="18"/>
        </w:rPr>
        <w:t xml:space="preserve">, </w:t>
      </w:r>
      <w:hyperlink r:id="rId16">
        <w:r>
          <w:rPr>
            <w:rStyle w:val="Hyperlink"/>
            <w:sz w:val="18"/>
          </w:rPr>
          <w:t>http://www.emrex.eu</w:t>
        </w:r>
      </w:hyperlink>
      <w:r>
        <w:rPr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2417"/>
    <w:multiLevelType w:val="hybridMultilevel"/>
    <w:tmpl w:val="72D4CF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0B8E"/>
    <w:multiLevelType w:val="hybridMultilevel"/>
    <w:tmpl w:val="7EB4333E"/>
    <w:lvl w:ilvl="0" w:tplc="59C0884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3E46D17"/>
    <w:multiLevelType w:val="hybridMultilevel"/>
    <w:tmpl w:val="A6D029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5C486A"/>
    <w:multiLevelType w:val="hybridMultilevel"/>
    <w:tmpl w:val="78DC23FE"/>
    <w:lvl w:ilvl="0" w:tplc="59C0884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04010"/>
    <w:multiLevelType w:val="hybridMultilevel"/>
    <w:tmpl w:val="4692AAB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0B61028"/>
    <w:multiLevelType w:val="hybridMultilevel"/>
    <w:tmpl w:val="1DE06BD8"/>
    <w:numStyleLink w:val="Numbered"/>
  </w:abstractNum>
  <w:abstractNum w:abstractNumId="6">
    <w:nsid w:val="255F654E"/>
    <w:multiLevelType w:val="hybridMultilevel"/>
    <w:tmpl w:val="3D96F1DA"/>
    <w:styleLink w:val="Bullets"/>
    <w:lvl w:ilvl="0" w:tplc="F4921B2C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842D318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F4431A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963164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148286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24C778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62318A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1D457CA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9C5376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6A41E33"/>
    <w:multiLevelType w:val="hybridMultilevel"/>
    <w:tmpl w:val="3D96F1DA"/>
    <w:numStyleLink w:val="Bullets"/>
  </w:abstractNum>
  <w:abstractNum w:abstractNumId="8">
    <w:nsid w:val="2F807070"/>
    <w:multiLevelType w:val="hybridMultilevel"/>
    <w:tmpl w:val="3FFE776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4A974EC"/>
    <w:multiLevelType w:val="hybridMultilevel"/>
    <w:tmpl w:val="AA4CA400"/>
    <w:styleLink w:val="ImportedStyle1"/>
    <w:lvl w:ilvl="0" w:tplc="01BC0A52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D27628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00E952">
      <w:start w:val="1"/>
      <w:numFmt w:val="lowerRoman"/>
      <w:suff w:val="nothing"/>
      <w:lvlText w:val="%3."/>
      <w:lvlJc w:val="left"/>
      <w:pPr>
        <w:ind w:left="910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8AECFA">
      <w:start w:val="1"/>
      <w:numFmt w:val="decimal"/>
      <w:lvlText w:val="%4."/>
      <w:lvlJc w:val="left"/>
      <w:pPr>
        <w:ind w:left="163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84431E2">
      <w:start w:val="1"/>
      <w:numFmt w:val="lowerLetter"/>
      <w:lvlText w:val="%5."/>
      <w:lvlJc w:val="left"/>
      <w:pPr>
        <w:ind w:left="235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320B9EE">
      <w:start w:val="1"/>
      <w:numFmt w:val="lowerRoman"/>
      <w:suff w:val="nothing"/>
      <w:lvlText w:val="%6."/>
      <w:lvlJc w:val="left"/>
      <w:pPr>
        <w:ind w:left="3070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D68B32">
      <w:start w:val="1"/>
      <w:numFmt w:val="decimal"/>
      <w:lvlText w:val="%7."/>
      <w:lvlJc w:val="left"/>
      <w:pPr>
        <w:ind w:left="379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DC67C8">
      <w:start w:val="1"/>
      <w:numFmt w:val="lowerLetter"/>
      <w:lvlText w:val="%8."/>
      <w:lvlJc w:val="left"/>
      <w:pPr>
        <w:ind w:left="451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7C9D90">
      <w:start w:val="1"/>
      <w:numFmt w:val="lowerRoman"/>
      <w:suff w:val="nothing"/>
      <w:lvlText w:val="%9."/>
      <w:lvlJc w:val="left"/>
      <w:pPr>
        <w:ind w:left="5230" w:hanging="1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3F392823"/>
    <w:multiLevelType w:val="hybridMultilevel"/>
    <w:tmpl w:val="08C6FF8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9191636"/>
    <w:multiLevelType w:val="hybridMultilevel"/>
    <w:tmpl w:val="9B463A36"/>
    <w:lvl w:ilvl="0" w:tplc="F13ACF9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B363E9"/>
    <w:multiLevelType w:val="hybridMultilevel"/>
    <w:tmpl w:val="AA4CA400"/>
    <w:numStyleLink w:val="ImportedStyle1"/>
  </w:abstractNum>
  <w:abstractNum w:abstractNumId="13">
    <w:nsid w:val="4EBB1B3A"/>
    <w:multiLevelType w:val="hybridMultilevel"/>
    <w:tmpl w:val="4DA660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7D7BFA"/>
    <w:multiLevelType w:val="hybridMultilevel"/>
    <w:tmpl w:val="D3028828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D043A4F"/>
    <w:multiLevelType w:val="hybridMultilevel"/>
    <w:tmpl w:val="4E06B0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3E46A0F"/>
    <w:multiLevelType w:val="hybridMultilevel"/>
    <w:tmpl w:val="1DE06BD8"/>
    <w:styleLink w:val="Numbered"/>
    <w:lvl w:ilvl="0" w:tplc="BC1C2314">
      <w:start w:val="1"/>
      <w:numFmt w:val="decimal"/>
      <w:lvlText w:val="%1."/>
      <w:lvlJc w:val="left"/>
      <w:pPr>
        <w:tabs>
          <w:tab w:val="num" w:pos="232"/>
        </w:tabs>
        <w:ind w:left="952" w:hanging="9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5E24DA">
      <w:start w:val="1"/>
      <w:numFmt w:val="decimal"/>
      <w:lvlText w:val="%2."/>
      <w:lvlJc w:val="left"/>
      <w:pPr>
        <w:tabs>
          <w:tab w:val="num" w:pos="1032"/>
        </w:tabs>
        <w:ind w:left="1752" w:hanging="9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80B588">
      <w:start w:val="1"/>
      <w:numFmt w:val="decimal"/>
      <w:lvlText w:val="%3."/>
      <w:lvlJc w:val="left"/>
      <w:pPr>
        <w:tabs>
          <w:tab w:val="num" w:pos="1832"/>
        </w:tabs>
        <w:ind w:left="2552" w:hanging="9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C4C4E0">
      <w:start w:val="1"/>
      <w:numFmt w:val="decimal"/>
      <w:lvlText w:val="%4."/>
      <w:lvlJc w:val="left"/>
      <w:pPr>
        <w:tabs>
          <w:tab w:val="num" w:pos="2632"/>
        </w:tabs>
        <w:ind w:left="3352" w:hanging="9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BE2548">
      <w:start w:val="1"/>
      <w:numFmt w:val="decimal"/>
      <w:lvlText w:val="%5."/>
      <w:lvlJc w:val="left"/>
      <w:pPr>
        <w:tabs>
          <w:tab w:val="num" w:pos="3432"/>
        </w:tabs>
        <w:ind w:left="4152" w:hanging="9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007BC4">
      <w:start w:val="1"/>
      <w:numFmt w:val="decimal"/>
      <w:lvlText w:val="%6."/>
      <w:lvlJc w:val="left"/>
      <w:pPr>
        <w:tabs>
          <w:tab w:val="num" w:pos="4232"/>
        </w:tabs>
        <w:ind w:left="4952" w:hanging="9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A4264A">
      <w:start w:val="1"/>
      <w:numFmt w:val="decimal"/>
      <w:lvlText w:val="%7."/>
      <w:lvlJc w:val="left"/>
      <w:pPr>
        <w:tabs>
          <w:tab w:val="num" w:pos="5032"/>
        </w:tabs>
        <w:ind w:left="5752" w:hanging="9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A44C14">
      <w:start w:val="1"/>
      <w:numFmt w:val="decimal"/>
      <w:lvlText w:val="%8."/>
      <w:lvlJc w:val="left"/>
      <w:pPr>
        <w:tabs>
          <w:tab w:val="num" w:pos="5832"/>
        </w:tabs>
        <w:ind w:left="6552" w:hanging="9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E888EA">
      <w:start w:val="1"/>
      <w:numFmt w:val="decimal"/>
      <w:lvlText w:val="%9."/>
      <w:lvlJc w:val="left"/>
      <w:pPr>
        <w:tabs>
          <w:tab w:val="num" w:pos="6632"/>
        </w:tabs>
        <w:ind w:left="7352" w:hanging="9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650A7836"/>
    <w:multiLevelType w:val="hybridMultilevel"/>
    <w:tmpl w:val="F75050FC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28F1D89"/>
    <w:multiLevelType w:val="hybridMultilevel"/>
    <w:tmpl w:val="75164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83EF0"/>
    <w:multiLevelType w:val="hybridMultilevel"/>
    <w:tmpl w:val="6578221E"/>
    <w:lvl w:ilvl="0" w:tplc="08090001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939552E"/>
    <w:multiLevelType w:val="hybridMultilevel"/>
    <w:tmpl w:val="56AA4CB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7F524423"/>
    <w:multiLevelType w:val="hybridMultilevel"/>
    <w:tmpl w:val="4BB6F9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  <w:lvlOverride w:ilvl="0">
      <w:lvl w:ilvl="0" w:tplc="37D65666">
        <w:start w:val="1"/>
        <w:numFmt w:val="decimal"/>
        <w:lvlText w:val="%1."/>
        <w:lvlJc w:val="left"/>
        <w:pPr>
          <w:ind w:left="720" w:hanging="720"/>
        </w:pPr>
        <w:rPr>
          <w:rFonts w:hAnsi="Arial Unicode MS"/>
          <w:i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6"/>
  </w:num>
  <w:num w:numId="4">
    <w:abstractNumId w:val="7"/>
  </w:num>
  <w:num w:numId="5">
    <w:abstractNumId w:val="7"/>
    <w:lvlOverride w:ilvl="0">
      <w:lvl w:ilvl="0" w:tplc="B442E58A">
        <w:start w:val="1"/>
        <w:numFmt w:val="bullet"/>
        <w:lvlText w:val="•"/>
        <w:lvlJc w:val="left"/>
        <w:pPr>
          <w:ind w:left="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082B1A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642B3C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C8C916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B0B124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C2E3AE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71C1216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D4B150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52A00A0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16"/>
  </w:num>
  <w:num w:numId="7">
    <w:abstractNumId w:val="5"/>
  </w:num>
  <w:num w:numId="8">
    <w:abstractNumId w:val="7"/>
    <w:lvlOverride w:ilvl="0">
      <w:lvl w:ilvl="0" w:tplc="B442E58A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88082B1A">
        <w:start w:val="1"/>
        <w:numFmt w:val="bullet"/>
        <w:lvlText w:val="•"/>
        <w:lvlJc w:val="left"/>
        <w:pPr>
          <w:ind w:left="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2642B3C">
        <w:start w:val="1"/>
        <w:numFmt w:val="bullet"/>
        <w:lvlText w:val="•"/>
        <w:lvlJc w:val="left"/>
        <w:pPr>
          <w:ind w:left="1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EC8C916">
        <w:start w:val="1"/>
        <w:numFmt w:val="bullet"/>
        <w:lvlText w:val="•"/>
        <w:lvlJc w:val="left"/>
        <w:pPr>
          <w:ind w:left="1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4B0B124">
        <w:start w:val="1"/>
        <w:numFmt w:val="bullet"/>
        <w:lvlText w:val="•"/>
        <w:lvlJc w:val="left"/>
        <w:pPr>
          <w:ind w:left="25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BC2E3AE">
        <w:start w:val="1"/>
        <w:numFmt w:val="bullet"/>
        <w:lvlText w:val="•"/>
        <w:lvlJc w:val="left"/>
        <w:pPr>
          <w:ind w:left="3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71C1216">
        <w:start w:val="1"/>
        <w:numFmt w:val="bullet"/>
        <w:lvlText w:val="•"/>
        <w:lvlJc w:val="left"/>
        <w:pPr>
          <w:ind w:left="37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1D4B150">
        <w:start w:val="1"/>
        <w:numFmt w:val="bullet"/>
        <w:lvlText w:val="•"/>
        <w:lvlJc w:val="left"/>
        <w:pPr>
          <w:ind w:left="43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52A00A0">
        <w:start w:val="1"/>
        <w:numFmt w:val="bullet"/>
        <w:lvlText w:val="•"/>
        <w:lvlJc w:val="left"/>
        <w:pPr>
          <w:ind w:left="49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15"/>
  </w:num>
  <w:num w:numId="10">
    <w:abstractNumId w:val="2"/>
  </w:num>
  <w:num w:numId="11">
    <w:abstractNumId w:val="10"/>
  </w:num>
  <w:num w:numId="12">
    <w:abstractNumId w:val="20"/>
  </w:num>
  <w:num w:numId="13">
    <w:abstractNumId w:val="21"/>
  </w:num>
  <w:num w:numId="14">
    <w:abstractNumId w:val="13"/>
  </w:num>
  <w:num w:numId="15">
    <w:abstractNumId w:val="14"/>
  </w:num>
  <w:num w:numId="16">
    <w:abstractNumId w:val="1"/>
  </w:num>
  <w:num w:numId="17">
    <w:abstractNumId w:val="3"/>
  </w:num>
  <w:num w:numId="18">
    <w:abstractNumId w:val="11"/>
  </w:num>
  <w:num w:numId="19">
    <w:abstractNumId w:val="18"/>
  </w:num>
  <w:num w:numId="20">
    <w:abstractNumId w:val="17"/>
  </w:num>
  <w:num w:numId="21">
    <w:abstractNumId w:val="19"/>
  </w:num>
  <w:num w:numId="22">
    <w:abstractNumId w:val="8"/>
  </w:num>
  <w:num w:numId="23">
    <w:abstractNumId w:val="0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CONFIDENCE" w:val=" "/>
    <w:docVar w:name="LW_CONST_RESTREINT_UE" w:val="RESTREINT UE"/>
    <w:docVar w:name="LW_CORRIGENDUM" w:val="&lt;UNUSED&gt;"/>
    <w:docVar w:name="LW_COVERPAGE_GUID" w:val="4224DE7E61D8421A9285EC28E5F235FE"/>
    <w:docVar w:name="LW_CROSSREFERENCE" w:val="{SWD(2017) 164 final}"/>
    <w:docVar w:name="LW_DocType" w:val="NORMAL"/>
    <w:docVar w:name="LW_EMISSION" w:val="30.5.2017"/>
    <w:docVar w:name="LW_EMISSION_ISODATE" w:val="2017-05-30"/>
    <w:docVar w:name="LW_EMISSION_LOCATION" w:val="BRX"/>
    <w:docVar w:name="LW_EMISSION_PREFIX" w:val="Брюксел, "/>
    <w:docVar w:name="LW_EMISSION_SUFFIX" w:val=" \u1075?."/>
    <w:docVar w:name="LW_ID_DOCTYPE_NONLW" w:val="CP-014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NST.NEW" w:val="COM"/>
    <w:docVar w:name="LW_REF.INST.NEW_ADOPTED" w:val="final"/>
    <w:docVar w:name="LW_REF.INST.NEW_TEXT" w:val="(2017) 247"/>
    <w:docVar w:name="LW_REF.INTERNE" w:val="&lt;UNUSED&gt;"/>
    <w:docVar w:name="LW_SOUS.TITRE.OBJ.CP" w:val="&lt;UNUSED&gt;"/>
    <w:docVar w:name="LW_SUPERTITRE" w:val="&lt;UNUSED&gt;"/>
    <w:docVar w:name="LW_TITRE.OBJ.CP" w:val="\u1086?\u1090?\u1085?\u1086?\u1089?\u1085?\u1086? \u1085?\u1086?\u1074? \u1090?\u1083?\u1072?\u1089?\u1098?\u1082? \u1079?\u1072? \u1074?\u1080?\u1089?\u1096?\u1077?\u1090?\u1086? \u1086?\u1073?\u1088?\u1072?\u1079?\u1086?\u1074?\u1072?\u1085?\u1080?\u1077? \u1074? \u1045?\u1057?"/>
    <w:docVar w:name="LW_TYPE.DOC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"/>
    <w:docVar w:name="LW_TYPE.DOC.CP.USERTEXT" w:val="&lt;EMPTY&gt;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</w:rPr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styleId="Footer">
    <w:name w:val="footer"/>
    <w:link w:val="FooterChar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alibri"/>
      <w:color w:val="000000"/>
      <w:u w:color="000000"/>
      <w:bdr w:val="nil"/>
      <w:lang w:val="bg-BG" w:eastAsia="bg-BG"/>
    </w:rPr>
  </w:style>
  <w:style w:type="paragraph" w:customStyle="1" w:styleId="Body">
    <w:name w:val="Body"/>
    <w:link w:val="BodyChar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qFormat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"/>
    <w:uiPriority w:val="99"/>
    <w:rPr>
      <w:vertAlign w:val="superscript"/>
    </w:rPr>
  </w:style>
  <w:style w:type="paragraph" w:styleId="FootnoteText">
    <w:name w:val="footnote text"/>
    <w:link w:val="FootnoteTextChar"/>
    <w:uiPriority w:val="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Calibri" w:hAnsi="Calibri" w:cs="Calibri"/>
      <w:color w:val="000000"/>
      <w:sz w:val="20"/>
      <w:szCs w:val="20"/>
      <w:u w:color="000000"/>
      <w:bdr w:val="nil"/>
      <w:lang w:val="bg-BG" w:eastAsia="bg-BG"/>
    </w:rPr>
  </w:style>
  <w:style w:type="numbering" w:customStyle="1" w:styleId="Bullets">
    <w:name w:val="Bullets"/>
    <w:pPr>
      <w:numPr>
        <w:numId w:val="3"/>
      </w:numPr>
    </w:pPr>
  </w:style>
  <w:style w:type="numbering" w:customStyle="1" w:styleId="Numbered">
    <w:name w:val="Numbered"/>
    <w:pPr>
      <w:numPr>
        <w:numId w:val="6"/>
      </w:numPr>
    </w:p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customStyle="1" w:styleId="Hyperlink1">
    <w:name w:val="Hyperlink.1"/>
    <w:basedOn w:val="Hyperlink0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Arial Unicode MS" w:hAnsi="Tahoma" w:cs="Tahoma"/>
      <w:sz w:val="16"/>
      <w:szCs w:val="16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9"/>
    </w:pPr>
    <w:rPr>
      <w:bdr w:val="none" w:sz="0" w:space="0" w:color="auto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Theme="minorHAnsi"/>
      <w:szCs w:val="22"/>
      <w:bdr w:val="none" w:sz="0" w:space="0" w:color="auto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="Calibri"/>
      <w:color w:val="000000"/>
      <w:u w:color="000000"/>
    </w:rPr>
  </w:style>
  <w:style w:type="character" w:customStyle="1" w:styleId="BodyChar">
    <w:name w:val="Body Char"/>
    <w:basedOn w:val="DefaultParagraphFont"/>
    <w:link w:val="Body"/>
    <w:rPr>
      <w:rFonts w:ascii="Calibri" w:eastAsia="Calibri" w:hAnsi="Calibri" w:cs="Calibri"/>
      <w:color w:val="000000"/>
      <w:u w:color="000000"/>
      <w:bdr w:val="nil"/>
      <w:lang w:eastAsia="bg-BG"/>
    </w:rPr>
  </w:style>
  <w:style w:type="character" w:customStyle="1" w:styleId="FooterCoverPageChar">
    <w:name w:val="Footer Cover Page Char"/>
    <w:basedOn w:val="BodyChar"/>
    <w:link w:val="FooterCoverPage"/>
    <w:rPr>
      <w:rFonts w:ascii="Times New Roman" w:eastAsia="Calibri" w:hAnsi="Times New Roman" w:cs="Times New Roman"/>
      <w:color w:val="000000"/>
      <w:sz w:val="24"/>
      <w:szCs w:val="24"/>
      <w:u w:color="000000"/>
      <w:bdr w:val="nil"/>
      <w:lang w:eastAsia="bg-BG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rFonts w:eastAsia="Calibri"/>
      <w:color w:val="000000"/>
      <w:u w:color="000000"/>
    </w:rPr>
  </w:style>
  <w:style w:type="character" w:customStyle="1" w:styleId="HeaderCoverPageChar">
    <w:name w:val="Header Cover Page Char"/>
    <w:basedOn w:val="BodyChar"/>
    <w:link w:val="HeaderCoverPage"/>
    <w:rPr>
      <w:rFonts w:ascii="Times New Roman" w:eastAsia="Calibri" w:hAnsi="Times New Roman" w:cs="Times New Roman"/>
      <w:color w:val="000000"/>
      <w:sz w:val="24"/>
      <w:szCs w:val="24"/>
      <w:u w:color="000000"/>
      <w:bdr w:val="nil"/>
      <w:lang w:eastAsia="bg-BG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bdr w:val="nil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bdr w:val="nil"/>
    </w:rPr>
  </w:style>
  <w:style w:type="character" w:styleId="Hyperlink">
    <w:name w:val="Hyperlink"/>
    <w:uiPriority w:val="99"/>
    <w:rPr>
      <w:u w:val="single"/>
    </w:rPr>
  </w:style>
  <w:style w:type="paragraph" w:customStyle="1" w:styleId="HeaderFooter">
    <w:name w:val="Header &amp; Footer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paragraph" w:styleId="Footer">
    <w:name w:val="footer"/>
    <w:link w:val="FooterChar"/>
    <w:uiPriority w:val="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Calibri"/>
      <w:color w:val="000000"/>
      <w:u w:color="000000"/>
      <w:bdr w:val="nil"/>
      <w:lang w:val="bg-BG" w:eastAsia="bg-BG"/>
    </w:rPr>
  </w:style>
  <w:style w:type="paragraph" w:customStyle="1" w:styleId="Body">
    <w:name w:val="Body"/>
    <w:link w:val="BodyChar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styleId="ListParagraph">
    <w:name w:val="List Paragraph"/>
    <w:qFormat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</w:rPr>
  </w:style>
  <w:style w:type="numbering" w:customStyle="1" w:styleId="ImportedStyle1">
    <w:name w:val="Imported Style 1"/>
    <w:pPr>
      <w:numPr>
        <w:numId w:val="1"/>
      </w:numPr>
    </w:pPr>
  </w:style>
  <w:style w:type="paragraph" w:customStyle="1" w:styleId="Default">
    <w:name w:val="Default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"/>
    <w:uiPriority w:val="99"/>
    <w:rPr>
      <w:vertAlign w:val="superscript"/>
    </w:rPr>
  </w:style>
  <w:style w:type="paragraph" w:styleId="FootnoteText">
    <w:name w:val="footnote text"/>
    <w:link w:val="FootnoteTextChar"/>
    <w:uiPriority w:val="9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FootnoteTextChar">
    <w:name w:val="Footnote Text Char"/>
    <w:basedOn w:val="DefaultParagraphFont"/>
    <w:link w:val="FootnoteText"/>
    <w:uiPriority w:val="99"/>
    <w:rPr>
      <w:rFonts w:ascii="Calibri" w:eastAsia="Calibri" w:hAnsi="Calibri" w:cs="Calibri"/>
      <w:color w:val="000000"/>
      <w:sz w:val="20"/>
      <w:szCs w:val="20"/>
      <w:u w:color="000000"/>
      <w:bdr w:val="nil"/>
      <w:lang w:val="bg-BG" w:eastAsia="bg-BG"/>
    </w:rPr>
  </w:style>
  <w:style w:type="numbering" w:customStyle="1" w:styleId="Bullets">
    <w:name w:val="Bullets"/>
    <w:pPr>
      <w:numPr>
        <w:numId w:val="3"/>
      </w:numPr>
    </w:pPr>
  </w:style>
  <w:style w:type="numbering" w:customStyle="1" w:styleId="Numbered">
    <w:name w:val="Numbered"/>
    <w:pPr>
      <w:numPr>
        <w:numId w:val="6"/>
      </w:numPr>
    </w:pPr>
  </w:style>
  <w:style w:type="paragraph" w:customStyle="1" w:styleId="BodyA">
    <w:name w:val="Body 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Hyperlink0">
    <w:name w:val="Hyperlink.0"/>
    <w:basedOn w:val="Hyperlink"/>
    <w:rPr>
      <w:color w:val="0000FF"/>
      <w:u w:val="single" w:color="0000FF"/>
    </w:rPr>
  </w:style>
  <w:style w:type="character" w:customStyle="1" w:styleId="Hyperlink1">
    <w:name w:val="Hyperlink.1"/>
    <w:basedOn w:val="Hyperlink0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Arial Unicode MS" w:hAnsi="Times New Roman" w:cs="Times New Roman"/>
      <w:sz w:val="20"/>
      <w:szCs w:val="20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Arial Unicode MS" w:hAnsi="Tahoma" w:cs="Tahoma"/>
      <w:sz w:val="16"/>
      <w:szCs w:val="16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76" w:lineRule="auto"/>
      <w:outlineLvl w:val="9"/>
    </w:pPr>
    <w:rPr>
      <w:bdr w:val="none" w:sz="0" w:space="0" w:color="auto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eastAsia="Arial Unicode MS" w:hAnsi="Times New Roman" w:cs="Times New Roman"/>
      <w:sz w:val="24"/>
      <w:szCs w:val="24"/>
      <w:bdr w:val="nil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Theme="minorHAnsi"/>
      <w:szCs w:val="22"/>
      <w:bdr w:val="none" w:sz="0" w:space="0" w:color="auto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/>
      <w:ind w:left="-850" w:right="-850"/>
    </w:pPr>
    <w:rPr>
      <w:rFonts w:eastAsia="Calibri"/>
      <w:color w:val="000000"/>
      <w:u w:color="000000"/>
    </w:rPr>
  </w:style>
  <w:style w:type="character" w:customStyle="1" w:styleId="BodyChar">
    <w:name w:val="Body Char"/>
    <w:basedOn w:val="DefaultParagraphFont"/>
    <w:link w:val="Body"/>
    <w:rPr>
      <w:rFonts w:ascii="Calibri" w:eastAsia="Calibri" w:hAnsi="Calibri" w:cs="Calibri"/>
      <w:color w:val="000000"/>
      <w:u w:color="000000"/>
      <w:bdr w:val="nil"/>
      <w:lang w:eastAsia="bg-BG"/>
    </w:rPr>
  </w:style>
  <w:style w:type="character" w:customStyle="1" w:styleId="FooterCoverPageChar">
    <w:name w:val="Footer Cover Page Char"/>
    <w:basedOn w:val="BodyChar"/>
    <w:link w:val="FooterCoverPage"/>
    <w:rPr>
      <w:rFonts w:ascii="Times New Roman" w:eastAsia="Calibri" w:hAnsi="Times New Roman" w:cs="Times New Roman"/>
      <w:color w:val="000000"/>
      <w:sz w:val="24"/>
      <w:szCs w:val="24"/>
      <w:u w:color="000000"/>
      <w:bdr w:val="nil"/>
      <w:lang w:eastAsia="bg-BG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/>
      <w:jc w:val="both"/>
    </w:pPr>
    <w:rPr>
      <w:rFonts w:eastAsia="Calibri"/>
      <w:color w:val="000000"/>
      <w:u w:color="000000"/>
    </w:rPr>
  </w:style>
  <w:style w:type="character" w:customStyle="1" w:styleId="HeaderCoverPageChar">
    <w:name w:val="Header Cover Page Char"/>
    <w:basedOn w:val="BodyChar"/>
    <w:link w:val="HeaderCoverPage"/>
    <w:rPr>
      <w:rFonts w:ascii="Times New Roman" w:eastAsia="Calibri" w:hAnsi="Times New Roman" w:cs="Times New Roman"/>
      <w:color w:val="000000"/>
      <w:sz w:val="24"/>
      <w:szCs w:val="24"/>
      <w:u w:color="000000"/>
      <w:bdr w:val="nil"/>
      <w:lang w:eastAsia="bg-BG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Cite">
    <w:name w:val="HTML Cite"/>
    <w:basedOn w:val="DefaultParagraphFont"/>
    <w:uiPriority w:val="99"/>
    <w:semiHidden/>
    <w:unhideWhenUsed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jrc/en/digcomp" TargetMode="External"/><Relationship Id="rId13" Type="http://schemas.openxmlformats.org/officeDocument/2006/relationships/hyperlink" Target="http://eur-lex.europa.eu/legal-content/EN/TXT/?uri=OJ:JOL_2016_132_R_0002" TargetMode="External"/><Relationship Id="rId3" Type="http://schemas.openxmlformats.org/officeDocument/2006/relationships/hyperlink" Target="http://eur-lex.europa.eu/legal-content/EN/TXT/?qid=1486389223873&amp;uri=CELEX:52016DC0381" TargetMode="External"/><Relationship Id="rId7" Type="http://schemas.openxmlformats.org/officeDocument/2006/relationships/hyperlink" Target="http://ec.europa.eu/social/main.jsp?catId=1223&amp;langId=en&amp;moreDocuments=yes" TargetMode="External"/><Relationship Id="rId12" Type="http://schemas.openxmlformats.org/officeDocument/2006/relationships/hyperlink" Target="http://www.umultirank.org/" TargetMode="External"/><Relationship Id="rId2" Type="http://schemas.openxmlformats.org/officeDocument/2006/relationships/hyperlink" Target="http://eur-lex.europa.eu/legal-content/EN/TXT/?qid=1486389156065&amp;uri=CELEX:52016DC0940" TargetMode="External"/><Relationship Id="rId16" Type="http://schemas.openxmlformats.org/officeDocument/2006/relationships/hyperlink" Target="http://www.emrex.eu/" TargetMode="External"/><Relationship Id="rId1" Type="http://schemas.openxmlformats.org/officeDocument/2006/relationships/hyperlink" Target="https://ec.europa.eu/transparency/regdoc/rep/1/2017/EN/COM-2017-2025-F1-EN-MAIN-PART-1.PDF" TargetMode="External"/><Relationship Id="rId6" Type="http://schemas.openxmlformats.org/officeDocument/2006/relationships/hyperlink" Target="http://eur-lex.europa.eu/legal-content/EN/TXT/?uri=celex:52011DC0567" TargetMode="External"/><Relationship Id="rId11" Type="http://schemas.openxmlformats.org/officeDocument/2006/relationships/hyperlink" Target="https://ec.europa.eu/education/resources/european-tertiary-education-register_en" TargetMode="External"/><Relationship Id="rId5" Type="http://schemas.openxmlformats.org/officeDocument/2006/relationships/hyperlink" Target="https://ec.europa.eu/commission/publications/reflection-paper-harnessing-globalisation_bg" TargetMode="External"/><Relationship Id="rId15" Type="http://schemas.openxmlformats.org/officeDocument/2006/relationships/hyperlink" Target="http://europeanstudentcard.eu/" TargetMode="External"/><Relationship Id="rId10" Type="http://schemas.openxmlformats.org/officeDocument/2006/relationships/hyperlink" Target="http://s3platform.jrc.ec.europa.eu/hess" TargetMode="External"/><Relationship Id="rId4" Type="http://schemas.openxmlformats.org/officeDocument/2006/relationships/hyperlink" Target="https://ec.europa.eu/commission/publications/commission-communication-european-pillar-social-rights_en" TargetMode="External"/><Relationship Id="rId9" Type="http://schemas.openxmlformats.org/officeDocument/2006/relationships/hyperlink" Target="http://www.stemcoalition.eu/" TargetMode="External"/><Relationship Id="rId14" Type="http://schemas.openxmlformats.org/officeDocument/2006/relationships/hyperlink" Target="https://www.erasmuswithoutpaper.e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354BE-3E44-4BE9-A46C-488A549BE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15</Pages>
  <Words>4785</Words>
  <Characters>29812</Characters>
  <Application>Microsoft Office Word</Application>
  <DocSecurity>0</DocSecurity>
  <Lines>488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DIGIT/A3</cp:lastModifiedBy>
  <cp:revision>21</cp:revision>
  <cp:lastPrinted>2017-05-19T11:10:00Z</cp:lastPrinted>
  <dcterms:created xsi:type="dcterms:W3CDTF">2017-05-23T12:54:00Z</dcterms:created>
  <dcterms:modified xsi:type="dcterms:W3CDTF">2017-05-31T06:34:00Z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rt">
    <vt:lpwstr>1</vt:lpwstr>
  </property>
  <property fmtid="{D5CDD505-2E9C-101B-9397-08002B2CF9AE}" pid="3" name="Total parts">
    <vt:lpwstr>1</vt:lpwstr>
  </property>
  <property fmtid="{D5CDD505-2E9C-101B-9397-08002B2CF9AE}" pid="4" name="DocStatus">
    <vt:lpwstr>Green</vt:lpwstr>
  </property>
  <property fmtid="{D5CDD505-2E9C-101B-9397-08002B2CF9AE}" pid="5" name="Classification">
    <vt:lpwstr> </vt:lpwstr>
  </property>
</Properties>
</file>