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FCC" w:rsidRDefault="00FD122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8E3EE2CCBDC4F219B0345483AD7EB3B" style="width:450.7pt;height:406.75pt">
            <v:imagedata r:id="rId13" o:title=""/>
          </v:shape>
        </w:pict>
      </w:r>
    </w:p>
    <w:p w:rsidR="00222FCC" w:rsidRDefault="00222FCC">
      <w:pPr>
        <w:rPr>
          <w:noProof/>
        </w:rPr>
        <w:sectPr w:rsidR="00222FCC">
          <w:footerReference w:type="default" r:id="rId14"/>
          <w:pgSz w:w="11907" w:h="16839"/>
          <w:pgMar w:top="1134" w:right="1417" w:bottom="1134" w:left="1417" w:header="709" w:footer="709" w:gutter="0"/>
          <w:pgNumType w:start="1"/>
          <w:cols w:space="720"/>
          <w:docGrid w:linePitch="360"/>
        </w:sectPr>
      </w:pPr>
    </w:p>
    <w:p w:rsidR="00222FCC" w:rsidRDefault="00FD122A">
      <w:pPr>
        <w:pStyle w:val="Exposdesmotifstitre"/>
        <w:rPr>
          <w:noProof/>
        </w:rPr>
      </w:pPr>
      <w:r>
        <w:rPr>
          <w:noProof/>
        </w:rPr>
        <w:lastRenderedPageBreak/>
        <w:t>ОБЯСНИТЕЛЕН МЕМОРАНДУМ</w:t>
      </w:r>
    </w:p>
    <w:p w:rsidR="00222FCC" w:rsidRDefault="00FD122A">
      <w:pPr>
        <w:pStyle w:val="ManualHeading1"/>
        <w:rPr>
          <w:noProof/>
        </w:rPr>
      </w:pPr>
      <w:r>
        <w:rPr>
          <w:noProof/>
        </w:rPr>
        <w:t>1.</w:t>
      </w:r>
      <w:r>
        <w:rPr>
          <w:noProof/>
        </w:rPr>
        <w:tab/>
        <w:t>КОНТЕКСТ НА ПРЕДЛОЖЕНИЕТО</w:t>
      </w:r>
    </w:p>
    <w:p w:rsidR="00222FCC" w:rsidRDefault="00FD122A">
      <w:pPr>
        <w:pStyle w:val="ManualHeading2"/>
        <w:rPr>
          <w:rFonts w:eastAsia="Arial Unicode MS"/>
          <w:noProof/>
        </w:rPr>
      </w:pPr>
      <w:r>
        <w:rPr>
          <w:noProof/>
        </w:rPr>
        <w:t>•</w:t>
      </w:r>
      <w:r>
        <w:rPr>
          <w:noProof/>
        </w:rPr>
        <w:tab/>
        <w:t>Основания и цели на предложението</w:t>
      </w:r>
    </w:p>
    <w:p w:rsidR="00222FCC" w:rsidRDefault="00FD122A">
      <w:pPr>
        <w:autoSpaceDE w:val="0"/>
        <w:autoSpaceDN w:val="0"/>
        <w:adjustRightInd w:val="0"/>
        <w:spacing w:before="0" w:after="0"/>
        <w:rPr>
          <w:noProof/>
          <w:szCs w:val="24"/>
        </w:rPr>
      </w:pPr>
      <w:r>
        <w:rPr>
          <w:noProof/>
        </w:rPr>
        <w:t xml:space="preserve">Европейският </w:t>
      </w:r>
      <w:r>
        <w:rPr>
          <w:noProof/>
        </w:rPr>
        <w:t>съюз е изграден върху солидарност — споделена ценност, която е силно осезаема в цялото европейско общество. Тя дефинира европейския проект и осигурява единството, което е необходимо за справяне с настоящи и бъдещи кризи, чрез поддържането на стабилна морал</w:t>
      </w:r>
      <w:r>
        <w:rPr>
          <w:noProof/>
        </w:rPr>
        <w:t>на основа. Солидарността предоставя ясен ориентир, който да води европейските младежи в стремежа им към изграждането на по-добър Съюз. В Декларацията от Рим по случай 60-тата годишнина от Римските договори ръководителите на 27 държави членки и на Европейск</w:t>
      </w:r>
      <w:r>
        <w:rPr>
          <w:noProof/>
        </w:rPr>
        <w:t>ия съвет, Европейския парламент и Европейската комисия потвърдиха своя ангажимент за укрепване на единството и солидарността с цел увеличаване на силата и устойчивостта на Европейския съюз</w:t>
      </w:r>
      <w:r>
        <w:rPr>
          <w:rStyle w:val="FootnoteReference"/>
          <w:noProof/>
        </w:rPr>
        <w:footnoteReference w:id="2"/>
      </w:r>
      <w:r>
        <w:rPr>
          <w:noProof/>
        </w:rPr>
        <w:t>.</w:t>
      </w:r>
    </w:p>
    <w:p w:rsidR="00222FCC" w:rsidRDefault="00FD122A">
      <w:pPr>
        <w:rPr>
          <w:noProof/>
          <w:szCs w:val="24"/>
        </w:rPr>
      </w:pPr>
      <w:r>
        <w:rPr>
          <w:noProof/>
        </w:rPr>
        <w:t>В речта от 14 септември 2016 г. за състоянието на Съюза се подчер</w:t>
      </w:r>
      <w:r>
        <w:rPr>
          <w:noProof/>
        </w:rPr>
        <w:t xml:space="preserve">тава необходимостта да се инвестира в младите хора и се обявява идеята за Европейския корпус за солидарност, с който да се създадат възможности за младите хора в целия Европейски съюз да дадат свой принос за обществото, да проявят солидарност и да развият </w:t>
      </w:r>
      <w:r>
        <w:rPr>
          <w:noProof/>
        </w:rPr>
        <w:t>уменията си, като по този начин „ще получат не само работа, но и безценен човешки опит“. На Срещата на върха в Братислава на 16 септември 2016 г. бе отправен призив за по-силен политически импулс в подкрепа на младите европейци и за създаване на нови прогр</w:t>
      </w:r>
      <w:r>
        <w:rPr>
          <w:noProof/>
        </w:rPr>
        <w:t>ами на ЕС, които да подобрят възможностите за тях. Със Съобщението на Комисията „Европейски корпус за солидарност“ от 7 декември 2016 г.</w:t>
      </w:r>
      <w:r>
        <w:rPr>
          <w:rStyle w:val="FootnoteReference"/>
          <w:noProof/>
        </w:rPr>
        <w:footnoteReference w:id="3"/>
      </w:r>
      <w:r>
        <w:rPr>
          <w:noProof/>
        </w:rPr>
        <w:t xml:space="preserve"> бе поставено началото на първия етап на Европейския корпус за солидарност и бе потвърдена целта до 2020 г. броят на мл</w:t>
      </w:r>
      <w:r>
        <w:rPr>
          <w:noProof/>
        </w:rPr>
        <w:t>адите хора, участващи в корпуса, да бъде 100 000 души. По време на този първи етап бе поставено началото на осем различни програми на ЕС</w:t>
      </w:r>
      <w:r>
        <w:rPr>
          <w:rStyle w:val="FootnoteReference"/>
          <w:noProof/>
        </w:rPr>
        <w:footnoteReference w:id="4"/>
      </w:r>
      <w:r>
        <w:rPr>
          <w:noProof/>
        </w:rPr>
        <w:t xml:space="preserve">, предлагащи възможности за младите хора в целия ЕС за доброволчество, стаж или работа. </w:t>
      </w:r>
    </w:p>
    <w:p w:rsidR="00222FCC" w:rsidRDefault="00FD122A">
      <w:pPr>
        <w:rPr>
          <w:noProof/>
          <w:szCs w:val="24"/>
        </w:rPr>
      </w:pPr>
      <w:r>
        <w:rPr>
          <w:noProof/>
        </w:rPr>
        <w:t xml:space="preserve">Настоящото предложение е също </w:t>
      </w:r>
      <w:r>
        <w:rPr>
          <w:noProof/>
        </w:rPr>
        <w:t>и в отговор на призива на Европейския съвет, отправен в заключенията на Съвета от 15 декември 2016 г., за осъществяване на напредък в работата по Европейския корпус за солидарност</w:t>
      </w:r>
      <w:r>
        <w:rPr>
          <w:rStyle w:val="FootnoteReference"/>
          <w:noProof/>
        </w:rPr>
        <w:footnoteReference w:id="5"/>
      </w:r>
      <w:r>
        <w:rPr>
          <w:noProof/>
        </w:rPr>
        <w:t xml:space="preserve"> и е една от приоритетните инициативи, включени в Съвместната декларация отн</w:t>
      </w:r>
      <w:r>
        <w:rPr>
          <w:noProof/>
        </w:rPr>
        <w:t>осно законодателните приоритети на ЕС за 2017 г.</w:t>
      </w:r>
      <w:r>
        <w:rPr>
          <w:rStyle w:val="FootnoteReference"/>
          <w:noProof/>
        </w:rPr>
        <w:footnoteReference w:id="6"/>
      </w:r>
      <w:r>
        <w:rPr>
          <w:noProof/>
        </w:rPr>
        <w:t>, с която председателите на Парламента, на Съвета и на Комисията се ангажираха да рационализират усилията на институциите, за които отговарят, с цел осигуряването на бърз законодателен напредък по приоритетн</w:t>
      </w:r>
      <w:r>
        <w:rPr>
          <w:noProof/>
        </w:rPr>
        <w:t>и инициативи, за да бъдат постигнати резултати преди края на 2017 г.</w:t>
      </w:r>
    </w:p>
    <w:p w:rsidR="00222FCC" w:rsidRDefault="00FD122A">
      <w:pPr>
        <w:spacing w:after="0"/>
        <w:rPr>
          <w:noProof/>
          <w:szCs w:val="24"/>
        </w:rPr>
      </w:pPr>
      <w:r>
        <w:rPr>
          <w:noProof/>
        </w:rPr>
        <w:lastRenderedPageBreak/>
        <w:t>С настоящото предложение се осигурява правната рамка за Европейския корпус за солидарност, който да предложи на младите хора възможности за участие в дейности за солидарност, които ще доп</w:t>
      </w:r>
      <w:r>
        <w:rPr>
          <w:noProof/>
        </w:rPr>
        <w:t>ринесат за посрещането на неудовлетворени обществени потребности и същевременно ще подпомагат личното, образователното, социалното, гражданското и професионалното развитие на младите хора. При изготвянето на настоящото предложение Комисията взе предвид как</w:t>
      </w:r>
      <w:r>
        <w:rPr>
          <w:noProof/>
        </w:rPr>
        <w:t>то фактите и констатациите, събрани чрез предварителната оценка, приложена към предложението, така и мненията и предложенията, събрани в открития процес на широки консултации, както е описано в съответните раздели по-долу. Тази подготвителна работа спомогн</w:t>
      </w:r>
      <w:r>
        <w:rPr>
          <w:noProof/>
        </w:rPr>
        <w:t>а да се открият посочените по-долу несъответствия, които настоящото предложение цели да коригира.</w:t>
      </w:r>
    </w:p>
    <w:p w:rsidR="00222FCC" w:rsidRDefault="00FD122A">
      <w:pPr>
        <w:spacing w:after="0"/>
        <w:rPr>
          <w:noProof/>
          <w:szCs w:val="24"/>
        </w:rPr>
      </w:pPr>
      <w:r>
        <w:rPr>
          <w:noProof/>
        </w:rPr>
        <w:t>Много млади хора желаят да участват в дейности за солидарност, като същевременно в различни общности са налице множество неудовлетворени потребности, на които</w:t>
      </w:r>
      <w:r>
        <w:rPr>
          <w:noProof/>
        </w:rPr>
        <w:t xml:space="preserve"> може да се отговори по-добре благодарение на участието на младите хора в дейности за солидарност. Налице е неоползотворено търсене от страна на много организации на мотивирани млади хора, които да ги подкрепят в техните усилия; ако бъдат подкрепени, тези </w:t>
      </w:r>
      <w:r>
        <w:rPr>
          <w:noProof/>
        </w:rPr>
        <w:t xml:space="preserve">организации биха могли да предложат още повече на общностите. Съществуват обаче слабости в осигуряването на подходящо предлагане в отговор на дадено търсене, а също и пречки, свързани с наличието на ресурси, с осигуряването на качество, както и с различни </w:t>
      </w:r>
      <w:r>
        <w:rPr>
          <w:noProof/>
        </w:rPr>
        <w:t xml:space="preserve">правни аспекти. </w:t>
      </w:r>
    </w:p>
    <w:p w:rsidR="00222FCC" w:rsidRDefault="00FD122A">
      <w:pPr>
        <w:spacing w:after="0"/>
        <w:rPr>
          <w:noProof/>
          <w:szCs w:val="24"/>
        </w:rPr>
      </w:pPr>
      <w:r>
        <w:rPr>
          <w:noProof/>
        </w:rPr>
        <w:t>Главните предизвикателства в тази област могат да бъдат обобщени както следва:</w:t>
      </w:r>
    </w:p>
    <w:p w:rsidR="00222FCC" w:rsidRDefault="00FD122A">
      <w:pPr>
        <w:pStyle w:val="Tiret0"/>
        <w:numPr>
          <w:ilvl w:val="0"/>
          <w:numId w:val="32"/>
        </w:numPr>
        <w:rPr>
          <w:noProof/>
        </w:rPr>
      </w:pPr>
      <w:r>
        <w:rPr>
          <w:noProof/>
        </w:rPr>
        <w:t>През последните години нашето общество инвестира недостатъчно в даването на възможност на младите европейци да се ангажират ефективно с дейности за солидарност,</w:t>
      </w:r>
      <w:r>
        <w:rPr>
          <w:noProof/>
        </w:rPr>
        <w:t xml:space="preserve"> като доброволци или чрез професионални дейности. След световната финансова и икономическа криза икономиката на ЕС сега отново се стабилизира, но възстановяването все още е неравномерно в различните прослойки на обществото и в различните региони, а предизв</w:t>
      </w:r>
      <w:r>
        <w:rPr>
          <w:noProof/>
        </w:rPr>
        <w:t>икателството е особено голямо за по-младото поколение. Дейностите за солидарност имат конкретен потенциал да мобилизират младите хора за положителни каузи и да им помогнат да усвоят такива знания, умения и компетенции, които ще бъдат от основно значение за</w:t>
      </w:r>
      <w:r>
        <w:rPr>
          <w:noProof/>
        </w:rPr>
        <w:t xml:space="preserve"> тяхното личностно, социално-образователно, професионално и гражданско развитие. Това се отнася за всички млади хора, включително за онези, които са в неравностойно положение. Насърчаването за участието на тези млади хора в дейности за солидарност е специф</w:t>
      </w:r>
      <w:r>
        <w:rPr>
          <w:noProof/>
        </w:rPr>
        <w:t>ичен въпрос, който също е необходимо да се разгледа в този контекст;</w:t>
      </w:r>
    </w:p>
    <w:p w:rsidR="00222FCC" w:rsidRDefault="00FD122A">
      <w:pPr>
        <w:pStyle w:val="Tiret0"/>
        <w:rPr>
          <w:noProof/>
        </w:rPr>
      </w:pPr>
      <w:r>
        <w:rPr>
          <w:noProof/>
        </w:rPr>
        <w:t>Мерките за солидарност и постигането на социално, икономическо и гражданско сближаване изискват широка мрежа от динамични организации (частни и обществени, със стопанска и нестопанска цел</w:t>
      </w:r>
      <w:r>
        <w:rPr>
          <w:noProof/>
        </w:rPr>
        <w:t>). В този контекст е налице необходимост да се отговори по-добре нуждите на такива организации, особено на онези, които работят на най-близко до нуждаещите се лица равнище с общностите в най-неблагоприятно положение. За организациите, които създават и пред</w:t>
      </w:r>
      <w:r>
        <w:rPr>
          <w:noProof/>
        </w:rPr>
        <w:t xml:space="preserve">лагат назначения за участие в дейности за солидарност, е необходима подкрепа под формата на ресурси, осигуряване на </w:t>
      </w:r>
      <w:r>
        <w:rPr>
          <w:noProof/>
          <w:color w:val="000000"/>
        </w:rPr>
        <w:t>подходящо обучение и подготовка на доброволци, стажанти или служители, както и да бъдат активни в европейски контекст. На организациите са н</w:t>
      </w:r>
      <w:r>
        <w:rPr>
          <w:noProof/>
          <w:color w:val="000000"/>
        </w:rPr>
        <w:t>еобходими също така ясни и прости правила;</w:t>
      </w:r>
    </w:p>
    <w:p w:rsidR="00222FCC" w:rsidRDefault="00FD122A">
      <w:pPr>
        <w:pStyle w:val="Tiret0"/>
        <w:rPr>
          <w:noProof/>
        </w:rPr>
      </w:pPr>
      <w:r>
        <w:rPr>
          <w:noProof/>
        </w:rPr>
        <w:t xml:space="preserve">Възможностите за участие в дейности за солидарност </w:t>
      </w:r>
      <w:r>
        <w:rPr>
          <w:noProof/>
          <w:color w:val="000000"/>
        </w:rPr>
        <w:t>, както на професионално равнище, така и на равнище доброволчество, са доста разпокъсани в рамките на ЕС. Там където са налице възможности, доста често липсва осв</w:t>
      </w:r>
      <w:r>
        <w:rPr>
          <w:noProof/>
          <w:color w:val="000000"/>
        </w:rPr>
        <w:t xml:space="preserve">едоменост за </w:t>
      </w:r>
      <w:r>
        <w:rPr>
          <w:noProof/>
          <w:color w:val="000000"/>
        </w:rPr>
        <w:lastRenderedPageBreak/>
        <w:t xml:space="preserve">тях. Осен това разпокъсаността често води до слабости по отношение на разбирането, документирането и валидирането на наученото от младите хора по време на участието им в дадена дейност за солидарност. </w:t>
      </w:r>
    </w:p>
    <w:p w:rsidR="00222FCC" w:rsidRDefault="00FD122A">
      <w:pPr>
        <w:spacing w:after="0"/>
        <w:rPr>
          <w:noProof/>
          <w:szCs w:val="24"/>
        </w:rPr>
      </w:pPr>
      <w:r>
        <w:rPr>
          <w:noProof/>
        </w:rPr>
        <w:t>При липсата на мерки, които да обединят о</w:t>
      </w:r>
      <w:r>
        <w:rPr>
          <w:noProof/>
        </w:rPr>
        <w:t>рганизациите и младите хора около дейностите за солидарност, съществува риск да не бъде оползотворен наличния съществен потенциал за дейности за солидарност, което води до ненужна загуба на благосъстояние за организациите, за младите хора и за обществото к</w:t>
      </w:r>
      <w:r>
        <w:rPr>
          <w:noProof/>
        </w:rPr>
        <w:t>ато цяло.</w:t>
      </w:r>
    </w:p>
    <w:p w:rsidR="00222FCC" w:rsidRDefault="00FD122A">
      <w:pPr>
        <w:spacing w:after="0"/>
        <w:rPr>
          <w:noProof/>
        </w:rPr>
      </w:pPr>
      <w:r>
        <w:rPr>
          <w:noProof/>
        </w:rPr>
        <w:t>В този контекст Европейският корпус за солидарност има за цел да повиши ангажираността на младите хора и на организациите в дейности за солидарност, които са с високо качество и са достъпни за всички млади хора, като средство да се допринесе за з</w:t>
      </w:r>
      <w:r>
        <w:rPr>
          <w:noProof/>
        </w:rPr>
        <w:t>асилване на сближаването и солидарността в Европа, да се подпомагат общностите и да се посрещнат неудовлетворени обществени потребности. За постигане на тази обща цел Европейският корпус за солидарност ще осигури за младите хора леснодостъпни възможности д</w:t>
      </w:r>
      <w:r>
        <w:rPr>
          <w:noProof/>
        </w:rPr>
        <w:t>а участват в доброволческа дейност, в стажове или работа в области, свързани със солидарността, както и да създават и разработват проекти за солидарност по собствена инициатива, което също ще допринесе за усъвършенстване на уменията и компетенциите им с це</w:t>
      </w:r>
      <w:r>
        <w:rPr>
          <w:noProof/>
        </w:rPr>
        <w:t>л тяхното социално и професионално развитие, както и пригодността им за заетост. Европейският корпус за солидарност ще подпомага също и дейностите за изграждане на мрежи за участниците в корпуса и за организациите, за да насърчи изграждането на култура, св</w:t>
      </w:r>
      <w:r>
        <w:rPr>
          <w:noProof/>
        </w:rPr>
        <w:t>ързана с Европейския корпус за солидарност, и на чувство за принадлежност към една по-широка общност, ангажирана с дейности за солидарност, както и обмена на полезни практики и опит. Европейският корпус за солидарност освен това ще има за цел да гарантира,</w:t>
      </w:r>
      <w:r>
        <w:rPr>
          <w:noProof/>
        </w:rPr>
        <w:t xml:space="preserve"> че дейностите за солидарност, предлагани на младите участници</w:t>
      </w:r>
      <w:r>
        <w:rPr>
          <w:rStyle w:val="FootnoteReference"/>
          <w:noProof/>
        </w:rPr>
        <w:footnoteReference w:id="7"/>
      </w:r>
      <w:r>
        <w:rPr>
          <w:noProof/>
        </w:rPr>
        <w:t>, допринасят за преодоляване на конкретни обществени предизвикателства и за укрепване на общностите, че са с високо качество, както и че учебните резултати, придобити по време на участието на м</w:t>
      </w:r>
      <w:r>
        <w:rPr>
          <w:noProof/>
        </w:rPr>
        <w:t>ладите хора в тази дейности, да бъдат валидирани по подходящ начин.</w:t>
      </w:r>
    </w:p>
    <w:p w:rsidR="00222FCC" w:rsidRDefault="00FD122A">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rsidR="00222FCC" w:rsidRDefault="00FD122A">
      <w:pPr>
        <w:pBdr>
          <w:top w:val="nil"/>
          <w:left w:val="nil"/>
          <w:bottom w:val="nil"/>
          <w:right w:val="nil"/>
          <w:between w:val="nil"/>
          <w:bar w:val="nil"/>
        </w:pBdr>
        <w:spacing w:before="0" w:after="240"/>
        <w:rPr>
          <w:noProof/>
        </w:rPr>
      </w:pPr>
      <w:r>
        <w:rPr>
          <w:noProof/>
        </w:rPr>
        <w:t>Настоящото предложение е част от по-широк кръг от инициативи, наречен „Инвестиране в младежта на Европа“, който стартира на 7 декември 2016 г. Той продължава усилията за въвеждането в цяла Европа на всички ключови политики на ЕС за младежта, по-специално Е</w:t>
      </w:r>
      <w:r>
        <w:rPr>
          <w:noProof/>
        </w:rPr>
        <w:t>вропейската стратегия за младежта, схемата „Гаранция за младежта“, и Новата европейска програма за умения. Всички те обхващат широк кръг действия в подкрепа на младите хора — от неформално обучение и доброволчество до професионално обучение и заетост. Целт</w:t>
      </w:r>
      <w:r>
        <w:rPr>
          <w:noProof/>
        </w:rPr>
        <w:t xml:space="preserve">а е да се подобрят възможностите за младите хора чрез значително повишаване на тяхното качество и очакваните крайни продукти. </w:t>
      </w:r>
    </w:p>
    <w:p w:rsidR="00222FCC" w:rsidRDefault="00FD122A">
      <w:pPr>
        <w:pBdr>
          <w:top w:val="nil"/>
          <w:left w:val="nil"/>
          <w:bottom w:val="nil"/>
          <w:right w:val="nil"/>
          <w:between w:val="nil"/>
          <w:bar w:val="nil"/>
        </w:pBdr>
        <w:spacing w:before="0" w:after="240"/>
        <w:rPr>
          <w:noProof/>
          <w:szCs w:val="24"/>
        </w:rPr>
      </w:pPr>
      <w:r>
        <w:rPr>
          <w:noProof/>
        </w:rPr>
        <w:t>Европейският корпус за солидарност ще се ползва от богатите и дългогодишни традиции и опит на държавите членки в дейности в полза</w:t>
      </w:r>
      <w:r>
        <w:rPr>
          <w:noProof/>
        </w:rPr>
        <w:t xml:space="preserve"> на обществения интерес, например чрез доброволчество. Някои държави членки осъществяват национални програми за гражданска служба и предлагат на младите хора възможност да участват, други подпомагат дейностите, предприети от гражданското общество. </w:t>
      </w:r>
    </w:p>
    <w:p w:rsidR="00222FCC" w:rsidRDefault="00FD122A">
      <w:pPr>
        <w:pBdr>
          <w:top w:val="nil"/>
          <w:left w:val="nil"/>
          <w:bottom w:val="nil"/>
          <w:right w:val="nil"/>
          <w:between w:val="nil"/>
          <w:bar w:val="nil"/>
        </w:pBdr>
        <w:spacing w:before="0" w:after="240"/>
        <w:rPr>
          <w:noProof/>
          <w:szCs w:val="24"/>
        </w:rPr>
      </w:pPr>
      <w:r>
        <w:rPr>
          <w:noProof/>
        </w:rPr>
        <w:t>На равн</w:t>
      </w:r>
      <w:r>
        <w:rPr>
          <w:noProof/>
        </w:rPr>
        <w:t>ище ЕС от двадесет години насам Европейската доброволческа служба (ЕДС) предоставя на младите хора възможности за участие в доброволческа дейност, а политики и програми като например „Гаранция за младежта“ и „Твоята първа работа с EURES“ помагат на младите</w:t>
      </w:r>
      <w:r>
        <w:rPr>
          <w:noProof/>
        </w:rPr>
        <w:t xml:space="preserve"> хора да започнат стажове или работа. Европейският корпус за солидарност ще се основава на силните страни и опита на тези инициативи и така ще се възползва от една стабилна вече съществуваща основа, като я разширява, за да предлага нови възможности, по-шир</w:t>
      </w:r>
      <w:r>
        <w:rPr>
          <w:noProof/>
        </w:rPr>
        <w:t>ока видимост и по-голямо въздействие. Европейският корпус за солидарност ще предлага нови възможности, които не се подпомагат по сегашните програми, като същевременно опрости достъпа до тях както за заинтересовани млади хора, така и за организации. Чрез св</w:t>
      </w:r>
      <w:r>
        <w:rPr>
          <w:noProof/>
        </w:rPr>
        <w:t>оя портал Европейският корпус за солидарност ще предлага обособен леснодостъпен вход и ще има за цел да достигне до възможно най-широк кръг организации и до участващите млади хора. Освен това корпусът ще разработва и усъвършенства обучение, което ще се пре</w:t>
      </w:r>
      <w:r>
        <w:rPr>
          <w:noProof/>
        </w:rPr>
        <w:t xml:space="preserve">длага преди назначение, подходящо подпомагане и също така валидиране на учебните резултати, придобити по време на назначението. </w:t>
      </w:r>
    </w:p>
    <w:p w:rsidR="00222FCC" w:rsidRDefault="00FD122A">
      <w:pPr>
        <w:pBdr>
          <w:top w:val="nil"/>
          <w:left w:val="nil"/>
          <w:bottom w:val="nil"/>
          <w:right w:val="nil"/>
          <w:between w:val="nil"/>
          <w:bar w:val="nil"/>
        </w:pBdr>
        <w:spacing w:before="0" w:after="240"/>
        <w:rPr>
          <w:noProof/>
          <w:szCs w:val="24"/>
        </w:rPr>
      </w:pPr>
      <w:r>
        <w:rPr>
          <w:noProof/>
        </w:rPr>
        <w:t>За да се осигури приемственост на доброволческите дейности, подкрепяни на равнище ЕС, онези дейности, които са били подпомагани</w:t>
      </w:r>
      <w:r>
        <w:rPr>
          <w:noProof/>
        </w:rPr>
        <w:t xml:space="preserve"> от Европейската доброволческа служба и са в географския обхват на Европейския корпус за солидарност, ще се подкрепят от корпуса под формата на доброволчески назначения в чужбина. Успоредно с това, подпомагането на останалите дейности на Европейската добро</w:t>
      </w:r>
      <w:r>
        <w:rPr>
          <w:noProof/>
        </w:rPr>
        <w:t>волческа служба, които са извън географския обхват на Европейския корпус за солидарност, ще продължи по програмата, създадена с Регламент (ЕС) № 1288/2013</w:t>
      </w:r>
      <w:r>
        <w:rPr>
          <w:rStyle w:val="FootnoteReference"/>
          <w:noProof/>
        </w:rPr>
        <w:footnoteReference w:id="8"/>
      </w:r>
      <w:r>
        <w:rPr>
          <w:noProof/>
        </w:rPr>
        <w:t>. По отношение на тълкуването на съответното законодателство на равнище ЕС предложението включва разп</w:t>
      </w:r>
      <w:r>
        <w:rPr>
          <w:noProof/>
        </w:rPr>
        <w:t>оредби, които да гарантират, че както доброволческите назначения в чужбина на Европейския корпус за солидарност, така и доброволческите дейности, чието подпомагане ще продължи съгласно Регламент (ЕС) № 1288/2013, ще се считат равностойни на дейностите, изп</w:t>
      </w:r>
      <w:r>
        <w:rPr>
          <w:noProof/>
        </w:rPr>
        <w:t>ълнявани от Европейската доброволческа служба.</w:t>
      </w:r>
    </w:p>
    <w:p w:rsidR="00222FCC" w:rsidRDefault="00FD122A">
      <w:pPr>
        <w:pBdr>
          <w:top w:val="nil"/>
          <w:left w:val="nil"/>
          <w:bottom w:val="nil"/>
          <w:right w:val="nil"/>
          <w:between w:val="nil"/>
          <w:bar w:val="nil"/>
        </w:pBdr>
        <w:spacing w:before="0" w:after="240"/>
        <w:rPr>
          <w:noProof/>
          <w:szCs w:val="24"/>
        </w:rPr>
      </w:pPr>
      <w:r>
        <w:rPr>
          <w:noProof/>
        </w:rPr>
        <w:t>За да се осигури ефикасно и ефективно изпълнение, Европейският корпус за солидарност ще използва в максимална степен вече въведените и съществуващи договорености за управление. Това ще позволи усилията да се н</w:t>
      </w:r>
      <w:r>
        <w:rPr>
          <w:noProof/>
        </w:rPr>
        <w:t>асочат към постигане на максимални резултати, като в същото време се сведе до минимум административната тежест. Поради това изпълнението на Европейския корпус за солидарност ще бъде възложено на съществуващите структури, т.е. Европейската комисия, също чре</w:t>
      </w:r>
      <w:r>
        <w:rPr>
          <w:noProof/>
        </w:rPr>
        <w:t>з нейната Изпълнителна агенция за образование, аудиовизия и култура и чрез националните агенции, на които е възложено управлението на действията, посочени в глава „Младеж“ на Регламент (ЕС) № 1288/2013 за създаване на програмата „Еразъм+“.</w:t>
      </w:r>
    </w:p>
    <w:p w:rsidR="00222FCC" w:rsidRDefault="00FD122A">
      <w:pPr>
        <w:pStyle w:val="ManualHeading2"/>
        <w:rPr>
          <w:rFonts w:eastAsia="Arial Unicode MS"/>
          <w:noProof/>
        </w:rPr>
      </w:pPr>
      <w:r>
        <w:rPr>
          <w:noProof/>
        </w:rPr>
        <w:t>•</w:t>
      </w:r>
      <w:r>
        <w:rPr>
          <w:noProof/>
        </w:rPr>
        <w:tab/>
        <w:t xml:space="preserve">Съгласуваност </w:t>
      </w:r>
      <w:r>
        <w:rPr>
          <w:noProof/>
        </w:rPr>
        <w:t>с другите политики на Съюза</w:t>
      </w:r>
    </w:p>
    <w:p w:rsidR="00222FCC" w:rsidRDefault="00FD122A">
      <w:pPr>
        <w:pBdr>
          <w:top w:val="nil"/>
          <w:left w:val="nil"/>
          <w:bottom w:val="nil"/>
          <w:right w:val="nil"/>
          <w:between w:val="nil"/>
          <w:bar w:val="nil"/>
        </w:pBdr>
        <w:spacing w:before="0" w:after="240"/>
        <w:rPr>
          <w:noProof/>
        </w:rPr>
      </w:pPr>
      <w:r>
        <w:rPr>
          <w:noProof/>
        </w:rPr>
        <w:t>Дейностите на Европейския корпус за солидарност ще бъдат последователни и допълващи се с редица съответни политики и програми на ЕС, по-специално тези, свързани с образование и обучение, заетост, равенство между половете, предпр</w:t>
      </w:r>
      <w:r>
        <w:rPr>
          <w:noProof/>
        </w:rPr>
        <w:t>иемачество (по-специално социално предприемачество), гражданство</w:t>
      </w:r>
      <w:r>
        <w:rPr>
          <w:rStyle w:val="FootnoteReference"/>
          <w:noProof/>
        </w:rPr>
        <w:footnoteReference w:id="9"/>
      </w:r>
      <w:r>
        <w:rPr>
          <w:noProof/>
        </w:rPr>
        <w:t xml:space="preserve"> и демократично участие, околна среда и опазване на природата, действия в областта на климата, предотвратяване на бедствия, готовност при бедствия и възстановяване след тях; селско стопанство</w:t>
      </w:r>
      <w:r>
        <w:rPr>
          <w:noProof/>
        </w:rPr>
        <w:t xml:space="preserve"> и развитие на селските райони; осигуряване на хранителни и нехранителни продукти; здраве и благосъстояние; творчество и култура; физическо възпитание и спорт; социално подпомагане и закрила; приемане и интегриране на граждани на трети държави; териториалн</w:t>
      </w:r>
      <w:r>
        <w:rPr>
          <w:noProof/>
        </w:rPr>
        <w:t xml:space="preserve">о сътрудничество и сближаване, като този списък не е изчерпателен. </w:t>
      </w:r>
    </w:p>
    <w:p w:rsidR="00222FCC" w:rsidRDefault="00FD122A">
      <w:pPr>
        <w:rPr>
          <w:noProof/>
          <w:szCs w:val="24"/>
        </w:rPr>
      </w:pPr>
      <w:r>
        <w:rPr>
          <w:noProof/>
        </w:rPr>
        <w:t>По време на първия етап на Европейския корпус за солидарност, стартиран през декември 2016 г., бе поставено началото на осем различни програми на ЕС, предлагащи възможности за доброволчест</w:t>
      </w:r>
      <w:r>
        <w:rPr>
          <w:noProof/>
        </w:rPr>
        <w:t>во, стаж или работа за младите хора в целия ЕС. В рамките на тези дейности, осъществявани както преди, така и след влизането в сила на предложения регламент, ще продължат да се прилагат правилата и условията, определени от съответните програми на ЕС, които</w:t>
      </w:r>
      <w:r>
        <w:rPr>
          <w:noProof/>
        </w:rPr>
        <w:t xml:space="preserve"> са ги финансирали през първия етап на Европейския корпус за солидарност.</w:t>
      </w:r>
    </w:p>
    <w:p w:rsidR="00222FCC" w:rsidRDefault="00FD122A">
      <w:pPr>
        <w:pBdr>
          <w:top w:val="nil"/>
          <w:left w:val="nil"/>
          <w:bottom w:val="nil"/>
          <w:right w:val="nil"/>
          <w:between w:val="nil"/>
          <w:bar w:val="nil"/>
        </w:pBdr>
        <w:spacing w:before="0" w:after="240"/>
        <w:rPr>
          <w:noProof/>
        </w:rPr>
      </w:pPr>
      <w:r>
        <w:rPr>
          <w:noProof/>
        </w:rPr>
        <w:t>През втория етап, който започва с влизането в сила на предложения регламент, няколко програми ще допринасят за Европейския корпус за солидарност. Някои от тях</w:t>
      </w:r>
      <w:r>
        <w:rPr>
          <w:rStyle w:val="FootnoteReference"/>
          <w:noProof/>
        </w:rPr>
        <w:footnoteReference w:id="10"/>
      </w:r>
      <w:r>
        <w:rPr>
          <w:noProof/>
        </w:rPr>
        <w:t xml:space="preserve"> ще го подпомагат чрез </w:t>
      </w:r>
      <w:r>
        <w:rPr>
          <w:noProof/>
        </w:rPr>
        <w:t>вноски във финансовия пакет на Европейския корпус за солидарност (както е обяснено по-долу в раздел 4); други</w:t>
      </w:r>
      <w:r>
        <w:rPr>
          <w:rStyle w:val="FootnoteReference"/>
          <w:noProof/>
        </w:rPr>
        <w:footnoteReference w:id="11"/>
      </w:r>
      <w:r>
        <w:rPr>
          <w:noProof/>
        </w:rPr>
        <w:t xml:space="preserve"> може да допринасят за постигане на целите на Европейския корпус за солидарност, като подкрепят дейностите, които са в неговия обхват. Този принос</w:t>
      </w:r>
      <w:r>
        <w:rPr>
          <w:noProof/>
        </w:rPr>
        <w:t xml:space="preserve"> ще се финансира съгласно съответните основни актове на въпросните програми.</w:t>
      </w:r>
    </w:p>
    <w:p w:rsidR="00222FCC" w:rsidRDefault="00FD122A">
      <w:pPr>
        <w:pBdr>
          <w:top w:val="nil"/>
          <w:left w:val="nil"/>
          <w:bottom w:val="nil"/>
          <w:right w:val="nil"/>
          <w:between w:val="nil"/>
          <w:bar w:val="nil"/>
        </w:pBdr>
        <w:spacing w:before="0" w:after="240"/>
        <w:rPr>
          <w:rFonts w:eastAsia="Arial Unicode MS"/>
          <w:b/>
          <w:noProof/>
          <w:u w:color="000000"/>
          <w:bdr w:val="nil"/>
        </w:rPr>
      </w:pPr>
      <w:r>
        <w:rPr>
          <w:b/>
          <w:noProof/>
          <w:u w:color="000000"/>
          <w:bdr w:val="nil"/>
        </w:rPr>
        <w:t>2.</w:t>
      </w:r>
      <w:r>
        <w:rPr>
          <w:noProof/>
        </w:rPr>
        <w:tab/>
      </w:r>
      <w:r>
        <w:rPr>
          <w:b/>
          <w:noProof/>
          <w:u w:color="000000"/>
          <w:bdr w:val="nil"/>
        </w:rPr>
        <w:t>ПРАВНО ОСНОВАНИЕ, СУБСИДИАРНОСТ И ПРОПОРЦИОНАЛНОСТ</w:t>
      </w:r>
    </w:p>
    <w:p w:rsidR="00222FCC" w:rsidRDefault="00FD122A">
      <w:pPr>
        <w:pStyle w:val="ManualHeading2"/>
        <w:rPr>
          <w:rFonts w:eastAsia="Arial Unicode MS"/>
          <w:noProof/>
          <w:u w:color="000000"/>
          <w:bdr w:val="nil"/>
        </w:rPr>
      </w:pPr>
      <w:r>
        <w:rPr>
          <w:noProof/>
        </w:rPr>
        <w:t>•</w:t>
      </w:r>
      <w:r>
        <w:rPr>
          <w:noProof/>
        </w:rPr>
        <w:tab/>
        <w:t>Правно основание</w:t>
      </w:r>
    </w:p>
    <w:p w:rsidR="00222FCC" w:rsidRDefault="00FD122A">
      <w:pPr>
        <w:pBdr>
          <w:top w:val="nil"/>
          <w:left w:val="nil"/>
          <w:bottom w:val="nil"/>
          <w:right w:val="nil"/>
          <w:between w:val="nil"/>
          <w:bar w:val="nil"/>
        </w:pBdr>
        <w:spacing w:before="0" w:after="240"/>
        <w:rPr>
          <w:noProof/>
        </w:rPr>
      </w:pPr>
      <w:r>
        <w:rPr>
          <w:noProof/>
        </w:rPr>
        <w:t>Главната цел на настоящото предложение е да се осигурят възможности за младите хора да участват в дейности</w:t>
      </w:r>
      <w:r>
        <w:rPr>
          <w:noProof/>
        </w:rPr>
        <w:t xml:space="preserve"> за солидарност, включително доброволческа дейност, стажове, професионална работа, както и в проекти, разработени от млади хора по тяхна собствена инициатива, които проекти ще имат важен компонент на придобиване на познания в полза на личностното, социално</w:t>
      </w:r>
      <w:r>
        <w:rPr>
          <w:noProof/>
        </w:rPr>
        <w:t>-образователното и професионалното развитие на младите хора. В съответствие с това съдържанието на настоящото предложение е насочено към насърчаване на мобилността, активното участие, неформалното образование и професионалното обучение на младите хора. Тов</w:t>
      </w:r>
      <w:r>
        <w:rPr>
          <w:noProof/>
        </w:rPr>
        <w:t xml:space="preserve">а ще допринесе също и за подобряване на тяхната пригодност за заетост и улесняване на прехода към редовна заетост. </w:t>
      </w:r>
    </w:p>
    <w:p w:rsidR="00222FCC" w:rsidRDefault="00FD122A">
      <w:pPr>
        <w:pBdr>
          <w:top w:val="nil"/>
          <w:left w:val="nil"/>
          <w:bottom w:val="nil"/>
          <w:right w:val="nil"/>
          <w:between w:val="nil"/>
          <w:bar w:val="nil"/>
        </w:pBdr>
        <w:spacing w:before="0" w:after="240"/>
        <w:rPr>
          <w:rFonts w:eastAsia="SimSun"/>
          <w:noProof/>
        </w:rPr>
      </w:pPr>
      <w:r>
        <w:rPr>
          <w:noProof/>
        </w:rPr>
        <w:t>Предвид това предложението се основава на член 165, параграф 4 и член 166, параграф 4 от Договора за функционирането на Европейския съюз. Чл</w:t>
      </w:r>
      <w:r>
        <w:rPr>
          <w:noProof/>
        </w:rPr>
        <w:t>ен 165, параграф 4 дава възможност за действия на Съюза, насочени към „</w:t>
      </w:r>
      <w:r>
        <w:rPr>
          <w:i/>
          <w:noProof/>
        </w:rPr>
        <w:t>насърчаване на развитието на младежкия обмен (...) и насърчаване на участието на младите хора в демократичния живот на Европа</w:t>
      </w:r>
      <w:r>
        <w:rPr>
          <w:noProof/>
        </w:rPr>
        <w:t>“. Действията на Съюза, основани на член 166, параграф 4 пре</w:t>
      </w:r>
      <w:r>
        <w:rPr>
          <w:noProof/>
        </w:rPr>
        <w:t>дставляват подходящо правно основание за акт като настоящото предложение, което има за цел да „</w:t>
      </w:r>
      <w:r>
        <w:rPr>
          <w:i/>
          <w:noProof/>
        </w:rPr>
        <w:t>подобри първоначалното и продължаващо професионално обучение с оглед подобряване на професионалната интеграция и реинтеграция на пазара на труда</w:t>
      </w:r>
      <w:r>
        <w:rPr>
          <w:noProof/>
        </w:rPr>
        <w:t>“, както и да „</w:t>
      </w:r>
      <w:r>
        <w:rPr>
          <w:i/>
          <w:noProof/>
        </w:rPr>
        <w:t>ул</w:t>
      </w:r>
      <w:r>
        <w:rPr>
          <w:i/>
          <w:noProof/>
        </w:rPr>
        <w:t>есни достъпа до професионално обучение и да насърчава мобилността на обучаващите и обучаваните, и в частност на младите хора</w:t>
      </w:r>
      <w:r>
        <w:rPr>
          <w:noProof/>
        </w:rPr>
        <w:t xml:space="preserve">“. </w:t>
      </w:r>
    </w:p>
    <w:p w:rsidR="00222FCC" w:rsidRDefault="00222FCC">
      <w:pPr>
        <w:pBdr>
          <w:top w:val="nil"/>
          <w:left w:val="nil"/>
          <w:bottom w:val="nil"/>
          <w:right w:val="nil"/>
          <w:between w:val="nil"/>
          <w:bar w:val="nil"/>
        </w:pBdr>
        <w:spacing w:before="0" w:after="240"/>
        <w:rPr>
          <w:noProof/>
        </w:rPr>
      </w:pPr>
    </w:p>
    <w:p w:rsidR="00222FCC" w:rsidRDefault="00FD122A">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rsidR="00222FCC" w:rsidRDefault="00FD122A">
      <w:pPr>
        <w:autoSpaceDE w:val="0"/>
        <w:autoSpaceDN w:val="0"/>
        <w:adjustRightInd w:val="0"/>
        <w:rPr>
          <w:noProof/>
          <w:szCs w:val="24"/>
        </w:rPr>
      </w:pPr>
      <w:r>
        <w:rPr>
          <w:noProof/>
        </w:rPr>
        <w:t>В светлината на европейския мащаб на предложените цели — мобилизиране на мл</w:t>
      </w:r>
      <w:r>
        <w:rPr>
          <w:noProof/>
        </w:rPr>
        <w:t>ади хора за каузи на солидарност навсякъде в Европейския съюз — е подходящо действие на равнище ЕС. ЕС има важна роля за подкрепата на общоевропейския подход към солидарността. Действията на ЕС чрез Европейския корпус за солидарност няма да заместят подобн</w:t>
      </w:r>
      <w:r>
        <w:rPr>
          <w:noProof/>
        </w:rPr>
        <w:t>и действия на държавите членки, а ще ги допълват и подкрепят при пълно спазване на принципа на субсидиарност. Макар че във всички държави членки съществуват традиции за управление на програми и инструменти, подпомагащи дейности, които са в интерес на общес</w:t>
      </w:r>
      <w:r>
        <w:rPr>
          <w:noProof/>
        </w:rPr>
        <w:t xml:space="preserve">твото, по-специално чрез доброволчeство, тези програми и инструменти са доста разнообразни, като някои държави предпочитат намеса на държавата, а други са предоставили водещата роля на гражданското общество. Съществуват и различни концепции и допълнителни </w:t>
      </w:r>
      <w:r>
        <w:rPr>
          <w:noProof/>
        </w:rPr>
        <w:t>аспекти на дейностите за солидарност и доброволчеството, а видовете дейности са различни по съдържание и продължителност. Освен това са налице доста различни разбирания по отношение на връзката на социалната закрила с доброволчеството, както и различни сте</w:t>
      </w:r>
      <w:r>
        <w:rPr>
          <w:noProof/>
        </w:rPr>
        <w:t xml:space="preserve">пени по отношение на правния статут, учебния процес и признаването. Всичко това води до разпокъсаност на равнище ЕС, което означава, че младите хора в ЕС имат неравен достъп до предлаганите възможности. </w:t>
      </w:r>
    </w:p>
    <w:p w:rsidR="00222FCC" w:rsidRDefault="00FD122A">
      <w:pPr>
        <w:spacing w:before="60" w:after="60"/>
        <w:rPr>
          <w:noProof/>
          <w:szCs w:val="24"/>
        </w:rPr>
      </w:pPr>
      <w:r>
        <w:rPr>
          <w:noProof/>
        </w:rPr>
        <w:t>Както е видно от предварителната оценка, приложена к</w:t>
      </w:r>
      <w:r>
        <w:rPr>
          <w:noProof/>
        </w:rPr>
        <w:t>ъм това предложение, действията на ЕС чрез Европейския корпус за солидарност ще спомогнат да се отговори на необходимостта от преодоляване на тази разпокъсаност. Същевременно тези действия ще са удобен случай да се използват поуките от разнообразния опит в</w:t>
      </w:r>
      <w:r>
        <w:rPr>
          <w:noProof/>
        </w:rPr>
        <w:t xml:space="preserve"> различните държави членки, като се подпомогне доброволчеството в онези държави членки, където днес то не е широко разпространено, както предлагат заинтересованите страни, с които се консултирахме при подготовката на това предложение. Европейският корпус з</w:t>
      </w:r>
      <w:r>
        <w:rPr>
          <w:noProof/>
        </w:rPr>
        <w:t xml:space="preserve">а солидарност ще допълва съществуващите публични и частни политики, програми и дейности както на национално, така и на европейско равнище. Прилагайки няколко гаранции за качество като например Хартата на Европейския корпус за солидарност, знак за качество </w:t>
      </w:r>
      <w:r>
        <w:rPr>
          <w:noProof/>
        </w:rPr>
        <w:t>за участващите организации и принципите, очертани в Рамката за качество на стажовете, Европейският корпус за солидарност може да спомогне за повишаване на качеството на различните назначения, предлагани на младите хора в рамките на ЕС, и за валидиране на у</w:t>
      </w:r>
      <w:r>
        <w:rPr>
          <w:noProof/>
        </w:rPr>
        <w:t xml:space="preserve">чебните резултати, придобити от тях. </w:t>
      </w:r>
    </w:p>
    <w:p w:rsidR="00222FCC" w:rsidRDefault="00FD122A">
      <w:pPr>
        <w:spacing w:before="60" w:after="60"/>
        <w:rPr>
          <w:noProof/>
        </w:rPr>
      </w:pPr>
      <w:r>
        <w:rPr>
          <w:noProof/>
        </w:rPr>
        <w:t>Освен това Европейският корпус за солидарност ще предлага на младите хора от целия ЕС единствен входен пункт към висококачествени доброволчески и професионални назначения за участие в дейности за солидарност, докато по</w:t>
      </w:r>
      <w:r>
        <w:rPr>
          <w:noProof/>
        </w:rPr>
        <w:t>настоящем такива назначения са достъпни чрез множество схеми. Затова корпусът ще осигури за всички заинтересовани млади хора от ЕС равни възможности за присъединяване и по-лесен достъп до по-широк кръг разнообразни дейности. Обединяването на различните вид</w:t>
      </w:r>
      <w:r>
        <w:rPr>
          <w:noProof/>
        </w:rPr>
        <w:t>ове назначения под един знак може да допринесе и за повишаване на осведомеността и видимостта на наличните възможности за младите хора.</w:t>
      </w:r>
    </w:p>
    <w:p w:rsidR="00222FCC" w:rsidRDefault="00FD122A">
      <w:pPr>
        <w:pBdr>
          <w:top w:val="nil"/>
          <w:left w:val="nil"/>
          <w:bottom w:val="nil"/>
          <w:right w:val="nil"/>
          <w:between w:val="nil"/>
          <w:bar w:val="nil"/>
        </w:pBdr>
        <w:spacing w:before="0" w:after="240"/>
        <w:rPr>
          <w:noProof/>
          <w:szCs w:val="24"/>
        </w:rPr>
      </w:pPr>
      <w:r>
        <w:rPr>
          <w:noProof/>
        </w:rPr>
        <w:t>Европейският корпус за солидарност ще предлага както назначения в държави извън държавата на местопребиваване на даден д</w:t>
      </w:r>
      <w:r>
        <w:rPr>
          <w:noProof/>
        </w:rPr>
        <w:t>оброволец (назначения в чужбина), така и такива, които могат да се поемат в държавата на местопребиваване на участника (назначения в държавата на местопребиваване). Тази гъвкавост е в съответствие с предложенията, получени от заинтересованите страни, с кои</w:t>
      </w:r>
      <w:r>
        <w:rPr>
          <w:noProof/>
        </w:rPr>
        <w:t xml:space="preserve">то въпросът бе обсъждан. По отношение на назначенията в чужбина, особено предвид разпокъсаността в структурите и програмите, предлагащи доброволчество и стажове, и предвид разнообразните разбирания и концепции в сектора, предлагащ дейности за солидарност, </w:t>
      </w:r>
      <w:r>
        <w:rPr>
          <w:noProof/>
        </w:rPr>
        <w:t>действията на държавите членки не могат да заменят действията на ЕС. По отношение на назначенията в държавата на местопребиваване на участника може да се очаква Европейският корпус за солидарност да действа иновативно, като същевременно съдейства за справя</w:t>
      </w:r>
      <w:r>
        <w:rPr>
          <w:noProof/>
        </w:rPr>
        <w:t xml:space="preserve">не с местни или национални предизвикателства от гледна точка на по-широка европейска перспектива. По-специално действието на равнище ЕС може да спомогне за преодоляване на разпокъсаността в предлагането на назначения и да осигури включване за всички млади </w:t>
      </w:r>
      <w:r>
        <w:rPr>
          <w:noProof/>
        </w:rPr>
        <w:t>хора, включително и онези, които срещат пречки за участието си в международни дейности. Такова действие може също така да предложи европейски контекст и да помогне за намирането на европейски решения на конкретни предизвикателства, излизащи извън националн</w:t>
      </w:r>
      <w:r>
        <w:rPr>
          <w:noProof/>
        </w:rPr>
        <w:t>ите граници.</w:t>
      </w:r>
    </w:p>
    <w:p w:rsidR="00222FCC" w:rsidRDefault="00FD122A">
      <w:pPr>
        <w:pBdr>
          <w:top w:val="nil"/>
          <w:left w:val="nil"/>
          <w:bottom w:val="nil"/>
          <w:right w:val="nil"/>
          <w:between w:val="nil"/>
          <w:bar w:val="nil"/>
        </w:pBdr>
        <w:spacing w:before="0" w:after="240"/>
        <w:rPr>
          <w:noProof/>
          <w:szCs w:val="24"/>
        </w:rPr>
      </w:pPr>
      <w:r>
        <w:rPr>
          <w:noProof/>
        </w:rPr>
        <w:t>Накрая, но не на последно място, използването на съществуващите структури, доказали своята ефективност и ефикасност, ще осигури ефективно и ефикасно изпълнение на Европейския корпус за солидарност, както и полезни взаимодействия и взаимно допъ</w:t>
      </w:r>
      <w:r>
        <w:rPr>
          <w:noProof/>
        </w:rPr>
        <w:t xml:space="preserve">лване с дейностите на държавите членки в полза на младежта. </w:t>
      </w:r>
    </w:p>
    <w:p w:rsidR="00222FCC" w:rsidRDefault="00FD122A">
      <w:pPr>
        <w:pStyle w:val="ManualHeading2"/>
        <w:rPr>
          <w:rFonts w:eastAsia="Arial Unicode MS"/>
          <w:noProof/>
          <w:u w:color="000000"/>
          <w:bdr w:val="nil"/>
        </w:rPr>
      </w:pPr>
      <w:r>
        <w:rPr>
          <w:noProof/>
        </w:rPr>
        <w:t>•</w:t>
      </w:r>
      <w:r>
        <w:rPr>
          <w:noProof/>
        </w:rPr>
        <w:tab/>
        <w:t>Пропорционалност</w:t>
      </w:r>
    </w:p>
    <w:p w:rsidR="00222FCC" w:rsidRDefault="00FD122A">
      <w:pPr>
        <w:pBdr>
          <w:top w:val="nil"/>
          <w:left w:val="nil"/>
          <w:bottom w:val="nil"/>
          <w:right w:val="nil"/>
          <w:between w:val="nil"/>
          <w:bar w:val="nil"/>
        </w:pBdr>
        <w:spacing w:before="0" w:after="240"/>
        <w:rPr>
          <w:rFonts w:eastAsia="Arial Unicode MS"/>
          <w:noProof/>
          <w:szCs w:val="24"/>
        </w:rPr>
      </w:pPr>
      <w:r>
        <w:rPr>
          <w:noProof/>
        </w:rPr>
        <w:t xml:space="preserve">Предложението е насочено към преодоляване на установените слабости, предлагайки на младите хора леснодостъпни възможности за участие в дейности за солидарност, и не надхвърля </w:t>
      </w:r>
      <w:r>
        <w:rPr>
          <w:noProof/>
        </w:rPr>
        <w:t>необходимото за постигане на неговите цели.</w:t>
      </w:r>
    </w:p>
    <w:p w:rsidR="00222FCC" w:rsidRDefault="00FD122A">
      <w:pPr>
        <w:pStyle w:val="ManualHeading2"/>
        <w:rPr>
          <w:rFonts w:eastAsia="Arial Unicode MS"/>
          <w:noProof/>
          <w:u w:color="000000"/>
          <w:bdr w:val="nil"/>
        </w:rPr>
      </w:pPr>
      <w:r>
        <w:rPr>
          <w:noProof/>
        </w:rPr>
        <w:t>•</w:t>
      </w:r>
      <w:r>
        <w:rPr>
          <w:noProof/>
        </w:rPr>
        <w:tab/>
        <w:t>Избор на инструмент</w:t>
      </w:r>
    </w:p>
    <w:p w:rsidR="00222FCC" w:rsidRDefault="00FD122A">
      <w:pPr>
        <w:pBdr>
          <w:top w:val="nil"/>
          <w:left w:val="nil"/>
          <w:bottom w:val="nil"/>
          <w:right w:val="nil"/>
          <w:between w:val="nil"/>
          <w:bar w:val="nil"/>
        </w:pBdr>
        <w:spacing w:before="0" w:after="240"/>
        <w:rPr>
          <w:rFonts w:eastAsia="Arial Unicode MS"/>
          <w:noProof/>
        </w:rPr>
      </w:pPr>
      <w:r>
        <w:rPr>
          <w:noProof/>
        </w:rPr>
        <w:t xml:space="preserve">Предложеният инструмент е регламент на Европейския парламент и на Съвета. </w:t>
      </w:r>
    </w:p>
    <w:p w:rsidR="00222FCC" w:rsidRDefault="00FD122A">
      <w:pPr>
        <w:pStyle w:val="ManualHeading1"/>
        <w:rPr>
          <w:noProof/>
        </w:rPr>
      </w:pPr>
      <w:r>
        <w:rPr>
          <w:noProof/>
        </w:rPr>
        <w:t>3.</w:t>
      </w:r>
      <w:r>
        <w:rPr>
          <w:noProof/>
        </w:rPr>
        <w:tab/>
        <w:t>РЕЗУЛТАТИ ОТ КОНСУЛТАЦИИТЕ СЪС ЗАИНТЕРЕСОВАНИТЕ СТРАНИ И ОЦЕНКИ НА ВЪЗДЕЙСТВИЕТО</w:t>
      </w:r>
    </w:p>
    <w:p w:rsidR="00222FCC" w:rsidRDefault="00FD122A">
      <w:pPr>
        <w:pStyle w:val="ManualHeading2"/>
        <w:rPr>
          <w:rFonts w:eastAsia="Arial Unicode MS"/>
          <w:noProof/>
          <w:u w:color="000000"/>
          <w:bdr w:val="nil"/>
        </w:rPr>
      </w:pPr>
      <w:r>
        <w:rPr>
          <w:noProof/>
        </w:rPr>
        <w:t>•</w:t>
      </w:r>
      <w:r>
        <w:rPr>
          <w:noProof/>
        </w:rPr>
        <w:tab/>
        <w:t>Консултации със заинтересован</w:t>
      </w:r>
      <w:r>
        <w:rPr>
          <w:noProof/>
        </w:rPr>
        <w:t>ите страни</w:t>
      </w:r>
    </w:p>
    <w:p w:rsidR="00222FCC" w:rsidRDefault="00FD122A">
      <w:pPr>
        <w:pBdr>
          <w:top w:val="nil"/>
          <w:left w:val="nil"/>
          <w:bottom w:val="nil"/>
          <w:right w:val="nil"/>
          <w:between w:val="nil"/>
          <w:bar w:val="nil"/>
        </w:pBdr>
        <w:spacing w:before="0" w:after="240"/>
        <w:rPr>
          <w:rFonts w:eastAsia="SimSun"/>
          <w:noProof/>
        </w:rPr>
      </w:pPr>
      <w:r>
        <w:rPr>
          <w:noProof/>
        </w:rPr>
        <w:t>При подготовката на това предложение и на предварителната оценка към него бяха осъществени консултации на различни равнища, включително с широк кръг заинтересовани страни, отделни граждани, публични администрации и други институции и органи на Е</w:t>
      </w:r>
      <w:r>
        <w:rPr>
          <w:noProof/>
        </w:rPr>
        <w:t>С (а именно Европейския парламент, Съвета, Комитета на регионите и Икономическия и социален комитет).</w:t>
      </w:r>
    </w:p>
    <w:p w:rsidR="00222FCC" w:rsidRDefault="00FD122A">
      <w:pPr>
        <w:pBdr>
          <w:top w:val="nil"/>
          <w:left w:val="nil"/>
          <w:bottom w:val="nil"/>
          <w:right w:val="nil"/>
          <w:between w:val="nil"/>
          <w:bar w:val="nil"/>
        </w:pBdr>
        <w:spacing w:before="0" w:after="240"/>
        <w:rPr>
          <w:rFonts w:eastAsia="SimSun"/>
          <w:bCs/>
          <w:noProof/>
          <w:szCs w:val="24"/>
        </w:rPr>
      </w:pPr>
      <w:r>
        <w:rPr>
          <w:noProof/>
        </w:rPr>
        <w:t>Проведена беше публична онлайн консултация в продължение на осем седмици; получени бяха 660 отговора и 82 писмено изразени становища. Консултацията бе дос</w:t>
      </w:r>
      <w:r>
        <w:rPr>
          <w:noProof/>
        </w:rPr>
        <w:t xml:space="preserve">тъпна на 23 официални езика на ЕС и отговори се приемаха на всички тези езици. В допълнение на 12 април 2017 г. бе проведен широк форум на заинтересованите страни с около 700 участници, а целеви консултации бяха организирани с държавите членки и с ключови </w:t>
      </w:r>
      <w:r>
        <w:rPr>
          <w:noProof/>
        </w:rPr>
        <w:t>заинтересовани страни (включително доброволчески организации, организации за солидарност, представители на младежта, публичните служби по заетостта и координатори на EURES, координатори на „Гаранция за младежта“, социални партньори, предприятия, бенефициер</w:t>
      </w:r>
      <w:r>
        <w:rPr>
          <w:noProof/>
        </w:rPr>
        <w:t xml:space="preserve">и и заинтересовани страни по програми, включително национални органи и национални агенции на програмата „Еразъм+“). </w:t>
      </w:r>
    </w:p>
    <w:p w:rsidR="00222FCC" w:rsidRDefault="00FD122A">
      <w:pPr>
        <w:pBdr>
          <w:top w:val="nil"/>
          <w:left w:val="nil"/>
          <w:bottom w:val="nil"/>
          <w:right w:val="nil"/>
          <w:between w:val="nil"/>
          <w:bar w:val="nil"/>
        </w:pBdr>
        <w:spacing w:before="0" w:after="240"/>
        <w:rPr>
          <w:rFonts w:eastAsia="SimSun"/>
          <w:bCs/>
          <w:noProof/>
          <w:szCs w:val="24"/>
        </w:rPr>
      </w:pPr>
      <w:r>
        <w:rPr>
          <w:noProof/>
        </w:rPr>
        <w:t xml:space="preserve">Подробен преглед на процеса на консултации е добавен към предварителната оценка, приложена към това предложение. Главните елементи от тези </w:t>
      </w:r>
      <w:r>
        <w:rPr>
          <w:noProof/>
        </w:rPr>
        <w:t xml:space="preserve">консултации са обобщени по-долу. </w:t>
      </w:r>
    </w:p>
    <w:p w:rsidR="00222FCC" w:rsidRDefault="00FD122A">
      <w:pPr>
        <w:pBdr>
          <w:top w:val="nil"/>
          <w:left w:val="nil"/>
          <w:bottom w:val="nil"/>
          <w:right w:val="nil"/>
          <w:between w:val="nil"/>
          <w:bar w:val="nil"/>
        </w:pBdr>
        <w:spacing w:before="0" w:after="240"/>
        <w:rPr>
          <w:rFonts w:eastAsia="SimSun"/>
          <w:bCs/>
          <w:noProof/>
          <w:szCs w:val="24"/>
        </w:rPr>
      </w:pPr>
      <w:r>
        <w:rPr>
          <w:noProof/>
        </w:rPr>
        <w:t xml:space="preserve">Накратко, заинтересованите страни, участвали в консултациите, дадоха </w:t>
      </w:r>
      <w:r>
        <w:rPr>
          <w:b/>
          <w:noProof/>
        </w:rPr>
        <w:t>цялостна висока оценка</w:t>
      </w:r>
      <w:r>
        <w:rPr>
          <w:noProof/>
        </w:rPr>
        <w:t xml:space="preserve"> за видимостта и политическото признание, което се дава на участието на младите хора в дейности за солидарност. Те приветстваха </w:t>
      </w:r>
      <w:r>
        <w:rPr>
          <w:b/>
          <w:noProof/>
        </w:rPr>
        <w:t>нов</w:t>
      </w:r>
      <w:r>
        <w:rPr>
          <w:b/>
          <w:noProof/>
        </w:rPr>
        <w:t>ите възможности</w:t>
      </w:r>
      <w:r>
        <w:rPr>
          <w:noProof/>
        </w:rPr>
        <w:t xml:space="preserve"> за младите хора да осъществят промяна благодарение на Европейския корпус за солидарност. Изтъкнаха </w:t>
      </w:r>
      <w:r>
        <w:rPr>
          <w:b/>
          <w:noProof/>
        </w:rPr>
        <w:t>потенциала</w:t>
      </w:r>
      <w:r>
        <w:rPr>
          <w:noProof/>
        </w:rPr>
        <w:t xml:space="preserve"> на Европейския корпус за солидарност да подпомага интеграцията, солидарността между държавите членки и между различните поколения,</w:t>
      </w:r>
      <w:r>
        <w:rPr>
          <w:noProof/>
        </w:rPr>
        <w:t xml:space="preserve"> и да популяризира общите ценности. Те обаче подчертаха </w:t>
      </w:r>
      <w:r>
        <w:rPr>
          <w:b/>
          <w:noProof/>
        </w:rPr>
        <w:t>необходимостта от допълнително финансиране</w:t>
      </w:r>
      <w:r>
        <w:rPr>
          <w:noProof/>
        </w:rPr>
        <w:t xml:space="preserve">, за да се осигури </w:t>
      </w:r>
      <w:r>
        <w:rPr>
          <w:b/>
          <w:noProof/>
        </w:rPr>
        <w:t>всеобхватен</w:t>
      </w:r>
      <w:r>
        <w:rPr>
          <w:noProof/>
        </w:rPr>
        <w:t xml:space="preserve"> подход, даващ възможност за участие на млади хора в неравностойно положение и на малки организации, както и </w:t>
      </w:r>
      <w:r>
        <w:rPr>
          <w:b/>
          <w:noProof/>
        </w:rPr>
        <w:t>качествени</w:t>
      </w:r>
      <w:r>
        <w:rPr>
          <w:noProof/>
        </w:rPr>
        <w:t xml:space="preserve"> назначен</w:t>
      </w:r>
      <w:r>
        <w:rPr>
          <w:noProof/>
        </w:rPr>
        <w:t xml:space="preserve">ия, като се надгражда над вече </w:t>
      </w:r>
      <w:r>
        <w:rPr>
          <w:b/>
          <w:noProof/>
        </w:rPr>
        <w:t>съществуващи структури</w:t>
      </w:r>
      <w:r>
        <w:rPr>
          <w:noProof/>
        </w:rPr>
        <w:t>.</w:t>
      </w:r>
    </w:p>
    <w:p w:rsidR="00222FCC" w:rsidRDefault="00FD122A">
      <w:pPr>
        <w:pBdr>
          <w:top w:val="nil"/>
          <w:left w:val="nil"/>
          <w:bottom w:val="nil"/>
          <w:right w:val="nil"/>
          <w:between w:val="nil"/>
          <w:bar w:val="nil"/>
        </w:pBdr>
        <w:spacing w:before="0" w:after="240"/>
        <w:rPr>
          <w:rFonts w:eastAsia="SimSun"/>
          <w:bCs/>
          <w:noProof/>
          <w:szCs w:val="24"/>
        </w:rPr>
      </w:pPr>
      <w:r>
        <w:rPr>
          <w:noProof/>
        </w:rPr>
        <w:t xml:space="preserve">По-специално един от ключовите въпроси, изтъкнат от заинтересованите страни, е необходимостта от </w:t>
      </w:r>
      <w:r>
        <w:rPr>
          <w:b/>
          <w:noProof/>
        </w:rPr>
        <w:t>всеобхватен</w:t>
      </w:r>
      <w:r>
        <w:rPr>
          <w:noProof/>
        </w:rPr>
        <w:t xml:space="preserve"> подход. Всъщност много от заинтересованите страни изрично посочиха необходимостта от да се о</w:t>
      </w:r>
      <w:r>
        <w:rPr>
          <w:noProof/>
        </w:rPr>
        <w:t>бърне специално внимание на всеобхватността, за да могат да участват всички млади хора, включително такива в неравностойно положение и с по-малко възможности.</w:t>
      </w:r>
    </w:p>
    <w:p w:rsidR="00222FCC" w:rsidRDefault="00FD122A">
      <w:pPr>
        <w:pBdr>
          <w:top w:val="nil"/>
          <w:left w:val="nil"/>
          <w:bottom w:val="nil"/>
          <w:right w:val="nil"/>
          <w:between w:val="nil"/>
          <w:bar w:val="nil"/>
        </w:pBdr>
        <w:spacing w:before="0" w:after="240"/>
        <w:rPr>
          <w:rFonts w:eastAsia="SimSun"/>
          <w:bCs/>
          <w:noProof/>
          <w:szCs w:val="24"/>
        </w:rPr>
      </w:pPr>
      <w:r>
        <w:rPr>
          <w:noProof/>
        </w:rPr>
        <w:t xml:space="preserve">Заинтересованите страни подчертаха, че Европейският корпус за солидарност би трябвало да е още </w:t>
      </w:r>
      <w:r>
        <w:rPr>
          <w:b/>
          <w:noProof/>
        </w:rPr>
        <w:t>по</w:t>
      </w:r>
      <w:r>
        <w:rPr>
          <w:b/>
          <w:noProof/>
        </w:rPr>
        <w:t>-фокусиран върху солидарността</w:t>
      </w:r>
      <w:r>
        <w:rPr>
          <w:noProof/>
        </w:rPr>
        <w:t xml:space="preserve"> отколкото съществуващите програми с ясното определение на понятието „дейности за солидарност“. Заинтересованите страни признаха, че дейностите в обхвата на Европейския корпус за солидарност могат да допринесат за </w:t>
      </w:r>
      <w:r>
        <w:rPr>
          <w:b/>
          <w:noProof/>
        </w:rPr>
        <w:t xml:space="preserve">развитие на </w:t>
      </w:r>
      <w:r>
        <w:rPr>
          <w:b/>
          <w:noProof/>
        </w:rPr>
        <w:t>умения и компетенции</w:t>
      </w:r>
      <w:r>
        <w:rPr>
          <w:noProof/>
        </w:rPr>
        <w:t xml:space="preserve">, подпомагайки по този начин неформалното и самостоятелното учене, както и пригодността на младите хора за заетост. Организациите изтъкнаха и необходимостта от обучаване на доброволците, а някои посочиха също необходимостта от издаване </w:t>
      </w:r>
      <w:r>
        <w:rPr>
          <w:noProof/>
        </w:rPr>
        <w:t>на удостоверения за доброволците.</w:t>
      </w:r>
    </w:p>
    <w:p w:rsidR="00222FCC" w:rsidRDefault="00FD122A">
      <w:pPr>
        <w:pBdr>
          <w:top w:val="nil"/>
          <w:left w:val="nil"/>
          <w:bottom w:val="nil"/>
          <w:right w:val="nil"/>
          <w:between w:val="nil"/>
          <w:bar w:val="nil"/>
        </w:pBdr>
        <w:spacing w:before="0" w:after="240"/>
        <w:rPr>
          <w:noProof/>
        </w:rPr>
      </w:pPr>
      <w:r>
        <w:rPr>
          <w:noProof/>
        </w:rPr>
        <w:t xml:space="preserve">Евентуално </w:t>
      </w:r>
      <w:r>
        <w:rPr>
          <w:b/>
          <w:noProof/>
        </w:rPr>
        <w:t>припокриване със съществуващи програми</w:t>
      </w:r>
      <w:r>
        <w:rPr>
          <w:noProof/>
        </w:rPr>
        <w:t xml:space="preserve"> и </w:t>
      </w:r>
      <w:r>
        <w:rPr>
          <w:b/>
          <w:noProof/>
        </w:rPr>
        <w:t>липсата на финансиране</w:t>
      </w:r>
      <w:r>
        <w:rPr>
          <w:noProof/>
        </w:rPr>
        <w:t xml:space="preserve"> бяха сред главните въпроси, по които заинтересованите страни изразиха загриженост. Много от тях искаха Европейският корпус за солидарност да има от</w:t>
      </w:r>
      <w:r>
        <w:rPr>
          <w:noProof/>
        </w:rPr>
        <w:t>делен бюджет. Повечето заинтересовани страни подчертаха, че за да отговори на сегашните и бъдещите нужди е необходимо Европейският корпус за солидарност да разполага с достатъчно допълнителни средства освен наличните ресурси от съществуващите програми. Пов</w:t>
      </w:r>
      <w:r>
        <w:rPr>
          <w:noProof/>
        </w:rPr>
        <w:t>ечето заинтересовани страни поискаха също и ясно разграничаване между доброволните и професионалните дейности, за да се избегне ниско заплатеният труд или работата без заплащане, като например чрез заместване на стажанти и служители с доброволци.</w:t>
      </w:r>
    </w:p>
    <w:p w:rsidR="00222FCC" w:rsidRDefault="00FD122A">
      <w:pPr>
        <w:pBdr>
          <w:top w:val="nil"/>
          <w:left w:val="nil"/>
          <w:bottom w:val="nil"/>
          <w:right w:val="nil"/>
          <w:between w:val="nil"/>
          <w:bar w:val="nil"/>
        </w:pBdr>
        <w:spacing w:before="0" w:after="240"/>
        <w:rPr>
          <w:noProof/>
        </w:rPr>
      </w:pPr>
      <w:r>
        <w:rPr>
          <w:noProof/>
        </w:rPr>
        <w:t>По отноше</w:t>
      </w:r>
      <w:r>
        <w:rPr>
          <w:noProof/>
        </w:rPr>
        <w:t xml:space="preserve">ние на </w:t>
      </w:r>
      <w:r>
        <w:rPr>
          <w:b/>
          <w:noProof/>
        </w:rPr>
        <w:t>изпълнението</w:t>
      </w:r>
      <w:r>
        <w:rPr>
          <w:noProof/>
        </w:rPr>
        <w:t xml:space="preserve"> заинтересованите страни подчертаха, че то трябва да е опростено и ефективно, за да се избегне ненужна административна тежест за младите хора и организациите. Освен това бе изтъкнато колко е важно да се осигурят </w:t>
      </w:r>
      <w:r>
        <w:rPr>
          <w:b/>
          <w:noProof/>
        </w:rPr>
        <w:t>стандарти на високо качес</w:t>
      </w:r>
      <w:r>
        <w:rPr>
          <w:b/>
          <w:noProof/>
        </w:rPr>
        <w:t>тво</w:t>
      </w:r>
      <w:r>
        <w:rPr>
          <w:noProof/>
        </w:rPr>
        <w:t xml:space="preserve">, както и да се </w:t>
      </w:r>
      <w:r>
        <w:rPr>
          <w:b/>
          <w:noProof/>
        </w:rPr>
        <w:t>надгражда върху полезните взаимодействия и опита</w:t>
      </w:r>
      <w:r>
        <w:rPr>
          <w:noProof/>
        </w:rPr>
        <w:t xml:space="preserve"> от съществуващи, добре функциониращи схеми, като например Европейската доброволческа служба. Заинтересованите страни подчертаха, че важни фактори за постигане на тази цел са необходимостта</w:t>
      </w:r>
      <w:r>
        <w:rPr>
          <w:noProof/>
        </w:rPr>
        <w:t xml:space="preserve"> от наличие на ясно разделение на ролите и компетенциите между изпълнителните органи, изясняването на правилата за акредитиране на организации, наличието на добре функциониращ инструмент за свързването на организациите и доброволците, и висококачествена си</w:t>
      </w:r>
      <w:r>
        <w:rPr>
          <w:noProof/>
        </w:rPr>
        <w:t>стема за подпомагане на участниците.</w:t>
      </w:r>
    </w:p>
    <w:p w:rsidR="00222FCC" w:rsidRDefault="00FD122A">
      <w:pPr>
        <w:pBdr>
          <w:top w:val="nil"/>
          <w:left w:val="nil"/>
          <w:bottom w:val="nil"/>
          <w:right w:val="nil"/>
          <w:between w:val="nil"/>
          <w:bar w:val="nil"/>
        </w:pBdr>
        <w:spacing w:before="0" w:after="240"/>
        <w:rPr>
          <w:rFonts w:eastAsia="SimSun"/>
          <w:noProof/>
        </w:rPr>
      </w:pPr>
      <w:r>
        <w:rPr>
          <w:noProof/>
        </w:rPr>
        <w:t xml:space="preserve">Що се отнася до </w:t>
      </w:r>
      <w:r>
        <w:rPr>
          <w:b/>
          <w:noProof/>
        </w:rPr>
        <w:t>географския обхват</w:t>
      </w:r>
      <w:r>
        <w:rPr>
          <w:noProof/>
        </w:rPr>
        <w:t>, повечето заинтересовани страни смятат за необходимо да се осигури съгласуваност с условията на съществуващите програми. Заинтересованите страни подкрепят предложената възможност да се</w:t>
      </w:r>
      <w:r>
        <w:rPr>
          <w:noProof/>
        </w:rPr>
        <w:t xml:space="preserve"> насърчават дейности за солидарност на местно равнище в допълнение към възможности в чужбина и признават, че такива дейности може да направят по-лесно участието на млади хора в неравностойно положение. Няколко заинтересовани страни обаче подчертаха необход</w:t>
      </w:r>
      <w:r>
        <w:rPr>
          <w:noProof/>
        </w:rPr>
        <w:t>имостта от сътрудничество и координация с националните правителства и местните общности, за да се осигури взаимно допълване със съществуващите програми.</w:t>
      </w:r>
    </w:p>
    <w:p w:rsidR="00222FCC" w:rsidRDefault="00FD122A">
      <w:pPr>
        <w:pBdr>
          <w:top w:val="nil"/>
          <w:left w:val="nil"/>
          <w:bottom w:val="nil"/>
          <w:right w:val="nil"/>
          <w:between w:val="nil"/>
          <w:bar w:val="nil"/>
        </w:pBdr>
        <w:spacing w:before="0" w:after="240"/>
        <w:rPr>
          <w:rFonts w:eastAsia="SimSun"/>
          <w:bCs/>
          <w:noProof/>
          <w:szCs w:val="24"/>
        </w:rPr>
      </w:pPr>
      <w:r>
        <w:rPr>
          <w:noProof/>
        </w:rPr>
        <w:t>Предложението за Европейския корпус за солидарност до голяма степен отразява мненията и препоръките, съ</w:t>
      </w:r>
      <w:r>
        <w:rPr>
          <w:noProof/>
        </w:rPr>
        <w:t xml:space="preserve">брани при консултациите. В съответствие с тях Европейският корпус за солидарност ще предлага </w:t>
      </w:r>
      <w:r>
        <w:rPr>
          <w:b/>
          <w:noProof/>
        </w:rPr>
        <w:t>нови възможности, достъпни за всички млади хора</w:t>
      </w:r>
      <w:r>
        <w:rPr>
          <w:noProof/>
        </w:rPr>
        <w:t>, като се поставя силен акцент върху дейности в отговор на нуждите от солидарност и върху насърчаването на участието</w:t>
      </w:r>
      <w:r>
        <w:rPr>
          <w:noProof/>
        </w:rPr>
        <w:t xml:space="preserve"> на млади хора в неравностойно положение, включително като се предвижда допълнителна финансова помощ, когато е целесъобразно. Корпусът ще набляга специално и на осигуряването на </w:t>
      </w:r>
      <w:r>
        <w:rPr>
          <w:b/>
          <w:noProof/>
        </w:rPr>
        <w:t>уместност и качество</w:t>
      </w:r>
      <w:r>
        <w:rPr>
          <w:noProof/>
        </w:rPr>
        <w:t xml:space="preserve"> на дейностите, които ще се подпомагат. На участниците ще </w:t>
      </w:r>
      <w:r>
        <w:rPr>
          <w:noProof/>
        </w:rPr>
        <w:t>се предлагат качество и мерки за подпомагане, като например застраховка, езикова помощ подпомагане онлайн, общо обучение онлайн и специално обучение, удостоверение от Европейския корпус за солидарност и помощ след назначенията. Качеството ще се отнася също</w:t>
      </w:r>
      <w:r>
        <w:rPr>
          <w:noProof/>
        </w:rPr>
        <w:t xml:space="preserve"> и за организациите, които желаят да предложат назначения в рамките на Европейския корпус за солидарност. За тази цел и в съответствие с предложенията, събрани по време на консултациите, ще бъде въведен знак за качество като предварително условие за участи</w:t>
      </w:r>
      <w:r>
        <w:rPr>
          <w:noProof/>
        </w:rPr>
        <w:t>е на всички заинтересовани организации. Този знак ще има за цел да се провери доколко организациите спазват принципите и изискванията на Хартата на Европейския корпус за солидарност по отношение на техните права и отговорности през различните етапи на миси</w:t>
      </w:r>
      <w:r>
        <w:rPr>
          <w:noProof/>
        </w:rPr>
        <w:t xml:space="preserve">ята за солидарност. </w:t>
      </w:r>
    </w:p>
    <w:p w:rsidR="00222FCC" w:rsidRDefault="00FD122A">
      <w:pPr>
        <w:pBdr>
          <w:top w:val="nil"/>
          <w:left w:val="nil"/>
          <w:bottom w:val="nil"/>
          <w:right w:val="nil"/>
          <w:between w:val="nil"/>
          <w:bar w:val="nil"/>
        </w:pBdr>
        <w:spacing w:before="0" w:after="240"/>
        <w:rPr>
          <w:rFonts w:eastAsia="SimSun"/>
          <w:noProof/>
        </w:rPr>
      </w:pPr>
      <w:r>
        <w:rPr>
          <w:noProof/>
        </w:rPr>
        <w:t xml:space="preserve">В съответствие с препоръките на заинтересованите страни Европейската комисия ще се стреми да направи процеса на регистрация и кандидатстване </w:t>
      </w:r>
      <w:r>
        <w:rPr>
          <w:b/>
          <w:noProof/>
        </w:rPr>
        <w:t>достъпен и лесен за потребителите</w:t>
      </w:r>
      <w:r>
        <w:rPr>
          <w:noProof/>
        </w:rPr>
        <w:t xml:space="preserve"> и да </w:t>
      </w:r>
      <w:r>
        <w:rPr>
          <w:b/>
          <w:noProof/>
        </w:rPr>
        <w:t>намали административната тежест</w:t>
      </w:r>
      <w:r>
        <w:rPr>
          <w:noProof/>
        </w:rPr>
        <w:t xml:space="preserve"> както за младите хора, така и за организациите. Разработването на Портала на Европейския корпус за солидарност вече е стъпка в тази посока. Порталът и инструментът за свързването на организациите и доброволците осигуряват единствен входен пункт за дейност</w:t>
      </w:r>
      <w:r>
        <w:rPr>
          <w:noProof/>
        </w:rPr>
        <w:t xml:space="preserve">ите за солидарност в целия Европейски съюз. </w:t>
      </w:r>
    </w:p>
    <w:p w:rsidR="00222FCC" w:rsidRDefault="00FD122A">
      <w:pPr>
        <w:pBdr>
          <w:top w:val="nil"/>
          <w:left w:val="nil"/>
          <w:bottom w:val="nil"/>
          <w:right w:val="nil"/>
          <w:between w:val="nil"/>
          <w:bar w:val="nil"/>
        </w:pBdr>
        <w:spacing w:before="0" w:after="240"/>
        <w:rPr>
          <w:rFonts w:eastAsia="SimSun"/>
          <w:noProof/>
          <w:szCs w:val="24"/>
        </w:rPr>
      </w:pPr>
      <w:r>
        <w:rPr>
          <w:noProof/>
        </w:rPr>
        <w:t xml:space="preserve">По отношение на необходимостта да се осигури </w:t>
      </w:r>
      <w:r>
        <w:rPr>
          <w:b/>
          <w:noProof/>
        </w:rPr>
        <w:t>допълнително финансиране</w:t>
      </w:r>
      <w:r>
        <w:rPr>
          <w:noProof/>
        </w:rPr>
        <w:t>, както препоръчват много от заинтересованите страни, Европейският корпус за солидарност ще се финансира както чрез допълнителни средства, так</w:t>
      </w:r>
      <w:r>
        <w:rPr>
          <w:noProof/>
        </w:rPr>
        <w:t>а и чрез вноски от няколко съществуващи програми, които са в съответствие с целите на Европейския корпус за солидарност, оптимизирайки по този начин полезните взаимодействия и взаимното допълване със съществуващите схеми. Заинтересованите страни препоръчах</w:t>
      </w:r>
      <w:r>
        <w:rPr>
          <w:noProof/>
        </w:rPr>
        <w:t>а и ясно разграничаване между доброволчеството и професионалните дейности. Такова разграничаване ще се осигури не само по отношение на определянето на дейностите, които ще се подпомагат, но също и във връзка с финансовата помощ, предназначена за тези дейно</w:t>
      </w:r>
      <w:r>
        <w:rPr>
          <w:noProof/>
        </w:rPr>
        <w:t>сти. В тази връзка със законодателното предложение се въвежда примерно разпределение на финансовата помощ за назначения за участие в дейности за солидарност и за проекти за солидарност (80 % за назначения за доброволчество и проекти за солидарност, от една</w:t>
      </w:r>
      <w:r>
        <w:rPr>
          <w:noProof/>
        </w:rPr>
        <w:t xml:space="preserve"> страна, и 20 % за стажове и професионална дейност, от друга), което би трябвало да допринесе също и за осигуряването на приемственост за дейностите, подпомагани по линия на програмите, които имат принос към Европейския корпус за солидарност. </w:t>
      </w:r>
    </w:p>
    <w:p w:rsidR="00222FCC" w:rsidRDefault="00FD122A">
      <w:pPr>
        <w:pBdr>
          <w:top w:val="nil"/>
          <w:left w:val="nil"/>
          <w:bottom w:val="nil"/>
          <w:right w:val="nil"/>
          <w:between w:val="nil"/>
          <w:bar w:val="nil"/>
        </w:pBdr>
        <w:spacing w:before="0" w:after="240"/>
        <w:rPr>
          <w:rFonts w:eastAsia="SimSun"/>
          <w:bCs/>
          <w:noProof/>
          <w:szCs w:val="24"/>
        </w:rPr>
      </w:pPr>
      <w:r>
        <w:rPr>
          <w:noProof/>
        </w:rPr>
        <w:t>Що се отнася</w:t>
      </w:r>
      <w:r>
        <w:rPr>
          <w:noProof/>
        </w:rPr>
        <w:t xml:space="preserve"> до </w:t>
      </w:r>
      <w:r>
        <w:rPr>
          <w:b/>
          <w:noProof/>
        </w:rPr>
        <w:t>географския обхват</w:t>
      </w:r>
      <w:r>
        <w:rPr>
          <w:noProof/>
        </w:rPr>
        <w:t>, началната точка за реализирането на Европейския корпус за солидарност ще бъдат държавите — членки на ЕС. Предложеният регламент обаче дава възможност за отваряне към други държави въз основа на двустранни споразумения с тях.</w:t>
      </w:r>
    </w:p>
    <w:p w:rsidR="00222FCC" w:rsidRDefault="00FD122A">
      <w:pPr>
        <w:pStyle w:val="ManualHeading2"/>
        <w:rPr>
          <w:rFonts w:eastAsia="Arial Unicode MS"/>
          <w:noProof/>
          <w:u w:color="000000"/>
          <w:bdr w:val="nil"/>
        </w:rPr>
      </w:pPr>
      <w:r>
        <w:rPr>
          <w:noProof/>
        </w:rPr>
        <w:t>•</w:t>
      </w:r>
      <w:r>
        <w:rPr>
          <w:noProof/>
        </w:rPr>
        <w:tab/>
        <w:t>Оценк</w:t>
      </w:r>
      <w:r>
        <w:rPr>
          <w:noProof/>
        </w:rPr>
        <w:t>а на въздействието</w:t>
      </w:r>
    </w:p>
    <w:p w:rsidR="00222FCC" w:rsidRDefault="00FD122A">
      <w:pPr>
        <w:pBdr>
          <w:top w:val="nil"/>
          <w:left w:val="nil"/>
          <w:bottom w:val="nil"/>
          <w:right w:val="nil"/>
          <w:between w:val="nil"/>
          <w:bar w:val="nil"/>
        </w:pBdr>
        <w:spacing w:before="0" w:after="240"/>
        <w:rPr>
          <w:noProof/>
        </w:rPr>
      </w:pPr>
      <w:r>
        <w:rPr>
          <w:noProof/>
        </w:rPr>
        <w:t>Не е извършвана оценка на въздействието поради това, че Европейският корпус за солидарност вече бе създаден от Комисията чрез нейно съобщение от декември 2016 г. Целта на настоящия регламент представлява последващо действие на това; въпр</w:t>
      </w:r>
      <w:r>
        <w:rPr>
          <w:noProof/>
        </w:rPr>
        <w:t>еки това, тъй като е свързан със значителни разходи, регламентът се придружава от предварителна оценка, за да се изпълнят изискванията на финансовия регламент.</w:t>
      </w:r>
    </w:p>
    <w:p w:rsidR="00222FCC" w:rsidRDefault="00FD122A">
      <w:pPr>
        <w:pBdr>
          <w:top w:val="nil"/>
          <w:left w:val="nil"/>
          <w:bottom w:val="nil"/>
          <w:right w:val="nil"/>
          <w:between w:val="nil"/>
          <w:bar w:val="nil"/>
        </w:pBdr>
        <w:spacing w:before="0" w:after="240"/>
        <w:rPr>
          <w:noProof/>
        </w:rPr>
      </w:pPr>
      <w:r>
        <w:rPr>
          <w:noProof/>
        </w:rPr>
        <w:t>В предварителната оценка са разгледани трудности на две равнища: младите хора и техните възможно</w:t>
      </w:r>
      <w:r>
        <w:rPr>
          <w:noProof/>
        </w:rPr>
        <w:t>сти да се включат в дейности за солидарност, от една страна, и по-широките социални, институционални и организационни нужди, от друга. В предварителната оценка се посочва необходимостта ЕС да отговори на следните важни предизвикателства в рамките на европе</w:t>
      </w:r>
      <w:r>
        <w:rPr>
          <w:noProof/>
        </w:rPr>
        <w:t>йска инициатива за младежта в областта на солидарността:</w:t>
      </w:r>
    </w:p>
    <w:p w:rsidR="00222FCC" w:rsidRDefault="00FD122A">
      <w:pPr>
        <w:pStyle w:val="Tiret0"/>
        <w:rPr>
          <w:noProof/>
        </w:rPr>
      </w:pPr>
      <w:r>
        <w:rPr>
          <w:noProof/>
        </w:rPr>
        <w:t xml:space="preserve">Необходимо е да се преодолее разпокъсаността и да се осигурят повече възможности за насърчаване на участието на млади хора и на организации в дейности за солидарност, а именно чрез обединяването на </w:t>
      </w:r>
      <w:r>
        <w:rPr>
          <w:noProof/>
        </w:rPr>
        <w:t xml:space="preserve">доброволческия и професионалния опит в една структура с общ подход към качеството, и чрез разработването на видим и широкообхватен процес на валидиране на натрупаните опит и знания, независимо от контекста, в който са придобити. Необходимо също така да се </w:t>
      </w:r>
      <w:r>
        <w:rPr>
          <w:noProof/>
        </w:rPr>
        <w:t>осигури лесен и равноправен достъп чрез опростени процедури, като същевременно се предвидят подходящи мерки за насърчаване на включването на млади хора в неравностойно положение;</w:t>
      </w:r>
    </w:p>
    <w:p w:rsidR="00222FCC" w:rsidRDefault="00FD122A">
      <w:pPr>
        <w:pStyle w:val="Tiret0"/>
        <w:rPr>
          <w:noProof/>
        </w:rPr>
      </w:pPr>
      <w:r>
        <w:rPr>
          <w:noProof/>
        </w:rPr>
        <w:t>Необходимо е да се гарантира, че назначенията и дейностите, предлагани в рамк</w:t>
      </w:r>
      <w:r>
        <w:rPr>
          <w:noProof/>
        </w:rPr>
        <w:t>ите на европейска инициатива за младежта в областта на солидарността, отговарят на неудовлетворени нужди на обществото, както и общи стандарти за качество и общо разбиране за придобиването на знания, умения и компетенции, които да бъдат валидирани отвъд гр</w:t>
      </w:r>
      <w:r>
        <w:rPr>
          <w:noProof/>
        </w:rPr>
        <w:t xml:space="preserve">аниците. </w:t>
      </w:r>
    </w:p>
    <w:p w:rsidR="00222FCC" w:rsidRDefault="00FD122A">
      <w:pPr>
        <w:pBdr>
          <w:top w:val="nil"/>
          <w:left w:val="nil"/>
          <w:bottom w:val="nil"/>
          <w:right w:val="nil"/>
          <w:between w:val="nil"/>
          <w:bar w:val="nil"/>
        </w:pBdr>
        <w:spacing w:before="0" w:after="240"/>
        <w:rPr>
          <w:noProof/>
        </w:rPr>
      </w:pPr>
      <w:r>
        <w:rPr>
          <w:noProof/>
        </w:rPr>
        <w:t>Предварителната оценка е фокусирана върху два варианта, а именно: 1) да продължи изпълнението на Европейския корпус за солидарност чрез различни съществуващи програми, както през първия етап, който стартира през декември 2016 г., в рамките на кой</w:t>
      </w:r>
      <w:r>
        <w:rPr>
          <w:noProof/>
        </w:rPr>
        <w:t>то осем програми финансират дейности за солидарност — всяка програма чрез собствената си правна рамка, цели и бюджет; 2) да се разработи нова самостоятелна инициатива със засилена насоченост върху солидарността, като тази инициатива да се основава на опита</w:t>
      </w:r>
      <w:r>
        <w:rPr>
          <w:noProof/>
        </w:rPr>
        <w:t xml:space="preserve"> от съществуващите програми, но да има собствен ясен набор от цели и да осигурява по-голяма яснота относно целта и обхвата на интервенцията.</w:t>
      </w:r>
    </w:p>
    <w:p w:rsidR="00222FCC" w:rsidRDefault="00FD122A">
      <w:pPr>
        <w:rPr>
          <w:noProof/>
        </w:rPr>
      </w:pPr>
      <w:r>
        <w:rPr>
          <w:noProof/>
        </w:rPr>
        <w:t xml:space="preserve">Възможността да се използва правната рамка на някоя от съществуващите програми бе отхвърлена поради факта, че това </w:t>
      </w:r>
      <w:r>
        <w:rPr>
          <w:noProof/>
        </w:rPr>
        <w:t xml:space="preserve">би довело до програма със сложен набор от припокриващи се цели и ограничена видимост на действията за солидарност в една по-широка рамка. Освен това такъв подход би довел до оттегляне на заинтересовани страни от другите програми. </w:t>
      </w:r>
    </w:p>
    <w:p w:rsidR="00222FCC" w:rsidRDefault="00FD122A">
      <w:pPr>
        <w:pBdr>
          <w:top w:val="nil"/>
          <w:left w:val="nil"/>
          <w:bottom w:val="nil"/>
          <w:right w:val="nil"/>
          <w:between w:val="nil"/>
          <w:bar w:val="nil"/>
        </w:pBdr>
        <w:spacing w:before="0" w:after="240"/>
        <w:rPr>
          <w:noProof/>
        </w:rPr>
      </w:pPr>
      <w:r>
        <w:rPr>
          <w:noProof/>
        </w:rPr>
        <w:t>Затова бяха определени дв</w:t>
      </w:r>
      <w:r>
        <w:rPr>
          <w:noProof/>
        </w:rPr>
        <w:t xml:space="preserve">е възможности, които бяха анализирани и съпоставени по следните критерии, съответстващи на предложенията на заинтересованите страни, дадени по време на консултациите: </w:t>
      </w:r>
    </w:p>
    <w:p w:rsidR="00222FCC" w:rsidRDefault="00FD122A">
      <w:pPr>
        <w:pStyle w:val="Tiret0"/>
        <w:rPr>
          <w:noProof/>
        </w:rPr>
      </w:pPr>
      <w:r>
        <w:rPr>
          <w:noProof/>
        </w:rPr>
        <w:t>Достъпност (видимост и яснота за организациите, младите хора и останалите заинтересовани</w:t>
      </w:r>
      <w:r>
        <w:rPr>
          <w:noProof/>
        </w:rPr>
        <w:t xml:space="preserve"> страни относно това как да участват и да имат достъп до финансиране за дейности за солидарност);</w:t>
      </w:r>
    </w:p>
    <w:p w:rsidR="00222FCC" w:rsidRDefault="00FD122A">
      <w:pPr>
        <w:pStyle w:val="Tiret0"/>
        <w:rPr>
          <w:noProof/>
        </w:rPr>
      </w:pPr>
      <w:r>
        <w:rPr>
          <w:noProof/>
        </w:rPr>
        <w:t>Качество (процедури и критерии, гарантиращи качество и безопасност на назначенията);</w:t>
      </w:r>
    </w:p>
    <w:p w:rsidR="00222FCC" w:rsidRDefault="00FD122A">
      <w:pPr>
        <w:pStyle w:val="Tiret0"/>
        <w:rPr>
          <w:noProof/>
        </w:rPr>
      </w:pPr>
      <w:r>
        <w:rPr>
          <w:noProof/>
        </w:rPr>
        <w:t>Приобщаване (мерки за осигуряване на участието на млади хора в неравносто</w:t>
      </w:r>
      <w:r>
        <w:rPr>
          <w:noProof/>
        </w:rPr>
        <w:t>йно положение);</w:t>
      </w:r>
    </w:p>
    <w:p w:rsidR="00222FCC" w:rsidRDefault="00FD122A">
      <w:pPr>
        <w:pStyle w:val="Tiret0"/>
        <w:rPr>
          <w:noProof/>
        </w:rPr>
      </w:pPr>
      <w:r>
        <w:rPr>
          <w:noProof/>
        </w:rPr>
        <w:t>Полезно взаимодействие (участие на организациите, активни в дейности за солидарност, независимо дали имат местен, регионален, национален или европейски обхват, както и полезни взаимодействия между тях);</w:t>
      </w:r>
    </w:p>
    <w:p w:rsidR="00222FCC" w:rsidRDefault="00FD122A">
      <w:pPr>
        <w:pStyle w:val="Tiret0"/>
        <w:rPr>
          <w:noProof/>
        </w:rPr>
      </w:pPr>
      <w:r>
        <w:rPr>
          <w:noProof/>
        </w:rPr>
        <w:t>Ефективност и опростяване на разпоред</w:t>
      </w:r>
      <w:r>
        <w:rPr>
          <w:noProof/>
        </w:rPr>
        <w:t>бите за управление, ниски административни разходи.</w:t>
      </w:r>
    </w:p>
    <w:p w:rsidR="00222FCC" w:rsidRDefault="00FD122A">
      <w:pPr>
        <w:autoSpaceDE w:val="0"/>
        <w:autoSpaceDN w:val="0"/>
        <w:adjustRightInd w:val="0"/>
        <w:spacing w:after="0"/>
        <w:rPr>
          <w:noProof/>
          <w:szCs w:val="24"/>
        </w:rPr>
      </w:pPr>
      <w:r>
        <w:rPr>
          <w:noProof/>
        </w:rPr>
        <w:t xml:space="preserve">Въз основа на този, базиран на множество критерии анализ, бе установено, че вариант 2 (разработване на самостоятелна инициатива със засилена насоченост върху солидарността) е вариантът, който ще доведе до </w:t>
      </w:r>
      <w:r>
        <w:rPr>
          <w:noProof/>
        </w:rPr>
        <w:t>по-добри резултати спрямо всички предвидени критерии, и затова в крайна сметка той беше предпочетен . Този вариант ще осигури ясен и единствен пункт за достъп за организации и млади хора и ще направи действията за солидарност по-видими. Той ще прилага по-в</w:t>
      </w:r>
      <w:r>
        <w:rPr>
          <w:noProof/>
        </w:rPr>
        <w:t>сеобхватен подход чрез специална стратегия за приобщаване. Ще осигурява цялостно качество на назначенията и на подготвеността на младите участници чрез серия специфични процеси и критерии за качество (като например знак за качество за организации, обучение</w:t>
      </w:r>
      <w:r>
        <w:rPr>
          <w:noProof/>
        </w:rPr>
        <w:t>, застраховка и др.). Ще постигне нови полезни взаимодействия между дейностите и тяхното признаване, тъй като ще ги постави в една обща рамка и ще спомогне за създаването на нови мрежи между хора и организации с общи стремежи за солидарност. Освен това вар</w:t>
      </w:r>
      <w:r>
        <w:rPr>
          <w:noProof/>
        </w:rPr>
        <w:t>иант 2 ще позволи едновременно намаляване на разходите за управление и постигане на по-значителни резултати (по-голяма икономическа ефективност).</w:t>
      </w:r>
    </w:p>
    <w:p w:rsidR="00222FCC" w:rsidRDefault="00FD122A">
      <w:pPr>
        <w:autoSpaceDE w:val="0"/>
        <w:autoSpaceDN w:val="0"/>
        <w:adjustRightInd w:val="0"/>
        <w:spacing w:after="0"/>
        <w:rPr>
          <w:noProof/>
          <w:szCs w:val="24"/>
        </w:rPr>
      </w:pPr>
      <w:r>
        <w:rPr>
          <w:noProof/>
        </w:rPr>
        <w:t>По отношение на предпочитания вариант бяха разгледани различни механизми за изпълнение: пряко управление, непр</w:t>
      </w:r>
      <w:r>
        <w:rPr>
          <w:noProof/>
        </w:rPr>
        <w:t>яко управление или съчетание от двете. Заключението от анализа е, че последното — съчетаване на пряко и непряко управление — ще осигури най-ефективно изпълнение от гледна точка на разходите, за да се постигне предвидената цел: мобилизиране на 100 000 млади</w:t>
      </w:r>
      <w:r>
        <w:rPr>
          <w:noProof/>
        </w:rPr>
        <w:t xml:space="preserve"> хора до 2020 г. В предварителната оценка се изтъква също така, че за изпълнението на предвидената цел от съществено значение са достатъчните и съгласуваните финансови ресурси.</w:t>
      </w:r>
    </w:p>
    <w:p w:rsidR="00222FCC" w:rsidRDefault="00FD122A">
      <w:pPr>
        <w:autoSpaceDE w:val="0"/>
        <w:autoSpaceDN w:val="0"/>
        <w:adjustRightInd w:val="0"/>
        <w:spacing w:after="0"/>
        <w:rPr>
          <w:noProof/>
          <w:szCs w:val="24"/>
        </w:rPr>
      </w:pPr>
      <w:r>
        <w:rPr>
          <w:noProof/>
        </w:rPr>
        <w:t>Предварителната оценка освен това подчертава очаквания положителен социален ефе</w:t>
      </w:r>
      <w:r>
        <w:rPr>
          <w:noProof/>
        </w:rPr>
        <w:t>кт от предпочитания вариант — както на индивидуално равнище (напр. по-добри познания, умения и компетенции за личното и професионалното развитие; засилено чувство на солидарност и гражданство с цел социалното и гражданското им развитие), така и на обществе</w:t>
      </w:r>
      <w:r>
        <w:rPr>
          <w:noProof/>
        </w:rPr>
        <w:t xml:space="preserve">но равнище (напр. удовлетворени нужди в общностите, което ще има последици за социалната закрила и благополучие; по-голяма подкрепа за организации, ангажирани с дейности за солидарност, с положителен ефект върху тяхната ангажираност и върху възможностите, </w:t>
      </w:r>
      <w:r>
        <w:rPr>
          <w:noProof/>
        </w:rPr>
        <w:t xml:space="preserve">предлагани на младите хора; принос към други политически цели като например участие на младите хора, гражданска защита, социално приобщаване, сближаване, регионално развитие, опазване на околната среда; подобряване на представянето на младите хора в някои </w:t>
      </w:r>
      <w:r>
        <w:rPr>
          <w:noProof/>
        </w:rPr>
        <w:t xml:space="preserve">национални медии). </w:t>
      </w:r>
    </w:p>
    <w:p w:rsidR="00222FCC" w:rsidRDefault="00FD122A">
      <w:pPr>
        <w:autoSpaceDE w:val="0"/>
        <w:autoSpaceDN w:val="0"/>
        <w:adjustRightInd w:val="0"/>
        <w:spacing w:after="0"/>
        <w:rPr>
          <w:noProof/>
          <w:szCs w:val="24"/>
        </w:rPr>
      </w:pPr>
      <w:r>
        <w:rPr>
          <w:noProof/>
        </w:rPr>
        <w:t>Насърчаването на участието на младите хора и социалния капитал са свързани също и с икономическото развитие. Засиленото участие на младите хора и по-добрата им пригодност към заетост могат да имат положителни последици за заетостта и ма</w:t>
      </w:r>
      <w:r>
        <w:rPr>
          <w:noProof/>
        </w:rPr>
        <w:t>кроикономическия растеж. Предвид обаче сравнително малкия мащаб на предложената намеса, както и факта, че въздействието ще обхваща цяла Европа, а няма да е съсредоточено в дадена държава членка или даден сектор, беше невъзможно да се измери реалното иконом</w:t>
      </w:r>
      <w:r>
        <w:rPr>
          <w:noProof/>
        </w:rPr>
        <w:t>ическо въздействие. Също така не бе сметнато за уместно да се извърши задълбочен анализ на въздействията върху околната среда. В предварителната оценка се признава, че подобно на други програми за мобилност, Европейският корпус за солидарност по принцип ще</w:t>
      </w:r>
      <w:r>
        <w:rPr>
          <w:noProof/>
        </w:rPr>
        <w:t xml:space="preserve"> генерира увеличено търсене на транспорт, което на свой ред може потенциално да доведе до увеличаване на емисиите на парникови газове. Този ефект обаче бе счетен за незначителен в сравнение с цялостните потоци на мобилност в Европа. Въпреки това заслужава </w:t>
      </w:r>
      <w:r>
        <w:rPr>
          <w:noProof/>
        </w:rPr>
        <w:t>да се отбележи, че Европейският корпус за солидарност може, като страничен ефект, да играе важна роля за повишаване на осведомеността на младите хора и за мобилизирането им във връзка с въпросите за опазване на околната среда, както бе през първия етап, ко</w:t>
      </w:r>
      <w:r>
        <w:rPr>
          <w:noProof/>
        </w:rPr>
        <w:t>гато по линия на различните програми за подпомагане вече бяха подкрепени множество проекти, свързани с околната среда.</w:t>
      </w:r>
    </w:p>
    <w:p w:rsidR="00222FCC" w:rsidRDefault="00FD122A">
      <w:pPr>
        <w:autoSpaceDE w:val="0"/>
        <w:autoSpaceDN w:val="0"/>
        <w:adjustRightInd w:val="0"/>
        <w:spacing w:after="0"/>
        <w:rPr>
          <w:noProof/>
          <w:szCs w:val="24"/>
        </w:rPr>
      </w:pPr>
      <w:r>
        <w:rPr>
          <w:noProof/>
        </w:rPr>
        <w:t>Настоящото предложение изцяло съответства на предпочитания вариант.</w:t>
      </w:r>
    </w:p>
    <w:p w:rsidR="00222FCC" w:rsidRDefault="00FD122A">
      <w:pPr>
        <w:pStyle w:val="ManualHeading2"/>
        <w:rPr>
          <w:rFonts w:eastAsia="Arial Unicode MS"/>
          <w:noProof/>
          <w:u w:color="000000"/>
          <w:bdr w:val="nil"/>
        </w:rPr>
      </w:pPr>
      <w:r>
        <w:rPr>
          <w:noProof/>
        </w:rPr>
        <w:t>•</w:t>
      </w:r>
      <w:r>
        <w:rPr>
          <w:noProof/>
        </w:rPr>
        <w:tab/>
        <w:t>Основни права</w:t>
      </w:r>
    </w:p>
    <w:p w:rsidR="00222FCC" w:rsidRDefault="00FD122A">
      <w:pPr>
        <w:pBdr>
          <w:top w:val="nil"/>
          <w:left w:val="nil"/>
          <w:bottom w:val="nil"/>
          <w:right w:val="nil"/>
          <w:between w:val="nil"/>
          <w:bar w:val="nil"/>
        </w:pBdr>
        <w:spacing w:before="0" w:after="240"/>
        <w:rPr>
          <w:rFonts w:eastAsia="SimSun"/>
          <w:noProof/>
        </w:rPr>
      </w:pPr>
      <w:r>
        <w:rPr>
          <w:noProof/>
        </w:rPr>
        <w:t xml:space="preserve">Настоящото предложение е изцяло в съответствие с </w:t>
      </w:r>
      <w:r>
        <w:rPr>
          <w:b/>
          <w:noProof/>
        </w:rPr>
        <w:t>Харт</w:t>
      </w:r>
      <w:r>
        <w:rPr>
          <w:b/>
          <w:noProof/>
        </w:rPr>
        <w:t>ата на основните права на ЕС</w:t>
      </w:r>
      <w:r>
        <w:rPr>
          <w:rStyle w:val="FootnoteReference"/>
          <w:noProof/>
        </w:rPr>
        <w:footnoteReference w:id="12"/>
      </w:r>
      <w:r>
        <w:rPr>
          <w:noProof/>
        </w:rPr>
        <w:t>, която потвърждава, че солидарността е една от всеобщите ценности, на които се основава ЕС. Това предложение по-специално взема под внимание изцяло правата и забраните, посочени в член 5 (Забрана на робството и на принудителни</w:t>
      </w:r>
      <w:r>
        <w:rPr>
          <w:noProof/>
        </w:rPr>
        <w:t xml:space="preserve">я труд), член 14 (Право на образование), член 15 (Свобода при избор на професия и право на труд), член 21 (Недискриминация), член 24 (Правата на детето), член 26 (Интеграция на хората с увреждания), член 31 (Справедливи и равни условия на труд), и член 32 </w:t>
      </w:r>
      <w:r>
        <w:rPr>
          <w:noProof/>
        </w:rPr>
        <w:t>(Забрана на детския труд и защита на работещите младежи) от Хартата.</w:t>
      </w:r>
    </w:p>
    <w:p w:rsidR="00222FCC" w:rsidRDefault="00FD122A">
      <w:pPr>
        <w:pStyle w:val="ManualHeading1"/>
        <w:rPr>
          <w:noProof/>
        </w:rPr>
      </w:pPr>
      <w:r>
        <w:rPr>
          <w:noProof/>
        </w:rPr>
        <w:t>4.</w:t>
      </w:r>
      <w:r>
        <w:rPr>
          <w:noProof/>
        </w:rPr>
        <w:tab/>
        <w:t>ОТРАЖЕНИЕ ВЪРХУ БЮДЖЕТА</w:t>
      </w:r>
    </w:p>
    <w:p w:rsidR="00222FCC" w:rsidRDefault="00FD122A">
      <w:pPr>
        <w:pBdr>
          <w:top w:val="nil"/>
          <w:left w:val="nil"/>
          <w:bottom w:val="nil"/>
          <w:right w:val="nil"/>
          <w:between w:val="nil"/>
          <w:bar w:val="nil"/>
        </w:pBdr>
        <w:spacing w:before="0" w:after="240"/>
        <w:rPr>
          <w:noProof/>
        </w:rPr>
      </w:pPr>
      <w:r>
        <w:rPr>
          <w:noProof/>
        </w:rPr>
        <w:t xml:space="preserve">Комисията предлага да финансира три четвърти от бюджета на Европейския корпус за солидарност чрез преразпределение от съществуващи програми. Останалата сума ще </w:t>
      </w:r>
      <w:r>
        <w:rPr>
          <w:noProof/>
        </w:rPr>
        <w:t>бъде покрита чрез мобилизирането на общия марж за поетите задължения през 2018 г. и неразпределения марж през 2019 г. и 2020 г.</w:t>
      </w:r>
    </w:p>
    <w:p w:rsidR="00222FCC" w:rsidRDefault="00FD122A">
      <w:pPr>
        <w:pBdr>
          <w:top w:val="nil"/>
          <w:left w:val="nil"/>
          <w:bottom w:val="nil"/>
          <w:right w:val="nil"/>
          <w:between w:val="nil"/>
          <w:bar w:val="nil"/>
        </w:pBdr>
        <w:spacing w:before="0" w:after="240"/>
        <w:rPr>
          <w:noProof/>
        </w:rPr>
      </w:pPr>
      <w:r>
        <w:rPr>
          <w:noProof/>
        </w:rPr>
        <w:t xml:space="preserve">Основната референтна сума по линия на Функция 1a за периода 2018—2020 г. е 294,2 милиона EUR, което включва преразпределение по </w:t>
      </w:r>
      <w:r>
        <w:rPr>
          <w:noProof/>
        </w:rPr>
        <w:t xml:space="preserve">линия на същите функции от програмата „Еразъм+“ (197,7 милиона EUR) и от Програмата за заетост и социални иновации (10 милиона EUR). </w:t>
      </w:r>
    </w:p>
    <w:p w:rsidR="00222FCC" w:rsidRDefault="00FD122A">
      <w:pPr>
        <w:pBdr>
          <w:top w:val="nil"/>
          <w:left w:val="nil"/>
          <w:bottom w:val="nil"/>
          <w:right w:val="nil"/>
          <w:between w:val="nil"/>
          <w:bar w:val="nil"/>
        </w:pBdr>
        <w:spacing w:before="0" w:after="240"/>
        <w:rPr>
          <w:noProof/>
        </w:rPr>
      </w:pPr>
      <w:r>
        <w:rPr>
          <w:noProof/>
        </w:rPr>
        <w:t>Разпределената сума във Функция 1a ще бъде допълнена от вноски от програми по други функции в рамките на разпределените за</w:t>
      </w:r>
      <w:r>
        <w:rPr>
          <w:noProof/>
        </w:rPr>
        <w:t xml:space="preserve"> тях финансови средства, в съответствие с целта за интегриране на дейностите за солидарност в различни програми на ЕС и средства от бюджета на ЕС. Общата предложена сума за вноски от други функции е 47,3 милиона EUR и се основава на следните участващи прог</w:t>
      </w:r>
      <w:r>
        <w:rPr>
          <w:noProof/>
        </w:rPr>
        <w:t>рами: Европейски социален фонд (35 милиона EUR), Механизъм за гражданска защита на Съюза (6 милиона EUR), Програма LIFE (4,5 милиона EUR) и Европейският земеделски фонд за развитие на селските райони (1,8 милиона EUR).</w:t>
      </w:r>
    </w:p>
    <w:p w:rsidR="00222FCC" w:rsidRDefault="00FD122A">
      <w:pPr>
        <w:pBdr>
          <w:top w:val="nil"/>
          <w:left w:val="nil"/>
          <w:bottom w:val="nil"/>
          <w:right w:val="nil"/>
          <w:between w:val="nil"/>
          <w:bar w:val="nil"/>
        </w:pBdr>
        <w:spacing w:before="0" w:after="240"/>
        <w:rPr>
          <w:rFonts w:eastAsia="Arial Unicode MS"/>
          <w:noProof/>
        </w:rPr>
      </w:pPr>
      <w:r>
        <w:rPr>
          <w:noProof/>
        </w:rPr>
        <w:t xml:space="preserve">Подробното бюджетно и финансово отражение на предложението е посочено в законодателната финансова обосновка, приложена към предложението. </w:t>
      </w:r>
    </w:p>
    <w:p w:rsidR="00222FCC" w:rsidRDefault="00FD122A">
      <w:pPr>
        <w:pStyle w:val="ManualHeading1"/>
        <w:rPr>
          <w:noProof/>
        </w:rPr>
      </w:pPr>
      <w:r>
        <w:rPr>
          <w:noProof/>
        </w:rPr>
        <w:t>5.</w:t>
      </w:r>
      <w:r>
        <w:rPr>
          <w:noProof/>
        </w:rPr>
        <w:tab/>
        <w:t>ДРУГИ ЕЛЕМЕНТИ</w:t>
      </w:r>
    </w:p>
    <w:p w:rsidR="00222FCC" w:rsidRDefault="00FD122A">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rsidR="00222FCC" w:rsidRDefault="00FD122A">
      <w:pPr>
        <w:pBdr>
          <w:top w:val="nil"/>
          <w:left w:val="nil"/>
          <w:bottom w:val="nil"/>
          <w:right w:val="nil"/>
          <w:between w:val="nil"/>
          <w:bar w:val="nil"/>
        </w:pBdr>
        <w:spacing w:before="0" w:after="240"/>
        <w:rPr>
          <w:rFonts w:eastAsia="Arial Unicode MS"/>
          <w:noProof/>
        </w:rPr>
      </w:pPr>
      <w:r>
        <w:rPr>
          <w:noProof/>
        </w:rPr>
        <w:t>В съответствие с анализа, на</w:t>
      </w:r>
      <w:r>
        <w:rPr>
          <w:noProof/>
        </w:rPr>
        <w:t>правен в контекста на предварителната оценка, приложена към настоящото предложение, и за да се осигури ефективно и ефикасно изпълнение и полезни взаимодействия, и да се намали до минимум административната тежест, Европейският корпус за солидарност ще изпол</w:t>
      </w:r>
      <w:r>
        <w:rPr>
          <w:noProof/>
        </w:rPr>
        <w:t>зва съществуващите механизми за управление и изпълнение, вече създадени за програмата „Еразъм+“. Въз основа на положителния опит от изпълнението на тази програма, както и нейните структури, предложението осигурява ясно разделение на програмните задачи за у</w:t>
      </w:r>
      <w:r>
        <w:rPr>
          <w:noProof/>
        </w:rPr>
        <w:t>правление между Комисията, националните агенции, създадени по програма „Еразъм+“ и Изпълнителната агенция за образование, аудиовизия и култура (ИАОАК). От нейното създаване през 2006 г. до сега ИАОАК успешно реализира части от програмите „Еразъм+“, „Творче</w:t>
      </w:r>
      <w:r>
        <w:rPr>
          <w:noProof/>
        </w:rPr>
        <w:t>ска Европа“, „Европа за гражданите“ и „Доброволци на ЕС за хуманитарна помощ“ (и програмите — техни предшественици) в съответствие с високи стандарти, както потвърждават няколко независими външни оценки. Съгласно изискванията, посочени в Регламент (ЕО) № 5</w:t>
      </w:r>
      <w:r>
        <w:rPr>
          <w:noProof/>
        </w:rPr>
        <w:t>8/2003, с който се определя статута на изпълнителните агенции</w:t>
      </w:r>
      <w:r>
        <w:rPr>
          <w:rStyle w:val="FootnoteReference"/>
          <w:noProof/>
          <w:u w:color="000000"/>
          <w:bdr w:val="nil"/>
        </w:rPr>
        <w:footnoteReference w:id="13"/>
      </w:r>
      <w:r>
        <w:rPr>
          <w:noProof/>
        </w:rPr>
        <w:t>, преди делегирането на програми на изпълнителните агенции бе направен анализ на разходите и ползите, който показа ефективността на разходите от използването на ИАОАК за определени задачи, свърз</w:t>
      </w:r>
      <w:r>
        <w:rPr>
          <w:noProof/>
        </w:rPr>
        <w:t>ани с изпълнението на Европейския корпус за солидарност. Успоредно с това успешният модел на национални агенции по програмата „Еразъм+“ показа видими резултати и ефективност, съчетани с високо равнище на сигурност и добро финансово управление.</w:t>
      </w:r>
    </w:p>
    <w:p w:rsidR="00222FCC" w:rsidRDefault="00FD122A">
      <w:pPr>
        <w:pBdr>
          <w:top w:val="nil"/>
          <w:left w:val="nil"/>
          <w:bottom w:val="nil"/>
          <w:right w:val="nil"/>
          <w:between w:val="nil"/>
          <w:bar w:val="nil"/>
        </w:pBdr>
        <w:spacing w:before="0" w:after="240"/>
        <w:rPr>
          <w:noProof/>
        </w:rPr>
      </w:pPr>
      <w:r>
        <w:rPr>
          <w:noProof/>
        </w:rPr>
        <w:t>Механизмът з</w:t>
      </w:r>
      <w:r>
        <w:rPr>
          <w:noProof/>
        </w:rPr>
        <w:t>а мониторинг и оценка на Европейския корпус за солидарност ще обхваща постоянен мониторинг за определяне на напредъка и оценка за оценяване на съществуващите данни относно ефективността на постигнатите резултати.</w:t>
      </w:r>
    </w:p>
    <w:p w:rsidR="00222FCC" w:rsidRDefault="00FD122A">
      <w:pPr>
        <w:pBdr>
          <w:top w:val="nil"/>
          <w:left w:val="nil"/>
          <w:bottom w:val="nil"/>
          <w:right w:val="nil"/>
          <w:between w:val="nil"/>
          <w:bar w:val="nil"/>
        </w:pBdr>
        <w:spacing w:before="0" w:after="240"/>
        <w:rPr>
          <w:noProof/>
        </w:rPr>
      </w:pPr>
      <w:r>
        <w:rPr>
          <w:noProof/>
        </w:rPr>
        <w:t>Мерките за мониторинг ще се основават на об</w:t>
      </w:r>
      <w:r>
        <w:rPr>
          <w:noProof/>
        </w:rPr>
        <w:t>стоен анализ на количествените и качествените крайни продукти на Европейския корпус за солидарност. Количествените крайни продукти ще се събират систематично чрез информационните системи, въведени за управлението на дейността на Европейския корпус за солид</w:t>
      </w:r>
      <w:r>
        <w:rPr>
          <w:noProof/>
        </w:rPr>
        <w:t>арност. Качествените крайни продукти ще се наблюдават чрез периодични проучвания, обхващащи както участващи граждани, така и участващи организации. Мерките за докладване и оценка от всички изпълнителни органи ще осигурят подробно наблюдение на изпълнението</w:t>
      </w:r>
      <w:r>
        <w:rPr>
          <w:noProof/>
        </w:rPr>
        <w:t xml:space="preserve"> на предложението.</w:t>
      </w:r>
    </w:p>
    <w:p w:rsidR="00222FCC" w:rsidRDefault="00FD122A">
      <w:pPr>
        <w:pBdr>
          <w:top w:val="nil"/>
          <w:left w:val="nil"/>
          <w:bottom w:val="nil"/>
          <w:right w:val="nil"/>
          <w:between w:val="nil"/>
          <w:bar w:val="nil"/>
        </w:pBdr>
        <w:spacing w:before="0" w:after="240"/>
        <w:rPr>
          <w:noProof/>
        </w:rPr>
      </w:pPr>
      <w:r>
        <w:rPr>
          <w:noProof/>
        </w:rPr>
        <w:t>През 2020 г. Комисията ще публикува доклад за напредъка към постигане на целта по линия на Европейския корпус за солидарност да бъдат предложени възможности за участие на 100 000 млади хора. Предложението също ще бъде подложено на незави</w:t>
      </w:r>
      <w:r>
        <w:rPr>
          <w:noProof/>
        </w:rPr>
        <w:t>сима оценка четири години след датата на неговото прилагане, за да се оценят качествените крайни продукти от подпомаганите дейности, включително тяхното въздействие върху младите хора и организациите. При оценката следва да се вземат под внимание съществув</w:t>
      </w:r>
      <w:r>
        <w:rPr>
          <w:noProof/>
        </w:rPr>
        <w:t>ащите данни за ефективността и отражението на резултатите, постигнати от Европейския корпус за солидарност. Източниците за проверка ще включват данните от мониторинг, информацията, включена в работните планове и в докладите на изпълнителните органи, резулт</w:t>
      </w:r>
      <w:r>
        <w:rPr>
          <w:noProof/>
        </w:rPr>
        <w:t>атите от разпространението на информация, основани на факти проучвания, анкети и др.</w:t>
      </w:r>
    </w:p>
    <w:p w:rsidR="00222FCC" w:rsidRDefault="00FD122A">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rsidR="00222FCC" w:rsidRDefault="00FD122A">
      <w:pPr>
        <w:pBdr>
          <w:top w:val="nil"/>
          <w:left w:val="nil"/>
          <w:bottom w:val="nil"/>
          <w:right w:val="nil"/>
          <w:between w:val="nil"/>
          <w:bar w:val="nil"/>
        </w:pBdr>
        <w:spacing w:before="0" w:after="240"/>
        <w:rPr>
          <w:noProof/>
          <w:u w:color="000000"/>
          <w:bdr w:val="nil"/>
        </w:rPr>
      </w:pPr>
      <w:r>
        <w:rPr>
          <w:i/>
          <w:noProof/>
        </w:rPr>
        <w:t>Глава I — Общи разпоредби</w:t>
      </w:r>
      <w:r>
        <w:rPr>
          <w:noProof/>
        </w:rPr>
        <w:t xml:space="preserve"> от предложения регламент определя неговия предмет, дефинициите на определени пов</w:t>
      </w:r>
      <w:r>
        <w:rPr>
          <w:noProof/>
        </w:rPr>
        <w:t xml:space="preserve">тарящи се понятия, общите и конкретните цели на дейността на Европейския корпус за солидарност, както и съгласуваността и взаимното допълване на действията на Съюза. Европейският корпус за солидарност има за цел да се повиши ангажираността на младите хора </w:t>
      </w:r>
      <w:r>
        <w:rPr>
          <w:noProof/>
        </w:rPr>
        <w:t>и на организациите по отношение на достъпни за всички млади хора и висококачествени дейности за солидарност, като начин да се допринесе за по-тясно сближаване и солидарност в Европа, да се подпомогнат общностите и да се намери отговор на обществените преди</w:t>
      </w:r>
      <w:r>
        <w:rPr>
          <w:noProof/>
        </w:rPr>
        <w:t>звикателства.</w:t>
      </w:r>
    </w:p>
    <w:p w:rsidR="00222FCC" w:rsidRDefault="00FD122A">
      <w:pPr>
        <w:pBdr>
          <w:top w:val="nil"/>
          <w:left w:val="nil"/>
          <w:bottom w:val="nil"/>
          <w:right w:val="nil"/>
          <w:between w:val="nil"/>
          <w:bar w:val="nil"/>
        </w:pBdr>
        <w:spacing w:before="0" w:after="240"/>
        <w:rPr>
          <w:noProof/>
          <w:u w:color="000000"/>
          <w:bdr w:val="nil"/>
        </w:rPr>
      </w:pPr>
      <w:r>
        <w:rPr>
          <w:i/>
          <w:noProof/>
          <w:u w:color="000000"/>
          <w:bdr w:val="nil"/>
        </w:rPr>
        <w:t>Глава II — Дейност на Европейския корпус за солидарност</w:t>
      </w:r>
      <w:r>
        <w:rPr>
          <w:noProof/>
        </w:rPr>
        <w:t xml:space="preserve"> предоставя описание на дейностите, предвидени за постигането на целите на предложения регламент. Мерките на Съюза за подпомагане включват от една страна назначения за участие в дейности </w:t>
      </w:r>
      <w:r>
        <w:rPr>
          <w:noProof/>
        </w:rPr>
        <w:t>за солидарност и проекти за солидарност, дейности за изграждане на мрежи, а от друга — мерки за качество и подпомагане.</w:t>
      </w:r>
    </w:p>
    <w:p w:rsidR="00222FCC" w:rsidRDefault="00FD122A">
      <w:pPr>
        <w:pBdr>
          <w:top w:val="nil"/>
          <w:left w:val="nil"/>
          <w:bottom w:val="nil"/>
          <w:right w:val="nil"/>
          <w:between w:val="nil"/>
          <w:bar w:val="nil"/>
        </w:pBdr>
        <w:spacing w:before="0" w:after="240"/>
        <w:rPr>
          <w:noProof/>
          <w:u w:color="000000"/>
          <w:bdr w:val="nil"/>
        </w:rPr>
      </w:pPr>
      <w:r>
        <w:rPr>
          <w:i/>
          <w:noProof/>
          <w:u w:color="000000"/>
          <w:bdr w:val="nil"/>
        </w:rPr>
        <w:t xml:space="preserve">Глава III — Финансови разпоредби </w:t>
      </w:r>
      <w:r>
        <w:rPr>
          <w:noProof/>
        </w:rPr>
        <w:t>определя бюджетната рамка на Европейския корпус за солидарност за периода 2018—2020 г. и предвидените ф</w:t>
      </w:r>
      <w:r>
        <w:rPr>
          <w:noProof/>
        </w:rPr>
        <w:t>орми на финансиране. Основната референтна сума включва преразпределения от програмата „Еразъм+“ (197,7 милиона EUR) и от Програмата за заетост и социални иновации (10 милиона EUR), както и допълнителни ресурси за финансовите години 2018, 2019 и 2020. Финан</w:t>
      </w:r>
      <w:r>
        <w:rPr>
          <w:noProof/>
        </w:rPr>
        <w:t xml:space="preserve">совият пакет се допълва чрез вноски от различни функции и няколко програми на ЕС. </w:t>
      </w:r>
    </w:p>
    <w:p w:rsidR="00222FCC" w:rsidRDefault="00FD122A">
      <w:pPr>
        <w:pBdr>
          <w:top w:val="nil"/>
          <w:left w:val="nil"/>
          <w:bottom w:val="nil"/>
          <w:right w:val="nil"/>
          <w:between w:val="nil"/>
          <w:bar w:val="nil"/>
        </w:pBdr>
        <w:spacing w:before="0" w:after="240"/>
        <w:rPr>
          <w:noProof/>
          <w:u w:color="000000"/>
          <w:bdr w:val="nil"/>
        </w:rPr>
      </w:pPr>
      <w:r>
        <w:rPr>
          <w:i/>
          <w:noProof/>
          <w:u w:color="000000"/>
          <w:bdr w:val="nil"/>
        </w:rPr>
        <w:t>Глава IV — Участие в Европейския корпус за солидарност</w:t>
      </w:r>
      <w:r>
        <w:rPr>
          <w:noProof/>
        </w:rPr>
        <w:t xml:space="preserve"> определя критерии за участващите държави, граждани и организации. Участващите държави са държавите — членки на ЕС, и е</w:t>
      </w:r>
      <w:r>
        <w:rPr>
          <w:noProof/>
        </w:rPr>
        <w:t>вентуално други държави въз основа на двустранни споразумения. Младите хора на възраст между 17 и 30 години могат да се регистрират в Портала на Европейския корпус за солидарност, а участието им може да започне само когато са на възраст между 18 и 30 годин</w:t>
      </w:r>
      <w:r>
        <w:rPr>
          <w:noProof/>
        </w:rPr>
        <w:t>и. Участваща организация, която може да отправя предложения за назначения или дейности за солидарност към регистрирани лица, е всеки публичен или частен субект или международна организация, който/която изпълнява дейности за солидарност в участващите държав</w:t>
      </w:r>
      <w:r>
        <w:rPr>
          <w:noProof/>
        </w:rPr>
        <w:t>и, при условие, че е получил/а знак за качество, удостоверяващ спазване на изискванията на Европейския корпус за солидарност.</w:t>
      </w:r>
    </w:p>
    <w:p w:rsidR="00222FCC" w:rsidRDefault="00FD122A">
      <w:pPr>
        <w:pBdr>
          <w:top w:val="nil"/>
          <w:left w:val="nil"/>
          <w:bottom w:val="nil"/>
          <w:right w:val="nil"/>
          <w:between w:val="nil"/>
          <w:bar w:val="nil"/>
        </w:pBdr>
        <w:spacing w:before="0" w:after="240"/>
        <w:rPr>
          <w:noProof/>
          <w:u w:color="000000"/>
          <w:bdr w:val="nil"/>
        </w:rPr>
      </w:pPr>
      <w:r>
        <w:rPr>
          <w:i/>
          <w:noProof/>
          <w:u w:color="000000"/>
          <w:bdr w:val="nil"/>
        </w:rPr>
        <w:t>Глава V — Изпълнение, постигнати резултати и разпространение на информация</w:t>
      </w:r>
      <w:r>
        <w:rPr>
          <w:noProof/>
        </w:rPr>
        <w:t xml:space="preserve"> включва разпоредби за Комисията и за участващите държав</w:t>
      </w:r>
      <w:r>
        <w:rPr>
          <w:noProof/>
        </w:rPr>
        <w:t>и за осигуряване на редовен мониторинг, докладване и оценка на дейността на Европейския корпус за солидарност, както и за осигуряване на разпространение на информация, публичност и последващи действия за всички дейности, подпомагани от Европейския корпус з</w:t>
      </w:r>
      <w:r>
        <w:rPr>
          <w:noProof/>
        </w:rPr>
        <w:t>а солидарност.</w:t>
      </w:r>
    </w:p>
    <w:p w:rsidR="00222FCC" w:rsidRDefault="00FD122A">
      <w:pPr>
        <w:pBdr>
          <w:top w:val="nil"/>
          <w:left w:val="nil"/>
          <w:bottom w:val="nil"/>
          <w:right w:val="nil"/>
          <w:between w:val="nil"/>
          <w:bar w:val="nil"/>
        </w:pBdr>
        <w:spacing w:before="0" w:after="240"/>
        <w:rPr>
          <w:rFonts w:eastAsia="Arial Unicode MS"/>
          <w:noProof/>
        </w:rPr>
      </w:pPr>
      <w:r>
        <w:rPr>
          <w:i/>
          <w:noProof/>
          <w:u w:color="000000"/>
          <w:bdr w:val="nil"/>
        </w:rPr>
        <w:t>Глава VI — Система за управление и одит</w:t>
      </w:r>
      <w:r>
        <w:rPr>
          <w:noProof/>
        </w:rPr>
        <w:t xml:space="preserve"> предвижда изпълнителните органи на Европейския корпус за солидарност. По отношение на управлението предложеният начин на изпълнение е съчетание от непряко управление (чрез национални агенции на национа</w:t>
      </w:r>
      <w:r>
        <w:rPr>
          <w:noProof/>
        </w:rPr>
        <w:t>лно равнище) и пряко управление (чрез Комисията на равнище Съюз, включително използването на изпълнителна агенция въз основа на анализ разходите и ползите). Съчетаването на различни модели на управление се основава на положителния опит от изпълнението на п</w:t>
      </w:r>
      <w:r>
        <w:rPr>
          <w:noProof/>
        </w:rPr>
        <w:t>рограма „Еразъм+“ и на съществуващите структури на същата програма. В предложението се предвижда националните органи и националните агенции, определени да управляват младежките дейности по програма „Еразъм+“, да действат също и като национални органи и нац</w:t>
      </w:r>
      <w:r>
        <w:rPr>
          <w:noProof/>
        </w:rPr>
        <w:t xml:space="preserve">ионални агенции на Европейския корпус за солидарност в съответните участващи страни. За държави, в които не са определени национален орган и национална агенция, такива ще бъдат създадени в съответствие с Регламент (ЕС) № 1288/2013. Националните агенции ще </w:t>
      </w:r>
      <w:r>
        <w:rPr>
          <w:noProof/>
        </w:rPr>
        <w:t>отговарят за главната част от средствата и ще работят въз основа на споразумение за делегиране. Освен това за някои задачи, свързани с изпълнението на Европейския корпус за солидарност, Комисията ще използва Изпълнителната агенция за образование, аудиовизи</w:t>
      </w:r>
      <w:r>
        <w:rPr>
          <w:noProof/>
        </w:rPr>
        <w:t>я и култура. При прилагането на настоящия регламент Комисията ще изпълнява задачи, предполагащи избор, свързани с политиката, по-специално определяне на цели и приоритети, приемане на работни програми (включително решения относно финансиране), представител</w:t>
      </w:r>
      <w:r>
        <w:rPr>
          <w:noProof/>
        </w:rPr>
        <w:t>ство на Комисията в комитета на програмата, и др. Изпълнителната агенция ще отговаря за изпълнението на задачи като например стартиране и приключване на процедури за отпускане на безвъзмездни средства и за възлагане на обществени поръчки, мониторинг на про</w:t>
      </w:r>
      <w:r>
        <w:rPr>
          <w:noProof/>
        </w:rPr>
        <w:t>екти, финансов контрол и счетоводство, съдействие при оценяване на програмата и различни помощни задачи.</w:t>
      </w:r>
    </w:p>
    <w:p w:rsidR="00222FCC" w:rsidRDefault="00FD122A">
      <w:pPr>
        <w:pBdr>
          <w:top w:val="nil"/>
          <w:left w:val="nil"/>
          <w:bottom w:val="nil"/>
          <w:right w:val="nil"/>
          <w:between w:val="nil"/>
          <w:bar w:val="nil"/>
        </w:pBdr>
        <w:spacing w:before="0" w:after="240"/>
        <w:rPr>
          <w:rFonts w:eastAsia="Arial Unicode MS"/>
          <w:noProof/>
        </w:rPr>
      </w:pPr>
      <w:r>
        <w:rPr>
          <w:i/>
          <w:noProof/>
        </w:rPr>
        <w:t>Глава VII — Система за контрол</w:t>
      </w:r>
      <w:r>
        <w:rPr>
          <w:noProof/>
        </w:rPr>
        <w:t xml:space="preserve"> предвижда необходимата система за надзор, предназначена да гарантира, че защитата на финансовите интереси на Съюза надле</w:t>
      </w:r>
      <w:r>
        <w:rPr>
          <w:noProof/>
        </w:rPr>
        <w:t>жно се взема под внимание при изпълнението на дейности, финансирани съгласно Регламента за Европейския корпус за солидарност.</w:t>
      </w:r>
    </w:p>
    <w:p w:rsidR="00222FCC" w:rsidRDefault="00FD122A">
      <w:pPr>
        <w:pBdr>
          <w:top w:val="nil"/>
          <w:left w:val="nil"/>
          <w:bottom w:val="nil"/>
          <w:right w:val="nil"/>
          <w:between w:val="nil"/>
          <w:bar w:val="nil"/>
        </w:pBdr>
        <w:spacing w:before="0" w:after="240"/>
        <w:rPr>
          <w:rFonts w:eastAsia="Arial Unicode MS"/>
          <w:noProof/>
        </w:rPr>
      </w:pPr>
      <w:r>
        <w:rPr>
          <w:i/>
          <w:noProof/>
        </w:rPr>
        <w:t>Глава VIII — Правила за прилагане</w:t>
      </w:r>
      <w:r>
        <w:rPr>
          <w:noProof/>
        </w:rPr>
        <w:t xml:space="preserve"> съдържа необходимите разпоредби за предоставяне на Комисията на определени пълномощия да приема </w:t>
      </w:r>
      <w:r>
        <w:rPr>
          <w:noProof/>
        </w:rPr>
        <w:t>работни програми чрез актове за изпълнение. Що се отнася до комитета, предвиден съгласно Регламент (ЕС) № 182/2011</w:t>
      </w:r>
      <w:r>
        <w:rPr>
          <w:rStyle w:val="FootnoteReference"/>
          <w:noProof/>
        </w:rPr>
        <w:footnoteReference w:id="14"/>
      </w:r>
      <w:r>
        <w:rPr>
          <w:noProof/>
        </w:rPr>
        <w:t>, за да подпомага Комисията при приемането на актове за изпълнение, с предложението се номинира комитета, създаден съгласно член 36 от Реглам</w:t>
      </w:r>
      <w:r>
        <w:rPr>
          <w:noProof/>
        </w:rPr>
        <w:t xml:space="preserve">ент (ЕС) № 1288/2013 за създаване на програмата „Еразъм+“. Комитетът ще работи в различни конфигурации („Еразъм+“ и Европейски корпус за солидарност) с възможност държавите членки да номинират свои делегати за различните конфигурации. </w:t>
      </w:r>
    </w:p>
    <w:p w:rsidR="00222FCC" w:rsidRDefault="00FD122A">
      <w:pPr>
        <w:pBdr>
          <w:top w:val="nil"/>
          <w:left w:val="nil"/>
          <w:bottom w:val="nil"/>
          <w:right w:val="nil"/>
          <w:between w:val="nil"/>
          <w:bar w:val="nil"/>
        </w:pBdr>
        <w:spacing w:before="0" w:after="240"/>
        <w:rPr>
          <w:rFonts w:eastAsia="Arial Unicode MS"/>
          <w:noProof/>
        </w:rPr>
      </w:pPr>
      <w:r>
        <w:rPr>
          <w:i/>
          <w:noProof/>
        </w:rPr>
        <w:t>Глава IX — Изменения</w:t>
      </w:r>
      <w:r>
        <w:rPr>
          <w:i/>
          <w:noProof/>
        </w:rPr>
        <w:t xml:space="preserve"> и заключителни разпоредби</w:t>
      </w:r>
      <w:r>
        <w:rPr>
          <w:noProof/>
        </w:rPr>
        <w:t xml:space="preserve"> дава необходимите изменения на основните актове на онези програми, по линия на които се пренасочват средства от техните финансови пакети за периода 2014—2020 г. към Европейския корпус за солидарност. В заключителните разпоредби с</w:t>
      </w:r>
      <w:r>
        <w:rPr>
          <w:noProof/>
        </w:rPr>
        <w:t>е посочва датата на влизане в сила на предложения регламент, който е задължителен в своята цялост и се прилага пряко във всички държави членки от 1 януари 2018 г.</w:t>
      </w:r>
    </w:p>
    <w:p w:rsidR="00222FCC" w:rsidRDefault="00222FCC">
      <w:pPr>
        <w:rPr>
          <w:noProof/>
        </w:rPr>
        <w:sectPr w:rsidR="00222FCC">
          <w:footerReference w:type="default" r:id="rId15"/>
          <w:footerReference w:type="first" r:id="rId16"/>
          <w:pgSz w:w="11907" w:h="16839"/>
          <w:pgMar w:top="1134" w:right="1417" w:bottom="1134" w:left="1417" w:header="709" w:footer="709" w:gutter="0"/>
          <w:cols w:space="720"/>
          <w:docGrid w:linePitch="360"/>
        </w:sectPr>
      </w:pPr>
    </w:p>
    <w:p w:rsidR="00222FCC" w:rsidRDefault="00FD122A">
      <w:pPr>
        <w:pStyle w:val="Rfrenceinterinstitutionnelle"/>
        <w:rPr>
          <w:noProof/>
        </w:rPr>
      </w:pPr>
      <w:r>
        <w:rPr>
          <w:noProof/>
        </w:rPr>
        <w:t>2017/0102 (COD)</w:t>
      </w:r>
    </w:p>
    <w:p w:rsidR="00222FCC" w:rsidRDefault="00FD122A">
      <w:pPr>
        <w:pStyle w:val="Statut"/>
        <w:rPr>
          <w:noProof/>
        </w:rPr>
      </w:pPr>
      <w:r>
        <w:rPr>
          <w:noProof/>
        </w:rPr>
        <w:t>Предложение за</w:t>
      </w:r>
    </w:p>
    <w:p w:rsidR="00222FCC" w:rsidRDefault="00FD122A">
      <w:pPr>
        <w:pStyle w:val="Typedudocument"/>
        <w:rPr>
          <w:noProof/>
        </w:rPr>
      </w:pPr>
      <w:r>
        <w:rPr>
          <w:noProof/>
        </w:rPr>
        <w:t>РЕГЛАМЕНТ НА ЕВРОПЕЙСКИЯ ПАРЛАМЕНТ И НА СЪВЕТА</w:t>
      </w:r>
    </w:p>
    <w:p w:rsidR="00222FCC" w:rsidRDefault="00FD122A">
      <w:pPr>
        <w:pStyle w:val="Titreobjet"/>
        <w:rPr>
          <w:noProof/>
        </w:rPr>
      </w:pPr>
      <w:r>
        <w:rPr>
          <w:noProof/>
        </w:rPr>
        <w:t xml:space="preserve">за определяне на правната рамка на Европейския корпус за солидарност и за изменение на регламенти (ЕС) № 1288/2013, (ЕС) № 1293/2013, (ЕС) № 1303/2013, (ЕС) </w:t>
      </w:r>
      <w:r>
        <w:rPr>
          <w:noProof/>
        </w:rPr>
        <w:t>№ 1305/2013, (ЕС) № 1306/2013 и Решение № 1313/2013/ЕС</w:t>
      </w:r>
    </w:p>
    <w:p w:rsidR="00222FCC" w:rsidRDefault="00FD122A">
      <w:pPr>
        <w:pStyle w:val="Institutionquiagit"/>
        <w:rPr>
          <w:noProof/>
        </w:rPr>
      </w:pPr>
      <w:r>
        <w:rPr>
          <w:noProof/>
        </w:rPr>
        <w:t>ЕВРОПЕЙСКИЯТ ПАРЛАМЕНТ И СЪВЕТЪТ НА ЕВРОПЕЙСКИЯ СЪЮЗ,</w:t>
      </w:r>
    </w:p>
    <w:p w:rsidR="00222FCC" w:rsidRDefault="00FD122A">
      <w:pPr>
        <w:rPr>
          <w:noProof/>
        </w:rPr>
      </w:pPr>
      <w:r>
        <w:rPr>
          <w:noProof/>
        </w:rPr>
        <w:t>като взеха предвид Договора за функционирането на Европейския съюз, и по-специално член 165, параграф 4 и член 166, параграф 4 от него,</w:t>
      </w:r>
    </w:p>
    <w:p w:rsidR="00222FCC" w:rsidRDefault="00FD122A">
      <w:pPr>
        <w:rPr>
          <w:noProof/>
        </w:rPr>
      </w:pPr>
      <w:r>
        <w:rPr>
          <w:noProof/>
        </w:rPr>
        <w:t xml:space="preserve">като взеха </w:t>
      </w:r>
      <w:r>
        <w:rPr>
          <w:noProof/>
        </w:rPr>
        <w:t>предвид предложението на Европейската комисия,</w:t>
      </w:r>
    </w:p>
    <w:p w:rsidR="00222FCC" w:rsidRDefault="00FD122A">
      <w:pPr>
        <w:rPr>
          <w:noProof/>
        </w:rPr>
      </w:pPr>
      <w:r>
        <w:rPr>
          <w:noProof/>
        </w:rPr>
        <w:t>след предаване на проекта на законодателния акт на националните парламенти,</w:t>
      </w:r>
    </w:p>
    <w:p w:rsidR="00222FCC" w:rsidRDefault="00FD122A">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5"/>
      </w:r>
      <w:r>
        <w:rPr>
          <w:noProof/>
        </w:rPr>
        <w:t>,</w:t>
      </w:r>
    </w:p>
    <w:p w:rsidR="00222FCC" w:rsidRDefault="00FD122A">
      <w:pPr>
        <w:rPr>
          <w:noProof/>
        </w:rPr>
      </w:pPr>
      <w:r>
        <w:rPr>
          <w:noProof/>
        </w:rPr>
        <w:t>като взеха предвид становището на Комитета на региони</w:t>
      </w:r>
      <w:r>
        <w:rPr>
          <w:noProof/>
        </w:rPr>
        <w:t>те</w:t>
      </w:r>
      <w:r>
        <w:rPr>
          <w:rStyle w:val="FootnoteReference"/>
          <w:noProof/>
        </w:rPr>
        <w:footnoteReference w:id="16"/>
      </w:r>
      <w:r>
        <w:rPr>
          <w:noProof/>
        </w:rPr>
        <w:t>,</w:t>
      </w:r>
    </w:p>
    <w:p w:rsidR="00222FCC" w:rsidRDefault="00FD122A">
      <w:pPr>
        <w:rPr>
          <w:noProof/>
        </w:rPr>
      </w:pPr>
      <w:r>
        <w:rPr>
          <w:noProof/>
        </w:rPr>
        <w:t>в съответствие с обикновената законодателна процедура</w:t>
      </w:r>
      <w:r>
        <w:rPr>
          <w:rStyle w:val="FootnoteReference"/>
          <w:noProof/>
        </w:rPr>
        <w:footnoteReference w:id="17"/>
      </w:r>
      <w:r>
        <w:rPr>
          <w:noProof/>
        </w:rPr>
        <w:t>,</w:t>
      </w:r>
    </w:p>
    <w:p w:rsidR="00222FCC" w:rsidRDefault="00FD122A">
      <w:pPr>
        <w:rPr>
          <w:noProof/>
        </w:rPr>
      </w:pPr>
      <w:r>
        <w:rPr>
          <w:noProof/>
        </w:rPr>
        <w:t>като имат предвид, че:</w:t>
      </w:r>
    </w:p>
    <w:p w:rsidR="00222FCC" w:rsidRDefault="00FD122A">
      <w:pPr>
        <w:pStyle w:val="ManualConsidrant"/>
        <w:rPr>
          <w:noProof/>
        </w:rPr>
      </w:pPr>
      <w:r>
        <w:t>(1)</w:t>
      </w:r>
      <w:r>
        <w:tab/>
      </w:r>
      <w:r>
        <w:rPr>
          <w:noProof/>
        </w:rPr>
        <w:t>Европейският съюз се гради на солидарност между неговите граждани и между държавите членки. Тази обща ценност ръководи неговите действия и осигурява необходимото единст</w:t>
      </w:r>
      <w:r>
        <w:rPr>
          <w:noProof/>
        </w:rPr>
        <w:t>во за справяне със сегашните и бъдещите обществени предизвикателства, за преодоляването на които младите европейци имат желание да помогнат като изразят своята солидарност на практика.</w:t>
      </w:r>
    </w:p>
    <w:p w:rsidR="00222FCC" w:rsidRDefault="00FD122A">
      <w:pPr>
        <w:pStyle w:val="ManualConsidrant"/>
        <w:rPr>
          <w:noProof/>
        </w:rPr>
      </w:pPr>
      <w:r>
        <w:t>(2)</w:t>
      </w:r>
      <w:r>
        <w:tab/>
      </w:r>
      <w:r>
        <w:rPr>
          <w:noProof/>
        </w:rPr>
        <w:t>В речта от 14 септември 2016 г. за състоянието на Съюза</w:t>
      </w:r>
      <w:r>
        <w:rPr>
          <w:rStyle w:val="FootnoteReference"/>
          <w:noProof/>
        </w:rPr>
        <w:footnoteReference w:id="18"/>
      </w:r>
      <w:r>
        <w:rPr>
          <w:noProof/>
        </w:rPr>
        <w:t xml:space="preserve"> се подчерт</w:t>
      </w:r>
      <w:r>
        <w:rPr>
          <w:noProof/>
        </w:rPr>
        <w:t>ава необходимостта да се инвестира в младите хора и се обявява създаването на Европейски корпус за солидарност с цел да се създадат възможности за младите хора в целия Европейски съюз, за да могат да допринасят в значителна степен за обществото, да проявяв</w:t>
      </w:r>
      <w:r>
        <w:rPr>
          <w:noProof/>
        </w:rPr>
        <w:t>ат солидарност и да развиват уменията си, като по този начин ще се сдобият не само с работа, но и с безценен човешки опит.</w:t>
      </w:r>
    </w:p>
    <w:p w:rsidR="00222FCC" w:rsidRDefault="00FD122A">
      <w:pPr>
        <w:pStyle w:val="ManualConsidrant"/>
        <w:rPr>
          <w:noProof/>
        </w:rPr>
      </w:pPr>
      <w:r>
        <w:t>(3)</w:t>
      </w:r>
      <w:r>
        <w:tab/>
      </w:r>
      <w:r>
        <w:rPr>
          <w:noProof/>
        </w:rPr>
        <w:t>В своето съобщение от 7 декември 2016 г., озаглавено „Европейски корпус за солидарност“</w:t>
      </w:r>
      <w:r>
        <w:rPr>
          <w:rStyle w:val="FootnoteReference"/>
          <w:noProof/>
        </w:rPr>
        <w:footnoteReference w:id="19"/>
      </w:r>
      <w:r>
        <w:rPr>
          <w:noProof/>
        </w:rPr>
        <w:t xml:space="preserve">, Комисията изтъкна необходимостта да се </w:t>
      </w:r>
      <w:r>
        <w:rPr>
          <w:noProof/>
        </w:rPr>
        <w:t>укрепят основите за предприемането на действия за солидарност в цяла Европа, да се предоставят на младите хора повече и по-добри възможности за дейности за солидарност, които обхващат много различни области, и да се подпомагат националните и местните дейст</w:t>
      </w:r>
      <w:r>
        <w:rPr>
          <w:noProof/>
        </w:rPr>
        <w:t>ващи лица в техните усилия за справяне с различни предизвикателства и кризи. Комисията стартира първия етап на Европейския корпус за солидарност, при който бяха мобилизирани осем различни програми на Съюза с цел на младите хора в целия ЕС да бъдат предложе</w:t>
      </w:r>
      <w:r>
        <w:rPr>
          <w:noProof/>
        </w:rPr>
        <w:t>ни възможности за доброволчество, стаж или работа. По отношение на тези дейности, независимо дали те са били изпълнени преди или след влизането в сила на настоящия регламент, следва да продължат да се прилагат правилата и условията, определени от съответни</w:t>
      </w:r>
      <w:r>
        <w:rPr>
          <w:noProof/>
        </w:rPr>
        <w:t>те програми на Съюза, които са ги финансирали през първата фаза на Европейския корпус за солидарност.</w:t>
      </w:r>
    </w:p>
    <w:p w:rsidR="00222FCC" w:rsidRDefault="00FD122A">
      <w:pPr>
        <w:pStyle w:val="ManualConsidrant"/>
        <w:rPr>
          <w:noProof/>
        </w:rPr>
      </w:pPr>
      <w:r>
        <w:t>(4)</w:t>
      </w:r>
      <w:r>
        <w:tab/>
      </w:r>
      <w:r>
        <w:rPr>
          <w:noProof/>
        </w:rPr>
        <w:t>На младите хора би трябвало да се предоставят лесно достъпни възможности за участие в дейности за солидарност, които могат да им дадат възможност да и</w:t>
      </w:r>
      <w:r>
        <w:rPr>
          <w:noProof/>
        </w:rPr>
        <w:t>зразят ангажираността си в полза на общностите, като същевременно придобиват полезен опит, умения и компетенции за своето личностно, образователно, социално, гражданско и професионално развитие и по този начин подобряват своята пригодност за заетост. С тез</w:t>
      </w:r>
      <w:r>
        <w:rPr>
          <w:noProof/>
        </w:rPr>
        <w:t>и дейности ще бъдат подкрепяна също така мобилността на младите доброволци, стажанти и работещи лица.</w:t>
      </w:r>
    </w:p>
    <w:p w:rsidR="00222FCC" w:rsidRDefault="00FD122A">
      <w:pPr>
        <w:pStyle w:val="ManualConsidrant"/>
        <w:rPr>
          <w:noProof/>
        </w:rPr>
      </w:pPr>
      <w:r>
        <w:t>(5)</w:t>
      </w:r>
      <w:r>
        <w:tab/>
      </w:r>
      <w:r>
        <w:rPr>
          <w:noProof/>
        </w:rPr>
        <w:t>Дейностите за солидарност, предлагани на младите хора, следва да са с високо качество, в смисъл че следва да отговарят на неудовлетворени обществени п</w:t>
      </w:r>
      <w:r>
        <w:rPr>
          <w:noProof/>
        </w:rPr>
        <w:t>отребности, да допринасят за укрепване на общностите, да предлагат на младите хора възможност да придобият ценни знания и компетенции, да са финансово достъпни за младите хора и да се изпълняват в безопасни и здравословни условия.</w:t>
      </w:r>
    </w:p>
    <w:p w:rsidR="00222FCC" w:rsidRDefault="00FD122A">
      <w:pPr>
        <w:pStyle w:val="ManualConsidrant"/>
        <w:rPr>
          <w:noProof/>
        </w:rPr>
      </w:pPr>
      <w:r>
        <w:t>(6)</w:t>
      </w:r>
      <w:r>
        <w:tab/>
      </w:r>
      <w:r>
        <w:rPr>
          <w:noProof/>
        </w:rPr>
        <w:t>Европейският корпус з</w:t>
      </w:r>
      <w:r>
        <w:rPr>
          <w:noProof/>
        </w:rPr>
        <w:t>а солидарност ще осигури единствен входен пункт към дейностите за солидарност в целия Европейски съюз. Следва да се осигури съгласуваност и допълване на тази рамка с други уместни политики и програми на Съюза. Европейският корпус за солидарност ще надгражд</w:t>
      </w:r>
      <w:r>
        <w:rPr>
          <w:noProof/>
        </w:rPr>
        <w:t>а върху полезните взаимодействия и опита от съществуващи програми, особено на Европейската доброволческа служба. Той следва също така да допълва усилията на държавите членки за подкрепа на младите хора и за улесняване на прехода от училищния към трудовия ж</w:t>
      </w:r>
      <w:r>
        <w:rPr>
          <w:noProof/>
        </w:rPr>
        <w:t>ивот чрез програмата „Гаранция за младежта“</w:t>
      </w:r>
      <w:r>
        <w:rPr>
          <w:rStyle w:val="FootnoteReference"/>
          <w:noProof/>
        </w:rPr>
        <w:footnoteReference w:id="20"/>
      </w:r>
      <w:r>
        <w:rPr>
          <w:noProof/>
        </w:rPr>
        <w:t>, предоставяйки им допълнителни възможности за старт на пазара на труда под формата на стажове или работа в области, свързани със солидарността, в собствените им държави членки или в чужбина. Следва да се осигури</w:t>
      </w:r>
      <w:r>
        <w:rPr>
          <w:noProof/>
        </w:rPr>
        <w:t xml:space="preserve"> също и взаимно допълване със съществуващи мрежи на равнище ЕС, свързани с дейностите на Европейския корпус за солидарност, като например Европейската мрежа на публичните служби по заетостта, „EURES“ и мрежата „Евродеск“. Освен това следва да се осигури вз</w:t>
      </w:r>
      <w:r>
        <w:rPr>
          <w:noProof/>
        </w:rPr>
        <w:t>аимно допълване между съществуващи схеми, свързани със солидарността, по-специално национални схеми за солидарност и схеми за мобилност на млади хора, и Европейския корпус за солидарност, като се основават на добрите практики, където е целесъобразно.</w:t>
      </w:r>
    </w:p>
    <w:p w:rsidR="00222FCC" w:rsidRDefault="00FD122A">
      <w:pPr>
        <w:pStyle w:val="ManualConsidrant"/>
        <w:rPr>
          <w:noProof/>
        </w:rPr>
      </w:pPr>
      <w:r>
        <w:t>(7)</w:t>
      </w:r>
      <w:r>
        <w:tab/>
      </w:r>
      <w:r>
        <w:rPr>
          <w:noProof/>
        </w:rPr>
        <w:t>З</w:t>
      </w:r>
      <w:r>
        <w:rPr>
          <w:noProof/>
        </w:rPr>
        <w:t xml:space="preserve">а да се увеличи до възможно най-голяма степен въздействието на Европейския корпус за солидарност, следва да се създадат разпоредби, позволяващи други програми на Съюза като например фонд „Убежище, миграция и интеграция“, програмата „Европа за гражданите“, </w:t>
      </w:r>
      <w:r>
        <w:rPr>
          <w:noProof/>
        </w:rPr>
        <w:t>Европейския фонд за регионално развитие и програмата „Здраве“ да допринасят за постигане на целите на Европейския корпус за солидарност, като подпомагат дейности в неговия обхват. Този принос следва да се финансира съгласно съответните основни актове на въ</w:t>
      </w:r>
      <w:r>
        <w:rPr>
          <w:noProof/>
        </w:rPr>
        <w:t>просните програми. След като се сдобият с валиден знак за качество на Европейския корпус за солидарност, на бенефициерите ще бъде осигурен достъп до портала на корпуса и ще получат мерките за качество и подпомагане, предоставяни в съответствие с вида предл</w:t>
      </w:r>
      <w:r>
        <w:rPr>
          <w:noProof/>
        </w:rPr>
        <w:t>агана дейност.</w:t>
      </w:r>
    </w:p>
    <w:p w:rsidR="00222FCC" w:rsidRDefault="00FD122A">
      <w:pPr>
        <w:pStyle w:val="ManualConsidrant"/>
        <w:rPr>
          <w:noProof/>
        </w:rPr>
      </w:pPr>
      <w:r>
        <w:t>(8)</w:t>
      </w:r>
      <w:r>
        <w:tab/>
      </w:r>
      <w:r>
        <w:rPr>
          <w:noProof/>
        </w:rPr>
        <w:t>Европейският корпус за солидарност следва да разкрие нови възможности за младите хора да изпълняват назначения за участие в доброволческа дейност, стажове или професионална работа в области, свързани със солидарността, както и да създава</w:t>
      </w:r>
      <w:r>
        <w:rPr>
          <w:noProof/>
        </w:rPr>
        <w:t xml:space="preserve">т и разработват проекти за солидарност по собствена инициатива. Тези възможности би трябвало да допринасят за тяхното личностно, образователно, социално, гражданско и професионално развитие. Европейският корпус за солидарност следва също така да подпомага </w:t>
      </w:r>
      <w:r>
        <w:rPr>
          <w:noProof/>
        </w:rPr>
        <w:t>дейности за изграждане на мрежи за участниците в корпуса и за организациите, както и да прилага мерки за осигуряване на качеството на подпомаганите дейности и да подобри процеса на валидиране на учебните резултати, придобити от тях.</w:t>
      </w:r>
    </w:p>
    <w:p w:rsidR="00222FCC" w:rsidRDefault="00FD122A">
      <w:pPr>
        <w:pStyle w:val="ManualConsidrant"/>
        <w:rPr>
          <w:noProof/>
        </w:rPr>
      </w:pPr>
      <w:r>
        <w:t>(9)</w:t>
      </w:r>
      <w:r>
        <w:tab/>
      </w:r>
      <w:r>
        <w:rPr>
          <w:noProof/>
        </w:rPr>
        <w:t>Доброволческите дей</w:t>
      </w:r>
      <w:r>
        <w:rPr>
          <w:noProof/>
        </w:rPr>
        <w:t>ности предоставят възможности за натрупване на богат опит в контекста на неформалното и самостоятелното учене, което спомага за личностното, социално-образователното и професионалното развитие на младите хора, активно гражданско участие и пригодност за зае</w:t>
      </w:r>
      <w:r>
        <w:rPr>
          <w:noProof/>
        </w:rPr>
        <w:t>тост. Доброволческите дейности не би следвало да оказват неблагоприятно въздействие върху потенциална или съществуваща платена професионална дейност, както и не следва да се разглеждат като заместител на такава дейност. За да се осигури приемственост по от</w:t>
      </w:r>
      <w:r>
        <w:rPr>
          <w:noProof/>
        </w:rPr>
        <w:t>ношение на доброволческите дейности, подпомагани на равнище ЕС, доброволческите дейности в рамките на Европейската доброволческа служба, които са в географския обхват на Европейския корпус за солидарност, следва да се подпомагат от корпуса под формата на д</w:t>
      </w:r>
      <w:r>
        <w:rPr>
          <w:noProof/>
        </w:rPr>
        <w:t>оброволчески назначения в чужбина. Подпомагането на останалите дейности на Европейската доброволческа служба, които са извън географския обхват на Европейския корпус за солидарност, следва да продължи по програмата, създадена с Регламент (ЕС) № 1288/2013 н</w:t>
      </w:r>
      <w:r>
        <w:rPr>
          <w:noProof/>
        </w:rPr>
        <w:t>а Европейския парламент и на Съвета за създаване на „Еразъм+“: програма на Съюза в областта на образованието, обучението, младежта и спорта</w:t>
      </w:r>
      <w:r>
        <w:rPr>
          <w:rStyle w:val="FootnoteReference"/>
          <w:noProof/>
        </w:rPr>
        <w:footnoteReference w:id="21"/>
      </w:r>
      <w:r>
        <w:rPr>
          <w:noProof/>
        </w:rPr>
        <w:t>. По отношение на тълкуването на съответното законодателство на равнище ЕС както доброволческите назначения в чужбин</w:t>
      </w:r>
      <w:r>
        <w:rPr>
          <w:noProof/>
        </w:rPr>
        <w:t>а на Европейския корпус за солидарност, така и доброволческите дейности, чието подпомагане ще продължи съгласно Регламент (ЕС) № 1288/2013, следва да се считат равностойни на дейностите, изпълнявани от Европейската доброволческа служба.</w:t>
      </w:r>
    </w:p>
    <w:p w:rsidR="00222FCC" w:rsidRDefault="00FD122A">
      <w:pPr>
        <w:pStyle w:val="ManualConsidrant"/>
        <w:rPr>
          <w:noProof/>
        </w:rPr>
      </w:pPr>
      <w:r>
        <w:t>(10)</w:t>
      </w:r>
      <w:r>
        <w:tab/>
      </w:r>
      <w:r>
        <w:rPr>
          <w:noProof/>
        </w:rPr>
        <w:t>Стажовете и ра</w:t>
      </w:r>
      <w:r>
        <w:rPr>
          <w:noProof/>
        </w:rPr>
        <w:t>ботата в области, свързани със солидарността, могат да предложат на младите хора допълнителни възможности за старт на пазара на труда, като в същото време допринасят за справяне с ключови обществени предизвикателства. Това може да подпомогне пригодността н</w:t>
      </w:r>
      <w:r>
        <w:rPr>
          <w:noProof/>
        </w:rPr>
        <w:t>а младите хора за заетост и тяхната продуктивност, като улесни прехода им от образование към заетост, който е от основно значение за подобряване на шансовете им на пазара на труда. Назначенията за стажове, предлагани по линия на Европейския корпус за солид</w:t>
      </w:r>
      <w:r>
        <w:rPr>
          <w:noProof/>
        </w:rPr>
        <w:t>арност, би следвало да се заплащат от участващата организация и да следват на принципите за качество, описани в Препоръката на Съвета от 10 март 2014 г. относно рамка за качество на стажовете</w:t>
      </w:r>
      <w:r>
        <w:rPr>
          <w:rStyle w:val="FootnoteReference"/>
          <w:noProof/>
        </w:rPr>
        <w:footnoteReference w:id="22"/>
      </w:r>
      <w:r>
        <w:rPr>
          <w:noProof/>
        </w:rPr>
        <w:t>. Предлаганите стажове и работни позиции следва да послужат като</w:t>
      </w:r>
      <w:r>
        <w:rPr>
          <w:noProof/>
        </w:rPr>
        <w:t xml:space="preserve"> трамплин за младите хора към пазара на труда и по тази причина следва да бъдат съпътствани от подходящо подпомагане след назначаването. Участието в стажове и назначения за работа следва да бъде улеснявано от съответните участници на пазара на труда, по-сп</w:t>
      </w:r>
      <w:r>
        <w:rPr>
          <w:noProof/>
        </w:rPr>
        <w:t>ециално публични и частни служби по заетостта, социални партньори и търговски камари. Като участващи организации те следва да могат да кандидатстват за финансиране чрез компетентната изпълнителна структура на Европейския корпус за солидарност с цел да поср</w:t>
      </w:r>
      <w:r>
        <w:rPr>
          <w:noProof/>
        </w:rPr>
        <w:t>едничат между младите участници и работодателите, предлагащи стажове и назначения за работа в области, свързани със солидарността.</w:t>
      </w:r>
    </w:p>
    <w:p w:rsidR="00222FCC" w:rsidRDefault="00FD122A">
      <w:pPr>
        <w:pStyle w:val="ManualConsidrant"/>
        <w:rPr>
          <w:noProof/>
        </w:rPr>
      </w:pPr>
      <w:r>
        <w:t>(11)</w:t>
      </w:r>
      <w:r>
        <w:tab/>
      </w:r>
      <w:r>
        <w:rPr>
          <w:noProof/>
        </w:rPr>
        <w:t>Инициативността на младите хора е важен актив за обществото и за пазара на труда. Европейският корпус за солидарност сле</w:t>
      </w:r>
      <w:r>
        <w:rPr>
          <w:noProof/>
        </w:rPr>
        <w:t>два да допринесе за поощряване на този аспект като предложи на младите хора възможност да създават и реализират собствени проекти, насочени към конкретни предизвикателства в полза на техните местни общности. Такива проекти следва да бъдат възможност за изп</w:t>
      </w:r>
      <w:r>
        <w:rPr>
          <w:noProof/>
        </w:rPr>
        <w:t>робване на идеи и за поощряване на младите хора да бъдат сами двигатели на дейности за солидарност. Проектите може също така да служат за трамплин към бъдещо участие в дейности за солидарност и да са първата крачка към насърчаване на участниците в Европейс</w:t>
      </w:r>
      <w:r>
        <w:rPr>
          <w:noProof/>
        </w:rPr>
        <w:t>кия корпус за солидарност да работят като самонаети лица или да създават сдружения, НПО или други органи, действащи в области, свързани със солидарността, с дейностите с нестопанска цел и с младежта.</w:t>
      </w:r>
    </w:p>
    <w:p w:rsidR="00222FCC" w:rsidRDefault="00FD122A">
      <w:pPr>
        <w:pStyle w:val="ManualConsidrant"/>
        <w:rPr>
          <w:noProof/>
        </w:rPr>
      </w:pPr>
      <w:r>
        <w:t>(12)</w:t>
      </w:r>
      <w:r>
        <w:tab/>
      </w:r>
      <w:r>
        <w:rPr>
          <w:noProof/>
        </w:rPr>
        <w:t>Младите хора и организациите, участващи в Европейск</w:t>
      </w:r>
      <w:r>
        <w:rPr>
          <w:noProof/>
        </w:rPr>
        <w:t>ия корпус за солидарност, следва да имат чувство за принадлежност към общност от граждани и субекти, ангажирани с укрепването на солидарността в цяла Европа. Същевременно участващите организации имат нужда от подпомагане, за да укрепват своя капацитет за п</w:t>
      </w:r>
      <w:r>
        <w:rPr>
          <w:noProof/>
        </w:rPr>
        <w:t>редлагане на назначения с добро качество на нарастващ брой участници. Европейският корпус за солидарност следва да подпомага дейностите за изграждане на мрежи, насочени към засилване на ангажираността на младите хора и на участващите организации в тази общ</w:t>
      </w:r>
      <w:r>
        <w:rPr>
          <w:noProof/>
        </w:rPr>
        <w:t>ност, към насърчаване на формирането на дух на Европейския корпус за солидарност и към обмена на полезни практики и опит. Тези дейности следва да спомогнат за популяризирането на Европейския корпус за солидарност в публичния и в частния сектор и за събиран</w:t>
      </w:r>
      <w:r>
        <w:rPr>
          <w:noProof/>
        </w:rPr>
        <w:t>ето на обратна информация от участниците и участващите организации относно изпълнението на Европейския корпус за солидарност.</w:t>
      </w:r>
    </w:p>
    <w:p w:rsidR="00222FCC" w:rsidRDefault="00FD122A">
      <w:pPr>
        <w:pStyle w:val="ManualConsidrant"/>
        <w:rPr>
          <w:noProof/>
        </w:rPr>
      </w:pPr>
      <w:r>
        <w:t>(13)</w:t>
      </w:r>
      <w:r>
        <w:tab/>
      </w:r>
      <w:r>
        <w:rPr>
          <w:noProof/>
        </w:rPr>
        <w:t>Следва да се обърне специално внимание на осигуряването на качеството на назначенията и на другите възможности, предлагани от</w:t>
      </w:r>
      <w:r>
        <w:rPr>
          <w:noProof/>
        </w:rPr>
        <w:t xml:space="preserve"> Европейския корпус за солидарност, по-специално като на участниците бъде предложено обучение, езикова помощ, застраховка, административна помощ и подпомагане след назначаването, както и валидиране на знанията, уменията и компетенциите, придобити по време </w:t>
      </w:r>
      <w:r>
        <w:rPr>
          <w:noProof/>
        </w:rPr>
        <w:t>на опита от участието им в Европейския корпус за солидарност.</w:t>
      </w:r>
    </w:p>
    <w:p w:rsidR="00222FCC" w:rsidRDefault="00FD122A">
      <w:pPr>
        <w:pStyle w:val="ManualConsidrant"/>
        <w:rPr>
          <w:noProof/>
        </w:rPr>
      </w:pPr>
      <w:r>
        <w:t>(14)</w:t>
      </w:r>
      <w:r>
        <w:tab/>
      </w:r>
      <w:r>
        <w:rPr>
          <w:noProof/>
        </w:rPr>
        <w:t>За да се гарантира влиянието на назначенията в Европейския корпус за солидарност върху личностното, образователното, социалното, гражданското и професионалното развитие на участниците, знан</w:t>
      </w:r>
      <w:r>
        <w:rPr>
          <w:noProof/>
        </w:rPr>
        <w:t>ията, уменията и компетенциите, които са учебните резултати, придобити по време на тези назначения, следва да бъдат установени и документирани по подходящ начин, в съответствие с националните условия и особености, както се препоръчва в Препоръката на Съвет</w:t>
      </w:r>
      <w:r>
        <w:rPr>
          <w:noProof/>
        </w:rPr>
        <w:t>а от 20 декември 2012 г. относно валидирането на неформалното и самостоятелното учене</w:t>
      </w:r>
      <w:r>
        <w:rPr>
          <w:rStyle w:val="FootnoteReference"/>
          <w:noProof/>
        </w:rPr>
        <w:t xml:space="preserve"> </w:t>
      </w:r>
      <w:r>
        <w:rPr>
          <w:rStyle w:val="FootnoteReference"/>
          <w:noProof/>
        </w:rPr>
        <w:footnoteReference w:id="23"/>
      </w:r>
      <w:r>
        <w:rPr>
          <w:noProof/>
        </w:rPr>
        <w:t>.</w:t>
      </w:r>
    </w:p>
    <w:p w:rsidR="00222FCC" w:rsidRDefault="00FD122A">
      <w:pPr>
        <w:pStyle w:val="ManualConsidrant"/>
        <w:rPr>
          <w:noProof/>
        </w:rPr>
      </w:pPr>
      <w:r>
        <w:t>(15)</w:t>
      </w:r>
      <w:r>
        <w:tab/>
      </w:r>
      <w:r>
        <w:rPr>
          <w:noProof/>
        </w:rPr>
        <w:t>Знакът за качество ще се поставя за гарантиране, че участващите организации спазват принципите и изискванията на Хартата на Европейския корпус за солидарност по о</w:t>
      </w:r>
      <w:r>
        <w:rPr>
          <w:noProof/>
        </w:rPr>
        <w:t>тношение на техните права и отговорности за всички етапи от дейностите за солидарност. Получаването на знак за качество следва да бъде предварително условие, но не следва автоматично да води до финансиране по линия на Европейския корпус за солидарност.</w:t>
      </w:r>
    </w:p>
    <w:p w:rsidR="00222FCC" w:rsidRDefault="00FD122A">
      <w:pPr>
        <w:pStyle w:val="ManualConsidrant"/>
        <w:rPr>
          <w:noProof/>
        </w:rPr>
      </w:pPr>
      <w:r>
        <w:t>(16</w:t>
      </w:r>
      <w:r>
        <w:t>)</w:t>
      </w:r>
      <w:r>
        <w:tab/>
      </w:r>
      <w:r>
        <w:rPr>
          <w:noProof/>
        </w:rPr>
        <w:t>Ресурсният център на Европейския корпус за солидарност следва да подпомага изпълнителните органи, участващите организации и младите хора, участващи в Европейския корпус за солидарност, за да се повиши качеството на изпълнението и на дейностите на корпуса</w:t>
      </w:r>
      <w:r>
        <w:rPr>
          <w:noProof/>
        </w:rPr>
        <w:t xml:space="preserve"> и да се улесни установяването и валидирането на компетенциите, придобити чрез тези дейности.</w:t>
      </w:r>
    </w:p>
    <w:p w:rsidR="00222FCC" w:rsidRDefault="00FD122A">
      <w:pPr>
        <w:pStyle w:val="ManualConsidrant"/>
        <w:rPr>
          <w:noProof/>
        </w:rPr>
      </w:pPr>
      <w:r>
        <w:t>(17)</w:t>
      </w:r>
      <w:r>
        <w:tab/>
      </w:r>
      <w:r>
        <w:rPr>
          <w:noProof/>
        </w:rPr>
        <w:t xml:space="preserve">Следва да се разработи и да се развива постоянно портал на Европейския корпус за солидарност, за да се осигури лесен достъп до корпуса и „обслужване на едно </w:t>
      </w:r>
      <w:r>
        <w:rPr>
          <w:noProof/>
        </w:rPr>
        <w:t xml:space="preserve">гише“ за интересуващите се — както граждани, така и организации — във връзка, между другото, с регистрацията, идентификацията и съчетаването на профили и възможности, дейностите за изграждане на мрежи и виртуалния обмен, онлайн обучението, езиковата помощ </w:t>
      </w:r>
      <w:r>
        <w:rPr>
          <w:noProof/>
        </w:rPr>
        <w:t>и подпомагането след назначаването, както и други полезни функционалности, които могат да станат необходими в бъдеще.</w:t>
      </w:r>
    </w:p>
    <w:p w:rsidR="00222FCC" w:rsidRDefault="00FD122A">
      <w:pPr>
        <w:pStyle w:val="ManualConsidrant"/>
        <w:rPr>
          <w:noProof/>
        </w:rPr>
      </w:pPr>
      <w:r>
        <w:t>(18)</w:t>
      </w:r>
      <w:r>
        <w:tab/>
      </w:r>
      <w:r>
        <w:rPr>
          <w:noProof/>
        </w:rPr>
        <w:t xml:space="preserve">С настоящия регламент се определя финансов пакет за периода 2018—2020 г., който да представлява основната референтна сума по смисъла </w:t>
      </w:r>
      <w:r>
        <w:rPr>
          <w:noProof/>
        </w:rPr>
        <w:t>на точка 17 от Междуинституционалното споразумение между Европейския парламент, Съвета и Комисията за бюджетната дисциплина, за сътрудничеството по бюджетните въпроси и за доброто финансово управление</w:t>
      </w:r>
      <w:r>
        <w:rPr>
          <w:rStyle w:val="FootnoteReference"/>
          <w:noProof/>
        </w:rPr>
        <w:footnoteReference w:id="24"/>
      </w:r>
      <w:r>
        <w:rPr>
          <w:noProof/>
        </w:rPr>
        <w:t>, за Европейския парламент и за Съвета в рамките на год</w:t>
      </w:r>
      <w:r>
        <w:rPr>
          <w:noProof/>
        </w:rPr>
        <w:t>ишната бюджетна процедура. Основната референтна сума включва преразпределения от програмата „Еразъм+“ (197,7 милиона EUR) и от Програмата за заетост и социални иновации (10 милиона EUR) за финансовите години 2018, 2019 и 2020, и се допълва от вноски от няк</w:t>
      </w:r>
      <w:r>
        <w:rPr>
          <w:noProof/>
        </w:rPr>
        <w:t>олко програми на Съюза по линия на различни функции, като Европейския социален фонд, Механизма за гражданска защита на Съюза, Програмата „LIFE“ и Европейския земеделски фонд за развитие на селските райони.</w:t>
      </w:r>
    </w:p>
    <w:p w:rsidR="00222FCC" w:rsidRDefault="00FD122A">
      <w:pPr>
        <w:pStyle w:val="ManualConsidrant"/>
        <w:rPr>
          <w:noProof/>
        </w:rPr>
      </w:pPr>
      <w:r>
        <w:t>(19)</w:t>
      </w:r>
      <w:r>
        <w:tab/>
      </w:r>
      <w:r>
        <w:rPr>
          <w:noProof/>
        </w:rPr>
        <w:t>За да се осигури приемственост на дейностите,</w:t>
      </w:r>
      <w:r>
        <w:rPr>
          <w:noProof/>
        </w:rPr>
        <w:t xml:space="preserve"> подпомагани от програмите, допринасящи към Европейския корпус за солидарност, финансовата помощ за назначения и проекти за солидарност следва примерно разпределение 80 % — 20 % между назначения за доброволчество и проекти за солидарност, от една страна, и</w:t>
      </w:r>
      <w:r>
        <w:rPr>
          <w:noProof/>
        </w:rPr>
        <w:t xml:space="preserve"> стажове и професионална дейност, от друга.</w:t>
      </w:r>
    </w:p>
    <w:p w:rsidR="00222FCC" w:rsidRDefault="00FD122A">
      <w:pPr>
        <w:pStyle w:val="ManualConsidrant"/>
        <w:rPr>
          <w:noProof/>
        </w:rPr>
      </w:pPr>
      <w:r>
        <w:t>(20)</w:t>
      </w:r>
      <w:r>
        <w:tab/>
      </w:r>
      <w:r>
        <w:rPr>
          <w:noProof/>
        </w:rPr>
        <w:t>За да се увеличи до възможно голяма степен въздействието на Европейския корпус за солидарност, следва да се създадат разпоредби, позволяващи участващите държави да предоставят допълнително национално финанси</w:t>
      </w:r>
      <w:r>
        <w:rPr>
          <w:noProof/>
        </w:rPr>
        <w:t>ране в съответствие с правилата на Европейския корпус за солидарност.</w:t>
      </w:r>
    </w:p>
    <w:p w:rsidR="00222FCC" w:rsidRDefault="00FD122A">
      <w:pPr>
        <w:pStyle w:val="ManualConsidrant"/>
        <w:rPr>
          <w:noProof/>
        </w:rPr>
      </w:pPr>
      <w:r>
        <w:t>(21)</w:t>
      </w:r>
      <w:r>
        <w:tab/>
      </w:r>
      <w:r>
        <w:rPr>
          <w:noProof/>
        </w:rPr>
        <w:t>За да се опростят изискванията към бенефициерите би трябвало в максимална възможна степен да се използва финансиране чрез еднократни суми, единични разходи и единни ставки.</w:t>
      </w:r>
    </w:p>
    <w:p w:rsidR="00222FCC" w:rsidRDefault="00FD122A">
      <w:pPr>
        <w:pStyle w:val="ManualConsidrant"/>
        <w:rPr>
          <w:noProof/>
        </w:rPr>
      </w:pPr>
      <w:r>
        <w:t>(22)</w:t>
      </w:r>
      <w:r>
        <w:tab/>
      </w:r>
      <w:r>
        <w:rPr>
          <w:noProof/>
        </w:rPr>
        <w:t>Осв</w:t>
      </w:r>
      <w:r>
        <w:rPr>
          <w:noProof/>
        </w:rPr>
        <w:t>ен към държавите членки, Европейският корпус за солидарност следва да е отворен за участие и на други държави въз основа на двустранни споразумения. Такова участие следва да се основава, когато е уместно, на допълнителни бюджетни кредити, предоставяни в съ</w:t>
      </w:r>
      <w:r>
        <w:rPr>
          <w:noProof/>
        </w:rPr>
        <w:t>ответствие с процедурите, които ще се договарят с тези държави.</w:t>
      </w:r>
    </w:p>
    <w:p w:rsidR="00222FCC" w:rsidRDefault="00FD122A">
      <w:pPr>
        <w:pStyle w:val="ManualConsidrant"/>
        <w:rPr>
          <w:noProof/>
        </w:rPr>
      </w:pPr>
      <w:r>
        <w:t>(23)</w:t>
      </w:r>
      <w:r>
        <w:tab/>
      </w:r>
      <w:r>
        <w:rPr>
          <w:noProof/>
        </w:rPr>
        <w:t>Европейският корпус за солидарност трябва да е насочен към млади хора на възраст между 18 и 30 години. Участието в дейностите, предлагани от Европейския корпус за солидарност, следва да и</w:t>
      </w:r>
      <w:r>
        <w:rPr>
          <w:noProof/>
        </w:rPr>
        <w:t xml:space="preserve">зисква предварителна регистрация в портала на Европейския корпус за солидарност. </w:t>
      </w:r>
    </w:p>
    <w:p w:rsidR="00222FCC" w:rsidRDefault="00FD122A">
      <w:pPr>
        <w:pStyle w:val="ManualConsidrant"/>
        <w:rPr>
          <w:noProof/>
        </w:rPr>
      </w:pPr>
      <w:r>
        <w:t>(24)</w:t>
      </w:r>
      <w:r>
        <w:tab/>
      </w:r>
      <w:r>
        <w:rPr>
          <w:noProof/>
        </w:rPr>
        <w:t>Специално внимание трябва да се обърне на осигуряването на достъпност до дейностите, подпомагани от Европейския корпус за солидарност, за всички млади хора, особено за о</w:t>
      </w:r>
      <w:r>
        <w:rPr>
          <w:noProof/>
        </w:rPr>
        <w:t xml:space="preserve">нези, които са в най-неравностойно положение. По тази причина следва да се въведат мерки, насърчаващи социалното приобщаване, участието на млади хора в неравностойно положение, и да се вземат предвид ограниченията, дължащи се на периферното местоположение </w:t>
      </w:r>
      <w:r>
        <w:rPr>
          <w:noProof/>
        </w:rPr>
        <w:t>на най-отдалечените райони на Съюза и на отвъдморските страни и територии</w:t>
      </w:r>
      <w:r>
        <w:rPr>
          <w:rStyle w:val="FootnoteReference"/>
          <w:noProof/>
        </w:rPr>
        <w:footnoteReference w:id="25"/>
      </w:r>
      <w:r>
        <w:rPr>
          <w:noProof/>
        </w:rPr>
        <w:t>. Също така участващите държави трябва да положат усилия да приемат всички подходящи мерки за премахване на правните и административните пречки за доброто функциониране на Европейски</w:t>
      </w:r>
      <w:r>
        <w:rPr>
          <w:noProof/>
        </w:rPr>
        <w:t>я корпус за солидарност. Това включва решаване, когато е възможно и без да се засягат достиженията на правото от Шенген и законодателството на Съюза за влизане и пребиваване на граждани на трети държави, на административните въпроси, които създават затрудн</w:t>
      </w:r>
      <w:r>
        <w:rPr>
          <w:noProof/>
        </w:rPr>
        <w:t xml:space="preserve">ения при получаването на визи и разрешения за пребиваване. </w:t>
      </w:r>
    </w:p>
    <w:p w:rsidR="00222FCC" w:rsidRDefault="00FD122A">
      <w:pPr>
        <w:pStyle w:val="ManualConsidrant"/>
        <w:rPr>
          <w:noProof/>
        </w:rPr>
      </w:pPr>
      <w:r>
        <w:t>(25)</w:t>
      </w:r>
      <w:r>
        <w:tab/>
      </w:r>
      <w:r>
        <w:rPr>
          <w:noProof/>
        </w:rPr>
        <w:t>Всяка организация, желаеща да участва в Европейския корпус за солидарност, независимо дали е финансирана от бюджета на Европейския корпус за солидарност, от друга програма на Съюза или от дру</w:t>
      </w:r>
      <w:r>
        <w:rPr>
          <w:noProof/>
        </w:rPr>
        <w:t>г източник на финансиране, следва да получи знак за качество, при условие, че изпълнява съответните изисквания. Процесът на присъждане на знак за качество трябва да се извършва постоянно от изпълнителните структури на Европейския корпус за солидарност. При</w:t>
      </w:r>
      <w:r>
        <w:rPr>
          <w:noProof/>
        </w:rPr>
        <w:t>съденият знак за качество следва да се подлага на периодични проверки и може да бъде отнет, ако в контекста на извършваните проверки се установи, че условията, довели за неговото присъждане, вече не се изпълняват.</w:t>
      </w:r>
    </w:p>
    <w:p w:rsidR="00222FCC" w:rsidRDefault="00FD122A">
      <w:pPr>
        <w:pStyle w:val="ManualConsidrant"/>
        <w:rPr>
          <w:noProof/>
        </w:rPr>
      </w:pPr>
      <w:r>
        <w:t>(26)</w:t>
      </w:r>
      <w:r>
        <w:tab/>
      </w:r>
      <w:r>
        <w:rPr>
          <w:noProof/>
        </w:rPr>
        <w:t xml:space="preserve">Всеки субект, желаещ да кандидатства </w:t>
      </w:r>
      <w:r>
        <w:rPr>
          <w:noProof/>
        </w:rPr>
        <w:t xml:space="preserve">за финансиране, за да предлага назначения в рамките на Европейския корпус за солидарност, първо трябва да е получил знак за качество като предварително условие. Това изискване не се прилага за физически лица, търсещи финансова помощ от името на неформална </w:t>
      </w:r>
      <w:r>
        <w:rPr>
          <w:noProof/>
        </w:rPr>
        <w:t>група участници в Европейския корпус за солидарност за техните проекти за солидарност.</w:t>
      </w:r>
    </w:p>
    <w:p w:rsidR="00222FCC" w:rsidRDefault="00FD122A">
      <w:pPr>
        <w:pStyle w:val="ManualConsidrant"/>
        <w:rPr>
          <w:noProof/>
        </w:rPr>
      </w:pPr>
      <w:r>
        <w:t>(27)</w:t>
      </w:r>
      <w:r>
        <w:tab/>
      </w:r>
      <w:r>
        <w:rPr>
          <w:noProof/>
        </w:rPr>
        <w:t xml:space="preserve">Ефективното управление на изпълнението, включително мониторингът и оценката, изисква разработването на конкретни, измерими и реалистични показатели, които могат да </w:t>
      </w:r>
      <w:r>
        <w:rPr>
          <w:noProof/>
        </w:rPr>
        <w:t>бъдат измервани в хода на времето и които отразяват логиката на интервенцията.</w:t>
      </w:r>
    </w:p>
    <w:p w:rsidR="00222FCC" w:rsidRDefault="00FD122A">
      <w:pPr>
        <w:pStyle w:val="ManualConsidrant"/>
        <w:rPr>
          <w:noProof/>
        </w:rPr>
      </w:pPr>
      <w:r>
        <w:t>(28)</w:t>
      </w:r>
      <w:r>
        <w:tab/>
      </w:r>
      <w:r>
        <w:rPr>
          <w:noProof/>
        </w:rPr>
        <w:t>На европейско, национално и местно равнище следва да се осигурят подходящи разяснителни кампании, популяризиране и разпространяване на възможностите за участие и на резулта</w:t>
      </w:r>
      <w:r>
        <w:rPr>
          <w:noProof/>
        </w:rPr>
        <w:t>тите от дейностите, подпомагани от Европейския корпус за солидарност. Разяснителните кампании, популяризирането и разпространяването следва да разчитат на всички изпълнителни органи за Европейския корпус за солидарност, включително, когато е целесъобразно,</w:t>
      </w:r>
      <w:r>
        <w:rPr>
          <w:noProof/>
        </w:rPr>
        <w:t xml:space="preserve"> на подкрепата на други основни заинтересовани страни.</w:t>
      </w:r>
    </w:p>
    <w:p w:rsidR="00222FCC" w:rsidRDefault="00FD122A">
      <w:pPr>
        <w:pStyle w:val="ManualConsidrant"/>
        <w:rPr>
          <w:noProof/>
        </w:rPr>
      </w:pPr>
      <w:r>
        <w:t>(29)</w:t>
      </w:r>
      <w:r>
        <w:tab/>
      </w:r>
      <w:r>
        <w:rPr>
          <w:noProof/>
        </w:rPr>
        <w:t>За да се осигури по-ефикасно информиране на широката общественост и по-силно полезно взаимодействие между комуникационните дейности, предприемани по инициатива на Комисията, ресурсите, отпуснати з</w:t>
      </w:r>
      <w:r>
        <w:rPr>
          <w:noProof/>
        </w:rPr>
        <w:t>а комуникационни действия съгласно настоящия регламент, следва да допринасят и за обезпечаването на институционалната комуникация във връзка с политическите приоритети на Съюза, при условие че те са свързани с общата цел на настоящия регламент.</w:t>
      </w:r>
    </w:p>
    <w:p w:rsidR="00222FCC" w:rsidRDefault="00FD122A">
      <w:pPr>
        <w:pStyle w:val="ManualConsidrant"/>
        <w:rPr>
          <w:noProof/>
        </w:rPr>
      </w:pPr>
      <w:r>
        <w:t>(30)</w:t>
      </w:r>
      <w:r>
        <w:tab/>
      </w:r>
      <w:r>
        <w:rPr>
          <w:noProof/>
        </w:rPr>
        <w:t xml:space="preserve">За да </w:t>
      </w:r>
      <w:r>
        <w:rPr>
          <w:noProof/>
        </w:rPr>
        <w:t>осигури ефективно и ефикасно изпълнение на настоящия регламент, Европейският корпус за солидарност следва да използва в максимална степен вече въведените и съществуващи договорености за управление. По тази причина изпълнението на Европейския корпус за соли</w:t>
      </w:r>
      <w:r>
        <w:rPr>
          <w:noProof/>
        </w:rPr>
        <w:t>дарност следва да бъде възложено на съществуващите структури, т.е. Европейската комисия, Изпълнителната агенция за образование, аудиовизия и култура и националните агенции, определени за управлението на дейностите, посочени в глава III на Регламент (ЕС) № </w:t>
      </w:r>
      <w:r>
        <w:rPr>
          <w:noProof/>
        </w:rPr>
        <w:t>1288/2013.</w:t>
      </w:r>
    </w:p>
    <w:p w:rsidR="00222FCC" w:rsidRDefault="00FD122A">
      <w:pPr>
        <w:pStyle w:val="ManualConsidrant"/>
        <w:rPr>
          <w:noProof/>
        </w:rPr>
      </w:pPr>
      <w:r>
        <w:t>(31)</w:t>
      </w:r>
      <w:r>
        <w:tab/>
      </w:r>
      <w:r>
        <w:rPr>
          <w:noProof/>
        </w:rPr>
        <w:t>За да се осигури добро финансово изпълнение и внимателно наблюдение на Европейския корпус за солидарност на национално равнище е важно да се използват съществуващите национални органи, на които е възложено управлението на дейностите, посоче</w:t>
      </w:r>
      <w:r>
        <w:rPr>
          <w:noProof/>
        </w:rPr>
        <w:t>ни в глава III на Регламент (ЕС) № 1288/2013.</w:t>
      </w:r>
    </w:p>
    <w:p w:rsidR="00222FCC" w:rsidRDefault="00FD122A">
      <w:pPr>
        <w:pStyle w:val="ManualConsidrant"/>
        <w:rPr>
          <w:noProof/>
        </w:rPr>
      </w:pPr>
      <w:r>
        <w:t>(32)</w:t>
      </w:r>
      <w:r>
        <w:tab/>
      </w:r>
      <w:r>
        <w:rPr>
          <w:noProof/>
        </w:rPr>
        <w:t>За да се осигурят добро финансово управление и правна сигурност във всяка участваща държава, всеки национален орган следва да определи независим одитен орган. Когато е възможно и с цел постигане на максима</w:t>
      </w:r>
      <w:r>
        <w:rPr>
          <w:noProof/>
        </w:rPr>
        <w:t>лна ефективност независимият одитен орган може да бъде същият като този, определен за дейностите, посочени в глава III на Регламент (ЕС) № 1288/2013.</w:t>
      </w:r>
    </w:p>
    <w:p w:rsidR="00222FCC" w:rsidRDefault="00FD122A">
      <w:pPr>
        <w:pStyle w:val="ManualConsidrant"/>
        <w:rPr>
          <w:noProof/>
        </w:rPr>
      </w:pPr>
      <w:r>
        <w:t>(33)</w:t>
      </w:r>
      <w:r>
        <w:tab/>
      </w:r>
      <w:r>
        <w:rPr>
          <w:noProof/>
        </w:rPr>
        <w:t>Финансовите интереси на Съюза следва да се защитават чрез пропорционални мерки през целия цикъл на ра</w:t>
      </w:r>
      <w:r>
        <w:rPr>
          <w:noProof/>
        </w:rPr>
        <w:t>зходите, включително посредством предотвратяване, констатиране и разследване на нередностите, възстановяване на изгубените, погрешно изплатените или неправомерно използваните средства и в случаите, когато е необходимо, налагане на санкции.</w:t>
      </w:r>
    </w:p>
    <w:p w:rsidR="00222FCC" w:rsidRDefault="00FD122A">
      <w:pPr>
        <w:pStyle w:val="ManualConsidrant"/>
        <w:rPr>
          <w:noProof/>
        </w:rPr>
      </w:pPr>
      <w:r>
        <w:t>(34)</w:t>
      </w:r>
      <w:r>
        <w:tab/>
      </w:r>
      <w:r>
        <w:rPr>
          <w:noProof/>
        </w:rPr>
        <w:t>За да се га</w:t>
      </w:r>
      <w:r>
        <w:rPr>
          <w:noProof/>
        </w:rPr>
        <w:t>рантират еднакви условия за изпълнението на настоящия регламент, на Комисията следва да бъдат предоставени изпълнителни правомощия. Посочените правомощия следва да се упражняват в съответствие с Регламент (ЕС) № 182/2011 на Европейския парламент и на Съвет</w:t>
      </w:r>
      <w:r>
        <w:rPr>
          <w:noProof/>
        </w:rPr>
        <w:t>а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r>
        <w:rPr>
          <w:rStyle w:val="FootnoteReference"/>
          <w:noProof/>
        </w:rPr>
        <w:footnoteReference w:id="26"/>
      </w:r>
      <w:r>
        <w:rPr>
          <w:noProof/>
        </w:rPr>
        <w:t>.</w:t>
      </w:r>
    </w:p>
    <w:p w:rsidR="00222FCC" w:rsidRDefault="00FD122A">
      <w:pPr>
        <w:pStyle w:val="ManualConsidrant"/>
        <w:rPr>
          <w:noProof/>
        </w:rPr>
      </w:pPr>
      <w:r>
        <w:t>(35)</w:t>
      </w:r>
      <w:r>
        <w:tab/>
      </w:r>
      <w:r>
        <w:rPr>
          <w:noProof/>
        </w:rPr>
        <w:t>В съответствие с Регламент (ЕС, Евратом) № 966/2012 на Европейск</w:t>
      </w:r>
      <w:r>
        <w:rPr>
          <w:noProof/>
        </w:rPr>
        <w:t>ия парламент и на Съвета относно финансовите правила, приложими за общия бюджет на Европейския съюз</w:t>
      </w:r>
      <w:r>
        <w:rPr>
          <w:rStyle w:val="FootnoteReference"/>
          <w:noProof/>
        </w:rPr>
        <w:footnoteReference w:id="27"/>
      </w:r>
      <w:r>
        <w:rPr>
          <w:noProof/>
        </w:rPr>
        <w:t>, Комисията следва да приема работни програми и да информира Европейския парламенти и Съвета за тях. Работните програми следва да посочват мерките, необходи</w:t>
      </w:r>
      <w:r>
        <w:rPr>
          <w:noProof/>
        </w:rPr>
        <w:t>ми за тяхното изпълнение в съответствие с общите и конкретните цели на Европейския корпус за солидарност, критериите за подбор и отпускане на безвъзмездна помощ, както и всички останали необходими елементи. Работните програми и всички техни изменения следв</w:t>
      </w:r>
      <w:r>
        <w:rPr>
          <w:noProof/>
        </w:rPr>
        <w:t>а да се приемат чрез актове за изпълнение в съответствие с процедурата по разглеждане.</w:t>
      </w:r>
    </w:p>
    <w:p w:rsidR="00222FCC" w:rsidRDefault="00FD122A">
      <w:pPr>
        <w:pStyle w:val="ManualConsidrant"/>
        <w:rPr>
          <w:noProof/>
        </w:rPr>
      </w:pPr>
      <w:r>
        <w:t>(36)</w:t>
      </w:r>
      <w:r>
        <w:tab/>
      </w:r>
      <w:r>
        <w:rPr>
          <w:noProof/>
        </w:rPr>
        <w:t>Тъй като целта на настоящия регламент, а именно създаването на Европейски корпус за солидарност, не може да бъде постигната в достатъчна степен от държавите членки,</w:t>
      </w:r>
      <w:r>
        <w:rPr>
          <w:noProof/>
        </w:rPr>
        <w:t xml:space="preserve"> a поради своя мащаб и ефект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w:t>
      </w:r>
      <w:r>
        <w:rPr>
          <w:noProof/>
        </w:rPr>
        <w:t>еден в същия член, настоящият регламент не надхвърля необходимото за постигането на тези цели.</w:t>
      </w:r>
    </w:p>
    <w:p w:rsidR="00222FCC" w:rsidRDefault="00FD122A">
      <w:pPr>
        <w:pStyle w:val="ManualConsidrant"/>
        <w:rPr>
          <w:noProof/>
        </w:rPr>
      </w:pPr>
      <w:r>
        <w:t>(37)</w:t>
      </w:r>
      <w:r>
        <w:tab/>
      </w:r>
      <w:r>
        <w:rPr>
          <w:noProof/>
        </w:rPr>
        <w:t>От съображения за ефикасност и ефективност комитетът, създаден съгласно Регламент (ЕС) № 1288/2013, следва да подпомага Комисията при изпълнението и на наст</w:t>
      </w:r>
      <w:r>
        <w:rPr>
          <w:noProof/>
        </w:rPr>
        <w:t xml:space="preserve">оящия регламент. По отношение на Европейския корпус за солидарност този комитет следва да заседава в определена конфигурация и неговият мандат следва да се съгласува, така че да изпълнява тази нова роля. Участващите държави следва да определят съответните </w:t>
      </w:r>
      <w:r>
        <w:rPr>
          <w:noProof/>
        </w:rPr>
        <w:t>представители за тези заседания, като вземат предвид измеренията, свързани с доброволческите и професионалните дейности на Европейския корпус за солидарност.</w:t>
      </w:r>
    </w:p>
    <w:p w:rsidR="00222FCC" w:rsidRDefault="00FD122A">
      <w:pPr>
        <w:pStyle w:val="ManualConsidrant"/>
        <w:rPr>
          <w:noProof/>
        </w:rPr>
      </w:pPr>
      <w:r>
        <w:t>(38)</w:t>
      </w:r>
      <w:r>
        <w:tab/>
      </w:r>
      <w:r>
        <w:rPr>
          <w:noProof/>
        </w:rPr>
        <w:t>Регламент (ЕС) № 1288/2013 следва да бъде изменен, за да се вземат под внимание промените в Е</w:t>
      </w:r>
      <w:r>
        <w:rPr>
          <w:noProof/>
        </w:rPr>
        <w:t xml:space="preserve">вропейската доброволческа служба в резултат от новите доброволчески дейности, подпомагани в рамките на Европейския корпус за солидарност. </w:t>
      </w:r>
    </w:p>
    <w:p w:rsidR="00222FCC" w:rsidRDefault="00FD122A">
      <w:pPr>
        <w:pStyle w:val="ManualConsidrant"/>
        <w:rPr>
          <w:noProof/>
        </w:rPr>
      </w:pPr>
      <w:r>
        <w:t>(39)</w:t>
      </w:r>
      <w:r>
        <w:tab/>
      </w:r>
      <w:r>
        <w:rPr>
          <w:noProof/>
        </w:rPr>
        <w:t xml:space="preserve">Финансовият пакет на Европейския корпус за солидарност по линия на Функция 1а от многогодишната финансова рамка </w:t>
      </w:r>
      <w:r>
        <w:rPr>
          <w:noProof/>
        </w:rPr>
        <w:t>също допълва средствата, преразпределени от програма „Еразъм+“. Тези средства следва да дойдат главно от бюджетни кредити за финансиране на дейности на Европейската доброволческа служба, които попадат в обхвата на доброволческите назначения, подпомагани съ</w:t>
      </w:r>
      <w:r>
        <w:rPr>
          <w:noProof/>
        </w:rPr>
        <w:t>гласно настоящия регламент. В допълнение някои бюджетни кредити на Механизма за гарантиране на студентски заеми, които вероятно няма да бъдат усвоени по програма „Еразъм+“, следва да се преразпределят с цел да се осигури достатъчно съфинансиране на операти</w:t>
      </w:r>
      <w:r>
        <w:rPr>
          <w:noProof/>
        </w:rPr>
        <w:t xml:space="preserve">вните разходи на националните агенции, и да се приведат в по-голямо съответствие с капацитета за усвояване на тази дейност. </w:t>
      </w:r>
    </w:p>
    <w:p w:rsidR="00222FCC" w:rsidRDefault="00FD122A">
      <w:pPr>
        <w:pStyle w:val="ManualConsidrant"/>
        <w:rPr>
          <w:noProof/>
        </w:rPr>
      </w:pPr>
      <w:r>
        <w:t>(40)</w:t>
      </w:r>
      <w:r>
        <w:tab/>
      </w:r>
      <w:r>
        <w:rPr>
          <w:noProof/>
        </w:rPr>
        <w:t xml:space="preserve">Освен това финансовият пакет на Европейския корпус за солидарност по линия на Функция 1а от многогодишната финансова рамка </w:t>
      </w:r>
      <w:r>
        <w:rPr>
          <w:noProof/>
        </w:rPr>
        <w:t>следва да се допълни чрез финансово участие от други програми и функции, за което е необходимо изменение на регламенти (ЕС) № 1293/2013</w:t>
      </w:r>
      <w:r>
        <w:rPr>
          <w:rStyle w:val="FootnoteReference"/>
          <w:noProof/>
        </w:rPr>
        <w:footnoteReference w:id="28"/>
      </w:r>
      <w:r>
        <w:rPr>
          <w:noProof/>
        </w:rPr>
        <w:t>, (ЕС) № 1303/2013</w:t>
      </w:r>
      <w:r>
        <w:rPr>
          <w:rStyle w:val="FootnoteReference"/>
          <w:noProof/>
        </w:rPr>
        <w:footnoteReference w:id="29"/>
      </w:r>
      <w:r>
        <w:rPr>
          <w:noProof/>
        </w:rPr>
        <w:t>, (ЕС) № 1305/2013</w:t>
      </w:r>
      <w:r>
        <w:rPr>
          <w:rStyle w:val="FootnoteReference"/>
          <w:noProof/>
        </w:rPr>
        <w:footnoteReference w:id="30"/>
      </w:r>
      <w:r>
        <w:rPr>
          <w:noProof/>
        </w:rPr>
        <w:t>, (ЕС) № 1306/2013</w:t>
      </w:r>
      <w:r>
        <w:rPr>
          <w:rStyle w:val="FootnoteReference"/>
          <w:noProof/>
        </w:rPr>
        <w:footnoteReference w:id="31"/>
      </w:r>
      <w:r>
        <w:rPr>
          <w:noProof/>
        </w:rPr>
        <w:t>, както и на Решение № 1313/2013/ЕС</w:t>
      </w:r>
      <w:r>
        <w:rPr>
          <w:rStyle w:val="FootnoteReference"/>
          <w:noProof/>
        </w:rPr>
        <w:footnoteReference w:id="32"/>
      </w:r>
      <w:r>
        <w:rPr>
          <w:noProof/>
        </w:rPr>
        <w:t xml:space="preserve"> на Европейския парламент и</w:t>
      </w:r>
      <w:r>
        <w:rPr>
          <w:noProof/>
        </w:rPr>
        <w:t xml:space="preserve"> на Съвета.</w:t>
      </w:r>
    </w:p>
    <w:p w:rsidR="00222FCC" w:rsidRDefault="00FD122A">
      <w:pPr>
        <w:pStyle w:val="ManualConsidrant"/>
        <w:rPr>
          <w:noProof/>
        </w:rPr>
      </w:pPr>
      <w:r>
        <w:t>(41)</w:t>
      </w:r>
      <w:r>
        <w:tab/>
      </w:r>
      <w:r>
        <w:rPr>
          <w:noProof/>
        </w:rPr>
        <w:t xml:space="preserve">Настоящият регламент следва да се прилага от 1 януари 2018 г. С цел да се създадат условия за незабавното прилагане на предвидените в настоящия регламент мерки, той следва да влезе в сила в деня след деня на публикуването му в </w:t>
      </w:r>
      <w:r>
        <w:rPr>
          <w:i/>
          <w:noProof/>
        </w:rPr>
        <w:t>Официален ве</w:t>
      </w:r>
      <w:r>
        <w:rPr>
          <w:i/>
          <w:noProof/>
        </w:rPr>
        <w:t>стник на Европейския съюз.</w:t>
      </w:r>
    </w:p>
    <w:p w:rsidR="00222FCC" w:rsidRDefault="00222FCC">
      <w:pPr>
        <w:rPr>
          <w:noProof/>
        </w:rPr>
        <w:sectPr w:rsidR="00222FCC">
          <w:pgSz w:w="11907" w:h="16840" w:code="9"/>
          <w:pgMar w:top="1134" w:right="1418" w:bottom="1134" w:left="1418" w:header="709" w:footer="709" w:gutter="0"/>
          <w:cols w:space="708"/>
          <w:docGrid w:linePitch="360"/>
        </w:sectPr>
      </w:pPr>
    </w:p>
    <w:p w:rsidR="00222FCC" w:rsidRDefault="00222FCC">
      <w:pPr>
        <w:rPr>
          <w:noProof/>
        </w:rPr>
      </w:pPr>
    </w:p>
    <w:p w:rsidR="00222FCC" w:rsidRDefault="00FD122A">
      <w:pPr>
        <w:pStyle w:val="Formuledadoption"/>
        <w:rPr>
          <w:noProof/>
        </w:rPr>
      </w:pPr>
      <w:r>
        <w:rPr>
          <w:noProof/>
        </w:rPr>
        <w:t>ПРИЕХА НАСТОЯЩИЯ РЕГЛАМЕНТ:</w:t>
      </w:r>
    </w:p>
    <w:p w:rsidR="00222FCC" w:rsidRDefault="00FD122A">
      <w:pPr>
        <w:pStyle w:val="ChapterTitle"/>
        <w:contextualSpacing/>
        <w:rPr>
          <w:noProof/>
        </w:rPr>
      </w:pPr>
      <w:r>
        <w:rPr>
          <w:noProof/>
        </w:rPr>
        <w:t>ГЛАВА I</w:t>
      </w:r>
    </w:p>
    <w:p w:rsidR="00222FCC" w:rsidRDefault="00FD122A">
      <w:pPr>
        <w:pStyle w:val="ChapterTitle"/>
        <w:contextualSpacing/>
        <w:rPr>
          <w:noProof/>
        </w:rPr>
      </w:pPr>
      <w:r>
        <w:rPr>
          <w:noProof/>
        </w:rPr>
        <w:t>Общи разпоредби</w:t>
      </w:r>
    </w:p>
    <w:p w:rsidR="00222FCC" w:rsidRDefault="00FD122A">
      <w:pPr>
        <w:pStyle w:val="Titrearticle"/>
        <w:contextualSpacing/>
        <w:rPr>
          <w:noProof/>
        </w:rPr>
      </w:pPr>
      <w:r>
        <w:rPr>
          <w:noProof/>
        </w:rPr>
        <w:t>Член 1</w:t>
      </w:r>
    </w:p>
    <w:p w:rsidR="00222FCC" w:rsidRDefault="00FD122A">
      <w:pPr>
        <w:pStyle w:val="Titrearticle"/>
        <w:contextualSpacing/>
        <w:rPr>
          <w:b/>
          <w:i w:val="0"/>
          <w:noProof/>
        </w:rPr>
      </w:pPr>
      <w:r>
        <w:rPr>
          <w:b/>
          <w:i w:val="0"/>
          <w:noProof/>
        </w:rPr>
        <w:t xml:space="preserve">Предмет </w:t>
      </w:r>
    </w:p>
    <w:p w:rsidR="00222FCC" w:rsidRDefault="00FD122A">
      <w:pPr>
        <w:rPr>
          <w:noProof/>
        </w:rPr>
      </w:pPr>
      <w:r>
        <w:rPr>
          <w:noProof/>
          <w:color w:val="000000"/>
        </w:rPr>
        <w:t xml:space="preserve">С настоящия регламент се определя правната рамка за Европейския корпус за солидарност, който предлага на младите хора възможности за </w:t>
      </w:r>
      <w:r>
        <w:rPr>
          <w:noProof/>
          <w:color w:val="000000"/>
        </w:rPr>
        <w:t>участие в дейности за солидарност.</w:t>
      </w:r>
    </w:p>
    <w:p w:rsidR="00222FCC" w:rsidRDefault="00FD122A">
      <w:pPr>
        <w:pStyle w:val="Titrearticle"/>
        <w:contextualSpacing/>
        <w:rPr>
          <w:noProof/>
        </w:rPr>
      </w:pPr>
      <w:r>
        <w:rPr>
          <w:noProof/>
        </w:rPr>
        <w:t>Член 2</w:t>
      </w:r>
    </w:p>
    <w:p w:rsidR="00222FCC" w:rsidRDefault="00FD122A">
      <w:pPr>
        <w:pStyle w:val="Titrearticle"/>
        <w:contextualSpacing/>
        <w:rPr>
          <w:b/>
          <w:i w:val="0"/>
          <w:noProof/>
        </w:rPr>
      </w:pPr>
      <w:r>
        <w:rPr>
          <w:b/>
          <w:i w:val="0"/>
          <w:noProof/>
        </w:rPr>
        <w:t>Определения</w:t>
      </w:r>
    </w:p>
    <w:p w:rsidR="00222FCC" w:rsidRDefault="00FD122A">
      <w:pPr>
        <w:rPr>
          <w:noProof/>
        </w:rPr>
      </w:pPr>
      <w:r>
        <w:rPr>
          <w:noProof/>
        </w:rPr>
        <w:t>За целите на настоящия регламент</w:t>
      </w:r>
      <w:r>
        <w:rPr>
          <w:rFonts w:ascii="EUAlbertina" w:hAnsi="EUAlbertina"/>
          <w:noProof/>
        </w:rPr>
        <w:t xml:space="preserve"> </w:t>
      </w:r>
      <w:r>
        <w:rPr>
          <w:noProof/>
        </w:rPr>
        <w:t>се прилагат следните определения:</w:t>
      </w:r>
    </w:p>
    <w:p w:rsidR="00222FCC" w:rsidRDefault="00FD122A">
      <w:pPr>
        <w:pStyle w:val="Point0number"/>
        <w:numPr>
          <w:ilvl w:val="0"/>
          <w:numId w:val="33"/>
        </w:numPr>
        <w:rPr>
          <w:noProof/>
        </w:rPr>
      </w:pPr>
      <w:r>
        <w:rPr>
          <w:i/>
          <w:noProof/>
        </w:rPr>
        <w:t>„дейност за солидарност“</w:t>
      </w:r>
      <w:r>
        <w:rPr>
          <w:noProof/>
        </w:rPr>
        <w:t xml:space="preserve"> означава дейност, която има за цел да отговори на неудовлетворени обществени потребности в полза на дадена общ</w:t>
      </w:r>
      <w:r>
        <w:rPr>
          <w:noProof/>
        </w:rPr>
        <w:t xml:space="preserve">ност, като същевременно подпомага личностното, образователното, социалното, гражданското и професионалното развитие на гражданина, като дейността </w:t>
      </w:r>
      <w:r>
        <w:rPr>
          <w:noProof/>
          <w:color w:val="000000"/>
        </w:rPr>
        <w:t xml:space="preserve">може да бъде под формата на назначения, проекти или дейности за изграждане на мрежи, разработени във връзка с </w:t>
      </w:r>
      <w:r>
        <w:rPr>
          <w:noProof/>
          <w:color w:val="000000"/>
        </w:rPr>
        <w:t>различни области като например образование и обучение, заетост, равенство между половете, предприемачество, по-специално социално предприемачество, гражданство и демократично участие, околна среда и опазване на природата, действия в областта на климата, пр</w:t>
      </w:r>
      <w:r>
        <w:rPr>
          <w:noProof/>
          <w:color w:val="000000"/>
        </w:rPr>
        <w:t>едотвратяване на бедствия, готовност при бедствия и възстановяване след тях, селско стопанство и развитие на селските райони, осигуряване на хранителни и нехранителни продукти, здраве и благосъстояние, творчество и култура, физическо възпитание и спорт, со</w:t>
      </w:r>
      <w:r>
        <w:rPr>
          <w:noProof/>
          <w:color w:val="000000"/>
        </w:rPr>
        <w:t>циално подпомагане и закрила, приемане и интегриране на граждани на трети държави, териториално сътрудничество и сближаване;</w:t>
      </w:r>
    </w:p>
    <w:p w:rsidR="00222FCC" w:rsidRDefault="00FD122A">
      <w:pPr>
        <w:pStyle w:val="Point0number"/>
        <w:rPr>
          <w:noProof/>
        </w:rPr>
      </w:pPr>
      <w:r>
        <w:rPr>
          <w:i/>
          <w:noProof/>
        </w:rPr>
        <w:t>„участник“</w:t>
      </w:r>
      <w:r>
        <w:rPr>
          <w:noProof/>
        </w:rPr>
        <w:t xml:space="preserve"> означава млад човек, който се е регистрирал в Портала на Европейския корпус за солидарност и участва в дейност за солида</w:t>
      </w:r>
      <w:r>
        <w:rPr>
          <w:noProof/>
        </w:rPr>
        <w:t>рност в рамките на Европейския корпус за солидарност, предложена от участваща организация;</w:t>
      </w:r>
    </w:p>
    <w:p w:rsidR="00222FCC" w:rsidRDefault="00FD122A">
      <w:pPr>
        <w:pStyle w:val="Point0number"/>
        <w:rPr>
          <w:noProof/>
        </w:rPr>
      </w:pPr>
      <w:r>
        <w:rPr>
          <w:i/>
          <w:noProof/>
        </w:rPr>
        <w:t>„млади хора в неравностойно положение“</w:t>
      </w:r>
      <w:r>
        <w:rPr>
          <w:noProof/>
        </w:rPr>
        <w:t xml:space="preserve"> означава лица, </w:t>
      </w:r>
      <w:r>
        <w:rPr>
          <w:noProof/>
          <w:color w:val="000000"/>
        </w:rPr>
        <w:t>които имат нужда от допълнителна подкрепа поради увреждане, образователни затруднения, пречки от икономическо е</w:t>
      </w:r>
      <w:r>
        <w:rPr>
          <w:noProof/>
          <w:color w:val="000000"/>
        </w:rPr>
        <w:t>стество, културни различия, здравословни проблеми, пречки от социално и географско естество;</w:t>
      </w:r>
    </w:p>
    <w:p w:rsidR="00222FCC" w:rsidRDefault="00FD122A">
      <w:pPr>
        <w:pStyle w:val="Point0number"/>
        <w:rPr>
          <w:noProof/>
        </w:rPr>
      </w:pPr>
      <w:r>
        <w:rPr>
          <w:i/>
          <w:noProof/>
        </w:rPr>
        <w:t>„участваща организация“</w:t>
      </w:r>
      <w:r>
        <w:rPr>
          <w:noProof/>
        </w:rPr>
        <w:t xml:space="preserve"> означава публичен или частен субект, на който е присъден знакът за качество на Европейския корпус за солидарност, и който предлага назначен</w:t>
      </w:r>
      <w:r>
        <w:rPr>
          <w:noProof/>
        </w:rPr>
        <w:t>ие на участник в Европейския корпус за солидарност или изпълнява други дейности в рамките на Европейския корпус за солидарност;</w:t>
      </w:r>
    </w:p>
    <w:p w:rsidR="00222FCC" w:rsidRDefault="00FD122A">
      <w:pPr>
        <w:pStyle w:val="Point0number"/>
        <w:rPr>
          <w:noProof/>
        </w:rPr>
      </w:pPr>
      <w:r>
        <w:rPr>
          <w:i/>
          <w:noProof/>
        </w:rPr>
        <w:t>„назначение за участие в дейности за солидарност“</w:t>
      </w:r>
      <w:r>
        <w:rPr>
          <w:noProof/>
        </w:rPr>
        <w:t xml:space="preserve"> означава доброволческа дейност, стаж или работа в област, свързана със солидар</w:t>
      </w:r>
      <w:r>
        <w:rPr>
          <w:noProof/>
        </w:rPr>
        <w:t>ността, организирана от участваща организация и допринасяща за справяне с важни обществени предизвикателства, като същевременно спомага за личностното, образователното, социалното, гражданското и професионалното развитие и пригодността за заетост на участн</w:t>
      </w:r>
      <w:r>
        <w:rPr>
          <w:noProof/>
        </w:rPr>
        <w:t>ика в Европейския корпус за солидарност, който приеме това назначение, в държава различна от държавата на местопребиваване (назначение в чужбина) или в държавата на местопребиваване на участника (назначение в държавата на местопребиваване);</w:t>
      </w:r>
    </w:p>
    <w:p w:rsidR="00222FCC" w:rsidRDefault="00FD122A">
      <w:pPr>
        <w:pStyle w:val="Point0number"/>
        <w:rPr>
          <w:noProof/>
        </w:rPr>
      </w:pPr>
      <w:r>
        <w:rPr>
          <w:i/>
          <w:noProof/>
        </w:rPr>
        <w:t>„доброволчество</w:t>
      </w:r>
      <w:r>
        <w:rPr>
          <w:i/>
          <w:noProof/>
        </w:rPr>
        <w:t>“</w:t>
      </w:r>
      <w:r>
        <w:rPr>
          <w:noProof/>
        </w:rPr>
        <w:t xml:space="preserve"> означава доброволческа служба без заплащане, на пълен работен ден</w:t>
      </w:r>
      <w:r>
        <w:rPr>
          <w:rStyle w:val="FootnoteReference"/>
          <w:noProof/>
        </w:rPr>
        <w:footnoteReference w:id="33"/>
      </w:r>
      <w:r>
        <w:rPr>
          <w:noProof/>
        </w:rPr>
        <w:t xml:space="preserve"> за период до дванадесет месеца, с която на младите хора се предоставя възможност да допринесат за ежедневната работа на организации, действащи в области, свързани със солидарността, в пол</w:t>
      </w:r>
      <w:r>
        <w:rPr>
          <w:noProof/>
        </w:rPr>
        <w:t>за на общностите, в които се изпълняват дейностите, която има солидна учебна и образователна насоченост, с цел предоставяне на възможност на младия доброволец /младите доброволци да придобие/ят умения и компетенции, които ще бъдат полезни за тяхното личнос</w:t>
      </w:r>
      <w:r>
        <w:rPr>
          <w:noProof/>
        </w:rPr>
        <w:t>тно, образователно, социално и професионално развитие, и ще допринесат също така за подобряване на тяхната пригодност за заетост;</w:t>
      </w:r>
    </w:p>
    <w:p w:rsidR="00222FCC" w:rsidRDefault="00FD122A">
      <w:pPr>
        <w:pStyle w:val="Point0number"/>
        <w:rPr>
          <w:noProof/>
        </w:rPr>
      </w:pPr>
      <w:r>
        <w:rPr>
          <w:i/>
          <w:noProof/>
        </w:rPr>
        <w:t xml:space="preserve">„назначения на доброволчески екипи“ </w:t>
      </w:r>
      <w:r>
        <w:rPr>
          <w:noProof/>
        </w:rPr>
        <w:t>означава</w:t>
      </w:r>
      <w:r>
        <w:rPr>
          <w:i/>
          <w:noProof/>
        </w:rPr>
        <w:t xml:space="preserve"> </w:t>
      </w:r>
      <w:r>
        <w:rPr>
          <w:noProof/>
        </w:rPr>
        <w:t>назначения, даващи възможност екипи от участници в Европейския корпус за солидарн</w:t>
      </w:r>
      <w:r>
        <w:rPr>
          <w:noProof/>
        </w:rPr>
        <w:t>ост от различни участващи държави да извършват заедно доброволческа дейност за постигането на обща цел, като изпълняват задачи, свързани с физически или умствен труд, по проект за полезна обществена услуга, за период с продължителност от две седмици до два</w:t>
      </w:r>
      <w:r>
        <w:rPr>
          <w:noProof/>
        </w:rPr>
        <w:t xml:space="preserve"> месеца;</w:t>
      </w:r>
    </w:p>
    <w:p w:rsidR="00222FCC" w:rsidRDefault="00FD122A">
      <w:pPr>
        <w:pStyle w:val="Point0number"/>
        <w:rPr>
          <w:noProof/>
        </w:rPr>
      </w:pPr>
      <w:r>
        <w:rPr>
          <w:i/>
          <w:noProof/>
        </w:rPr>
        <w:t>„стаж“</w:t>
      </w:r>
      <w:r>
        <w:rPr>
          <w:noProof/>
        </w:rPr>
        <w:t xml:space="preserve"> означава период на работна практика с продължителност от два до дванадесет месеца, срещу възнаграждение от организацията, приемаща участника в Европейския корпус за солидарност, въз основа на писмен договор за стаж, като тази работна практи</w:t>
      </w:r>
      <w:r>
        <w:rPr>
          <w:noProof/>
        </w:rPr>
        <w:t>ка включва учебен аспект и аспект на обучение, и се предприема с цел придобиване на практически и професионален опит за подобряване на пригодността за заетост и улесняване на прехода към редовна заетост;</w:t>
      </w:r>
    </w:p>
    <w:p w:rsidR="00222FCC" w:rsidRDefault="00FD122A">
      <w:pPr>
        <w:pStyle w:val="Point0number"/>
        <w:rPr>
          <w:noProof/>
        </w:rPr>
      </w:pPr>
      <w:r>
        <w:rPr>
          <w:i/>
          <w:noProof/>
        </w:rPr>
        <w:t>„работа“</w:t>
      </w:r>
      <w:r>
        <w:rPr>
          <w:noProof/>
        </w:rPr>
        <w:t xml:space="preserve"> означава период на труд с продължителност о</w:t>
      </w:r>
      <w:r>
        <w:rPr>
          <w:noProof/>
        </w:rPr>
        <w:t>т два до дванадесет месеца, срещу възнаграждение от участващата организация, която наема участника в Европейския корпус за солидарност, като този труд се полага в участваща държава и въз основа на трудов договор в съответствие с националната нормативна уре</w:t>
      </w:r>
      <w:r>
        <w:rPr>
          <w:noProof/>
        </w:rPr>
        <w:t>дба на участващата държава;</w:t>
      </w:r>
    </w:p>
    <w:p w:rsidR="00222FCC" w:rsidRDefault="00FD122A">
      <w:pPr>
        <w:pStyle w:val="Point0number"/>
        <w:rPr>
          <w:noProof/>
        </w:rPr>
      </w:pPr>
      <w:r>
        <w:rPr>
          <w:i/>
          <w:noProof/>
        </w:rPr>
        <w:t>„проект за солидарност“</w:t>
      </w:r>
      <w:r>
        <w:rPr>
          <w:noProof/>
        </w:rPr>
        <w:t xml:space="preserve"> означава местна инициатива с продължителност от два до дванадесет месеца, която е организирана и се изпълнява от групи от минимум пет участници в Европейския корпус за солидарност с цел справяне със същес</w:t>
      </w:r>
      <w:r>
        <w:rPr>
          <w:noProof/>
        </w:rPr>
        <w:t>твени предизвикателства в рамките на тяхната местна общност, като същевременно тези предизвикателства се поставят в по-широка европейска перспектива;</w:t>
      </w:r>
    </w:p>
    <w:p w:rsidR="00222FCC" w:rsidRDefault="00FD122A">
      <w:pPr>
        <w:pStyle w:val="Point0number"/>
        <w:rPr>
          <w:noProof/>
        </w:rPr>
      </w:pPr>
      <w:r>
        <w:rPr>
          <w:i/>
          <w:noProof/>
        </w:rPr>
        <w:t>„знак за качество“</w:t>
      </w:r>
      <w:r>
        <w:rPr>
          <w:noProof/>
        </w:rPr>
        <w:t xml:space="preserve"> означава сертифициране, предоставено на публичен или частен субект или на международна </w:t>
      </w:r>
      <w:r>
        <w:rPr>
          <w:noProof/>
        </w:rPr>
        <w:t>организация, желаещ/а да предостави назначения в рамките на Европейския корпус за солидарност съгласно процедура, с която се цели да се гарантира спазването на принципите и изискванията на Хартата на Европейския корпус за солидарност;</w:t>
      </w:r>
    </w:p>
    <w:p w:rsidR="00222FCC" w:rsidRDefault="00FD122A">
      <w:pPr>
        <w:pStyle w:val="Point0number"/>
        <w:rPr>
          <w:noProof/>
        </w:rPr>
      </w:pPr>
      <w:r>
        <w:rPr>
          <w:i/>
          <w:noProof/>
        </w:rPr>
        <w:t>„Харта на Европейския</w:t>
      </w:r>
      <w:r>
        <w:rPr>
          <w:i/>
          <w:noProof/>
        </w:rPr>
        <w:t xml:space="preserve"> корпус за солидарност“</w:t>
      </w:r>
      <w:r>
        <w:rPr>
          <w:noProof/>
        </w:rPr>
        <w:t xml:space="preserve"> означава документът, в който се определят съответните права и задължения по отношение на които всички субекти, желаещи да се присъединят към Европейския корпус за солидарност, трябва да изразят съгласие, че приемат;</w:t>
      </w:r>
    </w:p>
    <w:p w:rsidR="00222FCC" w:rsidRDefault="00FD122A">
      <w:pPr>
        <w:pStyle w:val="Point0number"/>
        <w:rPr>
          <w:noProof/>
        </w:rPr>
      </w:pPr>
      <w:r>
        <w:rPr>
          <w:i/>
          <w:noProof/>
        </w:rPr>
        <w:t>„Ресурсен център</w:t>
      </w:r>
      <w:r>
        <w:rPr>
          <w:i/>
          <w:noProof/>
        </w:rPr>
        <w:t xml:space="preserve"> на Европейския корпус за солидарност“</w:t>
      </w:r>
      <w:r>
        <w:rPr>
          <w:noProof/>
        </w:rPr>
        <w:t xml:space="preserve"> означава допълнителните функции, изпълнявани от определена национална агенция, в помощ на разработването и изпълнението на дейности в рамките на Европейския корпус за солидарност, както и на установяването на уменията</w:t>
      </w:r>
      <w:r>
        <w:rPr>
          <w:noProof/>
        </w:rPr>
        <w:t>, придобити от участниците в рамките на техните назначения и проекти;</w:t>
      </w:r>
    </w:p>
    <w:p w:rsidR="00222FCC" w:rsidRDefault="00FD122A">
      <w:pPr>
        <w:pStyle w:val="Point0number"/>
        <w:rPr>
          <w:noProof/>
        </w:rPr>
      </w:pPr>
      <w:r>
        <w:rPr>
          <w:i/>
          <w:noProof/>
        </w:rPr>
        <w:t>„Портал на Европейския корпус за солидарност“</w:t>
      </w:r>
      <w:r>
        <w:rPr>
          <w:noProof/>
        </w:rPr>
        <w:t xml:space="preserve"> означава онлайн инструмент, който предоставя на участниците в Европейския корпус за солидарност и на участващите организации необходими онлайн услуги, включително информация относно Европейския корпус за солидарност, регистриране на участници, търсене на </w:t>
      </w:r>
      <w:r>
        <w:rPr>
          <w:noProof/>
        </w:rPr>
        <w:t>участници за назначения, рекламиране и търсене на назначения, търсене на потенциални партньори по проекти, управление на контакти и предложения за назначения и проекти, обучение, комуникация и дейности за изграждане на мрежи, информиране и уведомяване отно</w:t>
      </w:r>
      <w:r>
        <w:rPr>
          <w:noProof/>
        </w:rPr>
        <w:t xml:space="preserve">сно какви възможности се предлагат, както и други нови елементи или факти от значение, свързани с Европейския корпус за солидарност. </w:t>
      </w:r>
    </w:p>
    <w:p w:rsidR="00222FCC" w:rsidRDefault="00FD122A">
      <w:pPr>
        <w:pStyle w:val="Titrearticle"/>
        <w:contextualSpacing/>
        <w:rPr>
          <w:noProof/>
        </w:rPr>
      </w:pPr>
      <w:r>
        <w:rPr>
          <w:noProof/>
        </w:rPr>
        <w:t>Член 3</w:t>
      </w:r>
    </w:p>
    <w:p w:rsidR="00222FCC" w:rsidRDefault="00FD122A">
      <w:pPr>
        <w:pStyle w:val="Titrearticle"/>
        <w:contextualSpacing/>
        <w:rPr>
          <w:b/>
          <w:i w:val="0"/>
          <w:noProof/>
        </w:rPr>
      </w:pPr>
      <w:r>
        <w:rPr>
          <w:b/>
          <w:i w:val="0"/>
          <w:noProof/>
        </w:rPr>
        <w:t>Обща цел</w:t>
      </w:r>
    </w:p>
    <w:p w:rsidR="00222FCC" w:rsidRDefault="00FD122A">
      <w:pPr>
        <w:rPr>
          <w:noProof/>
        </w:rPr>
      </w:pPr>
      <w:r>
        <w:rPr>
          <w:noProof/>
        </w:rPr>
        <w:t>Целта на Европейския корпус за солидарност е да се повиши ангажираността на младите хора и на организациит</w:t>
      </w:r>
      <w:r>
        <w:rPr>
          <w:noProof/>
        </w:rPr>
        <w:t>е по отношение на достъпни и висококачествени дейности за солидарност, като начин да се допринесе за по-тясно сближаване и солидарност в Европа, да се подпомогнат общностите и да се намери отговор на обществените предизвикателства.</w:t>
      </w:r>
    </w:p>
    <w:p w:rsidR="00222FCC" w:rsidRDefault="00FD122A">
      <w:pPr>
        <w:pStyle w:val="Titrearticle"/>
        <w:contextualSpacing/>
        <w:rPr>
          <w:noProof/>
        </w:rPr>
      </w:pPr>
      <w:r>
        <w:rPr>
          <w:noProof/>
        </w:rPr>
        <w:t>Член 4</w:t>
      </w:r>
    </w:p>
    <w:p w:rsidR="00222FCC" w:rsidRDefault="00FD122A">
      <w:pPr>
        <w:pStyle w:val="Titrearticle"/>
        <w:contextualSpacing/>
        <w:rPr>
          <w:b/>
          <w:i w:val="0"/>
          <w:noProof/>
        </w:rPr>
      </w:pPr>
      <w:r>
        <w:rPr>
          <w:b/>
          <w:i w:val="0"/>
          <w:noProof/>
        </w:rPr>
        <w:t>Конкретни цели</w:t>
      </w:r>
    </w:p>
    <w:p w:rsidR="00222FCC" w:rsidRDefault="00FD122A">
      <w:pPr>
        <w:rPr>
          <w:rFonts w:eastAsia="Times New Roman"/>
          <w:noProof/>
          <w:szCs w:val="24"/>
        </w:rPr>
      </w:pPr>
      <w:r>
        <w:rPr>
          <w:noProof/>
        </w:rPr>
        <w:t>Ев</w:t>
      </w:r>
      <w:r>
        <w:rPr>
          <w:noProof/>
        </w:rPr>
        <w:t>ропейският корпус за солидарност има следните конкретни цели:</w:t>
      </w:r>
    </w:p>
    <w:p w:rsidR="00222FCC" w:rsidRDefault="00FD122A">
      <w:pPr>
        <w:pStyle w:val="Point0"/>
        <w:rPr>
          <w:noProof/>
        </w:rPr>
      </w:pPr>
      <w:r>
        <w:rPr>
          <w:noProof/>
        </w:rPr>
        <w:t>а)</w:t>
      </w:r>
      <w:r>
        <w:rPr>
          <w:noProof/>
        </w:rPr>
        <w:tab/>
        <w:t xml:space="preserve">да предостави на младите хора, с помощта на участващи организации, леснодостъпни възможности да участват в дейности за солидарност, като същевременно бъдат усъвършенствани техните умения и </w:t>
      </w:r>
      <w:r>
        <w:rPr>
          <w:noProof/>
        </w:rPr>
        <w:t>компетенции с цел личностно, образователно, социално, гражданско и професионално развитие, както и тяхната пригодност за заетост, и бъде улеснен прехода им към пазара на труда, включително чрез подпомагане на мобилността на младите доброволци, стажанти и р</w:t>
      </w:r>
      <w:r>
        <w:rPr>
          <w:noProof/>
        </w:rPr>
        <w:t>аботещи лица;</w:t>
      </w:r>
    </w:p>
    <w:p w:rsidR="00222FCC" w:rsidRDefault="00FD122A">
      <w:pPr>
        <w:pStyle w:val="Point0"/>
        <w:rPr>
          <w:noProof/>
        </w:rPr>
      </w:pPr>
      <w:r>
        <w:rPr>
          <w:noProof/>
        </w:rPr>
        <w:t>б)</w:t>
      </w:r>
      <w:r>
        <w:rPr>
          <w:noProof/>
        </w:rPr>
        <w:tab/>
        <w:t>да гарантира, че дейностите за солидарност, които се предлагат на участниците в Европейския корпус за солидарност с цел да се допринесе за удовлетворяването на конкретни неудовлетворени обществени потребности и да се укрепят общностите, са</w:t>
      </w:r>
      <w:r>
        <w:rPr>
          <w:noProof/>
        </w:rPr>
        <w:t xml:space="preserve"> с високо качество, и надлежно валидирани.</w:t>
      </w:r>
    </w:p>
    <w:p w:rsidR="00222FCC" w:rsidRDefault="00FD122A">
      <w:pPr>
        <w:pStyle w:val="Titrearticle"/>
        <w:contextualSpacing/>
        <w:rPr>
          <w:noProof/>
        </w:rPr>
      </w:pPr>
      <w:r>
        <w:rPr>
          <w:noProof/>
        </w:rPr>
        <w:t>Член 5</w:t>
      </w:r>
    </w:p>
    <w:p w:rsidR="00222FCC" w:rsidRDefault="00FD122A">
      <w:pPr>
        <w:pStyle w:val="Titrearticle"/>
        <w:contextualSpacing/>
        <w:rPr>
          <w:b/>
          <w:i w:val="0"/>
          <w:noProof/>
        </w:rPr>
      </w:pPr>
      <w:r>
        <w:rPr>
          <w:b/>
          <w:i w:val="0"/>
          <w:noProof/>
        </w:rPr>
        <w:t>Съгласуваност и взаимно допълване на действията на Съюза</w:t>
      </w:r>
    </w:p>
    <w:p w:rsidR="00222FCC" w:rsidRDefault="00FD122A">
      <w:pPr>
        <w:pStyle w:val="ManualNumPar1"/>
        <w:rPr>
          <w:noProof/>
        </w:rPr>
      </w:pPr>
      <w:r>
        <w:t>1.</w:t>
      </w:r>
      <w:r>
        <w:tab/>
      </w:r>
      <w:r>
        <w:rPr>
          <w:noProof/>
        </w:rPr>
        <w:t>Дейностите на Европейския корпус за солидарност са съвместими със съответните политики и програми, свързани с областите, посочени в член 2, парагр</w:t>
      </w:r>
      <w:r>
        <w:rPr>
          <w:noProof/>
        </w:rPr>
        <w:t xml:space="preserve">аф 1, и ги допълват, както и със съществуващи мрежи на равнище ЕС, свързани с дейностите на Европейския корпус за солидарност. </w:t>
      </w:r>
    </w:p>
    <w:p w:rsidR="00222FCC" w:rsidRDefault="00FD122A">
      <w:pPr>
        <w:pStyle w:val="ManualNumPar1"/>
        <w:rPr>
          <w:noProof/>
        </w:rPr>
      </w:pPr>
      <w:r>
        <w:t>2.</w:t>
      </w:r>
      <w:r>
        <w:tab/>
      </w:r>
      <w:r>
        <w:rPr>
          <w:noProof/>
        </w:rPr>
        <w:t>Комисията и участващите държави си сътрудничат за постигане на ефективност и ефикасност чрез осигуряване на съгласуваност меж</w:t>
      </w:r>
      <w:r>
        <w:rPr>
          <w:noProof/>
        </w:rPr>
        <w:t>ду националните програми и схеми, свързани със солидарността, образованието, професионалното обучение и младежта, от една страна, и дейностите по линия на Европейския корпус за солидарност, от друга страна. Тези дейности се основават на съответните добри п</w:t>
      </w:r>
      <w:r>
        <w:rPr>
          <w:noProof/>
        </w:rPr>
        <w:t>рактики и съществуващи програми.</w:t>
      </w:r>
    </w:p>
    <w:p w:rsidR="00222FCC" w:rsidRDefault="00FD122A">
      <w:pPr>
        <w:pStyle w:val="ManualNumPar1"/>
        <w:rPr>
          <w:noProof/>
        </w:rPr>
      </w:pPr>
      <w:r>
        <w:t>3.</w:t>
      </w:r>
      <w:r>
        <w:tab/>
      </w:r>
      <w:r>
        <w:rPr>
          <w:noProof/>
        </w:rPr>
        <w:t>Други програми на Съюза може също да допринасят за постигане на целите на Европейския корпус за солидарност като подкрепят дейностите, които са в неговия обхват. Този принос се финансира съгласно техните съответни основн</w:t>
      </w:r>
      <w:r>
        <w:rPr>
          <w:noProof/>
        </w:rPr>
        <w:t>и актове.</w:t>
      </w:r>
    </w:p>
    <w:p w:rsidR="00222FCC" w:rsidRDefault="00FD122A">
      <w:pPr>
        <w:pStyle w:val="ChapterTitle"/>
        <w:contextualSpacing/>
        <w:rPr>
          <w:noProof/>
        </w:rPr>
      </w:pPr>
      <w:r>
        <w:rPr>
          <w:noProof/>
        </w:rPr>
        <w:t>ГЛАВА II</w:t>
      </w:r>
    </w:p>
    <w:p w:rsidR="00222FCC" w:rsidRDefault="00FD122A">
      <w:pPr>
        <w:pStyle w:val="ChapterTitle"/>
        <w:contextualSpacing/>
        <w:rPr>
          <w:noProof/>
        </w:rPr>
      </w:pPr>
      <w:r>
        <w:rPr>
          <w:noProof/>
        </w:rPr>
        <w:t>ДЕЙНОСТИ НА ЕВРОПЕЙСКИЯ КОРПУС ЗА СОЛИДАРНОСТ</w:t>
      </w:r>
    </w:p>
    <w:p w:rsidR="00222FCC" w:rsidRDefault="00FD122A">
      <w:pPr>
        <w:pStyle w:val="Titrearticle"/>
        <w:contextualSpacing/>
        <w:rPr>
          <w:noProof/>
        </w:rPr>
      </w:pPr>
      <w:r>
        <w:rPr>
          <w:noProof/>
        </w:rPr>
        <w:t>Член 6</w:t>
      </w:r>
    </w:p>
    <w:p w:rsidR="00222FCC" w:rsidRDefault="00FD122A">
      <w:pPr>
        <w:pStyle w:val="Titrearticle"/>
        <w:contextualSpacing/>
        <w:rPr>
          <w:b/>
          <w:i w:val="0"/>
          <w:noProof/>
        </w:rPr>
      </w:pPr>
      <w:r>
        <w:rPr>
          <w:b/>
          <w:i w:val="0"/>
          <w:noProof/>
        </w:rPr>
        <w:t>Дейности на Европейския корпус за солидарност</w:t>
      </w:r>
    </w:p>
    <w:p w:rsidR="00222FCC" w:rsidRDefault="00FD122A">
      <w:pPr>
        <w:rPr>
          <w:noProof/>
        </w:rPr>
      </w:pPr>
      <w:r>
        <w:rPr>
          <w:noProof/>
        </w:rPr>
        <w:t>Европейският корпус за солидарност преследва своите цели чрез следните видове дейности:</w:t>
      </w:r>
    </w:p>
    <w:p w:rsidR="00222FCC" w:rsidRDefault="00FD122A">
      <w:pPr>
        <w:pStyle w:val="Point0"/>
        <w:rPr>
          <w:noProof/>
        </w:rPr>
      </w:pPr>
      <w:r>
        <w:rPr>
          <w:noProof/>
        </w:rPr>
        <w:t>а)</w:t>
      </w:r>
      <w:r>
        <w:rPr>
          <w:noProof/>
        </w:rPr>
        <w:tab/>
        <w:t>назначения за участие в дейности за солидарност</w:t>
      </w:r>
      <w:r>
        <w:rPr>
          <w:noProof/>
        </w:rPr>
        <w:t>, проекти за солидарност и дейности за изграждане на мрежи;</w:t>
      </w:r>
    </w:p>
    <w:p w:rsidR="00222FCC" w:rsidRDefault="00FD122A">
      <w:pPr>
        <w:pStyle w:val="Point0"/>
        <w:rPr>
          <w:noProof/>
        </w:rPr>
      </w:pPr>
      <w:r>
        <w:rPr>
          <w:noProof/>
        </w:rPr>
        <w:t>б)</w:t>
      </w:r>
      <w:r>
        <w:rPr>
          <w:noProof/>
        </w:rPr>
        <w:tab/>
        <w:t>мерки за качество и подпомагане.</w:t>
      </w:r>
    </w:p>
    <w:p w:rsidR="00222FCC" w:rsidRDefault="00FD122A">
      <w:pPr>
        <w:pStyle w:val="Titrearticle"/>
        <w:contextualSpacing/>
        <w:rPr>
          <w:noProof/>
        </w:rPr>
      </w:pPr>
      <w:r>
        <w:rPr>
          <w:noProof/>
        </w:rPr>
        <w:t>Член 7</w:t>
      </w:r>
    </w:p>
    <w:p w:rsidR="00222FCC" w:rsidRDefault="00FD122A">
      <w:pPr>
        <w:pStyle w:val="Titrearticle"/>
        <w:contextualSpacing/>
        <w:rPr>
          <w:b/>
          <w:i w:val="0"/>
          <w:noProof/>
        </w:rPr>
      </w:pPr>
      <w:r>
        <w:rPr>
          <w:b/>
          <w:i w:val="0"/>
          <w:noProof/>
        </w:rPr>
        <w:t>Назначения за участие в дейности за солидарност, проекти за солидарност и дейности за изграждане на мрежи</w:t>
      </w:r>
    </w:p>
    <w:p w:rsidR="00222FCC" w:rsidRDefault="00FD122A">
      <w:pPr>
        <w:pStyle w:val="ManualNumPar1"/>
        <w:rPr>
          <w:noProof/>
        </w:rPr>
      </w:pPr>
      <w:r>
        <w:t>1.</w:t>
      </w:r>
      <w:r>
        <w:tab/>
      </w:r>
      <w:r>
        <w:rPr>
          <w:noProof/>
        </w:rPr>
        <w:t>С тази дейност се подкрепят:</w:t>
      </w:r>
    </w:p>
    <w:p w:rsidR="00222FCC" w:rsidRDefault="00FD122A">
      <w:pPr>
        <w:pStyle w:val="Point0"/>
        <w:rPr>
          <w:noProof/>
        </w:rPr>
      </w:pPr>
      <w:r>
        <w:rPr>
          <w:noProof/>
        </w:rPr>
        <w:t>а)</w:t>
      </w:r>
      <w:r>
        <w:rPr>
          <w:noProof/>
        </w:rPr>
        <w:tab/>
        <w:t>назначения з</w:t>
      </w:r>
      <w:r>
        <w:rPr>
          <w:noProof/>
        </w:rPr>
        <w:t>а участие в дейности за солидарност под формата на доброволчество, стажове или работа, включително индивидуални назначения в чужбина и назначения в държавата на местопребиваване на участника, както и назначения на доброволчески екипи;</w:t>
      </w:r>
    </w:p>
    <w:p w:rsidR="00222FCC" w:rsidRDefault="00FD122A">
      <w:pPr>
        <w:pStyle w:val="Point0"/>
        <w:rPr>
          <w:noProof/>
        </w:rPr>
      </w:pPr>
      <w:r>
        <w:rPr>
          <w:noProof/>
        </w:rPr>
        <w:t>б)</w:t>
      </w:r>
      <w:r>
        <w:rPr>
          <w:noProof/>
        </w:rPr>
        <w:tab/>
        <w:t>проекти за солидар</w:t>
      </w:r>
      <w:r>
        <w:rPr>
          <w:noProof/>
        </w:rPr>
        <w:t>ност по инициатива на участници в Европейския корпус за солидарност;</w:t>
      </w:r>
    </w:p>
    <w:p w:rsidR="00222FCC" w:rsidRDefault="00FD122A">
      <w:pPr>
        <w:pStyle w:val="Point0"/>
        <w:rPr>
          <w:noProof/>
        </w:rPr>
      </w:pPr>
      <w:r>
        <w:rPr>
          <w:noProof/>
        </w:rPr>
        <w:t>в)</w:t>
      </w:r>
      <w:r>
        <w:rPr>
          <w:noProof/>
        </w:rPr>
        <w:tab/>
        <w:t>дейности за изграждане на мрежи за участниците и организациите, участващи в Европейския корпус за солидарност.</w:t>
      </w:r>
    </w:p>
    <w:p w:rsidR="00222FCC" w:rsidRDefault="00FD122A">
      <w:pPr>
        <w:pStyle w:val="ManualNumPar1"/>
        <w:rPr>
          <w:rFonts w:eastAsia="Times New Roman"/>
          <w:noProof/>
          <w:szCs w:val="24"/>
        </w:rPr>
      </w:pPr>
      <w:r>
        <w:t>2.</w:t>
      </w:r>
      <w:r>
        <w:tab/>
      </w:r>
      <w:r>
        <w:rPr>
          <w:noProof/>
        </w:rPr>
        <w:t xml:space="preserve">Назначенията за участие в дейности за солидарност в чужбина, посочени </w:t>
      </w:r>
      <w:r>
        <w:rPr>
          <w:noProof/>
        </w:rPr>
        <w:t>в параграф 1, буква а), се считат равностойни на назначенията, изпълнявани от Европейската доброволческа служба, и позоваванията на Европейската доброволческа служба в законодателството на Съюза се отнасят и до Европейския корпус за солидарност по отношени</w:t>
      </w:r>
      <w:r>
        <w:rPr>
          <w:noProof/>
        </w:rPr>
        <w:t>е на тези назначения.</w:t>
      </w:r>
    </w:p>
    <w:p w:rsidR="00222FCC" w:rsidRDefault="00FD122A">
      <w:pPr>
        <w:pStyle w:val="Titrearticle"/>
        <w:contextualSpacing/>
        <w:rPr>
          <w:noProof/>
        </w:rPr>
      </w:pPr>
      <w:r>
        <w:rPr>
          <w:noProof/>
        </w:rPr>
        <w:t>Член 8</w:t>
      </w:r>
    </w:p>
    <w:p w:rsidR="00222FCC" w:rsidRDefault="00FD122A">
      <w:pPr>
        <w:pStyle w:val="Titrearticle"/>
        <w:contextualSpacing/>
        <w:rPr>
          <w:b/>
          <w:i w:val="0"/>
          <w:noProof/>
        </w:rPr>
      </w:pPr>
      <w:r>
        <w:rPr>
          <w:b/>
          <w:i w:val="0"/>
          <w:noProof/>
        </w:rPr>
        <w:t>Мерки за качество и подпомагане</w:t>
      </w:r>
    </w:p>
    <w:p w:rsidR="00222FCC" w:rsidRDefault="00FD122A">
      <w:pPr>
        <w:rPr>
          <w:noProof/>
        </w:rPr>
      </w:pPr>
      <w:r>
        <w:rPr>
          <w:noProof/>
        </w:rPr>
        <w:t>С тази дейност се подкрепят:</w:t>
      </w:r>
    </w:p>
    <w:p w:rsidR="00222FCC" w:rsidRDefault="00FD122A">
      <w:pPr>
        <w:pStyle w:val="Point0"/>
        <w:rPr>
          <w:noProof/>
        </w:rPr>
      </w:pPr>
      <w:r>
        <w:rPr>
          <w:noProof/>
        </w:rPr>
        <w:t>а)</w:t>
      </w:r>
      <w:r>
        <w:rPr>
          <w:noProof/>
        </w:rPr>
        <w:tab/>
        <w:t>мерки, които имат за цел гарантиране на качеството на назначенията за участие в дейности за солидарност, включително обучение, езикова подкрепа, административна по</w:t>
      </w:r>
      <w:r>
        <w:rPr>
          <w:noProof/>
        </w:rPr>
        <w:t>дкрепа за участниците и за участващите организации, застраховка, подпомагане след назначаването, както и изготвяне на удостоверение, с което се установяват и документират знанията, уменията и компетенциите, придобити по време на назначението;</w:t>
      </w:r>
    </w:p>
    <w:p w:rsidR="00222FCC" w:rsidRDefault="00FD122A">
      <w:pPr>
        <w:pStyle w:val="Point0"/>
        <w:rPr>
          <w:noProof/>
        </w:rPr>
      </w:pPr>
      <w:r>
        <w:rPr>
          <w:noProof/>
        </w:rPr>
        <w:t>б)</w:t>
      </w:r>
      <w:r>
        <w:rPr>
          <w:noProof/>
        </w:rPr>
        <w:tab/>
        <w:t>създаванет</w:t>
      </w:r>
      <w:r>
        <w:rPr>
          <w:noProof/>
        </w:rPr>
        <w:t>о и поддържането на знак за качество за субекти, желаещи да предоставят назначения за Европейския корпус за солидарност, за да се осигури съответствие с принципите и изискванията на Хартата на Европейския корпус за солидарност;</w:t>
      </w:r>
    </w:p>
    <w:p w:rsidR="00222FCC" w:rsidRDefault="00FD122A">
      <w:pPr>
        <w:pStyle w:val="Point0"/>
        <w:rPr>
          <w:noProof/>
        </w:rPr>
      </w:pPr>
      <w:r>
        <w:rPr>
          <w:noProof/>
        </w:rPr>
        <w:t>в)</w:t>
      </w:r>
      <w:r>
        <w:rPr>
          <w:noProof/>
        </w:rPr>
        <w:tab/>
        <w:t>дейностите на Ресурсен це</w:t>
      </w:r>
      <w:r>
        <w:rPr>
          <w:noProof/>
        </w:rPr>
        <w:t>нтър на Европейския корпус за солидарност за подпомагане и повишаване на качеството на изпълнение на действията на Европейския корпус за солидарност и за подобряване на валидирането на резултатите от тях;</w:t>
      </w:r>
    </w:p>
    <w:p w:rsidR="00222FCC" w:rsidRDefault="00FD122A">
      <w:pPr>
        <w:pStyle w:val="Point0"/>
        <w:rPr>
          <w:noProof/>
        </w:rPr>
      </w:pPr>
      <w:r>
        <w:rPr>
          <w:noProof/>
        </w:rPr>
        <w:t>г)</w:t>
      </w:r>
      <w:r>
        <w:rPr>
          <w:noProof/>
        </w:rPr>
        <w:tab/>
        <w:t>създаването, поддръжката и актуализирането на по</w:t>
      </w:r>
      <w:r>
        <w:rPr>
          <w:noProof/>
        </w:rPr>
        <w:t>ртал на Европейския корпус за солидарност и други уместни онлайн услуги, както и необходимите информационни системи за поддръжка и онлайн инструменти.</w:t>
      </w:r>
    </w:p>
    <w:p w:rsidR="00222FCC" w:rsidRDefault="00FD122A">
      <w:pPr>
        <w:pStyle w:val="ChapterTitle"/>
        <w:contextualSpacing/>
        <w:rPr>
          <w:noProof/>
        </w:rPr>
      </w:pPr>
      <w:r>
        <w:rPr>
          <w:noProof/>
        </w:rPr>
        <w:t>ГЛАВА III</w:t>
      </w:r>
    </w:p>
    <w:p w:rsidR="00222FCC" w:rsidRDefault="00FD122A">
      <w:pPr>
        <w:pStyle w:val="ChapterTitle"/>
        <w:contextualSpacing/>
        <w:rPr>
          <w:noProof/>
        </w:rPr>
      </w:pPr>
      <w:r>
        <w:rPr>
          <w:noProof/>
        </w:rPr>
        <w:t>ФИНАНСОВИ РАЗПОРЕДБИ</w:t>
      </w:r>
    </w:p>
    <w:p w:rsidR="00222FCC" w:rsidRDefault="00FD122A">
      <w:pPr>
        <w:pStyle w:val="Titrearticle"/>
        <w:contextualSpacing/>
        <w:rPr>
          <w:noProof/>
        </w:rPr>
      </w:pPr>
      <w:r>
        <w:rPr>
          <w:noProof/>
        </w:rPr>
        <w:t>Член 9</w:t>
      </w:r>
    </w:p>
    <w:p w:rsidR="00222FCC" w:rsidRDefault="00FD122A">
      <w:pPr>
        <w:pStyle w:val="Titrearticle"/>
        <w:contextualSpacing/>
        <w:rPr>
          <w:b/>
          <w:i w:val="0"/>
          <w:noProof/>
        </w:rPr>
      </w:pPr>
      <w:r>
        <w:rPr>
          <w:b/>
          <w:i w:val="0"/>
          <w:noProof/>
        </w:rPr>
        <w:t>Бюджет</w:t>
      </w:r>
    </w:p>
    <w:p w:rsidR="00222FCC" w:rsidRDefault="00FD122A">
      <w:pPr>
        <w:pStyle w:val="ManualNumPar1"/>
        <w:rPr>
          <w:noProof/>
        </w:rPr>
      </w:pPr>
      <w:r>
        <w:t>1.</w:t>
      </w:r>
      <w:r>
        <w:tab/>
      </w:r>
      <w:r>
        <w:rPr>
          <w:noProof/>
        </w:rPr>
        <w:t xml:space="preserve">Общият бюджет, предвиден за реализирането на Европейския </w:t>
      </w:r>
      <w:r>
        <w:rPr>
          <w:noProof/>
        </w:rPr>
        <w:t>корпус за солидарност, е 341 500 000 EUR по текущи цени, за периода от 1 януари 2018 г. до 31 декември 2020 г.</w:t>
      </w:r>
    </w:p>
    <w:p w:rsidR="00222FCC" w:rsidRDefault="00FD122A">
      <w:pPr>
        <w:pStyle w:val="ManualNumPar1"/>
        <w:rPr>
          <w:noProof/>
        </w:rPr>
      </w:pPr>
      <w:r>
        <w:t>2.</w:t>
      </w:r>
      <w:r>
        <w:tab/>
      </w:r>
      <w:r>
        <w:rPr>
          <w:noProof/>
        </w:rPr>
        <w:t>Сумата, посочена в параграф 1, включва финансов пакет от 294 200 000 EUR</w:t>
      </w:r>
      <w:r>
        <w:rPr>
          <w:rStyle w:val="FootnoteReference"/>
          <w:noProof/>
          <w:color w:val="000000"/>
        </w:rPr>
        <w:footnoteReference w:id="34"/>
      </w:r>
      <w:r>
        <w:rPr>
          <w:noProof/>
        </w:rPr>
        <w:t xml:space="preserve"> по текущи цени, допълнен с вноски от: </w:t>
      </w:r>
    </w:p>
    <w:p w:rsidR="00222FCC" w:rsidRDefault="00FD122A">
      <w:pPr>
        <w:pStyle w:val="Point1"/>
        <w:rPr>
          <w:noProof/>
        </w:rPr>
      </w:pPr>
      <w:r>
        <w:rPr>
          <w:noProof/>
        </w:rPr>
        <w:t>а)</w:t>
      </w:r>
      <w:r>
        <w:rPr>
          <w:noProof/>
        </w:rPr>
        <w:tab/>
        <w:t>Европейския социален фонд,</w:t>
      </w:r>
      <w:r>
        <w:rPr>
          <w:noProof/>
        </w:rPr>
        <w:t xml:space="preserve"> участващ с 35 000 000 EUR</w:t>
      </w:r>
      <w:r>
        <w:rPr>
          <w:noProof/>
          <w:color w:val="000000"/>
        </w:rPr>
        <w:t xml:space="preserve"> по текущи цени</w:t>
      </w:r>
      <w:r>
        <w:rPr>
          <w:noProof/>
        </w:rPr>
        <w:t xml:space="preserve">; </w:t>
      </w:r>
    </w:p>
    <w:p w:rsidR="00222FCC" w:rsidRDefault="00FD122A">
      <w:pPr>
        <w:pStyle w:val="Point1"/>
        <w:rPr>
          <w:noProof/>
        </w:rPr>
      </w:pPr>
      <w:r>
        <w:rPr>
          <w:noProof/>
        </w:rPr>
        <w:t>б)</w:t>
      </w:r>
      <w:r>
        <w:rPr>
          <w:noProof/>
        </w:rPr>
        <w:tab/>
        <w:t>Механизма за гражданска защита на Съюза, участващ с 6 000 000 EUR</w:t>
      </w:r>
      <w:r>
        <w:rPr>
          <w:noProof/>
          <w:color w:val="000000"/>
        </w:rPr>
        <w:t xml:space="preserve"> по текущи цени</w:t>
      </w:r>
      <w:r>
        <w:rPr>
          <w:noProof/>
        </w:rPr>
        <w:t xml:space="preserve">; </w:t>
      </w:r>
    </w:p>
    <w:p w:rsidR="00222FCC" w:rsidRDefault="00FD122A">
      <w:pPr>
        <w:pStyle w:val="Point1"/>
        <w:rPr>
          <w:noProof/>
        </w:rPr>
      </w:pPr>
      <w:r>
        <w:rPr>
          <w:noProof/>
        </w:rPr>
        <w:t>в)</w:t>
      </w:r>
      <w:r>
        <w:rPr>
          <w:noProof/>
        </w:rPr>
        <w:tab/>
        <w:t>Програма LIFE, участваща с 4 500 000 EUR</w:t>
      </w:r>
      <w:r>
        <w:rPr>
          <w:noProof/>
          <w:color w:val="000000"/>
        </w:rPr>
        <w:t xml:space="preserve"> по текущи цени</w:t>
      </w:r>
      <w:r>
        <w:rPr>
          <w:noProof/>
        </w:rPr>
        <w:t xml:space="preserve">; </w:t>
      </w:r>
    </w:p>
    <w:p w:rsidR="00222FCC" w:rsidRDefault="00FD122A">
      <w:pPr>
        <w:pStyle w:val="Point1"/>
        <w:rPr>
          <w:noProof/>
        </w:rPr>
      </w:pPr>
      <w:r>
        <w:rPr>
          <w:noProof/>
        </w:rPr>
        <w:t>г)</w:t>
      </w:r>
      <w:r>
        <w:rPr>
          <w:noProof/>
        </w:rPr>
        <w:tab/>
        <w:t>Европейския земеделски фонд за развитие на селските райони, уч</w:t>
      </w:r>
      <w:r>
        <w:rPr>
          <w:noProof/>
        </w:rPr>
        <w:t>астващ с 1 800 000 EUR</w:t>
      </w:r>
      <w:r>
        <w:rPr>
          <w:noProof/>
          <w:color w:val="000000"/>
        </w:rPr>
        <w:t xml:space="preserve"> по текущи цени</w:t>
      </w:r>
      <w:r>
        <w:rPr>
          <w:noProof/>
        </w:rPr>
        <w:t>.</w:t>
      </w:r>
    </w:p>
    <w:p w:rsidR="00222FCC" w:rsidRDefault="00FD122A">
      <w:pPr>
        <w:pStyle w:val="ManualNumPar1"/>
        <w:rPr>
          <w:noProof/>
        </w:rPr>
      </w:pPr>
      <w:r>
        <w:t>3.</w:t>
      </w:r>
      <w:r>
        <w:tab/>
      </w:r>
      <w:r>
        <w:rPr>
          <w:noProof/>
        </w:rPr>
        <w:t>Финансовата помощ за назначенията за участие в дейности за солидарност и за проектите за солидарност, посочени в член 7, параграф 1, букви а) и б), се разпределя индикативно на 80 % за назначения за участие в добро</w:t>
      </w:r>
      <w:r>
        <w:rPr>
          <w:noProof/>
        </w:rPr>
        <w:t>волческа дейност и за проекти за солидарност; и на 20 % за назначения за стажове и работа.</w:t>
      </w:r>
    </w:p>
    <w:p w:rsidR="00222FCC" w:rsidRDefault="00FD122A">
      <w:pPr>
        <w:pStyle w:val="ManualNumPar1"/>
        <w:rPr>
          <w:noProof/>
        </w:rPr>
      </w:pPr>
      <w:r>
        <w:t>4.</w:t>
      </w:r>
      <w:r>
        <w:tab/>
      </w:r>
      <w:r>
        <w:rPr>
          <w:noProof/>
        </w:rPr>
        <w:t>Разпределената сума може да покрива също и разходи, свързани с подготвителни дейности и с дейности за мониторинг, контрол, одит и оценка, които са необходими за у</w:t>
      </w:r>
      <w:r>
        <w:rPr>
          <w:noProof/>
        </w:rPr>
        <w:t>правлението на Европейския корпус за солидарност и за постигането на неговите цели, по-специално проучвания, заседания на експерти и дейности за информация и комуникация, разходи, свързани със създаването, поддръжката и актуализирането на портала на Европе</w:t>
      </w:r>
      <w:r>
        <w:rPr>
          <w:noProof/>
        </w:rPr>
        <w:t>йския корпус за солидарност и необходимите информационни системи за поддръжка, както и всички други разходи за техническа и административна помощ, направени от Комисията за управлението на Европейския корпус за солидарност.</w:t>
      </w:r>
    </w:p>
    <w:p w:rsidR="00222FCC" w:rsidRDefault="00FD122A">
      <w:pPr>
        <w:pStyle w:val="ManualNumPar1"/>
        <w:rPr>
          <w:noProof/>
        </w:rPr>
      </w:pPr>
      <w:r>
        <w:t>5.</w:t>
      </w:r>
      <w:r>
        <w:tab/>
      </w:r>
      <w:r>
        <w:rPr>
          <w:noProof/>
        </w:rPr>
        <w:t>Ако е необходимо, за покриван</w:t>
      </w:r>
      <w:r>
        <w:rPr>
          <w:noProof/>
        </w:rPr>
        <w:t>е на подобни разходи може да бъдат предвидени бюджетни кредити в бюджета след 2020 г. с цел да се даде възможност да се управляват действия, които не са приключили до 31 декември 2020 г.</w:t>
      </w:r>
    </w:p>
    <w:p w:rsidR="00222FCC" w:rsidRDefault="00FD122A">
      <w:pPr>
        <w:pStyle w:val="ManualNumPar1"/>
        <w:rPr>
          <w:noProof/>
        </w:rPr>
      </w:pPr>
      <w:r>
        <w:t>6.</w:t>
      </w:r>
      <w:r>
        <w:tab/>
      </w:r>
      <w:r>
        <w:rPr>
          <w:noProof/>
        </w:rPr>
        <w:t>Всяка участваща държава може да предостави национално финансиране,</w:t>
      </w:r>
      <w:r>
        <w:rPr>
          <w:noProof/>
        </w:rPr>
        <w:t xml:space="preserve"> което да е на разположение на бенефициерите и се управлява в съответствие с правилата на Европейския корпус за солидарност, и за тази цел да използва децентрализираните структури на Европейския корпус за солидарност, при условие, че осигури допълнително п</w:t>
      </w:r>
      <w:r>
        <w:rPr>
          <w:noProof/>
        </w:rPr>
        <w:t>ропорционално финансиране на тези структури.</w:t>
      </w:r>
    </w:p>
    <w:p w:rsidR="00222FCC" w:rsidRDefault="00FD122A">
      <w:pPr>
        <w:pStyle w:val="Titrearticle"/>
        <w:contextualSpacing/>
        <w:rPr>
          <w:noProof/>
        </w:rPr>
      </w:pPr>
      <w:r>
        <w:rPr>
          <w:noProof/>
        </w:rPr>
        <w:t>Член 10</w:t>
      </w:r>
    </w:p>
    <w:p w:rsidR="00222FCC" w:rsidRDefault="00FD122A">
      <w:pPr>
        <w:pStyle w:val="Titrearticle"/>
        <w:contextualSpacing/>
        <w:rPr>
          <w:b/>
          <w:i w:val="0"/>
          <w:noProof/>
        </w:rPr>
      </w:pPr>
      <w:r>
        <w:rPr>
          <w:b/>
          <w:i w:val="0"/>
          <w:noProof/>
        </w:rPr>
        <w:t>Форми на финансиране от Съюза</w:t>
      </w:r>
    </w:p>
    <w:p w:rsidR="00222FCC" w:rsidRDefault="00FD122A">
      <w:pPr>
        <w:pStyle w:val="ManualNumPar1"/>
        <w:rPr>
          <w:noProof/>
        </w:rPr>
      </w:pPr>
      <w:r>
        <w:t>1.</w:t>
      </w:r>
      <w:r>
        <w:tab/>
      </w:r>
      <w:r>
        <w:rPr>
          <w:noProof/>
          <w:color w:val="000000"/>
        </w:rPr>
        <w:t xml:space="preserve">Финансирането на Европейския корпус за солидарност </w:t>
      </w:r>
      <w:r>
        <w:rPr>
          <w:noProof/>
        </w:rPr>
        <w:t xml:space="preserve">може да се осигури в една или повече от формите, предвидени в Регламент </w:t>
      </w:r>
      <w:r>
        <w:rPr>
          <w:noProof/>
          <w:color w:val="000000"/>
        </w:rPr>
        <w:t>(ЕС, Евратом) № 966/2012</w:t>
      </w:r>
      <w:r>
        <w:rPr>
          <w:noProof/>
        </w:rPr>
        <w:t>, по-специално безвъзме</w:t>
      </w:r>
      <w:r>
        <w:rPr>
          <w:noProof/>
        </w:rPr>
        <w:t>здни средства, обществени поръчки и награди.</w:t>
      </w:r>
    </w:p>
    <w:p w:rsidR="00222FCC" w:rsidRDefault="00FD122A">
      <w:pPr>
        <w:pStyle w:val="ManualNumPar1"/>
        <w:rPr>
          <w:noProof/>
        </w:rPr>
      </w:pPr>
      <w:r>
        <w:t>2.</w:t>
      </w:r>
      <w:r>
        <w:tab/>
      </w:r>
      <w:r>
        <w:rPr>
          <w:noProof/>
        </w:rPr>
        <w:t xml:space="preserve">Комисията може да управлява Европейския корпус за солидарност непряко в </w:t>
      </w:r>
      <w:r>
        <w:rPr>
          <w:noProof/>
          <w:color w:val="000000"/>
        </w:rPr>
        <w:t>съответствие с</w:t>
      </w:r>
      <w:r>
        <w:rPr>
          <w:noProof/>
        </w:rPr>
        <w:t xml:space="preserve"> член 58, параграф 1, буква в)</w:t>
      </w:r>
      <w:r>
        <w:rPr>
          <w:noProof/>
          <w:color w:val="FF0000"/>
        </w:rPr>
        <w:t xml:space="preserve"> </w:t>
      </w:r>
      <w:r>
        <w:rPr>
          <w:noProof/>
          <w:color w:val="000000"/>
        </w:rPr>
        <w:t>от Регламент (ЕС, Евратом) № 966/2012.</w:t>
      </w:r>
    </w:p>
    <w:p w:rsidR="00222FCC" w:rsidRDefault="00FD122A">
      <w:pPr>
        <w:pStyle w:val="ChapterTitle"/>
        <w:contextualSpacing/>
        <w:rPr>
          <w:noProof/>
        </w:rPr>
      </w:pPr>
      <w:r>
        <w:rPr>
          <w:noProof/>
        </w:rPr>
        <w:t>ГЛАВА IV</w:t>
      </w:r>
    </w:p>
    <w:p w:rsidR="00222FCC" w:rsidRDefault="00FD122A">
      <w:pPr>
        <w:pStyle w:val="ChapterTitle"/>
        <w:contextualSpacing/>
        <w:rPr>
          <w:noProof/>
        </w:rPr>
      </w:pPr>
      <w:r>
        <w:rPr>
          <w:noProof/>
        </w:rPr>
        <w:t>УЧАСТИЕ В ЕВРОПЕЙСКИЯ КОРПУС ЗА СОЛИДАРНОСТ</w:t>
      </w:r>
    </w:p>
    <w:p w:rsidR="00222FCC" w:rsidRDefault="00FD122A">
      <w:pPr>
        <w:pStyle w:val="Titrearticle"/>
        <w:contextualSpacing/>
        <w:rPr>
          <w:noProof/>
        </w:rPr>
      </w:pPr>
      <w:r>
        <w:rPr>
          <w:noProof/>
        </w:rPr>
        <w:t>Член 11</w:t>
      </w:r>
    </w:p>
    <w:p w:rsidR="00222FCC" w:rsidRDefault="00FD122A">
      <w:pPr>
        <w:pStyle w:val="Titrearticle"/>
        <w:contextualSpacing/>
        <w:rPr>
          <w:b/>
          <w:i w:val="0"/>
          <w:noProof/>
        </w:rPr>
      </w:pPr>
      <w:r>
        <w:rPr>
          <w:b/>
          <w:i w:val="0"/>
          <w:noProof/>
        </w:rPr>
        <w:t>Участващи държави</w:t>
      </w:r>
    </w:p>
    <w:p w:rsidR="00222FCC" w:rsidRDefault="00FD122A">
      <w:pPr>
        <w:pStyle w:val="ManualNumPar1"/>
        <w:rPr>
          <w:noProof/>
        </w:rPr>
      </w:pPr>
      <w:r>
        <w:t>1.</w:t>
      </w:r>
      <w:r>
        <w:tab/>
      </w:r>
      <w:r>
        <w:rPr>
          <w:noProof/>
        </w:rPr>
        <w:t>Държавите членки участват в Европейския корпус за солидарност.</w:t>
      </w:r>
    </w:p>
    <w:p w:rsidR="00222FCC" w:rsidRDefault="00FD122A">
      <w:pPr>
        <w:pStyle w:val="ManualNumPar1"/>
        <w:rPr>
          <w:noProof/>
        </w:rPr>
      </w:pPr>
      <w:r>
        <w:t>2.</w:t>
      </w:r>
      <w:r>
        <w:tab/>
      </w:r>
      <w:r>
        <w:rPr>
          <w:noProof/>
        </w:rPr>
        <w:t>Европейският корпус за солидарност е отворен за участие и на други държави въз основа на двустранни споразумения. Сътрудничеството се основава, когато е уместно</w:t>
      </w:r>
      <w:r>
        <w:rPr>
          <w:noProof/>
        </w:rPr>
        <w:t>, на допълнителни бюджетни кредити, предоставяни в съответствие с процедурите, които ще се договарят с тези държави.</w:t>
      </w:r>
    </w:p>
    <w:p w:rsidR="00222FCC" w:rsidRDefault="00FD122A">
      <w:pPr>
        <w:pStyle w:val="Titrearticle"/>
        <w:contextualSpacing/>
        <w:rPr>
          <w:noProof/>
        </w:rPr>
      </w:pPr>
      <w:r>
        <w:rPr>
          <w:noProof/>
        </w:rPr>
        <w:t xml:space="preserve">Член 12 </w:t>
      </w:r>
    </w:p>
    <w:p w:rsidR="00222FCC" w:rsidRDefault="00FD122A">
      <w:pPr>
        <w:pStyle w:val="Titrearticle"/>
        <w:contextualSpacing/>
        <w:rPr>
          <w:b/>
          <w:i w:val="0"/>
          <w:noProof/>
        </w:rPr>
      </w:pPr>
      <w:r>
        <w:rPr>
          <w:b/>
          <w:i w:val="0"/>
          <w:noProof/>
        </w:rPr>
        <w:t>Участие на граждани</w:t>
      </w:r>
    </w:p>
    <w:p w:rsidR="00222FCC" w:rsidRDefault="00FD122A">
      <w:pPr>
        <w:pStyle w:val="ManualNumPar1"/>
        <w:rPr>
          <w:noProof/>
        </w:rPr>
      </w:pPr>
      <w:r>
        <w:t>1.</w:t>
      </w:r>
      <w:r>
        <w:tab/>
      </w:r>
      <w:r>
        <w:rPr>
          <w:noProof/>
        </w:rPr>
        <w:t>Младите хора на възраст от 17 до 30 години, които желаят да участват в Европейския корпус за солидарност, с</w:t>
      </w:r>
      <w:r>
        <w:rPr>
          <w:noProof/>
        </w:rPr>
        <w:t>е регистрират в портала на Европейския корпус за солидарност. В момента на започване на назначението или на проекта обаче регистрираният млад човек трябва да е на минимум 18 години и на не повече от 30 години.</w:t>
      </w:r>
    </w:p>
    <w:p w:rsidR="00222FCC" w:rsidRDefault="00FD122A">
      <w:pPr>
        <w:pStyle w:val="ManualNumPar1"/>
        <w:rPr>
          <w:noProof/>
        </w:rPr>
      </w:pPr>
      <w:r>
        <w:t>2.</w:t>
      </w:r>
      <w:r>
        <w:tab/>
      </w:r>
      <w:r>
        <w:rPr>
          <w:noProof/>
        </w:rPr>
        <w:t>При изпълнението на настоящия регламент Ком</w:t>
      </w:r>
      <w:r>
        <w:rPr>
          <w:noProof/>
        </w:rPr>
        <w:t>исията и участващите държави гарантират, че се полагат специални усилия за насърчаване на социалното приобщаване, по-специално по отношение на участието на млади хора в неравностойно положение.</w:t>
      </w:r>
    </w:p>
    <w:p w:rsidR="00222FCC" w:rsidRDefault="00FD122A">
      <w:pPr>
        <w:pStyle w:val="Titrearticle"/>
        <w:contextualSpacing/>
        <w:rPr>
          <w:noProof/>
        </w:rPr>
      </w:pPr>
      <w:r>
        <w:rPr>
          <w:noProof/>
        </w:rPr>
        <w:t>Член 13</w:t>
      </w:r>
    </w:p>
    <w:p w:rsidR="00222FCC" w:rsidRDefault="00FD122A">
      <w:pPr>
        <w:pStyle w:val="Titrearticle"/>
        <w:contextualSpacing/>
        <w:rPr>
          <w:b/>
          <w:i w:val="0"/>
          <w:noProof/>
        </w:rPr>
      </w:pPr>
      <w:r>
        <w:rPr>
          <w:b/>
          <w:i w:val="0"/>
          <w:noProof/>
        </w:rPr>
        <w:t>Участващи организации</w:t>
      </w:r>
    </w:p>
    <w:p w:rsidR="00222FCC" w:rsidRDefault="00FD122A">
      <w:pPr>
        <w:pStyle w:val="ManualNumPar1"/>
        <w:rPr>
          <w:noProof/>
        </w:rPr>
      </w:pPr>
      <w:r>
        <w:t>1.</w:t>
      </w:r>
      <w:r>
        <w:tab/>
      </w:r>
      <w:r>
        <w:rPr>
          <w:noProof/>
        </w:rPr>
        <w:t xml:space="preserve">Европейският корпус за </w:t>
      </w:r>
      <w:r>
        <w:rPr>
          <w:noProof/>
        </w:rPr>
        <w:t>солидарност е отворен за участието на публични или частни субекти или международни организации, при условие, че са получили знак за качество на Европейския корпус за солидарност.</w:t>
      </w:r>
    </w:p>
    <w:p w:rsidR="00222FCC" w:rsidRDefault="00FD122A">
      <w:pPr>
        <w:pStyle w:val="ManualNumPar1"/>
        <w:rPr>
          <w:noProof/>
        </w:rPr>
      </w:pPr>
      <w:r>
        <w:t>2.</w:t>
      </w:r>
      <w:r>
        <w:tab/>
      </w:r>
      <w:r>
        <w:rPr>
          <w:noProof/>
        </w:rPr>
        <w:t>Искането на отговарящ на условията субект да стане участваща организация в</w:t>
      </w:r>
      <w:r>
        <w:rPr>
          <w:noProof/>
        </w:rPr>
        <w:t xml:space="preserve"> Европейския корпус за солидарност се оценява от компетентния изпълнителен орган на Европейския корпус за солидарност, за да се увери, че дейностите на този субект съответстват на изискванията на Европейския корпус за солидарност.</w:t>
      </w:r>
    </w:p>
    <w:p w:rsidR="00222FCC" w:rsidRDefault="00FD122A">
      <w:pPr>
        <w:pStyle w:val="ManualNumPar1"/>
        <w:rPr>
          <w:noProof/>
        </w:rPr>
      </w:pPr>
      <w:r>
        <w:t>3.</w:t>
      </w:r>
      <w:r>
        <w:tab/>
      </w:r>
      <w:r>
        <w:rPr>
          <w:noProof/>
        </w:rPr>
        <w:t>В резултат на тази оце</w:t>
      </w:r>
      <w:r>
        <w:rPr>
          <w:noProof/>
        </w:rPr>
        <w:t>нка на дадения субект може да бъде предоставен знака за качество на Европейския корпус за солидарност. Полученият знак за качество периодично се подлага на нова оценка и може да бъде отнет.</w:t>
      </w:r>
    </w:p>
    <w:p w:rsidR="00222FCC" w:rsidRDefault="00FD122A">
      <w:pPr>
        <w:pStyle w:val="ManualNumPar1"/>
        <w:rPr>
          <w:noProof/>
        </w:rPr>
      </w:pPr>
      <w:r>
        <w:t>4.</w:t>
      </w:r>
      <w:r>
        <w:tab/>
      </w:r>
      <w:r>
        <w:rPr>
          <w:noProof/>
        </w:rPr>
        <w:t>На всеки субект, който е получил знака за качество на Европейск</w:t>
      </w:r>
      <w:r>
        <w:rPr>
          <w:noProof/>
        </w:rPr>
        <w:t>ия корпус за солидарност, се осигурява достъп до портала на Европейския корпус за солидарност и той има право да отправя към регистрираните граждани предложения за дейности за солидарност.</w:t>
      </w:r>
    </w:p>
    <w:p w:rsidR="00222FCC" w:rsidRDefault="00FD122A">
      <w:pPr>
        <w:pStyle w:val="ManualNumPar1"/>
        <w:rPr>
          <w:noProof/>
        </w:rPr>
      </w:pPr>
      <w:r>
        <w:t>5.</w:t>
      </w:r>
      <w:r>
        <w:tab/>
      </w:r>
      <w:r>
        <w:rPr>
          <w:noProof/>
        </w:rPr>
        <w:t>Знакът за качество на Европейския корпус за солидарност не предо</w:t>
      </w:r>
      <w:r>
        <w:rPr>
          <w:noProof/>
        </w:rPr>
        <w:t>ставя автоматично право на получаване на финансиране по линия на Европейския корпус за солидарност.</w:t>
      </w:r>
    </w:p>
    <w:p w:rsidR="00222FCC" w:rsidRDefault="00FD122A">
      <w:pPr>
        <w:pStyle w:val="ManualNumPar1"/>
        <w:rPr>
          <w:noProof/>
        </w:rPr>
      </w:pPr>
      <w:r>
        <w:t>6.</w:t>
      </w:r>
      <w:r>
        <w:tab/>
      </w:r>
      <w:r>
        <w:rPr>
          <w:noProof/>
        </w:rPr>
        <w:t>Дейностите за солидарност и свързаните с тях мерки за качество и подпомагане, предложени от участваща организация, може да получат финансиране по линия н</w:t>
      </w:r>
      <w:r>
        <w:rPr>
          <w:noProof/>
        </w:rPr>
        <w:t>а Европейския корпус за солидарност или по линия на друга програма на Съюза, която допринася самостоятелно за постигането на целите на Европейския корпус за солидарност, или от други източници на финансиране, които не зависят от бюджета на Съюза.</w:t>
      </w:r>
    </w:p>
    <w:p w:rsidR="00222FCC" w:rsidRDefault="00FD122A">
      <w:pPr>
        <w:pStyle w:val="Titrearticle"/>
        <w:contextualSpacing/>
        <w:rPr>
          <w:noProof/>
        </w:rPr>
      </w:pPr>
      <w:r>
        <w:rPr>
          <w:noProof/>
        </w:rPr>
        <w:t>Член 14</w:t>
      </w:r>
    </w:p>
    <w:p w:rsidR="00222FCC" w:rsidRDefault="00FD122A">
      <w:pPr>
        <w:pStyle w:val="Titrearticle"/>
        <w:contextualSpacing/>
        <w:rPr>
          <w:b/>
          <w:i w:val="0"/>
          <w:noProof/>
        </w:rPr>
      </w:pPr>
      <w:r>
        <w:rPr>
          <w:b/>
          <w:i w:val="0"/>
          <w:noProof/>
        </w:rPr>
        <w:t>Д</w:t>
      </w:r>
      <w:r>
        <w:rPr>
          <w:b/>
          <w:i w:val="0"/>
          <w:noProof/>
        </w:rPr>
        <w:t>остъп до финансирането по линия на Европейския корпус за солидарност</w:t>
      </w:r>
    </w:p>
    <w:p w:rsidR="00222FCC" w:rsidRDefault="00FD122A">
      <w:pPr>
        <w:rPr>
          <w:rFonts w:eastAsia="Times New Roman"/>
          <w:noProof/>
          <w:color w:val="000000"/>
          <w:szCs w:val="24"/>
        </w:rPr>
      </w:pPr>
      <w:r>
        <w:rPr>
          <w:noProof/>
          <w:color w:val="000000"/>
        </w:rPr>
        <w:t>Всеки публичен или частен субект, учреден в участваща държава, както и международни организации, изпълняващи дейности за солидарност в участващите държави, могат да кандидатстват за финан</w:t>
      </w:r>
      <w:r>
        <w:rPr>
          <w:noProof/>
          <w:color w:val="000000"/>
        </w:rPr>
        <w:t>сиране по линия на Европейския корпус за солидарност. За дейностите, посочени в член 7, параграф 1, буква а), участващата организация следва да получи знак за качество като предварително условие за получаване на финансиране по линия на Европейския корпус з</w:t>
      </w:r>
      <w:r>
        <w:rPr>
          <w:noProof/>
          <w:color w:val="000000"/>
        </w:rPr>
        <w:t>а солидарност. Що се отнася до проектите за солидарност, посочени в член 7, параграф 1, буква б), за финансиране могат да кандидатстват също така физически лица от името на неформални групи, съставени от участници в Европейския корпус за солидарност.</w:t>
      </w:r>
    </w:p>
    <w:p w:rsidR="00222FCC" w:rsidRDefault="00FD122A">
      <w:pPr>
        <w:pStyle w:val="ChapterTitle"/>
        <w:contextualSpacing/>
        <w:rPr>
          <w:noProof/>
        </w:rPr>
      </w:pPr>
      <w:r>
        <w:rPr>
          <w:noProof/>
        </w:rPr>
        <w:t>ГЛАВА</w:t>
      </w:r>
      <w:r>
        <w:rPr>
          <w:noProof/>
        </w:rPr>
        <w:t> V</w:t>
      </w:r>
    </w:p>
    <w:p w:rsidR="00222FCC" w:rsidRDefault="00FD122A">
      <w:pPr>
        <w:pStyle w:val="ChapterTitle"/>
        <w:contextualSpacing/>
        <w:rPr>
          <w:noProof/>
        </w:rPr>
      </w:pPr>
      <w:r>
        <w:rPr>
          <w:noProof/>
        </w:rPr>
        <w:t>ИЗПЪЛНЕНИЕ, РЕЗУЛТАТИ И РАЗПРОСТРАНЕНИЕ НА ИНФОРМАЦИЯ</w:t>
      </w:r>
    </w:p>
    <w:p w:rsidR="00222FCC" w:rsidRDefault="00FD122A">
      <w:pPr>
        <w:pStyle w:val="Titrearticle"/>
        <w:contextualSpacing/>
        <w:rPr>
          <w:noProof/>
        </w:rPr>
      </w:pPr>
      <w:r>
        <w:rPr>
          <w:noProof/>
        </w:rPr>
        <w:t>Член 15</w:t>
      </w:r>
    </w:p>
    <w:p w:rsidR="00222FCC" w:rsidRDefault="00FD122A">
      <w:pPr>
        <w:pStyle w:val="Titrearticle"/>
        <w:contextualSpacing/>
        <w:rPr>
          <w:b/>
          <w:i w:val="0"/>
          <w:noProof/>
        </w:rPr>
      </w:pPr>
      <w:r>
        <w:rPr>
          <w:b/>
          <w:i w:val="0"/>
          <w:noProof/>
        </w:rPr>
        <w:t>Мониторинг и оценка на изпълнението и резултатите</w:t>
      </w:r>
    </w:p>
    <w:p w:rsidR="00222FCC" w:rsidRDefault="00FD122A">
      <w:pPr>
        <w:pStyle w:val="ManualNumPar1"/>
        <w:rPr>
          <w:noProof/>
        </w:rPr>
      </w:pPr>
      <w:r>
        <w:t>1.</w:t>
      </w:r>
      <w:r>
        <w:tab/>
      </w:r>
      <w:r>
        <w:rPr>
          <w:noProof/>
        </w:rPr>
        <w:t>Комисията, в сътрудничество с участващите държави, редовно следи резултатите на Европейския корпус за солидарност по отношение постигането</w:t>
      </w:r>
      <w:r>
        <w:rPr>
          <w:noProof/>
        </w:rPr>
        <w:t xml:space="preserve"> на неговите цели.</w:t>
      </w:r>
    </w:p>
    <w:p w:rsidR="00222FCC" w:rsidRDefault="00FD122A">
      <w:pPr>
        <w:pStyle w:val="ManualNumPar1"/>
        <w:rPr>
          <w:rFonts w:eastAsia="Times New Roman"/>
          <w:noProof/>
          <w:szCs w:val="24"/>
        </w:rPr>
      </w:pPr>
      <w:r>
        <w:t>2.</w:t>
      </w:r>
      <w:r>
        <w:tab/>
      </w:r>
      <w:r>
        <w:rPr>
          <w:noProof/>
        </w:rPr>
        <w:t>Напредъкът по конкретните цели се измерва, като се използват следните показатели:</w:t>
      </w:r>
    </w:p>
    <w:p w:rsidR="00222FCC" w:rsidRDefault="00FD122A">
      <w:pPr>
        <w:pStyle w:val="Point1"/>
        <w:rPr>
          <w:noProof/>
        </w:rPr>
      </w:pPr>
      <w:r>
        <w:rPr>
          <w:noProof/>
        </w:rPr>
        <w:t>а)</w:t>
      </w:r>
      <w:r>
        <w:rPr>
          <w:noProof/>
        </w:rPr>
        <w:tab/>
        <w:t>брой участници в назначения за участие в доброволческа дейност (в държавата на местопребиваване на участниците и в чужбина);</w:t>
      </w:r>
    </w:p>
    <w:p w:rsidR="00222FCC" w:rsidRDefault="00FD122A">
      <w:pPr>
        <w:pStyle w:val="Point1"/>
        <w:rPr>
          <w:noProof/>
        </w:rPr>
      </w:pPr>
      <w:r>
        <w:rPr>
          <w:noProof/>
        </w:rPr>
        <w:t>б)</w:t>
      </w:r>
      <w:r>
        <w:rPr>
          <w:noProof/>
        </w:rPr>
        <w:tab/>
        <w:t>брой участници в назн</w:t>
      </w:r>
      <w:r>
        <w:rPr>
          <w:noProof/>
        </w:rPr>
        <w:t>ачения за стажове (в държавата на местопребиваване на участниците и в чужбина);</w:t>
      </w:r>
    </w:p>
    <w:p w:rsidR="00222FCC" w:rsidRDefault="00FD122A">
      <w:pPr>
        <w:pStyle w:val="Point1"/>
        <w:rPr>
          <w:noProof/>
        </w:rPr>
      </w:pPr>
      <w:r>
        <w:rPr>
          <w:noProof/>
        </w:rPr>
        <w:t>в)</w:t>
      </w:r>
      <w:r>
        <w:rPr>
          <w:noProof/>
        </w:rPr>
        <w:tab/>
        <w:t>брой участници в назначения за работа (в държавата на местопребиваване на участниците и в чужбина);</w:t>
      </w:r>
    </w:p>
    <w:p w:rsidR="00222FCC" w:rsidRDefault="00FD122A">
      <w:pPr>
        <w:pStyle w:val="Point1"/>
        <w:rPr>
          <w:noProof/>
        </w:rPr>
      </w:pPr>
      <w:r>
        <w:rPr>
          <w:noProof/>
        </w:rPr>
        <w:t>г)</w:t>
      </w:r>
      <w:r>
        <w:rPr>
          <w:noProof/>
        </w:rPr>
        <w:tab/>
        <w:t>брой участници в проекти за солидарност;</w:t>
      </w:r>
    </w:p>
    <w:p w:rsidR="00222FCC" w:rsidRDefault="00FD122A">
      <w:pPr>
        <w:pStyle w:val="Point1"/>
        <w:rPr>
          <w:noProof/>
        </w:rPr>
      </w:pPr>
      <w:r>
        <w:rPr>
          <w:noProof/>
        </w:rPr>
        <w:t>д)</w:t>
      </w:r>
      <w:r>
        <w:rPr>
          <w:noProof/>
        </w:rPr>
        <w:tab/>
        <w:t>брой организации, притежав</w:t>
      </w:r>
      <w:r>
        <w:rPr>
          <w:noProof/>
        </w:rPr>
        <w:t>ащи знак за качество на Европейския корпус за солидарност.</w:t>
      </w:r>
    </w:p>
    <w:p w:rsidR="00222FCC" w:rsidRDefault="00FD122A">
      <w:pPr>
        <w:pStyle w:val="Text1"/>
        <w:rPr>
          <w:noProof/>
        </w:rPr>
      </w:pPr>
      <w:r>
        <w:rPr>
          <w:noProof/>
        </w:rPr>
        <w:t xml:space="preserve">Най-късно шест месеца след влизането в сила на настоящия регламент Комисията изготвя подробна програма за мониторинг на крайните продукти, резултатите и въздействието на настоящия регламент. </w:t>
      </w:r>
    </w:p>
    <w:p w:rsidR="00222FCC" w:rsidRDefault="00FD122A">
      <w:pPr>
        <w:pStyle w:val="ManualNumPar1"/>
        <w:rPr>
          <w:rFonts w:eastAsia="Times New Roman"/>
          <w:noProof/>
          <w:szCs w:val="24"/>
        </w:rPr>
      </w:pPr>
      <w:r>
        <w:t>3.</w:t>
      </w:r>
      <w:r>
        <w:tab/>
      </w:r>
      <w:r>
        <w:rPr>
          <w:noProof/>
        </w:rPr>
        <w:t>Пр</w:t>
      </w:r>
      <w:r>
        <w:rPr>
          <w:noProof/>
        </w:rPr>
        <w:t>ез 2020 г. Комисията публикува доклад за осъществения напредък за постигането на своите резултати, включително целта до 2020 г. на 100 000 млади хора да бъдат предоставени възможности за участие по линия на Европейският корпус за солидарност (което обхваща</w:t>
      </w:r>
      <w:r>
        <w:rPr>
          <w:noProof/>
        </w:rPr>
        <w:t xml:space="preserve"> всички назначения и проекти, посочени в член 7, параграф 1, букви а) и б)).</w:t>
      </w:r>
    </w:p>
    <w:p w:rsidR="00222FCC" w:rsidRDefault="00FD122A">
      <w:pPr>
        <w:pStyle w:val="ManualNumPar1"/>
        <w:rPr>
          <w:noProof/>
        </w:rPr>
      </w:pPr>
      <w:r>
        <w:t>4.</w:t>
      </w:r>
      <w:r>
        <w:tab/>
      </w:r>
      <w:r>
        <w:rPr>
          <w:noProof/>
        </w:rPr>
        <w:t>Четири години след датата на прилагане на настоящия регламент Комисията прави независима оценка на настоящия регламент и представя на Европейския парламент, на Съвета, на Комит</w:t>
      </w:r>
      <w:r>
        <w:rPr>
          <w:noProof/>
        </w:rPr>
        <w:t xml:space="preserve">ета на регионите и на Европейския икономически и социален комитет доклад относно най-важните констатации. </w:t>
      </w:r>
    </w:p>
    <w:p w:rsidR="00222FCC" w:rsidRDefault="00FD122A">
      <w:pPr>
        <w:pStyle w:val="Titrearticle"/>
        <w:contextualSpacing/>
        <w:rPr>
          <w:noProof/>
        </w:rPr>
      </w:pPr>
      <w:r>
        <w:rPr>
          <w:noProof/>
        </w:rPr>
        <w:t>Член 16</w:t>
      </w:r>
    </w:p>
    <w:p w:rsidR="00222FCC" w:rsidRDefault="00FD122A">
      <w:pPr>
        <w:pStyle w:val="Titrearticle"/>
        <w:contextualSpacing/>
        <w:rPr>
          <w:b/>
          <w:i w:val="0"/>
          <w:noProof/>
        </w:rPr>
      </w:pPr>
      <w:r>
        <w:rPr>
          <w:b/>
          <w:i w:val="0"/>
          <w:noProof/>
        </w:rPr>
        <w:t>Комуникация и разпространение на информация</w:t>
      </w:r>
    </w:p>
    <w:p w:rsidR="00222FCC" w:rsidRDefault="00FD122A">
      <w:pPr>
        <w:pStyle w:val="ManualNumPar1"/>
        <w:rPr>
          <w:noProof/>
        </w:rPr>
      </w:pPr>
      <w:r>
        <w:t>1.</w:t>
      </w:r>
      <w:r>
        <w:tab/>
      </w:r>
      <w:r>
        <w:rPr>
          <w:noProof/>
        </w:rPr>
        <w:t xml:space="preserve">Комисията, в сътрудничество с участващите държави, осигурява разпространението на информация, </w:t>
      </w:r>
      <w:r>
        <w:rPr>
          <w:noProof/>
        </w:rPr>
        <w:t>публичността и проследяването на всички дейности, подкрепяни в рамките на Европейския корпус за солидарност.</w:t>
      </w:r>
    </w:p>
    <w:p w:rsidR="00222FCC" w:rsidRDefault="00FD122A">
      <w:pPr>
        <w:pStyle w:val="ManualNumPar1"/>
        <w:rPr>
          <w:noProof/>
        </w:rPr>
      </w:pPr>
      <w:r>
        <w:t>2.</w:t>
      </w:r>
      <w:r>
        <w:tab/>
      </w:r>
      <w:r>
        <w:rPr>
          <w:noProof/>
        </w:rPr>
        <w:t>Националните агенции, посочени в член 20, разработват последователна политика с цел ефективно достигане до гражданите, както и разпространение и</w:t>
      </w:r>
      <w:r>
        <w:rPr>
          <w:noProof/>
        </w:rPr>
        <w:t xml:space="preserve"> използване на резултатите от дейностите, подкрепяни в рамките на действията, управлявани от посочените национални агенции; подпомагат Комисията в изпълнението на общата задача за разпространението на информация относно Европейския корпус за солидарност, в</w:t>
      </w:r>
      <w:r>
        <w:rPr>
          <w:noProof/>
        </w:rPr>
        <w:t>ключително информация за дейностите, управлявани на национално равнище и на равнището на Съюза, и резултатите от тях, и информират съответните целеви групи относно инициативите, предприети в тяхната държава.</w:t>
      </w:r>
    </w:p>
    <w:p w:rsidR="00222FCC" w:rsidRDefault="00FD122A">
      <w:pPr>
        <w:pStyle w:val="ManualNumPar1"/>
        <w:rPr>
          <w:rFonts w:eastAsia="Times New Roman"/>
          <w:noProof/>
          <w:szCs w:val="24"/>
        </w:rPr>
      </w:pPr>
      <w:r>
        <w:t>3.</w:t>
      </w:r>
      <w:r>
        <w:tab/>
      </w:r>
      <w:r>
        <w:rPr>
          <w:noProof/>
        </w:rPr>
        <w:t>Дейностите по комуникация трябва да допринася</w:t>
      </w:r>
      <w:r>
        <w:rPr>
          <w:noProof/>
        </w:rPr>
        <w:t>т и за институционалната комуникация на политическите приоритети на Съюза, при условие че тези приоритети са свързани с общата цел на настоящия регламент.</w:t>
      </w:r>
    </w:p>
    <w:p w:rsidR="00222FCC" w:rsidRDefault="00FD122A">
      <w:pPr>
        <w:pStyle w:val="ChapterTitle"/>
        <w:contextualSpacing/>
        <w:rPr>
          <w:noProof/>
        </w:rPr>
      </w:pPr>
      <w:r>
        <w:rPr>
          <w:noProof/>
        </w:rPr>
        <w:t>ГЛАВА VI</w:t>
      </w:r>
    </w:p>
    <w:p w:rsidR="00222FCC" w:rsidRDefault="00FD122A">
      <w:pPr>
        <w:pStyle w:val="ChapterTitle"/>
        <w:contextualSpacing/>
        <w:rPr>
          <w:noProof/>
        </w:rPr>
      </w:pPr>
      <w:r>
        <w:rPr>
          <w:noProof/>
        </w:rPr>
        <w:t>СИСТЕМА ЗА УПРАВЛЕНИЕ И ОДИТ</w:t>
      </w:r>
    </w:p>
    <w:p w:rsidR="00222FCC" w:rsidRDefault="00FD122A">
      <w:pPr>
        <w:pStyle w:val="Titrearticle"/>
        <w:contextualSpacing/>
        <w:rPr>
          <w:noProof/>
        </w:rPr>
      </w:pPr>
      <w:r>
        <w:rPr>
          <w:noProof/>
        </w:rPr>
        <w:t xml:space="preserve">Член 17 </w:t>
      </w:r>
    </w:p>
    <w:p w:rsidR="00222FCC" w:rsidRDefault="00FD122A">
      <w:pPr>
        <w:pStyle w:val="Titrearticle"/>
        <w:contextualSpacing/>
        <w:rPr>
          <w:b/>
          <w:i w:val="0"/>
          <w:noProof/>
        </w:rPr>
      </w:pPr>
      <w:r>
        <w:rPr>
          <w:b/>
          <w:i w:val="0"/>
          <w:noProof/>
        </w:rPr>
        <w:t>Изпълнителни органи</w:t>
      </w:r>
    </w:p>
    <w:p w:rsidR="00222FCC" w:rsidRDefault="00FD122A">
      <w:pPr>
        <w:spacing w:after="0"/>
        <w:rPr>
          <w:rFonts w:eastAsia="Times New Roman"/>
          <w:noProof/>
          <w:color w:val="000000"/>
          <w:szCs w:val="24"/>
        </w:rPr>
      </w:pPr>
      <w:r>
        <w:rPr>
          <w:noProof/>
          <w:color w:val="000000"/>
        </w:rPr>
        <w:t xml:space="preserve">Настоящият регламент се изпълнява </w:t>
      </w:r>
      <w:r>
        <w:rPr>
          <w:noProof/>
          <w:color w:val="000000"/>
        </w:rPr>
        <w:t>по последователен начин от:</w:t>
      </w:r>
    </w:p>
    <w:p w:rsidR="00222FCC" w:rsidRDefault="00FD122A">
      <w:pPr>
        <w:pStyle w:val="Point0"/>
        <w:rPr>
          <w:noProof/>
        </w:rPr>
      </w:pPr>
      <w:r>
        <w:rPr>
          <w:noProof/>
        </w:rPr>
        <w:t>а)</w:t>
      </w:r>
      <w:r>
        <w:rPr>
          <w:noProof/>
        </w:rPr>
        <w:tab/>
        <w:t>Комисията на равнището на Съюза;</w:t>
      </w:r>
    </w:p>
    <w:p w:rsidR="00222FCC" w:rsidRDefault="00FD122A">
      <w:pPr>
        <w:pStyle w:val="Point0"/>
        <w:rPr>
          <w:noProof/>
        </w:rPr>
      </w:pPr>
      <w:r>
        <w:rPr>
          <w:noProof/>
        </w:rPr>
        <w:t>б)</w:t>
      </w:r>
      <w:r>
        <w:rPr>
          <w:noProof/>
        </w:rPr>
        <w:tab/>
        <w:t>от националните агенции в участващите държави на национално равнище.</w:t>
      </w:r>
    </w:p>
    <w:p w:rsidR="00222FCC" w:rsidRDefault="00FD122A">
      <w:pPr>
        <w:pStyle w:val="Titrearticle"/>
        <w:contextualSpacing/>
        <w:rPr>
          <w:noProof/>
        </w:rPr>
      </w:pPr>
      <w:r>
        <w:rPr>
          <w:noProof/>
        </w:rPr>
        <w:t>Член 18</w:t>
      </w:r>
    </w:p>
    <w:p w:rsidR="00222FCC" w:rsidRDefault="00FD122A">
      <w:pPr>
        <w:pStyle w:val="Titrearticle"/>
        <w:contextualSpacing/>
        <w:rPr>
          <w:b/>
          <w:i w:val="0"/>
          <w:noProof/>
        </w:rPr>
      </w:pPr>
      <w:r>
        <w:rPr>
          <w:b/>
          <w:i w:val="0"/>
          <w:noProof/>
        </w:rPr>
        <w:t>Национален орган</w:t>
      </w:r>
    </w:p>
    <w:p w:rsidR="00222FCC" w:rsidRDefault="00FD122A">
      <w:pPr>
        <w:rPr>
          <w:noProof/>
        </w:rPr>
      </w:pPr>
      <w:r>
        <w:rPr>
          <w:noProof/>
          <w:color w:val="000000"/>
        </w:rPr>
        <w:t>Във всяка държава, участваща в Европейския корпус за солидарност, националните органи, на които</w:t>
      </w:r>
      <w:r>
        <w:rPr>
          <w:noProof/>
          <w:color w:val="000000"/>
        </w:rPr>
        <w:t xml:space="preserve"> е възложено управлението на действията, посочени в Глава III от Регламент (ЕС) № 1288/2013, действат също и като национални органи в рамката на Европейския корпус за солидарност. Член 27, параграфи 1, 3, 5, 8, 9, 11, 12, 13, 14, 15 и 16 от същия регламент</w:t>
      </w:r>
      <w:r>
        <w:rPr>
          <w:noProof/>
          <w:color w:val="000000"/>
        </w:rPr>
        <w:t xml:space="preserve"> се отнасят към Европейския корпус за солидарност по аналогия. За държавите, посочени в член 11, параграф 2 от настоящия регламент, когато за дадена държава не е определен национален орган, такъв орган се определя в съответствие с член 27, параграфи 2—6 и </w:t>
      </w:r>
      <w:r>
        <w:rPr>
          <w:noProof/>
          <w:color w:val="000000"/>
        </w:rPr>
        <w:t xml:space="preserve">8—15 от Регламент (ЕС) № 1288/2013. </w:t>
      </w:r>
    </w:p>
    <w:p w:rsidR="00222FCC" w:rsidRDefault="00FD122A">
      <w:pPr>
        <w:pStyle w:val="Titrearticle"/>
        <w:contextualSpacing/>
        <w:rPr>
          <w:noProof/>
        </w:rPr>
      </w:pPr>
      <w:r>
        <w:rPr>
          <w:noProof/>
        </w:rPr>
        <w:t>Член 19</w:t>
      </w:r>
    </w:p>
    <w:p w:rsidR="00222FCC" w:rsidRDefault="00FD122A">
      <w:pPr>
        <w:pStyle w:val="Titrearticle"/>
        <w:contextualSpacing/>
        <w:rPr>
          <w:b/>
          <w:i w:val="0"/>
          <w:noProof/>
        </w:rPr>
      </w:pPr>
      <w:r>
        <w:rPr>
          <w:b/>
          <w:i w:val="0"/>
          <w:noProof/>
        </w:rPr>
        <w:t>Независим одитен орган</w:t>
      </w:r>
    </w:p>
    <w:p w:rsidR="00222FCC" w:rsidRDefault="00FD122A">
      <w:pPr>
        <w:pStyle w:val="ManualNumPar1"/>
        <w:rPr>
          <w:noProof/>
        </w:rPr>
      </w:pPr>
      <w:r>
        <w:t>1.</w:t>
      </w:r>
      <w:r>
        <w:tab/>
      </w:r>
      <w:r>
        <w:rPr>
          <w:noProof/>
        </w:rPr>
        <w:t>Националният орган определя независим одитен орган. Независимият одитен орган изготвя одитно становище относно годишната декларация за управлението, посочена в член 60, параграф 5 от Ре</w:t>
      </w:r>
      <w:r>
        <w:rPr>
          <w:noProof/>
        </w:rPr>
        <w:t>гламент (ЕС, Евратом) № 966/2012.</w:t>
      </w:r>
    </w:p>
    <w:p w:rsidR="00222FCC" w:rsidRDefault="00FD122A">
      <w:pPr>
        <w:pStyle w:val="ManualNumPar1"/>
        <w:rPr>
          <w:noProof/>
        </w:rPr>
      </w:pPr>
      <w:r>
        <w:t>2.</w:t>
      </w:r>
      <w:r>
        <w:tab/>
      </w:r>
      <w:r>
        <w:rPr>
          <w:noProof/>
        </w:rPr>
        <w:t>Независимият одитен орган трябва да:</w:t>
      </w:r>
    </w:p>
    <w:p w:rsidR="00222FCC" w:rsidRDefault="00FD122A">
      <w:pPr>
        <w:pStyle w:val="Point1"/>
        <w:rPr>
          <w:noProof/>
        </w:rPr>
      </w:pPr>
      <w:r>
        <w:rPr>
          <w:noProof/>
        </w:rPr>
        <w:t>а)</w:t>
      </w:r>
      <w:r>
        <w:rPr>
          <w:noProof/>
        </w:rPr>
        <w:tab/>
        <w:t>притежава необходимата професионална компетентност за извършване на одити в публичния сектор;</w:t>
      </w:r>
    </w:p>
    <w:p w:rsidR="00222FCC" w:rsidRDefault="00FD122A">
      <w:pPr>
        <w:pStyle w:val="Point1"/>
        <w:rPr>
          <w:noProof/>
        </w:rPr>
      </w:pPr>
      <w:r>
        <w:rPr>
          <w:noProof/>
        </w:rPr>
        <w:t>б)</w:t>
      </w:r>
      <w:r>
        <w:rPr>
          <w:noProof/>
        </w:rPr>
        <w:tab/>
        <w:t>гарантира, че при своите одити взема предвид международно признатите одитни станда</w:t>
      </w:r>
      <w:r>
        <w:rPr>
          <w:noProof/>
        </w:rPr>
        <w:t>рти;</w:t>
      </w:r>
    </w:p>
    <w:p w:rsidR="00222FCC" w:rsidRDefault="00FD122A">
      <w:pPr>
        <w:pStyle w:val="Point1"/>
        <w:rPr>
          <w:noProof/>
        </w:rPr>
      </w:pPr>
      <w:r>
        <w:rPr>
          <w:noProof/>
        </w:rPr>
        <w:t>в)</w:t>
      </w:r>
      <w:r>
        <w:rPr>
          <w:noProof/>
        </w:rPr>
        <w:tab/>
        <w:t>не е в положение на конфликт на интереси по отношение на правния субект, в чиято структура е посочената в член 20 национална агенция, и да е независим по отношение на своите функции от правния субект, в чиято структура е националната агенция.</w:t>
      </w:r>
    </w:p>
    <w:p w:rsidR="00222FCC" w:rsidRDefault="00FD122A">
      <w:pPr>
        <w:pStyle w:val="ManualNumPar1"/>
        <w:rPr>
          <w:noProof/>
        </w:rPr>
      </w:pPr>
      <w:r>
        <w:t>3.</w:t>
      </w:r>
      <w:r>
        <w:tab/>
      </w:r>
      <w:r>
        <w:rPr>
          <w:noProof/>
        </w:rPr>
        <w:t>Не</w:t>
      </w:r>
      <w:r>
        <w:rPr>
          <w:noProof/>
        </w:rPr>
        <w:t>зависимият одитен орган предоставя на Комисията и на нейните представители, както и на Сметната палата, пълен достъп до всички документи и доклади, подкрепящи одитното становище, което той изготвя относно годишната декларация за управлението на националнат</w:t>
      </w:r>
      <w:r>
        <w:rPr>
          <w:noProof/>
        </w:rPr>
        <w:t>а агенция.</w:t>
      </w:r>
    </w:p>
    <w:p w:rsidR="00222FCC" w:rsidRDefault="00FD122A">
      <w:pPr>
        <w:pStyle w:val="Titrearticle"/>
        <w:contextualSpacing/>
        <w:rPr>
          <w:noProof/>
        </w:rPr>
      </w:pPr>
      <w:r>
        <w:rPr>
          <w:noProof/>
        </w:rPr>
        <w:t>Член 20</w:t>
      </w:r>
    </w:p>
    <w:p w:rsidR="00222FCC" w:rsidRDefault="00FD122A">
      <w:pPr>
        <w:pStyle w:val="Titrearticle"/>
        <w:contextualSpacing/>
        <w:rPr>
          <w:b/>
          <w:i w:val="0"/>
          <w:noProof/>
        </w:rPr>
      </w:pPr>
      <w:r>
        <w:rPr>
          <w:b/>
          <w:i w:val="0"/>
          <w:noProof/>
        </w:rPr>
        <w:t>Национална агенция</w:t>
      </w:r>
    </w:p>
    <w:p w:rsidR="00222FCC" w:rsidRDefault="00FD122A">
      <w:pPr>
        <w:pStyle w:val="ManualNumPar1"/>
        <w:rPr>
          <w:noProof/>
        </w:rPr>
      </w:pPr>
      <w:r>
        <w:t>1.</w:t>
      </w:r>
      <w:r>
        <w:tab/>
      </w:r>
      <w:r>
        <w:rPr>
          <w:noProof/>
        </w:rPr>
        <w:t>Във всяка държава, участваща в Европейския корпус за солидарност, националните агенции, на които е възложено управлението на действията, посочени в Глава III от Регламент (ЕС) № 1288/2013, действат също и като нацио</w:t>
      </w:r>
      <w:r>
        <w:rPr>
          <w:noProof/>
        </w:rPr>
        <w:t xml:space="preserve">нални агенции в рамката на Европейския корпус за солидарност в съответните си държави. </w:t>
      </w:r>
    </w:p>
    <w:p w:rsidR="00222FCC" w:rsidRDefault="00FD122A">
      <w:pPr>
        <w:pStyle w:val="Text1"/>
        <w:rPr>
          <w:noProof/>
        </w:rPr>
      </w:pPr>
      <w:r>
        <w:rPr>
          <w:noProof/>
          <w:color w:val="000000"/>
        </w:rPr>
        <w:t>Член 28, параграфи 1, 2, 5, 6, 7 и 8 от Регламент (ЕС) № 1288/2013 се отнасят към Европейския корпус за солидарност по аналогия.</w:t>
      </w:r>
    </w:p>
    <w:p w:rsidR="00222FCC" w:rsidRDefault="00FD122A">
      <w:pPr>
        <w:pStyle w:val="ManualNumPar1"/>
        <w:rPr>
          <w:noProof/>
        </w:rPr>
      </w:pPr>
      <w:r>
        <w:t>2.</w:t>
      </w:r>
      <w:r>
        <w:tab/>
      </w:r>
      <w:r>
        <w:rPr>
          <w:noProof/>
        </w:rPr>
        <w:t>Без да се засягат разпоредбите на чл</w:t>
      </w:r>
      <w:r>
        <w:rPr>
          <w:noProof/>
        </w:rPr>
        <w:t>ен 28, параграф 3 от Регламент (ЕС) № 1288/2013, националната агенция отговаря също и за управлението на всички етапи от жизнения цикъл на проектите по онези действия на Европейския корпус за солидарност, които са изброени в актовете за изпълнение, посочен</w:t>
      </w:r>
      <w:r>
        <w:rPr>
          <w:noProof/>
        </w:rPr>
        <w:t>и в член 24, в съответствие с член 58, параграф 1, буква в), (v) и (vi) от Регламент (ЕС, Евратом) № 996/2012 и с член 44 от Делегиран регламент (ЕС) № 1268/2012 на Комисията</w:t>
      </w:r>
      <w:r>
        <w:rPr>
          <w:rStyle w:val="FootnoteReference"/>
          <w:noProof/>
          <w:color w:val="000000"/>
        </w:rPr>
        <w:footnoteReference w:id="35"/>
      </w:r>
      <w:r>
        <w:rPr>
          <w:noProof/>
        </w:rPr>
        <w:t xml:space="preserve">. </w:t>
      </w:r>
    </w:p>
    <w:p w:rsidR="00222FCC" w:rsidRDefault="00FD122A">
      <w:pPr>
        <w:pStyle w:val="ManualNumPar1"/>
        <w:rPr>
          <w:noProof/>
        </w:rPr>
      </w:pPr>
      <w:r>
        <w:t>3.</w:t>
      </w:r>
      <w:r>
        <w:tab/>
      </w:r>
      <w:r>
        <w:rPr>
          <w:noProof/>
        </w:rPr>
        <w:t>За държавите, посочени в член 11, параграф 2 от настоящия регламент, когато</w:t>
      </w:r>
      <w:r>
        <w:rPr>
          <w:noProof/>
        </w:rPr>
        <w:t xml:space="preserve"> за дадената държава не е определена национална агенция, такава агенция се създава в съответствие с член 28, параграфи 2, 5, 6, 7 и 8 от Регламент (ЕС) № 1288/2013.</w:t>
      </w:r>
    </w:p>
    <w:p w:rsidR="00222FCC" w:rsidRDefault="00FD122A">
      <w:pPr>
        <w:pStyle w:val="Titrearticle"/>
        <w:contextualSpacing/>
        <w:rPr>
          <w:noProof/>
        </w:rPr>
      </w:pPr>
      <w:r>
        <w:rPr>
          <w:noProof/>
        </w:rPr>
        <w:t>Член 21</w:t>
      </w:r>
    </w:p>
    <w:p w:rsidR="00222FCC" w:rsidRDefault="00FD122A">
      <w:pPr>
        <w:pStyle w:val="Titrearticle"/>
        <w:contextualSpacing/>
        <w:rPr>
          <w:b/>
          <w:i w:val="0"/>
          <w:noProof/>
        </w:rPr>
      </w:pPr>
      <w:r>
        <w:rPr>
          <w:b/>
          <w:i w:val="0"/>
          <w:noProof/>
        </w:rPr>
        <w:t>Европейска комисия</w:t>
      </w:r>
    </w:p>
    <w:p w:rsidR="00222FCC" w:rsidRDefault="00FD122A">
      <w:pPr>
        <w:pStyle w:val="ManualNumPar1"/>
        <w:rPr>
          <w:noProof/>
        </w:rPr>
      </w:pPr>
      <w:r>
        <w:t>1.</w:t>
      </w:r>
      <w:r>
        <w:tab/>
      </w:r>
      <w:r>
        <w:rPr>
          <w:noProof/>
        </w:rPr>
        <w:t xml:space="preserve">Правилата относно отношенията между Комисията и дадена </w:t>
      </w:r>
      <w:r>
        <w:rPr>
          <w:noProof/>
        </w:rPr>
        <w:t>национална агенция се определят в писмен документ, в който:</w:t>
      </w:r>
    </w:p>
    <w:p w:rsidR="00222FCC" w:rsidRDefault="00FD122A">
      <w:pPr>
        <w:pStyle w:val="Point1"/>
        <w:rPr>
          <w:noProof/>
        </w:rPr>
      </w:pPr>
      <w:r>
        <w:rPr>
          <w:noProof/>
        </w:rPr>
        <w:t>а)</w:t>
      </w:r>
      <w:r>
        <w:rPr>
          <w:noProof/>
        </w:rPr>
        <w:tab/>
        <w:t>се установяват стандартите за вътрешен контрол за националните агенции, както и правилата за управление на финансовите средства на Съюза за отпускане на безвъзмездни средства от националните аг</w:t>
      </w:r>
      <w:r>
        <w:rPr>
          <w:noProof/>
        </w:rPr>
        <w:t>енции;</w:t>
      </w:r>
    </w:p>
    <w:p w:rsidR="00222FCC" w:rsidRDefault="00FD122A">
      <w:pPr>
        <w:pStyle w:val="Point1"/>
        <w:rPr>
          <w:noProof/>
        </w:rPr>
      </w:pPr>
      <w:r>
        <w:rPr>
          <w:noProof/>
        </w:rPr>
        <w:t>б)</w:t>
      </w:r>
      <w:r>
        <w:rPr>
          <w:noProof/>
        </w:rPr>
        <w:tab/>
        <w:t>се съдържа работната програма на националната агенция, в която са включени управленските задачи на националната агенция, за които се предоставя подкрепа от Съюза;</w:t>
      </w:r>
    </w:p>
    <w:p w:rsidR="00222FCC" w:rsidRDefault="00FD122A">
      <w:pPr>
        <w:pStyle w:val="Point1"/>
        <w:rPr>
          <w:noProof/>
        </w:rPr>
      </w:pPr>
      <w:r>
        <w:rPr>
          <w:noProof/>
        </w:rPr>
        <w:t>в)</w:t>
      </w:r>
      <w:r>
        <w:rPr>
          <w:noProof/>
        </w:rPr>
        <w:tab/>
        <w:t>се посочват изискванията за докладване за националната агенция.</w:t>
      </w:r>
    </w:p>
    <w:p w:rsidR="00222FCC" w:rsidRDefault="00FD122A">
      <w:pPr>
        <w:pStyle w:val="ManualNumPar1"/>
        <w:rPr>
          <w:noProof/>
        </w:rPr>
      </w:pPr>
      <w:r>
        <w:t>2.</w:t>
      </w:r>
      <w:r>
        <w:tab/>
      </w:r>
      <w:r>
        <w:rPr>
          <w:noProof/>
        </w:rPr>
        <w:t>Комисията пре</w:t>
      </w:r>
      <w:r>
        <w:rPr>
          <w:noProof/>
        </w:rPr>
        <w:t>доставя ежегодно на националната агенция следните финансови средства:</w:t>
      </w:r>
    </w:p>
    <w:p w:rsidR="00222FCC" w:rsidRDefault="00FD122A">
      <w:pPr>
        <w:pStyle w:val="Point1"/>
        <w:rPr>
          <w:noProof/>
        </w:rPr>
      </w:pPr>
      <w:r>
        <w:rPr>
          <w:noProof/>
        </w:rPr>
        <w:t>а)</w:t>
      </w:r>
      <w:r>
        <w:rPr>
          <w:noProof/>
        </w:rPr>
        <w:tab/>
        <w:t>финансови средства за отпускане на безвъзмездни средства в съответната участваща държава за действията на Европейския корпус за солидарност, чието управление е поверено на националнат</w:t>
      </w:r>
      <w:r>
        <w:rPr>
          <w:noProof/>
        </w:rPr>
        <w:t>а агенция;</w:t>
      </w:r>
    </w:p>
    <w:p w:rsidR="00222FCC" w:rsidRDefault="00FD122A">
      <w:pPr>
        <w:pStyle w:val="Point1"/>
        <w:rPr>
          <w:noProof/>
        </w:rPr>
      </w:pPr>
      <w:r>
        <w:rPr>
          <w:noProof/>
        </w:rPr>
        <w:t>б)</w:t>
      </w:r>
      <w:r>
        <w:rPr>
          <w:noProof/>
        </w:rPr>
        <w:tab/>
        <w:t>финансово участие в подкрепа на управленските задачи на националната агенция, определени съгласно условията, описани в член 29, параграф 4, буква б) от Регламент (ЕС) № 1288/2013.</w:t>
      </w:r>
    </w:p>
    <w:p w:rsidR="00222FCC" w:rsidRDefault="00FD122A">
      <w:pPr>
        <w:pStyle w:val="ManualNumPar1"/>
        <w:rPr>
          <w:noProof/>
        </w:rPr>
      </w:pPr>
      <w:r>
        <w:t>3.</w:t>
      </w:r>
      <w:r>
        <w:tab/>
      </w:r>
      <w:r>
        <w:rPr>
          <w:noProof/>
        </w:rPr>
        <w:t>Комисията определя изискванията за работната програма на на</w:t>
      </w:r>
      <w:r>
        <w:rPr>
          <w:noProof/>
        </w:rPr>
        <w:t>ционалната агенция. Комисията не предоставя на националната агенция финансови средства на Европейския корпус за солидарност, докато не одобри официално работната програма на националната агенция.</w:t>
      </w:r>
    </w:p>
    <w:p w:rsidR="00222FCC" w:rsidRDefault="00FD122A">
      <w:pPr>
        <w:pStyle w:val="ManualNumPar1"/>
        <w:rPr>
          <w:noProof/>
        </w:rPr>
      </w:pPr>
      <w:r>
        <w:t>4.</w:t>
      </w:r>
      <w:r>
        <w:tab/>
      </w:r>
      <w:r>
        <w:rPr>
          <w:noProof/>
        </w:rPr>
        <w:t xml:space="preserve">Въз основа на изискванията за съответствие за </w:t>
      </w:r>
      <w:r>
        <w:rPr>
          <w:noProof/>
        </w:rPr>
        <w:t>националните агенции, посочени в член 27, параграф 4 от Регламент (ЕС) № 1288/2013, Комисията прави преглед на националните системи за управление и контрол, на декларацията за управлението на националната агенция и на становището на независимия одитен орга</w:t>
      </w:r>
      <w:r>
        <w:rPr>
          <w:noProof/>
        </w:rPr>
        <w:t>н по нея, като надлежно отчита информацията, предоставена от националния орган, за извършените от него дейности по мониторинг и надзор по отношение на Европейския корпус за солидарност.</w:t>
      </w:r>
    </w:p>
    <w:p w:rsidR="00222FCC" w:rsidRDefault="00FD122A">
      <w:pPr>
        <w:pStyle w:val="ManualNumPar1"/>
        <w:rPr>
          <w:noProof/>
        </w:rPr>
      </w:pPr>
      <w:r>
        <w:t>5.</w:t>
      </w:r>
      <w:r>
        <w:tab/>
      </w:r>
      <w:r>
        <w:rPr>
          <w:noProof/>
        </w:rPr>
        <w:t xml:space="preserve">След като направи оценка на годишната декларация за управлението и </w:t>
      </w:r>
      <w:r>
        <w:rPr>
          <w:noProof/>
        </w:rPr>
        <w:t>на становището на независимия одитен орган по нея, Комисията изпраща своето становище и бележките на националната агенция и на националния орган.</w:t>
      </w:r>
    </w:p>
    <w:p w:rsidR="00222FCC" w:rsidRDefault="00FD122A">
      <w:pPr>
        <w:pStyle w:val="ManualNumPar1"/>
        <w:rPr>
          <w:noProof/>
        </w:rPr>
      </w:pPr>
      <w:r>
        <w:t>6.</w:t>
      </w:r>
      <w:r>
        <w:tab/>
      </w:r>
      <w:r>
        <w:rPr>
          <w:noProof/>
        </w:rPr>
        <w:t>В случай че Комисията не може да приеме годишната декларация за управлението или независимото одитно станов</w:t>
      </w:r>
      <w:r>
        <w:rPr>
          <w:noProof/>
        </w:rPr>
        <w:t>ище по нея или в случай на незадоволително изпълнение от националната агенция на бележките на Комисията, последната може да приложи всякакви предпазни и корективни мерки, необходими за защита на финансовите интереси на Съюза, в съответствие с член 60, пара</w:t>
      </w:r>
      <w:r>
        <w:rPr>
          <w:noProof/>
        </w:rPr>
        <w:t>граф 4 от Регламент (ЕС, Евратом) № 966/2012.</w:t>
      </w:r>
    </w:p>
    <w:p w:rsidR="00222FCC" w:rsidRDefault="00FD122A">
      <w:pPr>
        <w:pStyle w:val="ManualNumPar1"/>
        <w:rPr>
          <w:noProof/>
        </w:rPr>
      </w:pPr>
      <w:r>
        <w:t>7.</w:t>
      </w:r>
      <w:r>
        <w:tab/>
      </w:r>
      <w:r>
        <w:rPr>
          <w:noProof/>
        </w:rPr>
        <w:t>Комисията организира редовни срещи с мрежата от национални агенции с цел да гарантира съгласувано изпълнение на Европейския корпус за солидарност във всички участващи държави.</w:t>
      </w:r>
    </w:p>
    <w:p w:rsidR="00222FCC" w:rsidRDefault="00FD122A">
      <w:pPr>
        <w:pStyle w:val="ChapterTitle"/>
        <w:contextualSpacing/>
        <w:rPr>
          <w:noProof/>
        </w:rPr>
      </w:pPr>
      <w:r>
        <w:rPr>
          <w:noProof/>
        </w:rPr>
        <w:t>ГЛАВА VII</w:t>
      </w:r>
    </w:p>
    <w:p w:rsidR="00222FCC" w:rsidRDefault="00FD122A">
      <w:pPr>
        <w:pStyle w:val="ChapterTitle"/>
        <w:contextualSpacing/>
        <w:rPr>
          <w:noProof/>
        </w:rPr>
      </w:pPr>
      <w:r>
        <w:rPr>
          <w:noProof/>
        </w:rPr>
        <w:t>СИСТЕМА ЗА КОНТРОЛ</w:t>
      </w:r>
    </w:p>
    <w:p w:rsidR="00222FCC" w:rsidRDefault="00FD122A">
      <w:pPr>
        <w:pStyle w:val="Titrearticle"/>
        <w:contextualSpacing/>
        <w:rPr>
          <w:noProof/>
        </w:rPr>
      </w:pPr>
      <w:r>
        <w:rPr>
          <w:noProof/>
        </w:rPr>
        <w:t>Чл</w:t>
      </w:r>
      <w:r>
        <w:rPr>
          <w:noProof/>
        </w:rPr>
        <w:t>ен 22</w:t>
      </w:r>
    </w:p>
    <w:p w:rsidR="00222FCC" w:rsidRDefault="00FD122A">
      <w:pPr>
        <w:pStyle w:val="Titrearticle"/>
        <w:contextualSpacing/>
        <w:rPr>
          <w:b/>
          <w:i w:val="0"/>
          <w:noProof/>
        </w:rPr>
      </w:pPr>
      <w:r>
        <w:rPr>
          <w:b/>
          <w:i w:val="0"/>
          <w:noProof/>
        </w:rPr>
        <w:t>Принципи на системата за контрол</w:t>
      </w:r>
    </w:p>
    <w:p w:rsidR="00222FCC" w:rsidRDefault="00FD122A">
      <w:pPr>
        <w:pStyle w:val="ManualNumPar1"/>
        <w:rPr>
          <w:noProof/>
        </w:rPr>
      </w:pPr>
      <w:r>
        <w:t>1.</w:t>
      </w:r>
      <w:r>
        <w:tab/>
      </w:r>
      <w:r>
        <w:rPr>
          <w:noProof/>
        </w:rPr>
        <w:t>Комисията предприема подходящи мерки, за да гарантира, че когато се изпълняват дейности, финансирани по силата на настоящия регламент, финансовите интереси на Съюза са защитени чрез прилагането на мерки за предотвр</w:t>
      </w:r>
      <w:r>
        <w:rPr>
          <w:noProof/>
        </w:rPr>
        <w:t>атяване на измама, корупция и всякакви други незаконни действия, чрез ефективни проверки и ако се открият нередности — чрез възстановяване на недължимо платените суми, и когато е целесъобразно, чрез ефективни, пропорционални и възпиращи санкции.</w:t>
      </w:r>
    </w:p>
    <w:p w:rsidR="00222FCC" w:rsidRDefault="00FD122A">
      <w:pPr>
        <w:pStyle w:val="ManualNumPar1"/>
        <w:rPr>
          <w:noProof/>
        </w:rPr>
      </w:pPr>
      <w:r>
        <w:t>2.</w:t>
      </w:r>
      <w:r>
        <w:tab/>
      </w:r>
      <w:r>
        <w:rPr>
          <w:noProof/>
        </w:rPr>
        <w:t>Комисия</w:t>
      </w:r>
      <w:r>
        <w:rPr>
          <w:noProof/>
        </w:rPr>
        <w:t>та отговаря за надзорните проверки по отношение на действията на Европейския корпус за солидарност, които се управляват от националните агенции. Тя определя минималните изисквания за проверките, извършвани от националната агенция и от независимия одитен ор</w:t>
      </w:r>
      <w:r>
        <w:rPr>
          <w:noProof/>
        </w:rPr>
        <w:t>ган.</w:t>
      </w:r>
    </w:p>
    <w:p w:rsidR="00222FCC" w:rsidRDefault="00FD122A">
      <w:pPr>
        <w:pStyle w:val="ManualNumPar1"/>
        <w:rPr>
          <w:noProof/>
        </w:rPr>
      </w:pPr>
      <w:r>
        <w:t>3.</w:t>
      </w:r>
      <w:r>
        <w:tab/>
      </w:r>
      <w:r>
        <w:rPr>
          <w:noProof/>
        </w:rPr>
        <w:t>Националните агенции отговарят за първичните проверки на бенефициерите на безвъзмездни средства за действията на Европейския корпус за солидарност. Тези проверки трябва да осигуряват достатъчно гаранции, че отпуснатите безвъзмездни средства са изпо</w:t>
      </w:r>
      <w:r>
        <w:rPr>
          <w:noProof/>
        </w:rPr>
        <w:t>лзвани по предназначение и в съответствие с приложимите правила на Съюза.</w:t>
      </w:r>
    </w:p>
    <w:p w:rsidR="00222FCC" w:rsidRDefault="00FD122A">
      <w:pPr>
        <w:pStyle w:val="ManualNumPar1"/>
        <w:rPr>
          <w:noProof/>
        </w:rPr>
      </w:pPr>
      <w:r>
        <w:t>4.</w:t>
      </w:r>
      <w:r>
        <w:tab/>
      </w:r>
      <w:r>
        <w:rPr>
          <w:noProof/>
        </w:rPr>
        <w:t xml:space="preserve">По отношение на финансовите средства, преведени на националните агенции, Комисията гарантира подходяща координация на своите проверки с националните органи и националните агенции </w:t>
      </w:r>
      <w:r>
        <w:rPr>
          <w:noProof/>
        </w:rPr>
        <w:t>въз основа на принципа на единния одит и на анализ на риска. Настоящата разпоредба не се прилага за разследванията, провеждани от Европейската служба за борба с измамите (OLAF).</w:t>
      </w:r>
    </w:p>
    <w:p w:rsidR="00222FCC" w:rsidRDefault="00FD122A">
      <w:pPr>
        <w:pStyle w:val="Titrearticle"/>
        <w:contextualSpacing/>
        <w:rPr>
          <w:noProof/>
        </w:rPr>
      </w:pPr>
      <w:r>
        <w:rPr>
          <w:noProof/>
        </w:rPr>
        <w:t>Член 23</w:t>
      </w:r>
    </w:p>
    <w:p w:rsidR="00222FCC" w:rsidRDefault="00FD122A">
      <w:pPr>
        <w:pStyle w:val="Titrearticle"/>
        <w:contextualSpacing/>
        <w:rPr>
          <w:b/>
          <w:i w:val="0"/>
          <w:noProof/>
        </w:rPr>
      </w:pPr>
      <w:r>
        <w:rPr>
          <w:b/>
          <w:i w:val="0"/>
          <w:noProof/>
        </w:rPr>
        <w:t>Защита на финансовите интереси на Съюза</w:t>
      </w:r>
    </w:p>
    <w:p w:rsidR="00222FCC" w:rsidRDefault="00FD122A">
      <w:pPr>
        <w:pStyle w:val="ManualNumPar1"/>
        <w:rPr>
          <w:noProof/>
        </w:rPr>
      </w:pPr>
      <w:r>
        <w:t>1.</w:t>
      </w:r>
      <w:r>
        <w:tab/>
      </w:r>
      <w:r>
        <w:rPr>
          <w:noProof/>
        </w:rPr>
        <w:t>Комисията или нейни предста</w:t>
      </w:r>
      <w:r>
        <w:rPr>
          <w:noProof/>
        </w:rPr>
        <w:t>вители и Сметната палата имат правомощия за извършване на одити по документи и на място по отношение на всички бенефициери, изпълнители, подизпълнители и други трети лица, които са получили финансови средства от Съюза. Те могат също така да провеждат одити</w:t>
      </w:r>
      <w:r>
        <w:rPr>
          <w:noProof/>
        </w:rPr>
        <w:t xml:space="preserve"> и проверки по отношение на националните агенции.</w:t>
      </w:r>
    </w:p>
    <w:p w:rsidR="00222FCC" w:rsidRDefault="00FD122A">
      <w:pPr>
        <w:pStyle w:val="ManualNumPar1"/>
        <w:rPr>
          <w:noProof/>
        </w:rPr>
      </w:pPr>
      <w:r>
        <w:t>2.</w:t>
      </w:r>
      <w:r>
        <w:tab/>
      </w:r>
      <w:r>
        <w:rPr>
          <w:noProof/>
        </w:rPr>
        <w:t>OLAF може да извършва проверки и инспекции на място на икономически оператори, имащи пряко или непряко отношение към такова финансиране, в съответствие с процедурата, предвидена в Регламент (Евратом, ЕО)</w:t>
      </w:r>
      <w:r>
        <w:rPr>
          <w:noProof/>
        </w:rPr>
        <w:t xml:space="preserve"> № 2185/96</w:t>
      </w:r>
      <w:r>
        <w:rPr>
          <w:rStyle w:val="FootnoteReference"/>
          <w:noProof/>
        </w:rPr>
        <w:footnoteReference w:id="36"/>
      </w:r>
      <w:r>
        <w:rPr>
          <w:noProof/>
        </w:rPr>
        <w:t xml:space="preserve"> на Съвета, с оглед да установи дали е налице измама, корупция или всякаква незаконна дейност, накърняваща финансовите интереси на Съюза, във връзка със споразумение за отпускане на безвъзмездни средства, решение за отпускане на безвъзмездни сре</w:t>
      </w:r>
      <w:r>
        <w:rPr>
          <w:noProof/>
        </w:rPr>
        <w:t>дства или договор за финансиране от страна на Съюза.</w:t>
      </w:r>
    </w:p>
    <w:p w:rsidR="00222FCC" w:rsidRDefault="00FD122A">
      <w:pPr>
        <w:pStyle w:val="ManualNumPar1"/>
        <w:rPr>
          <w:rFonts w:eastAsia="Times New Roman"/>
          <w:noProof/>
          <w:szCs w:val="24"/>
        </w:rPr>
      </w:pPr>
      <w:r>
        <w:t>3.</w:t>
      </w:r>
      <w:r>
        <w:tab/>
      </w:r>
      <w:r>
        <w:rPr>
          <w:noProof/>
        </w:rPr>
        <w:t>Без да се засягат параграфи 1 и 2, в споразуменията за сътрудничество с трети държави и международни организации, както и споразуменията и решенията за отпускане на безвъзмездни средства и договорите,</w:t>
      </w:r>
      <w:r>
        <w:rPr>
          <w:noProof/>
        </w:rPr>
        <w:t xml:space="preserve"> произтичащи от прилагането на настоящия регламент, на Комисията, Сметната палата и OLAF изрично се предоставят правомощия да извършват такива одити, контрол и проверки на място.</w:t>
      </w:r>
    </w:p>
    <w:p w:rsidR="00222FCC" w:rsidRDefault="00FD122A">
      <w:pPr>
        <w:pStyle w:val="ChapterTitle"/>
        <w:contextualSpacing/>
        <w:rPr>
          <w:noProof/>
        </w:rPr>
      </w:pPr>
      <w:r>
        <w:rPr>
          <w:noProof/>
        </w:rPr>
        <w:t>ГЛАВА VIII</w:t>
      </w:r>
    </w:p>
    <w:p w:rsidR="00222FCC" w:rsidRDefault="00FD122A">
      <w:pPr>
        <w:pStyle w:val="ChapterTitle"/>
        <w:contextualSpacing/>
        <w:rPr>
          <w:noProof/>
        </w:rPr>
      </w:pPr>
      <w:r>
        <w:rPr>
          <w:noProof/>
        </w:rPr>
        <w:t>РАЗПОРЕДБИ ЗА ПРИЛАГАНЕ</w:t>
      </w:r>
    </w:p>
    <w:p w:rsidR="00222FCC" w:rsidRDefault="00FD122A">
      <w:pPr>
        <w:pStyle w:val="Titrearticle"/>
        <w:contextualSpacing/>
        <w:rPr>
          <w:noProof/>
        </w:rPr>
      </w:pPr>
      <w:r>
        <w:rPr>
          <w:noProof/>
        </w:rPr>
        <w:t>Член 24</w:t>
      </w:r>
    </w:p>
    <w:p w:rsidR="00222FCC" w:rsidRDefault="00FD122A">
      <w:pPr>
        <w:pStyle w:val="Titrearticle"/>
        <w:contextualSpacing/>
        <w:rPr>
          <w:b/>
          <w:i w:val="0"/>
          <w:noProof/>
        </w:rPr>
      </w:pPr>
      <w:r>
        <w:rPr>
          <w:b/>
          <w:i w:val="0"/>
          <w:noProof/>
        </w:rPr>
        <w:t xml:space="preserve">Изпълнение на Европейския корпус </w:t>
      </w:r>
      <w:r>
        <w:rPr>
          <w:b/>
          <w:i w:val="0"/>
          <w:noProof/>
        </w:rPr>
        <w:t>за солидарност</w:t>
      </w:r>
    </w:p>
    <w:p w:rsidR="00222FCC" w:rsidRDefault="00FD122A">
      <w:pPr>
        <w:pStyle w:val="ManualNumPar1"/>
        <w:rPr>
          <w:noProof/>
        </w:rPr>
      </w:pPr>
      <w:r>
        <w:t>1.</w:t>
      </w:r>
      <w:r>
        <w:tab/>
      </w:r>
      <w:r>
        <w:rPr>
          <w:noProof/>
        </w:rPr>
        <w:t>С цел прилагането на настоящия регламент Комисията приема работни програми чрез актове за изпълнение. Във всяка работна програма се гарантира, че общите и специфичните цели, определени в членове 3 и 4, се изпълняват по последователен начи</w:t>
      </w:r>
      <w:r>
        <w:rPr>
          <w:noProof/>
        </w:rPr>
        <w:t>н, и се очертават очакваните резултати, метода на изпълнение и общия размер на разходите. В работните програми се съдържа също така описание на действията, които ще се финансират, информация за сумата, разпределена за всяко действие и за разпределението на</w:t>
      </w:r>
      <w:r>
        <w:rPr>
          <w:noProof/>
        </w:rPr>
        <w:t xml:space="preserve"> финансовите средства между участващите държави за дейностите, управлявани чрез националните агенции, и примерен график за тяхното изпълнение.</w:t>
      </w:r>
    </w:p>
    <w:p w:rsidR="00222FCC" w:rsidRDefault="00FD122A">
      <w:pPr>
        <w:pStyle w:val="ManualNumPar1"/>
        <w:rPr>
          <w:noProof/>
        </w:rPr>
      </w:pPr>
      <w:r>
        <w:t>2.</w:t>
      </w:r>
      <w:r>
        <w:tab/>
      </w:r>
      <w:r>
        <w:rPr>
          <w:noProof/>
        </w:rPr>
        <w:t>Тези актове за изпълнение се приемат в съответствие с процедурата по разглеждане, посочена в член 25, параграф</w:t>
      </w:r>
      <w:r>
        <w:rPr>
          <w:noProof/>
        </w:rPr>
        <w:t> 2.</w:t>
      </w:r>
    </w:p>
    <w:p w:rsidR="00222FCC" w:rsidRDefault="00FD122A">
      <w:pPr>
        <w:pStyle w:val="Titrearticle"/>
        <w:contextualSpacing/>
        <w:rPr>
          <w:noProof/>
        </w:rPr>
      </w:pPr>
      <w:r>
        <w:rPr>
          <w:noProof/>
        </w:rPr>
        <w:t>Член 25</w:t>
      </w:r>
    </w:p>
    <w:p w:rsidR="00222FCC" w:rsidRDefault="00FD122A">
      <w:pPr>
        <w:pStyle w:val="Titrearticle"/>
        <w:contextualSpacing/>
        <w:rPr>
          <w:b/>
          <w:i w:val="0"/>
          <w:noProof/>
        </w:rPr>
      </w:pPr>
      <w:r>
        <w:rPr>
          <w:b/>
          <w:i w:val="0"/>
          <w:noProof/>
        </w:rPr>
        <w:t>Процедура на комитет</w:t>
      </w:r>
    </w:p>
    <w:p w:rsidR="00222FCC" w:rsidRDefault="00FD122A">
      <w:pPr>
        <w:pStyle w:val="ManualNumPar1"/>
        <w:rPr>
          <w:noProof/>
        </w:rPr>
      </w:pPr>
      <w:r>
        <w:t>1.</w:t>
      </w:r>
      <w:r>
        <w:tab/>
      </w:r>
      <w:r>
        <w:rPr>
          <w:noProof/>
        </w:rPr>
        <w:t>Комисията се подпомага от комитета, създаден с член 36 от Регламент (ЕС) № 1288/2013. Този комитет е комитет по смисъла на Регламент (ЕС) № 182/2011.</w:t>
      </w:r>
    </w:p>
    <w:p w:rsidR="00222FCC" w:rsidRDefault="00FD122A">
      <w:pPr>
        <w:pStyle w:val="ManualNumPar1"/>
        <w:rPr>
          <w:rFonts w:eastAsia="Times New Roman"/>
          <w:noProof/>
          <w:szCs w:val="24"/>
        </w:rPr>
      </w:pPr>
      <w:r>
        <w:t>2.</w:t>
      </w:r>
      <w:r>
        <w:tab/>
      </w:r>
      <w:r>
        <w:rPr>
          <w:noProof/>
        </w:rPr>
        <w:t>При позоваване на настоящия параграф се прилага член 5 от Регламент</w:t>
      </w:r>
      <w:r>
        <w:rPr>
          <w:noProof/>
        </w:rPr>
        <w:t> (ЕС) № 182/2011.</w:t>
      </w:r>
    </w:p>
    <w:p w:rsidR="00222FCC" w:rsidRDefault="00FD122A">
      <w:pPr>
        <w:pStyle w:val="ChapterTitle"/>
        <w:contextualSpacing/>
        <w:rPr>
          <w:noProof/>
        </w:rPr>
      </w:pPr>
      <w:r>
        <w:rPr>
          <w:noProof/>
        </w:rPr>
        <w:t>ГЛАВА IХ</w:t>
      </w:r>
    </w:p>
    <w:p w:rsidR="00222FCC" w:rsidRDefault="00FD122A">
      <w:pPr>
        <w:pStyle w:val="ChapterTitle"/>
        <w:contextualSpacing/>
        <w:rPr>
          <w:noProof/>
        </w:rPr>
      </w:pPr>
      <w:r>
        <w:rPr>
          <w:noProof/>
        </w:rPr>
        <w:t>ИЗМЕНЕНИЯ И ЗАКЛЮЧИТЕЛНИ РАЗПОРЕДБИ</w:t>
      </w:r>
    </w:p>
    <w:p w:rsidR="00222FCC" w:rsidRDefault="00FD122A">
      <w:pPr>
        <w:pStyle w:val="Titrearticle"/>
        <w:contextualSpacing/>
        <w:rPr>
          <w:noProof/>
        </w:rPr>
      </w:pPr>
      <w:r>
        <w:rPr>
          <w:noProof/>
        </w:rPr>
        <w:t>Член 26</w:t>
      </w:r>
    </w:p>
    <w:p w:rsidR="00222FCC" w:rsidRDefault="00FD122A">
      <w:pPr>
        <w:pStyle w:val="Titrearticle"/>
        <w:contextualSpacing/>
        <w:rPr>
          <w:b/>
          <w:i w:val="0"/>
          <w:noProof/>
        </w:rPr>
      </w:pPr>
      <w:r>
        <w:rPr>
          <w:b/>
          <w:i w:val="0"/>
          <w:noProof/>
        </w:rPr>
        <w:t>Изменение на Регламент (ЕС) № 1288/2013</w:t>
      </w:r>
    </w:p>
    <w:p w:rsidR="00222FCC" w:rsidRDefault="00FD122A">
      <w:pPr>
        <w:rPr>
          <w:noProof/>
        </w:rPr>
      </w:pPr>
      <w:r>
        <w:rPr>
          <w:noProof/>
        </w:rPr>
        <w:t>Регламент (ЕС) № 1288/2013 се изменя, както следва:</w:t>
      </w:r>
    </w:p>
    <w:p w:rsidR="00222FCC" w:rsidRDefault="00FD122A">
      <w:pPr>
        <w:pStyle w:val="ManualNumPar1"/>
        <w:rPr>
          <w:noProof/>
        </w:rPr>
      </w:pPr>
      <w:r>
        <w:t>1.</w:t>
      </w:r>
      <w:r>
        <w:tab/>
      </w:r>
      <w:r>
        <w:rPr>
          <w:noProof/>
        </w:rPr>
        <w:t>Член 13 от Регламент (ЕС) № 1288/2013 се заменя със следното:</w:t>
      </w:r>
    </w:p>
    <w:p w:rsidR="00222FCC" w:rsidRDefault="00FD122A">
      <w:pPr>
        <w:rPr>
          <w:rFonts w:eastAsia="Times New Roman"/>
          <w:noProof/>
          <w:szCs w:val="24"/>
        </w:rPr>
      </w:pPr>
      <w:r>
        <w:rPr>
          <w:noProof/>
        </w:rPr>
        <w:t>„1. Мобилността с учебна цел</w:t>
      </w:r>
      <w:r>
        <w:rPr>
          <w:noProof/>
        </w:rPr>
        <w:t xml:space="preserve"> на физически лица подкрепя:</w:t>
      </w:r>
    </w:p>
    <w:p w:rsidR="00222FCC" w:rsidRDefault="00FD122A">
      <w:pPr>
        <w:rPr>
          <w:rFonts w:eastAsia="SimSun"/>
          <w:noProof/>
          <w:szCs w:val="24"/>
        </w:rPr>
      </w:pPr>
      <w:r>
        <w:rPr>
          <w:noProof/>
        </w:rPr>
        <w:t>а) мобилността на младежите, включени в дейностите по неформално и самостоятелно обучение между държавите по програмата; подобна мобилност може да бъде под формата на младежки обмен и доброволчество, както и на иновационни дейн</w:t>
      </w:r>
      <w:r>
        <w:rPr>
          <w:noProof/>
        </w:rPr>
        <w:t>ости въз основа на съществуващите разпоредби за мобилността;</w:t>
      </w:r>
    </w:p>
    <w:p w:rsidR="00222FCC" w:rsidRDefault="00FD122A">
      <w:pPr>
        <w:rPr>
          <w:rFonts w:eastAsia="Times New Roman"/>
          <w:noProof/>
          <w:szCs w:val="24"/>
        </w:rPr>
      </w:pPr>
      <w:r>
        <w:rPr>
          <w:noProof/>
        </w:rPr>
        <w:t>б) мобилността на лицата, участващи в младежка дейност, или младежки организации и лидери; тази мобилност може да бъде под формата на дейности по обучение и дейности за изграждане на мрежи.</w:t>
      </w:r>
    </w:p>
    <w:p w:rsidR="00222FCC" w:rsidRDefault="00FD122A">
      <w:pPr>
        <w:rPr>
          <w:rFonts w:eastAsia="SimSun"/>
          <w:noProof/>
          <w:szCs w:val="24"/>
        </w:rPr>
      </w:pPr>
      <w:r>
        <w:rPr>
          <w:noProof/>
        </w:rPr>
        <w:t>2. То</w:t>
      </w:r>
      <w:r>
        <w:rPr>
          <w:noProof/>
        </w:rPr>
        <w:t>ва действие подкрепя също и мобилността към и от държави партньори, по-специално съседни страни, на младежи, включително тези, участващи в доброволческа дейност, както и мобилността на лица, активни в младежка дейност или младежки организации и младежки ли</w:t>
      </w:r>
      <w:r>
        <w:rPr>
          <w:noProof/>
        </w:rPr>
        <w:t>дери.</w:t>
      </w:r>
    </w:p>
    <w:p w:rsidR="00222FCC" w:rsidRDefault="00FD122A">
      <w:pPr>
        <w:rPr>
          <w:rFonts w:eastAsia="Times New Roman"/>
          <w:noProof/>
          <w:szCs w:val="24"/>
        </w:rPr>
      </w:pPr>
      <w:r>
        <w:rPr>
          <w:noProof/>
        </w:rPr>
        <w:t xml:space="preserve">3. Доброволческите дейности, посочени в параграф 1, буква а) и параграф 2, се </w:t>
      </w:r>
      <w:r>
        <w:rPr>
          <w:noProof/>
          <w:color w:val="000000"/>
        </w:rPr>
        <w:t>считат равностойни на назначенията, изпълнявани от Европейската доброволческа служба, и позоваванията на Европейската доброволческа служба в законодателството на Съюза се о</w:t>
      </w:r>
      <w:r>
        <w:rPr>
          <w:noProof/>
          <w:color w:val="000000"/>
        </w:rPr>
        <w:t>тнасят и до тези доброволчески дейности</w:t>
      </w:r>
      <w:r>
        <w:rPr>
          <w:noProof/>
        </w:rPr>
        <w:t>.“</w:t>
      </w:r>
    </w:p>
    <w:p w:rsidR="00222FCC" w:rsidRDefault="00FD122A">
      <w:pPr>
        <w:pStyle w:val="ManualNumPar1"/>
        <w:rPr>
          <w:noProof/>
        </w:rPr>
      </w:pPr>
      <w:r>
        <w:t>2.</w:t>
      </w:r>
      <w:r>
        <w:tab/>
      </w:r>
      <w:r>
        <w:rPr>
          <w:noProof/>
        </w:rPr>
        <w:t>В член 18 от Регламент (ЕС) № 1288/2013 параграфи 1, 2 и 3 се заменят със следното:</w:t>
      </w:r>
    </w:p>
    <w:p w:rsidR="00222FCC" w:rsidRDefault="00FD122A">
      <w:pPr>
        <w:rPr>
          <w:rFonts w:eastAsia="Times New Roman"/>
          <w:noProof/>
          <w:szCs w:val="24"/>
        </w:rPr>
      </w:pPr>
      <w:r>
        <w:rPr>
          <w:noProof/>
        </w:rPr>
        <w:t>„1. Финансовият пакет за изпълнението на програмата, считано от 1 януари 2014 г., се определя в размер на 14 576 824 000 EUR по</w:t>
      </w:r>
      <w:r>
        <w:rPr>
          <w:noProof/>
        </w:rPr>
        <w:t xml:space="preserve"> текущи цени.</w:t>
      </w:r>
    </w:p>
    <w:p w:rsidR="00222FCC" w:rsidRDefault="00FD122A">
      <w:pPr>
        <w:rPr>
          <w:rFonts w:eastAsia="Times New Roman"/>
          <w:noProof/>
          <w:szCs w:val="24"/>
        </w:rPr>
      </w:pPr>
      <w:r>
        <w:rPr>
          <w:noProof/>
        </w:rPr>
        <w:t>2. Сумата, посочена в параграф 1, се разпределя за дейностите по програмата, както следва, с допустимо отклонение до 5 % от всяка от разпределените суми:</w:t>
      </w:r>
    </w:p>
    <w:p w:rsidR="00222FCC" w:rsidRDefault="00FD122A">
      <w:pPr>
        <w:rPr>
          <w:rFonts w:eastAsia="Times New Roman"/>
          <w:noProof/>
          <w:szCs w:val="24"/>
        </w:rPr>
      </w:pPr>
      <w:r>
        <w:rPr>
          <w:noProof/>
        </w:rPr>
        <w:t xml:space="preserve">а) минимум 80,7 % за образование и обучение, от които се разпределят следните минимални </w:t>
      </w:r>
      <w:r>
        <w:rPr>
          <w:noProof/>
        </w:rPr>
        <w:t>суми:</w:t>
      </w:r>
    </w:p>
    <w:p w:rsidR="00222FCC" w:rsidRDefault="00FD122A">
      <w:pPr>
        <w:rPr>
          <w:rFonts w:eastAsia="Times New Roman"/>
          <w:noProof/>
          <w:szCs w:val="24"/>
        </w:rPr>
      </w:pPr>
      <w:r>
        <w:rPr>
          <w:noProof/>
        </w:rPr>
        <w:t>i) 44,3 % за висшето образование, които съставляват 35,7 % от общия бюджет;</w:t>
      </w:r>
    </w:p>
    <w:p w:rsidR="00222FCC" w:rsidRDefault="00FD122A">
      <w:pPr>
        <w:rPr>
          <w:rFonts w:eastAsia="Times New Roman"/>
          <w:noProof/>
          <w:szCs w:val="24"/>
        </w:rPr>
      </w:pPr>
      <w:r>
        <w:rPr>
          <w:noProof/>
        </w:rPr>
        <w:t>ii) 21,4 % за професионалното образование и обучение, които съставляват 17,3 % от общия бюджет;</w:t>
      </w:r>
    </w:p>
    <w:p w:rsidR="00222FCC" w:rsidRDefault="00FD122A">
      <w:pPr>
        <w:rPr>
          <w:rFonts w:eastAsia="Times New Roman"/>
          <w:noProof/>
          <w:szCs w:val="24"/>
        </w:rPr>
      </w:pPr>
      <w:r>
        <w:rPr>
          <w:noProof/>
        </w:rPr>
        <w:t>iii) 14,6 % за училищното образование, които съставляват 11,8 % от общия бюдже</w:t>
      </w:r>
      <w:r>
        <w:rPr>
          <w:noProof/>
        </w:rPr>
        <w:t>т;</w:t>
      </w:r>
    </w:p>
    <w:p w:rsidR="00222FCC" w:rsidRDefault="00FD122A">
      <w:pPr>
        <w:rPr>
          <w:rFonts w:eastAsia="Times New Roman"/>
          <w:noProof/>
          <w:szCs w:val="24"/>
        </w:rPr>
      </w:pPr>
      <w:r>
        <w:rPr>
          <w:noProof/>
        </w:rPr>
        <w:t xml:space="preserve">iv) 4,9 % за ученето за възрастни, които съставляват 3,9 % от общия бюджет; </w:t>
      </w:r>
    </w:p>
    <w:p w:rsidR="00222FCC" w:rsidRDefault="00FD122A">
      <w:pPr>
        <w:rPr>
          <w:rFonts w:eastAsia="Times New Roman"/>
          <w:noProof/>
          <w:szCs w:val="24"/>
        </w:rPr>
      </w:pPr>
      <w:r>
        <w:rPr>
          <w:noProof/>
        </w:rPr>
        <w:t>б) 8,8 % за младежта;</w:t>
      </w:r>
    </w:p>
    <w:p w:rsidR="00222FCC" w:rsidRDefault="00FD122A">
      <w:pPr>
        <w:rPr>
          <w:rFonts w:eastAsia="Times New Roman"/>
          <w:noProof/>
          <w:szCs w:val="24"/>
        </w:rPr>
      </w:pPr>
      <w:r>
        <w:rPr>
          <w:noProof/>
        </w:rPr>
        <w:t>в) до 1,5 % за Механизма за гарантиране на студентски заеми;</w:t>
      </w:r>
    </w:p>
    <w:p w:rsidR="00222FCC" w:rsidRDefault="00FD122A">
      <w:pPr>
        <w:rPr>
          <w:rFonts w:eastAsia="Times New Roman"/>
          <w:noProof/>
          <w:szCs w:val="24"/>
        </w:rPr>
      </w:pPr>
      <w:r>
        <w:rPr>
          <w:noProof/>
        </w:rPr>
        <w:t>г) 1,9 % за инициативата „Жан Моне“;</w:t>
      </w:r>
    </w:p>
    <w:p w:rsidR="00222FCC" w:rsidRDefault="00FD122A">
      <w:pPr>
        <w:rPr>
          <w:rFonts w:eastAsia="Times New Roman"/>
          <w:noProof/>
          <w:szCs w:val="24"/>
        </w:rPr>
      </w:pPr>
      <w:r>
        <w:rPr>
          <w:noProof/>
        </w:rPr>
        <w:t xml:space="preserve">д) 1,8 % за спорта, от които до 10 % за дейността, </w:t>
      </w:r>
      <w:r>
        <w:rPr>
          <w:noProof/>
        </w:rPr>
        <w:t>посочена в член 17, параграф 1, буква б);</w:t>
      </w:r>
    </w:p>
    <w:p w:rsidR="00222FCC" w:rsidRDefault="00FD122A">
      <w:pPr>
        <w:rPr>
          <w:rFonts w:eastAsia="Times New Roman"/>
          <w:noProof/>
          <w:szCs w:val="24"/>
        </w:rPr>
      </w:pPr>
      <w:r>
        <w:rPr>
          <w:noProof/>
        </w:rPr>
        <w:t>е) 3,5 % като безвъзмездни средства за оперативни разходи за националните агенции;</w:t>
      </w:r>
    </w:p>
    <w:p w:rsidR="00222FCC" w:rsidRDefault="00FD122A">
      <w:pPr>
        <w:rPr>
          <w:rFonts w:eastAsia="Times New Roman"/>
          <w:noProof/>
          <w:szCs w:val="24"/>
        </w:rPr>
      </w:pPr>
      <w:r>
        <w:rPr>
          <w:noProof/>
        </w:rPr>
        <w:t>ж) 1,8 % за покриване на административни разходи.</w:t>
      </w:r>
    </w:p>
    <w:p w:rsidR="00222FCC" w:rsidRDefault="00FD122A">
      <w:pPr>
        <w:rPr>
          <w:rFonts w:eastAsia="Times New Roman"/>
          <w:noProof/>
          <w:szCs w:val="24"/>
        </w:rPr>
      </w:pPr>
      <w:r>
        <w:rPr>
          <w:noProof/>
        </w:rPr>
        <w:t>3. От разпределените суми по параграф 2, букви a) и б) най-малко 63 % се предоста</w:t>
      </w:r>
      <w:r>
        <w:rPr>
          <w:noProof/>
        </w:rPr>
        <w:t>вят за образователна мобилност за граждани, най-малко 27 % — за сътрудничество в областта на иновациите и обмен на добри практики, и най-малко 4,2 % — за подкрепа за реформиране на политиките.“</w:t>
      </w:r>
    </w:p>
    <w:p w:rsidR="00222FCC" w:rsidRDefault="00FD122A">
      <w:pPr>
        <w:pStyle w:val="Titrearticle"/>
        <w:contextualSpacing/>
        <w:rPr>
          <w:noProof/>
          <w:szCs w:val="24"/>
        </w:rPr>
      </w:pPr>
      <w:r>
        <w:rPr>
          <w:noProof/>
        </w:rPr>
        <w:t>Член 27</w:t>
      </w:r>
    </w:p>
    <w:p w:rsidR="00222FCC" w:rsidRDefault="00FD122A">
      <w:pPr>
        <w:pStyle w:val="Titrearticle"/>
        <w:contextualSpacing/>
        <w:rPr>
          <w:b/>
          <w:i w:val="0"/>
          <w:noProof/>
        </w:rPr>
      </w:pPr>
      <w:r>
        <w:rPr>
          <w:b/>
          <w:i w:val="0"/>
          <w:noProof/>
        </w:rPr>
        <w:t>Изменение на Регламент (ЕС) № 1293/2013</w:t>
      </w:r>
    </w:p>
    <w:p w:rsidR="00222FCC" w:rsidRDefault="00FD122A">
      <w:pPr>
        <w:rPr>
          <w:noProof/>
        </w:rPr>
      </w:pPr>
      <w:r>
        <w:rPr>
          <w:noProof/>
        </w:rPr>
        <w:t>В член 4 от Ре</w:t>
      </w:r>
      <w:r>
        <w:rPr>
          <w:noProof/>
        </w:rPr>
        <w:t>гламент (ЕС) № 1293/2013 се добавя следният параграф:</w:t>
      </w:r>
    </w:p>
    <w:p w:rsidR="00222FCC" w:rsidRDefault="00FD122A">
      <w:pPr>
        <w:rPr>
          <w:noProof/>
        </w:rPr>
      </w:pPr>
      <w:r>
        <w:rPr>
          <w:noProof/>
        </w:rPr>
        <w:t>„3. Максимум 3 000 000 EUR по текущи цени от подпрограмата за околната среда, съответстваща на приоритетната област „Управление и информация, свързани с околната среда и максимум 1 500 000 EUR по текущи</w:t>
      </w:r>
      <w:r>
        <w:rPr>
          <w:noProof/>
        </w:rPr>
        <w:t xml:space="preserve"> цени от подпрограмата за действия по климата, съответстваща на приоритетната област „Управление и информация, свързани с климата“, се отпускат за финансиране на проекти по смисъла на член 17, параграф 4, изпълнявани от Европейския корпус за солидарност в </w:t>
      </w:r>
      <w:r>
        <w:rPr>
          <w:noProof/>
        </w:rPr>
        <w:t>съответствие с Регламент (ЕС) 2017/ХХХ, които допринасят за една или повече от приоритетните области по смисъла на член 9 и член 13. Това разпределяне се извършва само в съответствие с Регламент (ЕС) 2017/ХХХ, изключвайки специфичните изисквания на Регламе</w:t>
      </w:r>
      <w:r>
        <w:rPr>
          <w:noProof/>
        </w:rPr>
        <w:t>нт (ЕС) № 1293/2013.“</w:t>
      </w:r>
    </w:p>
    <w:p w:rsidR="00222FCC" w:rsidRDefault="00FD122A">
      <w:pPr>
        <w:pStyle w:val="Titrearticle"/>
        <w:contextualSpacing/>
        <w:rPr>
          <w:noProof/>
        </w:rPr>
      </w:pPr>
      <w:r>
        <w:rPr>
          <w:noProof/>
        </w:rPr>
        <w:t>Член 28</w:t>
      </w:r>
    </w:p>
    <w:p w:rsidR="00222FCC" w:rsidRDefault="00FD122A">
      <w:pPr>
        <w:pStyle w:val="Titrearticle"/>
        <w:contextualSpacing/>
        <w:rPr>
          <w:b/>
          <w:i w:val="0"/>
          <w:noProof/>
        </w:rPr>
      </w:pPr>
      <w:r>
        <w:rPr>
          <w:b/>
          <w:i w:val="0"/>
          <w:noProof/>
        </w:rPr>
        <w:t>Изменения на Регламент (ЕС) № 1303/2013</w:t>
      </w:r>
    </w:p>
    <w:p w:rsidR="00222FCC" w:rsidRDefault="00FD122A">
      <w:pPr>
        <w:rPr>
          <w:noProof/>
        </w:rPr>
      </w:pPr>
      <w:r>
        <w:rPr>
          <w:noProof/>
        </w:rPr>
        <w:t>Регламент (ЕС) № 1303/2013 се изменя, както следва:</w:t>
      </w:r>
    </w:p>
    <w:p w:rsidR="00222FCC" w:rsidRDefault="00FD122A">
      <w:pPr>
        <w:pStyle w:val="ManualNumPar1"/>
        <w:rPr>
          <w:noProof/>
        </w:rPr>
      </w:pPr>
      <w:r>
        <w:t>1.</w:t>
      </w:r>
      <w:r>
        <w:tab/>
      </w:r>
      <w:r>
        <w:rPr>
          <w:noProof/>
        </w:rPr>
        <w:t xml:space="preserve">В член 58 параграф 1 се изменя, както следва: </w:t>
      </w:r>
    </w:p>
    <w:p w:rsidR="00222FCC" w:rsidRDefault="00FD122A">
      <w:pPr>
        <w:rPr>
          <w:noProof/>
        </w:rPr>
      </w:pPr>
      <w:r>
        <w:rPr>
          <w:noProof/>
        </w:rPr>
        <w:t xml:space="preserve">а) първият абзац се заменя със следното: </w:t>
      </w:r>
    </w:p>
    <w:p w:rsidR="00222FCC" w:rsidRDefault="00FD122A">
      <w:pPr>
        <w:rPr>
          <w:noProof/>
        </w:rPr>
      </w:pPr>
      <w:r>
        <w:rPr>
          <w:noProof/>
          <w:color w:val="000000"/>
          <w:sz w:val="19"/>
        </w:rPr>
        <w:t>„</w:t>
      </w:r>
      <w:r>
        <w:rPr>
          <w:noProof/>
        </w:rPr>
        <w:t xml:space="preserve">По инициатива на Комисията ЕСИ фондовете </w:t>
      </w:r>
      <w:r>
        <w:rPr>
          <w:noProof/>
        </w:rPr>
        <w:t>може да подпомагат подготвителните мерки, мерките за мониторинг, за административна и техническа помощ, оценка, одит и контрол, необходими за прилагането на настоящия регламент, и действията за подкрепа съгласно Регламент (ЕС) 2017/ХХХ, посочени в третия а</w:t>
      </w:r>
      <w:r>
        <w:rPr>
          <w:noProof/>
        </w:rPr>
        <w:t xml:space="preserve">бзац, доколкото тези действия имат за цел икономическо, социално и териториално сближаване“. </w:t>
      </w:r>
    </w:p>
    <w:p w:rsidR="00222FCC" w:rsidRDefault="00FD122A">
      <w:pPr>
        <w:rPr>
          <w:noProof/>
        </w:rPr>
      </w:pPr>
      <w:r>
        <w:rPr>
          <w:noProof/>
        </w:rPr>
        <w:t>б) в третия абзац се добавя следната буква м):</w:t>
      </w:r>
    </w:p>
    <w:p w:rsidR="00222FCC" w:rsidRDefault="00FD122A">
      <w:pPr>
        <w:rPr>
          <w:noProof/>
        </w:rPr>
      </w:pPr>
      <w:r>
        <w:rPr>
          <w:noProof/>
        </w:rPr>
        <w:t xml:space="preserve">„м) действия, финансирани съгласно Регламент (ЕС) 2017/ХХХ относно Европейския корпус за солидарност с цел </w:t>
      </w:r>
      <w:r>
        <w:rPr>
          <w:noProof/>
        </w:rPr>
        <w:t>подпомагане на личностното, образователното, социалното, гражданското и професионалното развитие на младите хора, както и тяхната пригодност за заетост, и по-лесния им преход към пазара на труда“.</w:t>
      </w:r>
    </w:p>
    <w:p w:rsidR="00222FCC" w:rsidRDefault="00FD122A">
      <w:pPr>
        <w:pStyle w:val="ManualNumPar1"/>
        <w:rPr>
          <w:noProof/>
        </w:rPr>
      </w:pPr>
      <w:r>
        <w:t>2.</w:t>
      </w:r>
      <w:r>
        <w:tab/>
      </w:r>
      <w:r>
        <w:rPr>
          <w:noProof/>
        </w:rPr>
        <w:t>В член 91, параграф 3 се добавя следния абзац:</w:t>
      </w:r>
    </w:p>
    <w:p w:rsidR="00222FCC" w:rsidRDefault="00FD122A">
      <w:pPr>
        <w:rPr>
          <w:noProof/>
        </w:rPr>
      </w:pPr>
      <w:r>
        <w:rPr>
          <w:noProof/>
        </w:rPr>
        <w:t>„35 000 0</w:t>
      </w:r>
      <w:r>
        <w:rPr>
          <w:noProof/>
        </w:rPr>
        <w:t xml:space="preserve">00 EUR по текущи цени от сумата, отпусната за техническа помощ по инициатива на Комисията, се разпределят на Европейския корпус за солидарност за подпомагане на неговите действия, в съответствие с член 9, параграф 2, буква а) от Регламент (ЕС) № 2017/XXX. </w:t>
      </w:r>
      <w:r>
        <w:rPr>
          <w:noProof/>
        </w:rPr>
        <w:t>Това разпределяне се извършва само в съответствие с Регламент (ЕС) № 2017/ХХХ, изключвайки специфичните изисквания на регламентите за отделните фондове.“</w:t>
      </w:r>
    </w:p>
    <w:p w:rsidR="00222FCC" w:rsidRDefault="00FD122A">
      <w:pPr>
        <w:pStyle w:val="Titrearticle"/>
        <w:contextualSpacing/>
        <w:rPr>
          <w:noProof/>
        </w:rPr>
      </w:pPr>
      <w:r>
        <w:rPr>
          <w:noProof/>
        </w:rPr>
        <w:t>Член 29</w:t>
      </w:r>
    </w:p>
    <w:p w:rsidR="00222FCC" w:rsidRDefault="00FD122A">
      <w:pPr>
        <w:pStyle w:val="Titrearticle"/>
        <w:contextualSpacing/>
        <w:rPr>
          <w:b/>
          <w:i w:val="0"/>
          <w:noProof/>
        </w:rPr>
      </w:pPr>
      <w:r>
        <w:rPr>
          <w:b/>
          <w:i w:val="0"/>
          <w:noProof/>
        </w:rPr>
        <w:t>Изменение на Регламент (ЕС) № 1305/2013</w:t>
      </w:r>
    </w:p>
    <w:p w:rsidR="00222FCC" w:rsidRDefault="00FD122A">
      <w:pPr>
        <w:rPr>
          <w:noProof/>
        </w:rPr>
      </w:pPr>
      <w:r>
        <w:rPr>
          <w:noProof/>
        </w:rPr>
        <w:t>В член 51, параграф 1 от Регламент (ЕС) № 1305/2013 сл</w:t>
      </w:r>
      <w:r>
        <w:rPr>
          <w:noProof/>
        </w:rPr>
        <w:t>ед първия абзац се добавя следният абзац:</w:t>
      </w:r>
    </w:p>
    <w:p w:rsidR="00222FCC" w:rsidRDefault="00FD122A">
      <w:pPr>
        <w:rPr>
          <w:noProof/>
        </w:rPr>
      </w:pPr>
      <w:r>
        <w:rPr>
          <w:noProof/>
        </w:rPr>
        <w:t>„ЕЗФРСР може също да финансира дейности, изпълнявани от Европейския корпус за солидарност със сума в размер на 1 800 000 EUR по текущи цени в съответствие с Регламент (ЕС) № 2017/XXX, които дейности спомагат за еди</w:t>
      </w:r>
      <w:r>
        <w:rPr>
          <w:noProof/>
        </w:rPr>
        <w:t>н или повече приоритети на Съюза в областта на развитието на селските райони. Това разпределяне се извършва само в съответствие с Регламент (ЕС) № 2017/ХХХ, изключвайки специфичните изисквания на Регламент (ЕС) № 1305/2013.“</w:t>
      </w:r>
    </w:p>
    <w:p w:rsidR="00222FCC" w:rsidRDefault="00FD122A">
      <w:pPr>
        <w:pStyle w:val="Titrearticle"/>
        <w:contextualSpacing/>
        <w:rPr>
          <w:noProof/>
        </w:rPr>
      </w:pPr>
      <w:r>
        <w:rPr>
          <w:noProof/>
        </w:rPr>
        <w:t>Член 30</w:t>
      </w:r>
    </w:p>
    <w:p w:rsidR="00222FCC" w:rsidRDefault="00FD122A">
      <w:pPr>
        <w:pStyle w:val="Titrearticle"/>
        <w:contextualSpacing/>
        <w:rPr>
          <w:b/>
          <w:i w:val="0"/>
          <w:noProof/>
        </w:rPr>
      </w:pPr>
      <w:r>
        <w:rPr>
          <w:b/>
          <w:i w:val="0"/>
          <w:noProof/>
        </w:rPr>
        <w:t>Изменение на Регламент </w:t>
      </w:r>
      <w:r>
        <w:rPr>
          <w:b/>
          <w:i w:val="0"/>
          <w:noProof/>
        </w:rPr>
        <w:t>(ЕС) № 1306/2013</w:t>
      </w:r>
    </w:p>
    <w:p w:rsidR="00222FCC" w:rsidRDefault="00FD122A">
      <w:pPr>
        <w:rPr>
          <w:noProof/>
        </w:rPr>
      </w:pPr>
      <w:r>
        <w:rPr>
          <w:noProof/>
        </w:rPr>
        <w:t>В член 6 от Регламент (ЕС) № 1306/2013 се добавя следната точка й):</w:t>
      </w:r>
    </w:p>
    <w:p w:rsidR="00222FCC" w:rsidRDefault="00FD122A">
      <w:pPr>
        <w:rPr>
          <w:noProof/>
        </w:rPr>
      </w:pPr>
      <w:r>
        <w:rPr>
          <w:noProof/>
        </w:rPr>
        <w:t>„й) действия, изпълнявани от Европейския корпус за солидарност в съответствие с Регламент (ЕС) 2017/ХХХ, които спомагат за един или повече от приоритетите на Съюза в облас</w:t>
      </w:r>
      <w:r>
        <w:rPr>
          <w:noProof/>
        </w:rPr>
        <w:t>тта на селското стопанство и на развитието на селските райони, и най-вече действията, посочени във втория абзац на член 51, параграф 1 от Регламент (ЕС) № 1305/2013. Това разпределяне се извършва само в съответствие с Регламент (ЕС) 2017/ХХХ, изключвайки с</w:t>
      </w:r>
      <w:r>
        <w:rPr>
          <w:noProof/>
        </w:rPr>
        <w:t>пецифичните изисквания на регламентите за отделните фондове.“</w:t>
      </w:r>
    </w:p>
    <w:p w:rsidR="00222FCC" w:rsidRDefault="00FD122A">
      <w:pPr>
        <w:pStyle w:val="Titrearticle"/>
        <w:contextualSpacing/>
        <w:rPr>
          <w:noProof/>
        </w:rPr>
      </w:pPr>
      <w:r>
        <w:rPr>
          <w:noProof/>
        </w:rPr>
        <w:t>Член 31</w:t>
      </w:r>
    </w:p>
    <w:p w:rsidR="00222FCC" w:rsidRDefault="00FD122A">
      <w:pPr>
        <w:pStyle w:val="Titrearticle"/>
        <w:contextualSpacing/>
        <w:rPr>
          <w:b/>
          <w:i w:val="0"/>
          <w:noProof/>
        </w:rPr>
      </w:pPr>
      <w:r>
        <w:rPr>
          <w:b/>
          <w:i w:val="0"/>
          <w:noProof/>
        </w:rPr>
        <w:t>Изменение на Решение № 1313/2013/ЕС</w:t>
      </w:r>
    </w:p>
    <w:p w:rsidR="00222FCC" w:rsidRDefault="00FD122A">
      <w:pPr>
        <w:rPr>
          <w:noProof/>
        </w:rPr>
      </w:pPr>
      <w:r>
        <w:rPr>
          <w:noProof/>
        </w:rPr>
        <w:t>В член 19, параграф 1 от Решение № 1313/2013/ЕС след втория абзац се добавя следният абзац:</w:t>
      </w:r>
    </w:p>
    <w:p w:rsidR="00222FCC" w:rsidRDefault="00FD122A">
      <w:pPr>
        <w:rPr>
          <w:noProof/>
        </w:rPr>
      </w:pPr>
      <w:r>
        <w:rPr>
          <w:noProof/>
        </w:rPr>
        <w:t>„6 000 000 EUR по текущи цени от финансовия пакет, получен</w:t>
      </w:r>
      <w:r>
        <w:rPr>
          <w:noProof/>
        </w:rPr>
        <w:t xml:space="preserve"> от Функция 3 „Сигурност и гражданство“ се разпределят за финансиране на действия, изпълнявани от Европейския корпус за солидарност в съответствие с Регламент (ЕС) № 2017/XXX, които спомагат за един или повече от приоритетите на Съюза в областта на граждан</w:t>
      </w:r>
      <w:r>
        <w:rPr>
          <w:noProof/>
        </w:rPr>
        <w:t>ската защита. Това разпределяне се извършва само в съответствие с Регламент (ЕС) № 2017/ХХХ, изключвайки специфичните изисквания на Решение № 1313/2013/ЕС.“</w:t>
      </w:r>
    </w:p>
    <w:p w:rsidR="00222FCC" w:rsidRDefault="00FD122A">
      <w:pPr>
        <w:pStyle w:val="Titrearticle"/>
        <w:contextualSpacing/>
        <w:rPr>
          <w:noProof/>
        </w:rPr>
      </w:pPr>
      <w:r>
        <w:rPr>
          <w:noProof/>
        </w:rPr>
        <w:t xml:space="preserve">Член 32 </w:t>
      </w:r>
    </w:p>
    <w:p w:rsidR="00222FCC" w:rsidRDefault="00FD122A">
      <w:pPr>
        <w:pStyle w:val="Titrearticle"/>
        <w:contextualSpacing/>
        <w:rPr>
          <w:b/>
          <w:i w:val="0"/>
          <w:noProof/>
        </w:rPr>
      </w:pPr>
      <w:r>
        <w:rPr>
          <w:b/>
          <w:i w:val="0"/>
          <w:noProof/>
        </w:rPr>
        <w:t>Влизане в сила</w:t>
      </w:r>
    </w:p>
    <w:p w:rsidR="00222FCC" w:rsidRDefault="00FD122A">
      <w:pPr>
        <w:rPr>
          <w:noProof/>
        </w:rPr>
      </w:pPr>
      <w:r>
        <w:rPr>
          <w:noProof/>
        </w:rPr>
        <w:t xml:space="preserve">Настоящият регламент влиза в сила в деня след деня на публикуването му в </w:t>
      </w:r>
      <w:r>
        <w:rPr>
          <w:i/>
          <w:noProof/>
        </w:rPr>
        <w:t>Оф</w:t>
      </w:r>
      <w:r>
        <w:rPr>
          <w:i/>
          <w:noProof/>
        </w:rPr>
        <w:t>ициален вестник на Европейския съюз</w:t>
      </w:r>
      <w:r>
        <w:rPr>
          <w:noProof/>
        </w:rPr>
        <w:t>.</w:t>
      </w:r>
    </w:p>
    <w:p w:rsidR="00222FCC" w:rsidRDefault="00FD122A">
      <w:pPr>
        <w:rPr>
          <w:noProof/>
        </w:rPr>
      </w:pPr>
      <w:r>
        <w:rPr>
          <w:noProof/>
        </w:rPr>
        <w:t>Прилага се от 1 януари 2018 г.</w:t>
      </w:r>
    </w:p>
    <w:p w:rsidR="00222FCC" w:rsidRDefault="00FD122A">
      <w:pPr>
        <w:pStyle w:val="Applicationdirecte"/>
        <w:rPr>
          <w:noProof/>
        </w:rPr>
      </w:pPr>
      <w:r>
        <w:rPr>
          <w:noProof/>
        </w:rPr>
        <w:t>Настоящият регламент е задължителен в своята цялост и се прилага пряко във всички държави членки.</w:t>
      </w:r>
    </w:p>
    <w:p w:rsidR="00222FCC" w:rsidRDefault="00FD122A">
      <w:pPr>
        <w:pStyle w:val="Fait"/>
        <w:rPr>
          <w:noProof/>
        </w:rPr>
      </w:pPr>
      <w:r>
        <w:rPr>
          <w:noProof/>
        </w:rPr>
        <w:t>Съставено в Брюксел на  година.</w:t>
      </w:r>
    </w:p>
    <w:p w:rsidR="00222FCC" w:rsidRDefault="00FD122A">
      <w:pPr>
        <w:pStyle w:val="Institutionquisigne"/>
        <w:rPr>
          <w:noProof/>
        </w:rPr>
      </w:pPr>
      <w:r>
        <w:rPr>
          <w:noProof/>
        </w:rPr>
        <w:t>За Европейския парламент</w:t>
      </w:r>
      <w:r>
        <w:rPr>
          <w:noProof/>
        </w:rPr>
        <w:tab/>
        <w:t>За Съвета</w:t>
      </w:r>
    </w:p>
    <w:p w:rsidR="00222FCC" w:rsidRDefault="00FD122A">
      <w:pPr>
        <w:pStyle w:val="Personnequisigne"/>
        <w:rPr>
          <w:noProof/>
        </w:rPr>
      </w:pPr>
      <w:r>
        <w:rPr>
          <w:noProof/>
        </w:rPr>
        <w:t>Председател</w:t>
      </w:r>
      <w:r>
        <w:rPr>
          <w:noProof/>
        </w:rPr>
        <w:tab/>
        <w:t>Председател</w:t>
      </w:r>
    </w:p>
    <w:p w:rsidR="00222FCC" w:rsidRDefault="00222FCC">
      <w:pPr>
        <w:rPr>
          <w:noProof/>
        </w:rPr>
        <w:sectPr w:rsidR="00222FCC">
          <w:pgSz w:w="11907" w:h="16840" w:code="9"/>
          <w:pgMar w:top="1134" w:right="1418" w:bottom="1134" w:left="1418" w:header="709" w:footer="709" w:gutter="0"/>
          <w:cols w:space="708"/>
          <w:docGrid w:linePitch="360"/>
        </w:sectPr>
      </w:pPr>
    </w:p>
    <w:p w:rsidR="00222FCC" w:rsidRDefault="00FD122A">
      <w:pPr>
        <w:pStyle w:val="Fichefinanciretitre"/>
        <w:rPr>
          <w:noProof/>
        </w:rPr>
      </w:pPr>
      <w:r>
        <w:rPr>
          <w:noProof/>
        </w:rPr>
        <w:t>ЗАКОНОДАТЕЛНА ФИНАНСОВА ОБОСНОВКА</w:t>
      </w:r>
    </w:p>
    <w:p w:rsidR="00222FCC" w:rsidRDefault="00FD122A">
      <w:pPr>
        <w:pStyle w:val="ManualHeading1"/>
        <w:rPr>
          <w:noProof/>
        </w:rPr>
      </w:pPr>
      <w:r>
        <w:rPr>
          <w:noProof/>
        </w:rPr>
        <w:t>1.</w:t>
      </w:r>
      <w:r>
        <w:rPr>
          <w:noProof/>
        </w:rPr>
        <w:tab/>
        <w:t xml:space="preserve">РАМКА НА ПРЕДЛОЖЕНИЕТО/ИНИЦИАТИВАТА </w:t>
      </w:r>
    </w:p>
    <w:p w:rsidR="00222FCC" w:rsidRDefault="00FD122A">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222FCC" w:rsidRDefault="00FD122A">
      <w:pPr>
        <w:pStyle w:val="ManualHeading2"/>
        <w:rPr>
          <w:b w:val="0"/>
          <w:noProof/>
        </w:rPr>
      </w:pPr>
      <w:r>
        <w:rPr>
          <w:noProof/>
        </w:rPr>
        <w:tab/>
      </w:r>
      <w:r>
        <w:rPr>
          <w:b w:val="0"/>
          <w:noProof/>
        </w:rPr>
        <w:t>1.2.</w:t>
      </w:r>
      <w:r>
        <w:rPr>
          <w:noProof/>
        </w:rPr>
        <w:tab/>
      </w:r>
      <w:r>
        <w:rPr>
          <w:b w:val="0"/>
          <w:noProof/>
        </w:rPr>
        <w:t>Засегната(и) област(и) на политиката</w:t>
      </w:r>
    </w:p>
    <w:p w:rsidR="00222FCC" w:rsidRDefault="00FD122A">
      <w:pPr>
        <w:pStyle w:val="ManualHeading2"/>
        <w:rPr>
          <w:b w:val="0"/>
          <w:noProof/>
        </w:rPr>
      </w:pPr>
      <w:r>
        <w:rPr>
          <w:b w:val="0"/>
          <w:noProof/>
        </w:rPr>
        <w:t>*</w:t>
      </w:r>
      <w:r>
        <w:rPr>
          <w:noProof/>
        </w:rPr>
        <w:tab/>
      </w:r>
      <w:r>
        <w:rPr>
          <w:b w:val="0"/>
          <w:noProof/>
        </w:rPr>
        <w:t>1.3.</w:t>
      </w:r>
      <w:r>
        <w:rPr>
          <w:noProof/>
        </w:rPr>
        <w:tab/>
      </w:r>
      <w:r>
        <w:rPr>
          <w:b w:val="0"/>
          <w:noProof/>
        </w:rPr>
        <w:t xml:space="preserve">Естество на предложението/инициативата </w:t>
      </w:r>
    </w:p>
    <w:p w:rsidR="00222FCC" w:rsidRDefault="00FD122A">
      <w:pPr>
        <w:pStyle w:val="ManualHeading2"/>
        <w:rPr>
          <w:b w:val="0"/>
          <w:noProof/>
        </w:rPr>
      </w:pPr>
      <w:r>
        <w:rPr>
          <w:noProof/>
        </w:rPr>
        <w:tab/>
      </w:r>
      <w:r>
        <w:rPr>
          <w:b w:val="0"/>
          <w:noProof/>
        </w:rPr>
        <w:t>1.4.</w:t>
      </w:r>
      <w:r>
        <w:rPr>
          <w:noProof/>
        </w:rPr>
        <w:tab/>
      </w:r>
      <w:r>
        <w:rPr>
          <w:b w:val="0"/>
          <w:noProof/>
        </w:rPr>
        <w:t xml:space="preserve">Цели </w:t>
      </w:r>
    </w:p>
    <w:p w:rsidR="00222FCC" w:rsidRDefault="00FD122A">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222FCC" w:rsidRDefault="00FD122A">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222FCC" w:rsidRDefault="00FD122A">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rsidR="00222FCC" w:rsidRDefault="00FD122A">
      <w:pPr>
        <w:pStyle w:val="ManualHeading1"/>
        <w:rPr>
          <w:noProof/>
        </w:rPr>
      </w:pPr>
      <w:r>
        <w:rPr>
          <w:noProof/>
        </w:rPr>
        <w:t>2.</w:t>
      </w:r>
      <w:r>
        <w:rPr>
          <w:noProof/>
        </w:rPr>
        <w:tab/>
        <w:t xml:space="preserve">МЕРКИ ЗА УПРАВЛЕНИЕ </w:t>
      </w:r>
    </w:p>
    <w:p w:rsidR="00222FCC" w:rsidRDefault="00FD122A">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222FCC" w:rsidRDefault="00FD122A">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222FCC" w:rsidRDefault="00FD122A">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222FCC" w:rsidRDefault="00FD122A">
      <w:pPr>
        <w:pStyle w:val="ManualHeading1"/>
        <w:rPr>
          <w:noProof/>
        </w:rPr>
      </w:pPr>
      <w:r>
        <w:rPr>
          <w:noProof/>
        </w:rPr>
        <w:t>3.</w:t>
      </w:r>
      <w:r>
        <w:rPr>
          <w:noProof/>
        </w:rPr>
        <w:tab/>
        <w:t xml:space="preserve">ОЧАКВАНО ФИНАНСОВО ОТРАЖЕНИЕ НА ПРЕДЛОЖЕНИЕТО/ИНИЦИАТИВАТА </w:t>
      </w:r>
    </w:p>
    <w:p w:rsidR="00222FCC" w:rsidRDefault="00FD122A">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222FCC" w:rsidRDefault="00FD122A">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222FCC" w:rsidRDefault="00FD122A">
      <w:pPr>
        <w:pStyle w:val="ManualHeading3"/>
        <w:rPr>
          <w:noProof/>
        </w:rPr>
      </w:pPr>
      <w:r>
        <w:rPr>
          <w:noProof/>
        </w:rPr>
        <w:tab/>
        <w:t>3.2.1.</w:t>
      </w:r>
      <w:r>
        <w:rPr>
          <w:noProof/>
        </w:rPr>
        <w:tab/>
      </w:r>
      <w:r>
        <w:rPr>
          <w:noProof/>
        </w:rPr>
        <w:t xml:space="preserve">Обобщение на очакваното отражение върху разходите </w:t>
      </w:r>
    </w:p>
    <w:p w:rsidR="00222FCC" w:rsidRDefault="00FD122A">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222FCC" w:rsidRDefault="00FD122A">
      <w:pPr>
        <w:pStyle w:val="ManualHeading3"/>
        <w:rPr>
          <w:noProof/>
        </w:rPr>
      </w:pPr>
      <w:r>
        <w:rPr>
          <w:noProof/>
        </w:rPr>
        <w:tab/>
        <w:t>3.2.3.</w:t>
      </w:r>
      <w:r>
        <w:rPr>
          <w:noProof/>
        </w:rPr>
        <w:tab/>
        <w:t>Очаквано отражение върху бюджетните кредити за административни разходи</w:t>
      </w:r>
    </w:p>
    <w:p w:rsidR="00222FCC" w:rsidRDefault="00FD122A">
      <w:pPr>
        <w:pStyle w:val="ManualHeading3"/>
        <w:rPr>
          <w:noProof/>
        </w:rPr>
      </w:pPr>
      <w:r>
        <w:rPr>
          <w:noProof/>
        </w:rPr>
        <w:tab/>
        <w:t>3.2.4.</w:t>
      </w:r>
      <w:r>
        <w:rPr>
          <w:noProof/>
        </w:rPr>
        <w:tab/>
        <w:t>Съвместимост с настоящата многогодишна фина</w:t>
      </w:r>
      <w:r>
        <w:rPr>
          <w:noProof/>
        </w:rPr>
        <w:t>нсова рамка</w:t>
      </w:r>
    </w:p>
    <w:p w:rsidR="00222FCC" w:rsidRDefault="00FD122A">
      <w:pPr>
        <w:pStyle w:val="ManualHeading3"/>
        <w:rPr>
          <w:noProof/>
        </w:rPr>
      </w:pPr>
      <w:r>
        <w:rPr>
          <w:noProof/>
        </w:rPr>
        <w:tab/>
        <w:t>3.2.5.</w:t>
      </w:r>
      <w:r>
        <w:rPr>
          <w:noProof/>
        </w:rPr>
        <w:tab/>
        <w:t xml:space="preserve">Участие на трети страни във финансирането </w:t>
      </w:r>
    </w:p>
    <w:p w:rsidR="00222FCC" w:rsidRDefault="00FD122A">
      <w:pPr>
        <w:pStyle w:val="ManualHeading2"/>
        <w:jc w:val="left"/>
        <w:rPr>
          <w:b w:val="0"/>
          <w:noProof/>
        </w:rPr>
        <w:sectPr w:rsidR="00222FCC">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222FCC" w:rsidRDefault="00FD122A">
      <w:pPr>
        <w:jc w:val="center"/>
        <w:rPr>
          <w:b/>
          <w:noProof/>
          <w:u w:val="single"/>
        </w:rPr>
      </w:pPr>
      <w:r>
        <w:rPr>
          <w:b/>
          <w:noProof/>
          <w:u w:val="single"/>
        </w:rPr>
        <w:t>ЗАКОНОДАТЕЛНА ФИНАНСОВА ОБОСНОВКА</w:t>
      </w:r>
    </w:p>
    <w:p w:rsidR="00222FCC" w:rsidRDefault="00FD122A">
      <w:pPr>
        <w:pStyle w:val="ManualHeading1"/>
        <w:rPr>
          <w:noProof/>
        </w:rPr>
      </w:pPr>
      <w:r>
        <w:t>1.</w:t>
      </w:r>
      <w:r>
        <w:tab/>
      </w:r>
      <w:r>
        <w:rPr>
          <w:noProof/>
        </w:rPr>
        <w:t xml:space="preserve">РАМКА НА ПРЕДЛОЖЕНИЕТО/ИНИЦИАТИВАТА </w:t>
      </w:r>
    </w:p>
    <w:p w:rsidR="00222FCC" w:rsidRDefault="00FD122A">
      <w:pPr>
        <w:pStyle w:val="ManualHeading2"/>
        <w:rPr>
          <w:noProof/>
        </w:rPr>
      </w:pPr>
      <w:r>
        <w:t>1.</w:t>
      </w:r>
      <w:proofErr w:type="spellStart"/>
      <w:r>
        <w:t>1</w:t>
      </w:r>
      <w:proofErr w:type="spellEnd"/>
      <w:r>
        <w:t>.</w:t>
      </w:r>
      <w:r>
        <w:tab/>
      </w:r>
      <w:r>
        <w:rPr>
          <w:noProof/>
        </w:rPr>
        <w:t xml:space="preserve">Наименование на предложението/инициативата </w:t>
      </w:r>
    </w:p>
    <w:p w:rsidR="00222FCC" w:rsidRDefault="00FD122A">
      <w:pPr>
        <w:pBdr>
          <w:top w:val="single" w:sz="4" w:space="1" w:color="auto"/>
          <w:left w:val="single" w:sz="4" w:space="4" w:color="auto"/>
          <w:bottom w:val="single" w:sz="4" w:space="1" w:color="auto"/>
          <w:right w:val="single" w:sz="4" w:space="4" w:color="auto"/>
        </w:pBdr>
        <w:spacing w:before="360" w:after="0"/>
        <w:rPr>
          <w:rFonts w:eastAsia="SimSun"/>
          <w:b/>
          <w:noProof/>
        </w:rPr>
      </w:pPr>
      <w:r>
        <w:rPr>
          <w:noProof/>
        </w:rPr>
        <w:t>Предло</w:t>
      </w:r>
      <w:r>
        <w:rPr>
          <w:noProof/>
        </w:rPr>
        <w:t>жение за РЕГЛАМЕНТ НА ЕВРОПЕЙСКИЯ ПАРЛАМЕНТ И НА СЪВЕТА за Европейския корпус за солидарност</w:t>
      </w:r>
      <w:r>
        <w:rPr>
          <w:b/>
          <w:noProof/>
        </w:rPr>
        <w:t xml:space="preserve"> </w:t>
      </w:r>
    </w:p>
    <w:p w:rsidR="00222FCC" w:rsidRDefault="00FD122A">
      <w:pPr>
        <w:pStyle w:val="ManualHeading2"/>
        <w:rPr>
          <w:noProof/>
          <w:szCs w:val="24"/>
        </w:rPr>
      </w:pPr>
      <w:r>
        <w:t>1.2.</w:t>
      </w:r>
      <w:r>
        <w:tab/>
      </w:r>
      <w:r>
        <w:rPr>
          <w:noProof/>
        </w:rPr>
        <w:t>Засегната(и) област(и) на политиката</w:t>
      </w:r>
      <w:r>
        <w:rPr>
          <w:i/>
          <w:noProof/>
        </w:rPr>
        <w:t xml:space="preserve">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Дял 15 — Образование и култура</w:t>
      </w:r>
    </w:p>
    <w:p w:rsidR="00222FCC" w:rsidRDefault="00FD122A">
      <w:pPr>
        <w:pStyle w:val="ManualHeading2"/>
        <w:rPr>
          <w:bCs/>
          <w:noProof/>
          <w:szCs w:val="24"/>
        </w:rPr>
      </w:pPr>
      <w:r>
        <w:t>1.3.</w:t>
      </w:r>
      <w:r>
        <w:tab/>
      </w:r>
      <w:r>
        <w:rPr>
          <w:noProof/>
        </w:rPr>
        <w:t xml:space="preserve">Естество на предложението/инициативата </w:t>
      </w:r>
    </w:p>
    <w:p w:rsidR="00222FCC" w:rsidRDefault="00FD122A">
      <w:pPr>
        <w:pStyle w:val="Text1"/>
        <w:rPr>
          <w:b/>
          <w:noProof/>
          <w:sz w:val="22"/>
        </w:rPr>
      </w:pPr>
      <w:r>
        <w:rPr>
          <w:noProof/>
          <w:sz w:val="22"/>
        </w:rPr>
        <w:sym w:font="Wingdings" w:char="F078"/>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rsidR="00222FCC" w:rsidRDefault="00FD122A">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37"/>
      </w:r>
      <w:r>
        <w:rPr>
          <w:noProof/>
          <w:sz w:val="22"/>
        </w:rPr>
        <w:t xml:space="preserve"> </w:t>
      </w:r>
    </w:p>
    <w:p w:rsidR="00222FCC" w:rsidRDefault="00FD122A">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rsidR="00222FCC" w:rsidRDefault="00FD122A">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rsidR="00222FCC" w:rsidRDefault="00FD122A">
      <w:pPr>
        <w:pStyle w:val="ManualHeading2"/>
        <w:rPr>
          <w:bCs/>
          <w:noProof/>
          <w:szCs w:val="24"/>
        </w:rPr>
      </w:pPr>
      <w:r>
        <w:t>1.4.</w:t>
      </w:r>
      <w:r>
        <w:tab/>
      </w:r>
      <w:r>
        <w:rPr>
          <w:noProof/>
        </w:rPr>
        <w:t>Цели</w:t>
      </w:r>
    </w:p>
    <w:p w:rsidR="00222FCC" w:rsidRDefault="00FD122A">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rsidR="00222FCC" w:rsidRDefault="00FD122A">
      <w:pPr>
        <w:pBdr>
          <w:top w:val="single" w:sz="4" w:space="1" w:color="auto"/>
          <w:left w:val="single" w:sz="4" w:space="4" w:color="auto"/>
          <w:bottom w:val="single" w:sz="4" w:space="1" w:color="auto"/>
          <w:right w:val="single" w:sz="4" w:space="4" w:color="auto"/>
        </w:pBdr>
        <w:rPr>
          <w:rFonts w:eastAsia="SimSun"/>
          <w:noProof/>
        </w:rPr>
      </w:pPr>
      <w:r>
        <w:rPr>
          <w:noProof/>
        </w:rPr>
        <w:t>Образование и култура — работни места и растеж</w:t>
      </w:r>
    </w:p>
    <w:p w:rsidR="00222FCC" w:rsidRDefault="00FD122A">
      <w:pPr>
        <w:pStyle w:val="ManualHeading3"/>
        <w:rPr>
          <w:bCs/>
          <w:noProof/>
          <w:szCs w:val="24"/>
        </w:rPr>
      </w:pPr>
      <w:r>
        <w:t>1</w:t>
      </w:r>
      <w:r>
        <w:t>.4.2.</w:t>
      </w:r>
      <w:r>
        <w:tab/>
      </w:r>
      <w:r>
        <w:rPr>
          <w:noProof/>
        </w:rPr>
        <w:t>„Конкретна цел/Конкретни цели</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Конкретна цел № 1:</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 xml:space="preserve">да предостави на младите хора, с помощта на участващи организации, леснодостъпни възможности да участват в дейности за солидарност, като същевременно бъдат усъвършенствани техните умения и компетенции </w:t>
      </w:r>
      <w:r>
        <w:rPr>
          <w:noProof/>
        </w:rPr>
        <w:t>с цел личностно, образователно, социално, гражданско и професионално развитие, както и тяхната пригодност за заетост, и бъде улеснен прехода им към пазара на труда, включително чрез подпомагане на мобилността на младите доброволци, стажанти и работещи лица</w:t>
      </w:r>
      <w:r>
        <w:rPr>
          <w:noProof/>
        </w:rPr>
        <w:t xml:space="preserve">.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Конкретна цел № 2:</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да гарантира, че дейностите за солидарност, които се предлагат на участниците в Европейския корпус за солидарност с цел да се допринесе за удовлетворяването на конкретни неудовлетворени обществени потребности и да се укрепят общностит</w:t>
      </w:r>
      <w:r>
        <w:rPr>
          <w:noProof/>
        </w:rPr>
        <w:t>е, са с високо качество, и надлежно валидирани.</w:t>
      </w:r>
    </w:p>
    <w:p w:rsidR="00222FCC" w:rsidRDefault="00FD122A">
      <w:pPr>
        <w:pStyle w:val="ManualHeading3"/>
        <w:rPr>
          <w:bCs/>
          <w:noProof/>
          <w:szCs w:val="24"/>
        </w:rPr>
      </w:pPr>
      <w:r>
        <w:t>1.4.3.</w:t>
      </w:r>
      <w:r>
        <w:tab/>
      </w:r>
      <w:r>
        <w:rPr>
          <w:noProof/>
        </w:rPr>
        <w:t>Очаквани резултати и отражение</w:t>
      </w:r>
    </w:p>
    <w:p w:rsidR="00222FCC" w:rsidRDefault="00FD122A">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rsidR="00222FCC" w:rsidRDefault="00FD122A">
      <w:pPr>
        <w:pStyle w:val="Text1"/>
        <w:pBdr>
          <w:top w:val="single" w:sz="4" w:space="1" w:color="auto"/>
          <w:left w:val="single" w:sz="4" w:space="4" w:color="auto"/>
          <w:bottom w:val="single" w:sz="4" w:space="1" w:color="auto"/>
          <w:right w:val="single" w:sz="4" w:space="4" w:color="auto"/>
        </w:pBdr>
        <w:rPr>
          <w:rFonts w:eastAsia="Times New Roman"/>
          <w:noProof/>
          <w:szCs w:val="24"/>
        </w:rPr>
      </w:pPr>
      <w:r>
        <w:rPr>
          <w:noProof/>
        </w:rPr>
        <w:t xml:space="preserve">Очаква се предложението да има въздействие на </w:t>
      </w:r>
      <w:r>
        <w:rPr>
          <w:noProof/>
        </w:rPr>
        <w:t>различни равнища:</w:t>
      </w:r>
    </w:p>
    <w:p w:rsidR="00222FCC" w:rsidRDefault="00FD122A">
      <w:pPr>
        <w:pStyle w:val="Text1"/>
        <w:pBdr>
          <w:top w:val="single" w:sz="4" w:space="1" w:color="auto"/>
          <w:left w:val="single" w:sz="4" w:space="4" w:color="auto"/>
          <w:bottom w:val="single" w:sz="4" w:space="1" w:color="auto"/>
          <w:right w:val="single" w:sz="4" w:space="4" w:color="auto"/>
        </w:pBdr>
        <w:rPr>
          <w:rFonts w:eastAsia="Times New Roman"/>
          <w:noProof/>
          <w:szCs w:val="24"/>
        </w:rPr>
      </w:pPr>
      <w:r>
        <w:rPr>
          <w:noProof/>
        </w:rPr>
        <w:t>— На равнище лица, участващи в Европейския корпус за солидарност, тъй като те ще имат възможност да участват в широк кръг дейности за солидарност и да се присъединят към общоевропейска общност от хора със сходни възгледи. Това ще им позво</w:t>
      </w:r>
      <w:r>
        <w:rPr>
          <w:noProof/>
        </w:rPr>
        <w:t>ли да изразят своята солидарност, своята ангажираност и мотивация да допринесат за справяне с ключови обществени предизвикателства. В същото време ще имат възможност за придобият полезен опит и да развият ключови умения и компетенции в полза на своето личн</w:t>
      </w:r>
      <w:r>
        <w:rPr>
          <w:noProof/>
        </w:rPr>
        <w:t>остно и професионално развитие.</w:t>
      </w:r>
    </w:p>
    <w:p w:rsidR="00222FCC" w:rsidRDefault="00FD122A">
      <w:pPr>
        <w:pStyle w:val="Text1"/>
        <w:pBdr>
          <w:top w:val="single" w:sz="4" w:space="1" w:color="auto"/>
          <w:left w:val="single" w:sz="4" w:space="4" w:color="auto"/>
          <w:bottom w:val="single" w:sz="4" w:space="1" w:color="auto"/>
          <w:right w:val="single" w:sz="4" w:space="4" w:color="auto"/>
        </w:pBdr>
        <w:rPr>
          <w:rFonts w:eastAsia="Times New Roman"/>
          <w:noProof/>
          <w:szCs w:val="24"/>
        </w:rPr>
      </w:pPr>
      <w:r>
        <w:rPr>
          <w:noProof/>
        </w:rPr>
        <w:t>— На равнище организации, участващи в Европейския корпус за солидарност, и общностите, в които работят членовете на Европейския корпус за солидарност, тъй като те ще се възползват от финансовата и/или друга помощ от Европейс</w:t>
      </w:r>
      <w:r>
        <w:rPr>
          <w:noProof/>
        </w:rPr>
        <w:t>кия корпус за солидарност и от помощта, предоставена от мотивирани млади хора, за да се справят по-добре с предизвикателствата пред тях.</w:t>
      </w:r>
    </w:p>
    <w:p w:rsidR="00222FCC" w:rsidRDefault="00FD122A">
      <w:pPr>
        <w:pStyle w:val="Text1"/>
        <w:pBdr>
          <w:top w:val="single" w:sz="4" w:space="1" w:color="auto"/>
          <w:left w:val="single" w:sz="4" w:space="4" w:color="auto"/>
          <w:bottom w:val="single" w:sz="4" w:space="1" w:color="auto"/>
          <w:right w:val="single" w:sz="4" w:space="4" w:color="auto"/>
        </w:pBdr>
        <w:rPr>
          <w:rFonts w:eastAsia="Times New Roman"/>
          <w:noProof/>
          <w:szCs w:val="24"/>
        </w:rPr>
      </w:pPr>
      <w:r>
        <w:rPr>
          <w:noProof/>
        </w:rPr>
        <w:t>— На обществено равнище, тъй като дейностите за солидарност са в отговор на неудовлетворени потребности и поради тази п</w:t>
      </w:r>
      <w:r>
        <w:rPr>
          <w:noProof/>
        </w:rPr>
        <w:t>ричина ще допринесат за укрепване на капацитета и устойчивостта на уязвими общности, както и за подобряване на сближаването и солидарността на общностно равнище.</w:t>
      </w:r>
    </w:p>
    <w:p w:rsidR="00222FCC" w:rsidRDefault="00FD122A">
      <w:pPr>
        <w:pStyle w:val="ManualHeading3"/>
        <w:rPr>
          <w:bCs/>
          <w:noProof/>
          <w:szCs w:val="24"/>
        </w:rPr>
      </w:pPr>
      <w:r>
        <w:t>1.4.</w:t>
      </w:r>
      <w:proofErr w:type="spellStart"/>
      <w:r>
        <w:t>4</w:t>
      </w:r>
      <w:proofErr w:type="spellEnd"/>
      <w:r>
        <w:t>.</w:t>
      </w:r>
      <w:r>
        <w:tab/>
      </w:r>
      <w:r>
        <w:rPr>
          <w:noProof/>
        </w:rPr>
        <w:t xml:space="preserve">Показатели за резултатите и за отражението </w:t>
      </w:r>
    </w:p>
    <w:p w:rsidR="00222FCC" w:rsidRDefault="00FD122A">
      <w:pPr>
        <w:pStyle w:val="Text1"/>
        <w:rPr>
          <w:i/>
          <w:noProof/>
          <w:sz w:val="20"/>
        </w:rPr>
      </w:pPr>
      <w:r>
        <w:rPr>
          <w:i/>
          <w:noProof/>
          <w:sz w:val="20"/>
        </w:rPr>
        <w:t>Да се посочат показателите, които позволява</w:t>
      </w:r>
      <w:r>
        <w:rPr>
          <w:i/>
          <w:noProof/>
          <w:sz w:val="20"/>
        </w:rPr>
        <w:t>т да се проследи изпълнението на предложението/инициативата.</w:t>
      </w:r>
    </w:p>
    <w:p w:rsidR="00222FCC" w:rsidRDefault="00FD122A">
      <w:pPr>
        <w:pStyle w:val="Text1"/>
        <w:pBdr>
          <w:top w:val="single" w:sz="4" w:space="1" w:color="auto"/>
          <w:left w:val="single" w:sz="4" w:space="4" w:color="auto"/>
          <w:bottom w:val="single" w:sz="4" w:space="0" w:color="auto"/>
          <w:right w:val="single" w:sz="4" w:space="4" w:color="auto"/>
        </w:pBdr>
        <w:rPr>
          <w:rFonts w:eastAsia="Times New Roman"/>
          <w:noProof/>
          <w:szCs w:val="24"/>
        </w:rPr>
      </w:pPr>
      <w:r>
        <w:rPr>
          <w:noProof/>
        </w:rPr>
        <w:t xml:space="preserve">Мерките за мониторинг ще се основават на обстоен анализ на количествените и качествените крайни продукти на програмата посредством информационни системи, осигурени за целта, които ще улесняват </w:t>
      </w:r>
      <w:r>
        <w:rPr>
          <w:noProof/>
        </w:rPr>
        <w:t>събирането на необходимата информация относно изпълнените дейности и проекти. Основните показатели, които ще бъдат събирани по отношение на крайните продукти, включват, между другото:</w:t>
      </w:r>
    </w:p>
    <w:p w:rsidR="00222FCC" w:rsidRDefault="00FD122A">
      <w:pPr>
        <w:pStyle w:val="Text1"/>
        <w:pBdr>
          <w:top w:val="single" w:sz="4" w:space="1" w:color="auto"/>
          <w:left w:val="single" w:sz="4" w:space="4" w:color="auto"/>
          <w:bottom w:val="single" w:sz="4" w:space="0" w:color="auto"/>
          <w:right w:val="single" w:sz="4" w:space="4" w:color="auto"/>
        </w:pBdr>
        <w:rPr>
          <w:rFonts w:eastAsia="Times New Roman"/>
          <w:noProof/>
          <w:szCs w:val="24"/>
        </w:rPr>
      </w:pPr>
      <w:r>
        <w:rPr>
          <w:noProof/>
        </w:rPr>
        <w:t>— брой участници в назначения за участие в доброволческа дейност (в държ</w:t>
      </w:r>
      <w:r>
        <w:rPr>
          <w:noProof/>
        </w:rPr>
        <w:t>авата на местопребиваване на участниците и в чужбина);</w:t>
      </w:r>
    </w:p>
    <w:p w:rsidR="00222FCC" w:rsidRDefault="00FD122A">
      <w:pPr>
        <w:pStyle w:val="Text1"/>
        <w:pBdr>
          <w:top w:val="single" w:sz="4" w:space="1" w:color="auto"/>
          <w:left w:val="single" w:sz="4" w:space="4" w:color="auto"/>
          <w:bottom w:val="single" w:sz="4" w:space="0" w:color="auto"/>
          <w:right w:val="single" w:sz="4" w:space="4" w:color="auto"/>
        </w:pBdr>
        <w:rPr>
          <w:rFonts w:eastAsia="Times New Roman"/>
          <w:noProof/>
          <w:szCs w:val="24"/>
        </w:rPr>
      </w:pPr>
      <w:r>
        <w:rPr>
          <w:noProof/>
        </w:rPr>
        <w:t>— брой участници в назначения за стажове (в държавата на местопребиваване на участниците и в чужбина);</w:t>
      </w:r>
    </w:p>
    <w:p w:rsidR="00222FCC" w:rsidRDefault="00FD122A">
      <w:pPr>
        <w:pStyle w:val="Text1"/>
        <w:pBdr>
          <w:top w:val="single" w:sz="4" w:space="1" w:color="auto"/>
          <w:left w:val="single" w:sz="4" w:space="4" w:color="auto"/>
          <w:bottom w:val="single" w:sz="4" w:space="0" w:color="auto"/>
          <w:right w:val="single" w:sz="4" w:space="4" w:color="auto"/>
        </w:pBdr>
        <w:rPr>
          <w:rFonts w:eastAsia="Times New Roman"/>
          <w:noProof/>
          <w:szCs w:val="24"/>
        </w:rPr>
      </w:pPr>
      <w:r>
        <w:rPr>
          <w:noProof/>
        </w:rPr>
        <w:t>— брой участници в назначения за работа (в държавата на местопребиваване на участниците и в чужбин</w:t>
      </w:r>
      <w:r>
        <w:rPr>
          <w:noProof/>
        </w:rPr>
        <w:t>а);</w:t>
      </w:r>
    </w:p>
    <w:p w:rsidR="00222FCC" w:rsidRDefault="00FD122A">
      <w:pPr>
        <w:pStyle w:val="Text1"/>
        <w:pBdr>
          <w:top w:val="single" w:sz="4" w:space="1" w:color="auto"/>
          <w:left w:val="single" w:sz="4" w:space="4" w:color="auto"/>
          <w:bottom w:val="single" w:sz="4" w:space="0" w:color="auto"/>
          <w:right w:val="single" w:sz="4" w:space="4" w:color="auto"/>
        </w:pBdr>
        <w:rPr>
          <w:rFonts w:eastAsia="Times New Roman"/>
          <w:noProof/>
          <w:szCs w:val="24"/>
        </w:rPr>
      </w:pPr>
      <w:r>
        <w:rPr>
          <w:noProof/>
        </w:rPr>
        <w:t>— брой участници в проекти за солидарност;</w:t>
      </w:r>
    </w:p>
    <w:p w:rsidR="00222FCC" w:rsidRDefault="00FD122A">
      <w:pPr>
        <w:pStyle w:val="Text1"/>
        <w:pBdr>
          <w:top w:val="single" w:sz="4" w:space="1" w:color="auto"/>
          <w:left w:val="single" w:sz="4" w:space="4" w:color="auto"/>
          <w:bottom w:val="single" w:sz="4" w:space="0" w:color="auto"/>
          <w:right w:val="single" w:sz="4" w:space="4" w:color="auto"/>
        </w:pBdr>
        <w:rPr>
          <w:rFonts w:eastAsia="Times New Roman"/>
          <w:noProof/>
          <w:szCs w:val="24"/>
        </w:rPr>
      </w:pPr>
      <w:r>
        <w:rPr>
          <w:noProof/>
        </w:rPr>
        <w:t>— брой организации, притежаващи знак за качество на Европейския корпус за солидарност.</w:t>
      </w:r>
    </w:p>
    <w:p w:rsidR="00222FCC" w:rsidRDefault="00FD122A">
      <w:pPr>
        <w:pStyle w:val="Text1"/>
        <w:pBdr>
          <w:top w:val="single" w:sz="4" w:space="1" w:color="auto"/>
          <w:left w:val="single" w:sz="4" w:space="4" w:color="auto"/>
          <w:bottom w:val="single" w:sz="4" w:space="0" w:color="auto"/>
          <w:right w:val="single" w:sz="4" w:space="4" w:color="auto"/>
        </w:pBdr>
        <w:rPr>
          <w:rFonts w:eastAsia="Times New Roman"/>
          <w:noProof/>
          <w:color w:val="000000"/>
          <w:szCs w:val="24"/>
        </w:rPr>
      </w:pPr>
      <w:r>
        <w:rPr>
          <w:noProof/>
          <w:color w:val="000000"/>
        </w:rPr>
        <w:t>Най-късно шест месеца след влизането в сила на настоящия регламент Комисията изготвя подробна програма за мониторинг на кр</w:t>
      </w:r>
      <w:r>
        <w:rPr>
          <w:noProof/>
          <w:color w:val="000000"/>
        </w:rPr>
        <w:t xml:space="preserve">айните продукти, резултатите и въздействието на настоящия регламент. </w:t>
      </w:r>
    </w:p>
    <w:p w:rsidR="00222FCC" w:rsidRDefault="00FD122A">
      <w:pPr>
        <w:pStyle w:val="ManualHeading2"/>
        <w:rPr>
          <w:bCs/>
          <w:noProof/>
          <w:szCs w:val="24"/>
        </w:rPr>
      </w:pPr>
      <w:r>
        <w:t>1.5.</w:t>
      </w:r>
      <w:r>
        <w:tab/>
      </w:r>
      <w:r>
        <w:rPr>
          <w:noProof/>
        </w:rPr>
        <w:t xml:space="preserve">Мотиви за предложението/инициативата </w:t>
      </w:r>
    </w:p>
    <w:p w:rsidR="00222FCC" w:rsidRDefault="00FD122A">
      <w:pPr>
        <w:pStyle w:val="ManualHeading3"/>
        <w:rPr>
          <w:noProof/>
        </w:rPr>
      </w:pPr>
      <w:r>
        <w:t>1.5.1.</w:t>
      </w:r>
      <w:r>
        <w:tab/>
      </w:r>
      <w:r>
        <w:rPr>
          <w:noProof/>
        </w:rPr>
        <w:t xml:space="preserve">Нужди, които трябва да бъдат задоволени в краткосрочен или дългосрочен план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Да се създаде корпус от мотивирани млади европейци, които и</w:t>
      </w:r>
      <w:r>
        <w:rPr>
          <w:noProof/>
        </w:rPr>
        <w:t>мат желание да участват в доброволчески дейности, стажове или работа в области, свързани със солидарността, в своята страна или в чужбина.</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 xml:space="preserve">До 2020 г. да са предложени конкретни възможности на 100 000 млади европейци.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Да се подкрепят организации при изпълн</w:t>
      </w:r>
      <w:r>
        <w:rPr>
          <w:noProof/>
        </w:rPr>
        <w:t xml:space="preserve">яването на достъпни и висококачествени дейности за солидарност, </w:t>
      </w:r>
      <w:r>
        <w:rPr>
          <w:noProof/>
          <w:color w:val="000000"/>
        </w:rPr>
        <w:t xml:space="preserve">които се очаква да допринесат за посрещането на неудовлетворени обществени потребности, като същевременно </w:t>
      </w:r>
      <w:r>
        <w:rPr>
          <w:noProof/>
        </w:rPr>
        <w:t>спомагат за личностното, образователното, социалното, гражданското и професионалното р</w:t>
      </w:r>
      <w:r>
        <w:rPr>
          <w:noProof/>
        </w:rPr>
        <w:t>азвитие на младите хора</w:t>
      </w:r>
      <w:r>
        <w:rPr>
          <w:noProof/>
          <w:color w:val="000000"/>
        </w:rPr>
        <w:t xml:space="preserve">. </w:t>
      </w:r>
    </w:p>
    <w:p w:rsidR="00222FCC" w:rsidRDefault="00FD122A">
      <w:pPr>
        <w:pStyle w:val="ManualHeading3"/>
        <w:rPr>
          <w:bCs/>
          <w:noProof/>
          <w:szCs w:val="24"/>
        </w:rPr>
      </w:pPr>
      <w:r>
        <w:t>1.5.2.</w:t>
      </w:r>
      <w:r>
        <w:tab/>
      </w:r>
      <w:r>
        <w:rPr>
          <w:noProof/>
        </w:rPr>
        <w:t xml:space="preserve">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w:t>
      </w:r>
      <w:r>
        <w:rPr>
          <w:noProof/>
        </w:rPr>
        <w:t>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Европейският корпус за солидарност ще разшири европейския мащаб на солидарността. Той ще допъл</w:t>
      </w:r>
      <w:r>
        <w:rPr>
          <w:noProof/>
        </w:rPr>
        <w:t>ва съществуващите публични и частни политики, програми и дейности и това няма да има ефект на конкуриране или заместване. Допълващият ефект ще се осигури, понеже корпусът ще действа в отговор на неудовлетворени обществени потребности, т.е. ситуации, където</w:t>
      </w:r>
      <w:r>
        <w:rPr>
          <w:noProof/>
        </w:rPr>
        <w:t xml:space="preserve"> нуждите на общности и граждани не се удовлетворяват — например поради липса на ресурси — от пазара на труда или от съществуващите доброволчески програми или други видове програми за солидарност.</w:t>
      </w:r>
    </w:p>
    <w:p w:rsidR="00222FCC" w:rsidRDefault="00FD122A">
      <w:pPr>
        <w:pStyle w:val="ManualHeading3"/>
        <w:rPr>
          <w:noProof/>
        </w:rPr>
      </w:pPr>
      <w:r>
        <w:t>1.5.3.</w:t>
      </w:r>
      <w:r>
        <w:tab/>
      </w:r>
      <w:r>
        <w:rPr>
          <w:noProof/>
        </w:rPr>
        <w:t>Изводи от подобен опит в миналото</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доб</w:t>
      </w:r>
      <w:r>
        <w:rPr>
          <w:noProof/>
        </w:rPr>
        <w:t>роволческия аспект Европейският корпус за солидарност ще надгражда успешния модел на Европейската доброволческа служба, която има реален принос за развитието на компетенции, езиковото обучение, насърчаването на интернационалния начин на мислене и популяриз</w:t>
      </w:r>
      <w:r>
        <w:rPr>
          <w:noProof/>
        </w:rPr>
        <w:t>иране на европейските ценности сред младите хора през последните двадесет години. Макар, че Европейският корпус за солидарност ще надхвърли рамките на Европейската доброволческа служба чрез подкрепа за по-широк кръг дейности и опростяване на административн</w:t>
      </w:r>
      <w:r>
        <w:rPr>
          <w:noProof/>
        </w:rPr>
        <w:t xml:space="preserve">ите процедури, той ще запази и засили качествената рамка (обучение, застраховка, наставничество и езикова помощ, аспект на учене за младите участници), разработена от Европейската доброволческа служба. </w:t>
      </w:r>
    </w:p>
    <w:p w:rsidR="00222FCC" w:rsidRDefault="00FD122A">
      <w:pPr>
        <w:pStyle w:val="ManualHeading3"/>
        <w:rPr>
          <w:bCs/>
          <w:noProof/>
          <w:szCs w:val="24"/>
        </w:rPr>
      </w:pPr>
      <w:r>
        <w:t>1.5.4.</w:t>
      </w:r>
      <w:r>
        <w:tab/>
      </w:r>
      <w:r>
        <w:rPr>
          <w:noProof/>
        </w:rPr>
        <w:t>Съвместимост и евентуална полезно взаимодейств</w:t>
      </w:r>
      <w:r>
        <w:rPr>
          <w:noProof/>
        </w:rPr>
        <w:t>ие с други подходящи инструменти</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 xml:space="preserve">Дейността на Европейския корпус за солидарност ще бъде съвместима със и допълваща редица политики и програми на ЕС, например онези, които се отнасят за </w:t>
      </w:r>
      <w:r>
        <w:rPr>
          <w:noProof/>
          <w:color w:val="000000"/>
        </w:rPr>
        <w:t>образование и обучение; заетост; равенство между половете, предприемаче</w:t>
      </w:r>
      <w:r>
        <w:rPr>
          <w:noProof/>
          <w:color w:val="000000"/>
        </w:rPr>
        <w:t xml:space="preserve">ство (по-специално социално предприемачество); гражданство и демократично участие; околна среда и опазване на природата; действия в областта на климата; предотвратяване на бедствия, готовност и възстановяване след бедствия; селско стопанство и развитие на </w:t>
      </w:r>
      <w:r>
        <w:rPr>
          <w:noProof/>
          <w:color w:val="000000"/>
        </w:rPr>
        <w:t>селските райони; осигуряване на хранителни и нехранителни продукти; здраве и благосъстояние; творчество и култура; физическо възпитание и спорт; социално подпомагане и социални грижи; приемане и интегриране на граждани на трети страни; териториално сътрудн</w:t>
      </w:r>
      <w:r>
        <w:rPr>
          <w:noProof/>
          <w:color w:val="000000"/>
        </w:rPr>
        <w:t>ичество и сближаване.</w:t>
      </w:r>
      <w:r>
        <w:rPr>
          <w:noProof/>
        </w:rPr>
        <w:t xml:space="preserve">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Към общия бюджет на Европейския корпус за солидарност ще допринасят няколко програми на ЕС както е описано в раздел 3 на настоящия документ. Други програми и фондове също може да съдействат за целите на Европейския корпус за солидарн</w:t>
      </w:r>
      <w:r>
        <w:rPr>
          <w:noProof/>
        </w:rPr>
        <w:t>ост чрез специфичните им разпоредби в съответствие с техните основни актове.</w:t>
      </w:r>
    </w:p>
    <w:p w:rsidR="00222FCC" w:rsidRDefault="00FD122A">
      <w:pPr>
        <w:pStyle w:val="Text1"/>
        <w:pBdr>
          <w:top w:val="single" w:sz="4" w:space="1" w:color="auto"/>
          <w:left w:val="single" w:sz="4" w:space="4" w:color="auto"/>
          <w:bottom w:val="single" w:sz="4" w:space="1" w:color="auto"/>
          <w:right w:val="single" w:sz="4" w:space="4" w:color="auto"/>
        </w:pBdr>
        <w:rPr>
          <w:bCs/>
          <w:noProof/>
          <w:szCs w:val="24"/>
        </w:rPr>
      </w:pPr>
      <w:r>
        <w:rPr>
          <w:noProof/>
        </w:rPr>
        <w:br w:type="page"/>
        <w:t>Срок на действие и финансово отражение</w:t>
      </w:r>
    </w:p>
    <w:p w:rsidR="00222FCC" w:rsidRDefault="00FD122A">
      <w:pPr>
        <w:pStyle w:val="Text1"/>
        <w:rPr>
          <w:noProof/>
        </w:rPr>
      </w:pPr>
      <w:r>
        <w:rPr>
          <w:noProof/>
          <w:sz w:val="22"/>
        </w:rPr>
        <w:sym w:font="Wingdings" w:char="F078"/>
      </w:r>
      <w:r>
        <w:rPr>
          <w:b/>
          <w:i/>
          <w:noProof/>
        </w:rPr>
        <w:t xml:space="preserve"> </w:t>
      </w:r>
      <w:r>
        <w:rPr>
          <w:noProof/>
        </w:rPr>
        <w:t xml:space="preserve">Предложение/инициатива с </w:t>
      </w:r>
      <w:r>
        <w:rPr>
          <w:b/>
          <w:noProof/>
        </w:rPr>
        <w:t xml:space="preserve">ограничен срок на действие </w:t>
      </w:r>
    </w:p>
    <w:p w:rsidR="00222FCC" w:rsidRDefault="00FD122A">
      <w:pPr>
        <w:pStyle w:val="ListDash2"/>
        <w:rPr>
          <w:noProof/>
        </w:rPr>
      </w:pPr>
      <w:r>
        <w:rPr>
          <w:noProof/>
          <w:sz w:val="22"/>
        </w:rPr>
        <w:sym w:font="Wingdings" w:char="F078"/>
      </w:r>
      <w:r>
        <w:rPr>
          <w:noProof/>
        </w:rPr>
        <w:tab/>
        <w:t xml:space="preserve">Предложението/инициативата е в сила от 1 януари 2018 г. до 31 декември 2020 г. </w:t>
      </w:r>
    </w:p>
    <w:p w:rsidR="00222FCC" w:rsidRDefault="00FD122A">
      <w:pPr>
        <w:pStyle w:val="ListDash2"/>
        <w:rPr>
          <w:noProof/>
        </w:rPr>
      </w:pPr>
      <w:r>
        <w:rPr>
          <w:noProof/>
          <w:sz w:val="22"/>
        </w:rPr>
        <w:sym w:font="Wingdings" w:char="F078"/>
      </w:r>
      <w:r>
        <w:rPr>
          <w:noProof/>
        </w:rPr>
        <w:tab/>
      </w:r>
      <w:r>
        <w:rPr>
          <w:noProof/>
        </w:rPr>
        <w:t>Финансово отражение от 2018 г. до 2023 г. (след 2020 г. валидно само за бюджетни кредити за плащания ).</w:t>
      </w:r>
    </w:p>
    <w:p w:rsidR="00222FCC" w:rsidRDefault="00FD122A">
      <w:pPr>
        <w:pStyle w:val="ManualHeading2"/>
        <w:rPr>
          <w:bCs/>
          <w:noProof/>
          <w:szCs w:val="24"/>
        </w:rPr>
      </w:pPr>
      <w:r>
        <w:t>1.6.</w:t>
      </w:r>
      <w:r>
        <w:tab/>
      </w:r>
      <w:r>
        <w:rPr>
          <w:noProof/>
        </w:rPr>
        <w:t>Предвидени методи на управление</w:t>
      </w:r>
      <w:r>
        <w:rPr>
          <w:rStyle w:val="FootnoteReference"/>
          <w:noProof/>
        </w:rPr>
        <w:footnoteReference w:id="38"/>
      </w:r>
      <w:r>
        <w:rPr>
          <w:rStyle w:val="FootnoteReference"/>
          <w:noProof/>
        </w:rPr>
        <w:t xml:space="preserve"> </w:t>
      </w:r>
    </w:p>
    <w:p w:rsidR="00222FCC" w:rsidRDefault="00FD122A">
      <w:pPr>
        <w:pStyle w:val="Text1"/>
        <w:rPr>
          <w:noProof/>
        </w:rPr>
      </w:pPr>
      <w:r>
        <w:rPr>
          <w:noProof/>
        </w:rPr>
        <w:sym w:font="Wingdings" w:char="F078"/>
      </w:r>
      <w:r>
        <w:rPr>
          <w:i/>
          <w:noProof/>
        </w:rPr>
        <w:t xml:space="preserve"> </w:t>
      </w:r>
      <w:r>
        <w:rPr>
          <w:b/>
          <w:noProof/>
        </w:rPr>
        <w:t>Пряко управление</w:t>
      </w:r>
      <w:r>
        <w:rPr>
          <w:noProof/>
        </w:rPr>
        <w:t xml:space="preserve"> от Комисията</w:t>
      </w:r>
    </w:p>
    <w:p w:rsidR="00222FCC" w:rsidRDefault="00FD122A">
      <w:pPr>
        <w:pStyle w:val="ListDash2"/>
        <w:rPr>
          <w:rFonts w:cs="EUAlbertina"/>
          <w:noProof/>
        </w:rPr>
      </w:pPr>
      <w:r>
        <w:rPr>
          <w:noProof/>
        </w:rPr>
        <w:sym w:font="Wingdings" w:char="F078"/>
      </w:r>
      <w:r>
        <w:rPr>
          <w:noProof/>
        </w:rPr>
        <w:t xml:space="preserve"> от нейните служби, включително от нейния персонал в делегациите на Съюза; </w:t>
      </w:r>
    </w:p>
    <w:p w:rsidR="00222FCC" w:rsidRDefault="00FD122A">
      <w:pPr>
        <w:pStyle w:val="ListDash2"/>
        <w:rPr>
          <w:noProof/>
        </w:rPr>
      </w:pPr>
      <w:r>
        <w:rPr>
          <w:noProof/>
        </w:rPr>
        <w:sym w:font="Wingdings" w:char="F078"/>
      </w:r>
      <w:r>
        <w:rPr>
          <w:noProof/>
        </w:rPr>
        <w:tab/>
        <w:t>от</w:t>
      </w:r>
      <w:r>
        <w:rPr>
          <w:noProof/>
        </w:rPr>
        <w:t xml:space="preserve"> изпълнителните агенции </w:t>
      </w:r>
    </w:p>
    <w:p w:rsidR="00222FCC" w:rsidRDefault="00FD122A">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rsidR="00222FCC" w:rsidRDefault="00FD122A">
      <w:pPr>
        <w:pStyle w:val="ManualHeading2"/>
        <w:rPr>
          <w:noProof/>
        </w:rPr>
      </w:pPr>
      <w:r>
        <w:t>1.7.</w:t>
      </w:r>
      <w:r>
        <w:tab/>
      </w:r>
      <w:r>
        <w:rPr>
          <w:noProof/>
        </w:rPr>
        <w:sym w:font="Wingdings" w:char="F078"/>
      </w:r>
      <w:r>
        <w:rPr>
          <w:i/>
          <w:noProof/>
        </w:rPr>
        <w:t xml:space="preserve"> </w:t>
      </w:r>
      <w:r>
        <w:rPr>
          <w:noProof/>
        </w:rPr>
        <w:t>Непряко управление чрез възлагане на задачи по изпълнението на бюджета на:</w:t>
      </w:r>
    </w:p>
    <w:p w:rsidR="00222FCC" w:rsidRDefault="00FD122A">
      <w:pPr>
        <w:pStyle w:val="ListDash2"/>
        <w:rPr>
          <w:noProof/>
        </w:rPr>
      </w:pPr>
      <w:r>
        <w:rPr>
          <w:noProof/>
        </w:rPr>
        <w:sym w:font="Wingdings" w:char="F0A8"/>
      </w:r>
      <w:r>
        <w:rPr>
          <w:noProof/>
        </w:rPr>
        <w:t xml:space="preserve"> трети държави или органите, определени от тях;</w:t>
      </w:r>
    </w:p>
    <w:p w:rsidR="00222FCC" w:rsidRDefault="00FD122A">
      <w:pPr>
        <w:pStyle w:val="ListDash2"/>
        <w:rPr>
          <w:noProof/>
        </w:rPr>
      </w:pPr>
      <w:r>
        <w:rPr>
          <w:noProof/>
        </w:rPr>
        <w:sym w:font="Wingdings" w:char="F0A8"/>
      </w:r>
      <w:r>
        <w:rPr>
          <w:noProof/>
        </w:rPr>
        <w:t xml:space="preserve"> международни организации и техните агенции (да се уточн</w:t>
      </w:r>
      <w:r>
        <w:rPr>
          <w:noProof/>
        </w:rPr>
        <w:t>и);</w:t>
      </w:r>
    </w:p>
    <w:p w:rsidR="00222FCC" w:rsidRDefault="00FD122A">
      <w:pPr>
        <w:pStyle w:val="ListDash2"/>
        <w:rPr>
          <w:noProof/>
        </w:rPr>
      </w:pPr>
      <w:r>
        <w:rPr>
          <w:noProof/>
        </w:rPr>
        <w:sym w:font="Wingdings" w:char="F0A8"/>
      </w:r>
      <w:r>
        <w:rPr>
          <w:noProof/>
        </w:rPr>
        <w:t xml:space="preserve"> ЕИБ и Европейския инвестиционен фонд;</w:t>
      </w:r>
    </w:p>
    <w:p w:rsidR="00222FCC" w:rsidRDefault="00FD122A">
      <w:pPr>
        <w:pStyle w:val="ListDash2"/>
        <w:rPr>
          <w:noProof/>
        </w:rPr>
      </w:pPr>
      <w:r>
        <w:rPr>
          <w:noProof/>
        </w:rPr>
        <w:sym w:font="Wingdings" w:char="F0A8"/>
      </w:r>
      <w:r>
        <w:rPr>
          <w:noProof/>
        </w:rPr>
        <w:t xml:space="preserve"> органите, посочени в членове 208 и 209 от Финансовия регламент;</w:t>
      </w:r>
    </w:p>
    <w:p w:rsidR="00222FCC" w:rsidRDefault="00FD122A">
      <w:pPr>
        <w:pStyle w:val="ListDash2"/>
        <w:rPr>
          <w:noProof/>
        </w:rPr>
      </w:pPr>
      <w:r>
        <w:rPr>
          <w:noProof/>
        </w:rPr>
        <w:sym w:font="Wingdings" w:char="F078"/>
      </w:r>
      <w:r>
        <w:rPr>
          <w:noProof/>
        </w:rPr>
        <w:t xml:space="preserve"> публичноправни органи;</w:t>
      </w:r>
    </w:p>
    <w:p w:rsidR="00222FCC" w:rsidRDefault="00FD122A">
      <w:pPr>
        <w:pStyle w:val="ListDash2"/>
        <w:rPr>
          <w:noProof/>
        </w:rPr>
      </w:pPr>
      <w:r>
        <w:rPr>
          <w:noProof/>
        </w:rPr>
        <w:sym w:font="Wingdings" w:char="F078"/>
      </w:r>
      <w:r>
        <w:rPr>
          <w:noProof/>
        </w:rPr>
        <w:t xml:space="preserve"> частноправни органи със задължение за обществена услуга, доколкото предоставят подходящи финансови гаранции; </w:t>
      </w:r>
    </w:p>
    <w:p w:rsidR="00222FCC" w:rsidRDefault="00FD122A">
      <w:pPr>
        <w:pStyle w:val="ListDash2"/>
        <w:rPr>
          <w:noProof/>
        </w:rPr>
      </w:pPr>
      <w:r>
        <w:rPr>
          <w:noProof/>
        </w:rPr>
        <w:sym w:font="Wingdings" w:char="F0A8"/>
      </w:r>
      <w:r>
        <w:rPr>
          <w:noProof/>
        </w:rPr>
        <w:t xml:space="preserve"> органи,</w:t>
      </w:r>
      <w:r>
        <w:rPr>
          <w:noProof/>
        </w:rPr>
        <w:t xml:space="preserve">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222FCC" w:rsidRDefault="00FD122A">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w:t>
      </w:r>
      <w:r>
        <w:rPr>
          <w:noProof/>
        </w:rPr>
        <w:t>о дял V от ДЕС и които са посочени в съответния основен акт.</w:t>
      </w:r>
    </w:p>
    <w:p w:rsidR="00222FCC" w:rsidRDefault="00FD122A">
      <w:pPr>
        <w:pStyle w:val="ListDash2"/>
        <w:rPr>
          <w:i/>
          <w:noProof/>
          <w:sz w:val="18"/>
          <w:u w:val="single"/>
        </w:rPr>
      </w:pPr>
      <w:r>
        <w:rPr>
          <w:i/>
          <w:noProof/>
          <w:sz w:val="18"/>
        </w:rPr>
        <w:t>Ако е посочен повече от един метод на управление, пояснете в частта „Забележки“.</w:t>
      </w:r>
    </w:p>
    <w:p w:rsidR="00222FCC" w:rsidRDefault="00FD122A">
      <w:pPr>
        <w:rPr>
          <w:noProof/>
        </w:rPr>
      </w:pPr>
      <w:r>
        <w:rPr>
          <w:noProof/>
        </w:rPr>
        <w:t xml:space="preserve">Забележки </w:t>
      </w:r>
    </w:p>
    <w:p w:rsidR="00222FCC" w:rsidRDefault="00FD122A">
      <w:pPr>
        <w:pBdr>
          <w:top w:val="single" w:sz="4" w:space="1" w:color="auto"/>
          <w:left w:val="single" w:sz="4" w:space="4" w:color="auto"/>
          <w:bottom w:val="single" w:sz="4" w:space="1" w:color="auto"/>
          <w:right w:val="single" w:sz="4" w:space="4" w:color="auto"/>
        </w:pBdr>
        <w:rPr>
          <w:noProof/>
        </w:rPr>
      </w:pPr>
      <w:r>
        <w:rPr>
          <w:noProof/>
        </w:rPr>
        <w:t>Управлението на главните дейности на Европейския корпус за солидарност ще бъде поверено на националните</w:t>
      </w:r>
      <w:r>
        <w:rPr>
          <w:noProof/>
        </w:rPr>
        <w:t xml:space="preserve"> агенции, отговарящи за изпълнението на децентрализирани дейности по програмата „Еразъм+“. Тези органи ще отговарят за дейности като: Знак за качество и обучение: Назначения; Проекти за солидарност; Работа в мрежи; Ресурсен център и удостоверения за участн</w:t>
      </w:r>
      <w:r>
        <w:rPr>
          <w:noProof/>
        </w:rPr>
        <w:t>иците.</w:t>
      </w:r>
    </w:p>
    <w:p w:rsidR="00222FCC" w:rsidRDefault="00FD122A">
      <w:pPr>
        <w:pBdr>
          <w:top w:val="single" w:sz="4" w:space="1" w:color="auto"/>
          <w:left w:val="single" w:sz="4" w:space="4" w:color="auto"/>
          <w:bottom w:val="single" w:sz="4" w:space="1" w:color="auto"/>
          <w:right w:val="single" w:sz="4" w:space="4" w:color="auto"/>
        </w:pBdr>
        <w:rPr>
          <w:noProof/>
        </w:rPr>
        <w:sectPr w:rsidR="00222FCC">
          <w:pgSz w:w="11907" w:h="16840" w:code="9"/>
          <w:pgMar w:top="1134" w:right="1418" w:bottom="1134" w:left="1418" w:header="709" w:footer="709" w:gutter="0"/>
          <w:cols w:space="708"/>
          <w:docGrid w:linePitch="360"/>
        </w:sectPr>
      </w:pPr>
      <w:r>
        <w:rPr>
          <w:noProof/>
        </w:rPr>
        <w:t>Европейската комисия, отчасти чрез Изпълнителната агенция за образование, аудиовизия и култура, ще управлява дейности за предоставяне на хоризонтални услуги на участниците в Европейския корпус за солидарност (т.е. портал, онла</w:t>
      </w:r>
      <w:r>
        <w:rPr>
          <w:noProof/>
        </w:rPr>
        <w:t xml:space="preserve">йн обучение, езикова помощ онлайн, застраховка) както и част от дейностите като знак за качество, назначения (за организации с определен профил или за определени видове назначения) и работа в мрежа (за дейности на европейско равнище). </w:t>
      </w:r>
    </w:p>
    <w:p w:rsidR="00222FCC" w:rsidRDefault="00FD122A">
      <w:pPr>
        <w:pStyle w:val="ManualHeading1"/>
        <w:rPr>
          <w:bCs/>
          <w:noProof/>
          <w:szCs w:val="24"/>
        </w:rPr>
      </w:pPr>
      <w:r>
        <w:t>2.</w:t>
      </w:r>
      <w:r>
        <w:tab/>
      </w:r>
      <w:r>
        <w:rPr>
          <w:noProof/>
        </w:rPr>
        <w:t>МЕРКИ ЗА УПРАВЛЕН</w:t>
      </w:r>
      <w:r>
        <w:rPr>
          <w:noProof/>
        </w:rPr>
        <w:t xml:space="preserve">ИЕ </w:t>
      </w:r>
    </w:p>
    <w:p w:rsidR="00222FCC" w:rsidRDefault="00FD122A">
      <w:pPr>
        <w:pStyle w:val="ManualHeading2"/>
        <w:rPr>
          <w:bCs/>
          <w:noProof/>
          <w:szCs w:val="24"/>
        </w:rPr>
      </w:pPr>
      <w:r>
        <w:t>2.1.</w:t>
      </w:r>
      <w:r>
        <w:tab/>
      </w:r>
      <w:r>
        <w:rPr>
          <w:noProof/>
        </w:rPr>
        <w:t xml:space="preserve">Правила за мониторинг и докладване </w:t>
      </w:r>
    </w:p>
    <w:p w:rsidR="00222FCC" w:rsidRDefault="00FD122A">
      <w:pPr>
        <w:pStyle w:val="Text1"/>
        <w:rPr>
          <w:i/>
          <w:noProof/>
          <w:sz w:val="20"/>
          <w:u w:val="single"/>
        </w:rPr>
      </w:pPr>
      <w:r>
        <w:rPr>
          <w:i/>
          <w:noProof/>
          <w:sz w:val="20"/>
        </w:rPr>
        <w:t>Да се посочат честотата и условията.</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 xml:space="preserve">Целта е да се използват във възможно най-голяма степен съществуващите механизми на „Еразъм+“ и да се опрости и намали административната тежест върху участващите лица и </w:t>
      </w:r>
      <w:r>
        <w:rPr>
          <w:noProof/>
        </w:rPr>
        <w:t>организации.</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Затова ще бъдат систематично създадени правила за мониторинг и докладване с оглед на тяхната ефикасност и разходна ефективност въз основа на опита, натрупан в програмата „Еразъм+“, наред с други програми.</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Ще бъде максимално разширено използван</w:t>
      </w:r>
      <w:r>
        <w:rPr>
          <w:noProof/>
        </w:rPr>
        <w:t xml:space="preserve">ето на безвъзмездни средства, отпускани въз основа на еднократни суми, единни ставки и единични разходи. Докладването и контролът по този начин ще се съсредоточат повече върху реализацията на финансираната дейност и постигнатите резултати, отколкото върху </w:t>
      </w:r>
      <w:r>
        <w:rPr>
          <w:noProof/>
        </w:rPr>
        <w:t xml:space="preserve">допустимостта на направените разходи, като по този начин ще се намали натоварването и възможността за грешка както за участниците в програмата, така и за управителните органи.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Бенефициерите по програмата (организациите, възползващи се от схемата) ще предо</w:t>
      </w:r>
      <w:r>
        <w:rPr>
          <w:noProof/>
        </w:rPr>
        <w:t xml:space="preserve">ставят необходимата информация за управление в своите заявления за отпускане на безвъзмездни средства и в докладите си. Изискванията по отношение на докладването ще бъдат пропорционални на размера на безвъзмездните средства, продължителността и сложността </w:t>
      </w:r>
      <w:r>
        <w:rPr>
          <w:noProof/>
        </w:rPr>
        <w:t>на подпомаганото действие. Индикаторите осигуряват стабилна основа за събирането и използването на данни с цел мониторинг и докладване.</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Дейностите ще се подпомагат чрез електронни формуляри за заявления и докладване от бенефициерите. Това ще улесни събиран</w:t>
      </w:r>
      <w:r>
        <w:rPr>
          <w:noProof/>
        </w:rPr>
        <w:t>ето и използването на данните за мониторинг и докладване, както на национално равнище, така и на равнището на Съюза. Европейската комисия разполага с разнообразни специализирани ИТ решения за улесняване събирането на данни и докладването.</w:t>
      </w:r>
    </w:p>
    <w:p w:rsidR="00222FCC" w:rsidRDefault="00FD122A">
      <w:pPr>
        <w:pStyle w:val="ManualHeading2"/>
        <w:rPr>
          <w:bCs/>
          <w:noProof/>
          <w:szCs w:val="24"/>
        </w:rPr>
      </w:pPr>
      <w:r>
        <w:t>2.</w:t>
      </w:r>
      <w:proofErr w:type="spellStart"/>
      <w:r>
        <w:t>2</w:t>
      </w:r>
      <w:proofErr w:type="spellEnd"/>
      <w:r>
        <w:t>.</w:t>
      </w:r>
      <w:r>
        <w:tab/>
      </w:r>
      <w:r>
        <w:rPr>
          <w:noProof/>
        </w:rPr>
        <w:t>Система за у</w:t>
      </w:r>
      <w:r>
        <w:rPr>
          <w:noProof/>
        </w:rPr>
        <w:t xml:space="preserve">правление и контрол </w:t>
      </w:r>
    </w:p>
    <w:p w:rsidR="00222FCC" w:rsidRDefault="00FD122A">
      <w:pPr>
        <w:pStyle w:val="ManualHeading3"/>
        <w:rPr>
          <w:noProof/>
        </w:rPr>
      </w:pPr>
      <w:r>
        <w:t>2.</w:t>
      </w:r>
      <w:proofErr w:type="spellStart"/>
      <w:r>
        <w:t>2</w:t>
      </w:r>
      <w:proofErr w:type="spellEnd"/>
      <w:r>
        <w:t>.1.</w:t>
      </w:r>
      <w:r>
        <w:tab/>
      </w:r>
      <w:r>
        <w:rPr>
          <w:noProof/>
        </w:rPr>
        <w:t xml:space="preserve">Установени рискове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Рисковете, идентифицирани при изпълнението на настоящите програми, попадат предимно в следните категории:</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 Грешки поради непознаване на правилата от страна на бенефициерите: очаква се процентът грешки и фина</w:t>
      </w:r>
      <w:r>
        <w:rPr>
          <w:noProof/>
        </w:rPr>
        <w:t>нсови корекции да бъде по-висок при дейности с по-сложни правила за финансово управление, особено когато безвъзмездните средства се основават на реални разходи; това се смекчава до голяма степен чрез използване на опростени разходи (еднократни суми, единни</w:t>
      </w:r>
      <w:r>
        <w:rPr>
          <w:noProof/>
        </w:rPr>
        <w:t xml:space="preserve"> ставки и таблици за единични разходи) както позволява финансовия регламент;</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 Надеждност на веригата за контрол и поддържане на одитната следа: Европейският корпус за солидарност ще се управлява от голям брой посредници, националните агенции, одитните орг</w:t>
      </w:r>
      <w:r>
        <w:rPr>
          <w:noProof/>
        </w:rPr>
        <w:t>ани и националните агенции. Рамката за контрол смекчава тези рискове и е много добре установена;</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 xml:space="preserve"> — Определени целеви заинтересовани страни: особено в доброволческия сектор участниците не винаги разполагат с необходимите финансови резерви или усъвършенства</w:t>
      </w:r>
      <w:r>
        <w:rPr>
          <w:noProof/>
        </w:rPr>
        <w:t>ни управленски структури. Липсата на официална структура може да окаже въздействие върху техния финансов и оперативен капацитет за управление на средства на Съюза. Простите формати на действията и опростените разходи значително смекчават този риск, като пр</w:t>
      </w:r>
      <w:r>
        <w:rPr>
          <w:noProof/>
        </w:rPr>
        <w:t>авят правилата лесни за спазване.</w:t>
      </w:r>
    </w:p>
    <w:p w:rsidR="00222FCC" w:rsidRDefault="00FD122A">
      <w:pPr>
        <w:pStyle w:val="ManualHeading3"/>
        <w:rPr>
          <w:bCs/>
          <w:noProof/>
          <w:szCs w:val="24"/>
        </w:rPr>
      </w:pPr>
      <w:r>
        <w:t>2.</w:t>
      </w:r>
      <w:proofErr w:type="spellStart"/>
      <w:r>
        <w:t>2</w:t>
      </w:r>
      <w:proofErr w:type="spellEnd"/>
      <w:r>
        <w:t>.2.</w:t>
      </w:r>
      <w:r>
        <w:tab/>
      </w:r>
      <w:r>
        <w:rPr>
          <w:noProof/>
        </w:rPr>
        <w:t>Информация за изградената система за вътрешен контрол</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Системата за контрол за инициативата ще бъде установена по начин, който ще гарантира резултатност на контрола и неговата разходна ефективност.</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Рамките на Комисия</w:t>
      </w:r>
      <w:r>
        <w:rPr>
          <w:noProof/>
        </w:rPr>
        <w:t>та за надзор и изпълнение ще осигурят високо равнище на мониторинг и обратна информация в полза на политическия подход.</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Европейската комисия ще включи Европейския корпус за солидарност в своята програма за надзорни посещения, финансови одити и посещения за</w:t>
      </w:r>
      <w:r>
        <w:rPr>
          <w:noProof/>
        </w:rPr>
        <w:t xml:space="preserve"> мониторинг и изпълнение, както и в мероприятията за осигуряване на насоки като например конференции, заседания, поставящи начало, срещи с националните агенции, курсове за обучение и онлайн семинари.</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 xml:space="preserve">Както е посочено в точка 2.1 по-горе, главният начин за </w:t>
      </w:r>
      <w:r>
        <w:rPr>
          <w:noProof/>
        </w:rPr>
        <w:t>опростяване с цел да се намали процентът грешки, които са резултат от сложността на финансовите правила, ще бъде широкото използване на безвъзмездни средства под формата на еднократни суми, единни ставки и таблици за единични разходи, както това вече успеш</w:t>
      </w:r>
      <w:r>
        <w:rPr>
          <w:noProof/>
        </w:rPr>
        <w:t xml:space="preserve">но се изпълнява по програмата „Еразъм+“. </w:t>
      </w:r>
    </w:p>
    <w:p w:rsidR="00222FCC" w:rsidRDefault="00FD122A">
      <w:pPr>
        <w:pStyle w:val="Text1"/>
        <w:pBdr>
          <w:top w:val="single" w:sz="4" w:space="1" w:color="auto"/>
          <w:left w:val="single" w:sz="4" w:space="4" w:color="auto"/>
          <w:bottom w:val="single" w:sz="4" w:space="1" w:color="auto"/>
          <w:right w:val="single" w:sz="4" w:space="4" w:color="auto"/>
        </w:pBdr>
        <w:rPr>
          <w:noProof/>
          <w:u w:val="single"/>
        </w:rPr>
      </w:pPr>
      <w:r>
        <w:rPr>
          <w:noProof/>
          <w:u w:val="single"/>
        </w:rPr>
        <w:t>Очаквани резултати/цел на вътрешния контрол</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Целите на контрола ще имат следните планирани резултати:</w:t>
      </w:r>
    </w:p>
    <w:tbl>
      <w:tblPr>
        <w:tblStyle w:val="TableGrid"/>
        <w:tblW w:w="0" w:type="auto"/>
        <w:tblInd w:w="828" w:type="dxa"/>
        <w:tblLook w:val="04A0" w:firstRow="1" w:lastRow="0" w:firstColumn="1" w:lastColumn="0" w:noHBand="0" w:noVBand="1"/>
      </w:tblPr>
      <w:tblGrid>
        <w:gridCol w:w="2257"/>
        <w:gridCol w:w="6143"/>
      </w:tblGrid>
      <w:tr w:rsidR="00222FCC">
        <w:tc>
          <w:tcPr>
            <w:tcW w:w="2257" w:type="dxa"/>
            <w:shd w:val="clear" w:color="auto" w:fill="F2F2F2" w:themeFill="background1" w:themeFillShade="F2"/>
          </w:tcPr>
          <w:p w:rsidR="00222FCC" w:rsidRDefault="00FD122A">
            <w:pPr>
              <w:ind w:left="66"/>
              <w:jc w:val="center"/>
              <w:rPr>
                <w:rFonts w:eastAsia="Calibri"/>
                <w:b/>
                <w:noProof/>
                <w:sz w:val="22"/>
                <w:szCs w:val="22"/>
              </w:rPr>
            </w:pPr>
            <w:r>
              <w:rPr>
                <w:b/>
                <w:noProof/>
                <w:sz w:val="22"/>
              </w:rPr>
              <w:t>Цел на контролния механизъм</w:t>
            </w:r>
          </w:p>
        </w:tc>
        <w:tc>
          <w:tcPr>
            <w:tcW w:w="6143" w:type="dxa"/>
            <w:shd w:val="clear" w:color="auto" w:fill="F2F2F2" w:themeFill="background1" w:themeFillShade="F2"/>
          </w:tcPr>
          <w:p w:rsidR="00222FCC" w:rsidRDefault="00FD122A">
            <w:pPr>
              <w:jc w:val="center"/>
              <w:rPr>
                <w:rFonts w:eastAsia="Calibri"/>
                <w:b/>
                <w:noProof/>
                <w:sz w:val="22"/>
                <w:szCs w:val="22"/>
              </w:rPr>
            </w:pPr>
            <w:r>
              <w:rPr>
                <w:b/>
                <w:noProof/>
                <w:sz w:val="22"/>
              </w:rPr>
              <w:t>Планиран резултат</w:t>
            </w:r>
          </w:p>
        </w:tc>
      </w:tr>
      <w:tr w:rsidR="00222FCC">
        <w:tc>
          <w:tcPr>
            <w:tcW w:w="2257" w:type="dxa"/>
          </w:tcPr>
          <w:p w:rsidR="00222FCC" w:rsidRDefault="00FD122A">
            <w:pPr>
              <w:ind w:left="66"/>
              <w:jc w:val="left"/>
              <w:rPr>
                <w:rFonts w:eastAsia="Calibri"/>
                <w:noProof/>
                <w:sz w:val="22"/>
                <w:szCs w:val="22"/>
              </w:rPr>
            </w:pPr>
            <w:r>
              <w:rPr>
                <w:noProof/>
                <w:sz w:val="22"/>
              </w:rPr>
              <w:t xml:space="preserve">Контрол на ефективността по отношение на законосъобразността и </w:t>
            </w:r>
            <w:r>
              <w:rPr>
                <w:noProof/>
                <w:sz w:val="22"/>
              </w:rPr>
              <w:t>редовността</w:t>
            </w:r>
          </w:p>
        </w:tc>
        <w:tc>
          <w:tcPr>
            <w:tcW w:w="6143" w:type="dxa"/>
          </w:tcPr>
          <w:p w:rsidR="00222FCC" w:rsidRDefault="00FD122A">
            <w:pPr>
              <w:jc w:val="left"/>
              <w:rPr>
                <w:rFonts w:eastAsia="Calibri"/>
                <w:noProof/>
                <w:sz w:val="22"/>
                <w:szCs w:val="22"/>
              </w:rPr>
            </w:pPr>
            <w:r>
              <w:rPr>
                <w:noProof/>
                <w:sz w:val="22"/>
              </w:rPr>
              <w:t>Контролът осигурява достатъчно гаранции по отношение на законосъобразността и редовността; надзорните проверки са ефективни по отношение на натоварените органи;</w:t>
            </w:r>
          </w:p>
          <w:p w:rsidR="00222FCC" w:rsidRDefault="00FD122A">
            <w:pPr>
              <w:jc w:val="left"/>
              <w:rPr>
                <w:rFonts w:eastAsia="Calibri"/>
                <w:noProof/>
                <w:sz w:val="22"/>
                <w:szCs w:val="22"/>
              </w:rPr>
            </w:pPr>
            <w:r>
              <w:rPr>
                <w:noProof/>
                <w:sz w:val="22"/>
              </w:rPr>
              <w:t xml:space="preserve">Многогодишен процент остатъчни грешки за изпълнението чрез национални агенции и </w:t>
            </w:r>
            <w:r>
              <w:rPr>
                <w:noProof/>
                <w:sz w:val="22"/>
              </w:rPr>
              <w:t>ИАОАК под 2 %;</w:t>
            </w:r>
          </w:p>
        </w:tc>
      </w:tr>
      <w:tr w:rsidR="00222FCC">
        <w:tc>
          <w:tcPr>
            <w:tcW w:w="2257" w:type="dxa"/>
          </w:tcPr>
          <w:p w:rsidR="00222FCC" w:rsidRDefault="00FD122A">
            <w:pPr>
              <w:ind w:left="66"/>
              <w:jc w:val="left"/>
              <w:rPr>
                <w:rFonts w:eastAsia="Calibri"/>
                <w:noProof/>
                <w:sz w:val="22"/>
                <w:szCs w:val="22"/>
              </w:rPr>
            </w:pPr>
            <w:r>
              <w:rPr>
                <w:noProof/>
                <w:sz w:val="22"/>
              </w:rPr>
              <w:t>Резултатност и ефективност от гледна точка на разходите</w:t>
            </w:r>
          </w:p>
        </w:tc>
        <w:tc>
          <w:tcPr>
            <w:tcW w:w="6143" w:type="dxa"/>
          </w:tcPr>
          <w:p w:rsidR="00222FCC" w:rsidRDefault="00FD122A">
            <w:pPr>
              <w:jc w:val="left"/>
              <w:rPr>
                <w:rFonts w:eastAsia="Calibri"/>
                <w:noProof/>
                <w:sz w:val="22"/>
                <w:szCs w:val="22"/>
              </w:rPr>
            </w:pPr>
            <w:r>
              <w:rPr>
                <w:noProof/>
                <w:sz w:val="22"/>
              </w:rPr>
              <w:t>Като цяло разходите за контрол би трябвало да са ниски — между 1 % и 5 % — в зависимост от използваните мерки, подобно на програми от същия вид като например „Еразъм+“. Разходите за ко</w:t>
            </w:r>
            <w:r>
              <w:rPr>
                <w:noProof/>
                <w:sz w:val="22"/>
              </w:rPr>
              <w:t>нтрол би трябвало да са пропорционални и ефективни.</w:t>
            </w:r>
          </w:p>
        </w:tc>
      </w:tr>
      <w:tr w:rsidR="00222FCC">
        <w:tc>
          <w:tcPr>
            <w:tcW w:w="2257" w:type="dxa"/>
          </w:tcPr>
          <w:p w:rsidR="00222FCC" w:rsidRDefault="00FD122A">
            <w:pPr>
              <w:ind w:left="66"/>
              <w:jc w:val="left"/>
              <w:rPr>
                <w:rFonts w:eastAsia="Calibri"/>
                <w:noProof/>
                <w:sz w:val="22"/>
                <w:szCs w:val="22"/>
              </w:rPr>
            </w:pPr>
            <w:r>
              <w:rPr>
                <w:noProof/>
                <w:sz w:val="22"/>
              </w:rPr>
              <w:t>Предотвратяване и откриване на измами</w:t>
            </w:r>
          </w:p>
        </w:tc>
        <w:tc>
          <w:tcPr>
            <w:tcW w:w="6143" w:type="dxa"/>
          </w:tcPr>
          <w:p w:rsidR="00222FCC" w:rsidRDefault="00FD122A">
            <w:pPr>
              <w:pStyle w:val="AARsimplelist"/>
              <w:numPr>
                <w:ilvl w:val="0"/>
                <w:numId w:val="0"/>
              </w:numPr>
              <w:rPr>
                <w:rFonts w:ascii="Times New Roman" w:eastAsia="Calibri" w:hAnsi="Times New Roman"/>
                <w:b/>
                <w:i/>
                <w:noProof/>
                <w:sz w:val="22"/>
                <w:szCs w:val="22"/>
              </w:rPr>
            </w:pPr>
            <w:r>
              <w:rPr>
                <w:rFonts w:ascii="Times New Roman" w:hAnsi="Times New Roman"/>
                <w:noProof/>
                <w:sz w:val="22"/>
              </w:rPr>
              <w:t>Действия при съмнения за нередности или измами и продължаващи разследвания на OLAF, последвани от съответни допълнителни действия чрез съществуващата стратегия на Ко</w:t>
            </w:r>
            <w:r>
              <w:rPr>
                <w:rFonts w:ascii="Times New Roman" w:hAnsi="Times New Roman"/>
                <w:noProof/>
                <w:sz w:val="22"/>
              </w:rPr>
              <w:t>мисията за борба с измамите, без ефект върху гаранциите през отчетния период;</w:t>
            </w:r>
          </w:p>
        </w:tc>
      </w:tr>
      <w:tr w:rsidR="00222FCC">
        <w:trPr>
          <w:trHeight w:val="784"/>
        </w:trPr>
        <w:tc>
          <w:tcPr>
            <w:tcW w:w="2257" w:type="dxa"/>
          </w:tcPr>
          <w:p w:rsidR="00222FCC" w:rsidRDefault="00FD122A">
            <w:pPr>
              <w:ind w:left="66"/>
              <w:jc w:val="left"/>
              <w:rPr>
                <w:rFonts w:eastAsia="Calibri"/>
                <w:noProof/>
                <w:sz w:val="22"/>
                <w:szCs w:val="22"/>
              </w:rPr>
            </w:pPr>
            <w:r>
              <w:rPr>
                <w:noProof/>
                <w:sz w:val="22"/>
              </w:rPr>
              <w:t xml:space="preserve">Други цели на контрола: защита на активите и информацията, надеждност на докладването </w:t>
            </w:r>
          </w:p>
        </w:tc>
        <w:tc>
          <w:tcPr>
            <w:tcW w:w="6143" w:type="dxa"/>
          </w:tcPr>
          <w:p w:rsidR="00222FCC" w:rsidRDefault="00FD122A" w:rsidP="00FD122A">
            <w:pPr>
              <w:pStyle w:val="ListParagraph"/>
              <w:widowControl/>
              <w:autoSpaceDE/>
              <w:autoSpaceDN/>
              <w:adjustRightInd/>
              <w:ind w:left="459"/>
              <w:rPr>
                <w:rFonts w:ascii="Times New Roman" w:hAnsi="Times New Roman" w:cs="Times New Roman"/>
                <w:b w:val="0"/>
                <w:i w:val="0"/>
                <w:noProof/>
                <w:sz w:val="22"/>
                <w:szCs w:val="22"/>
              </w:rPr>
            </w:pPr>
            <w:r>
              <w:rPr>
                <w:rFonts w:ascii="Times New Roman" w:hAnsi="Times New Roman"/>
                <w:b w:val="0"/>
                <w:i w:val="0"/>
                <w:noProof/>
                <w:sz w:val="22"/>
              </w:rPr>
              <w:t>Подходяща защита на поверените средства;</w:t>
            </w:r>
          </w:p>
          <w:p w:rsidR="00222FCC" w:rsidRDefault="00FD122A" w:rsidP="00FD122A">
            <w:pPr>
              <w:pStyle w:val="ListParagraph"/>
              <w:widowControl/>
              <w:autoSpaceDE/>
              <w:autoSpaceDN/>
              <w:adjustRightInd/>
              <w:ind w:left="459"/>
              <w:rPr>
                <w:rFonts w:ascii="Times New Roman" w:hAnsi="Times New Roman" w:cs="Times New Roman"/>
                <w:b w:val="0"/>
                <w:i w:val="0"/>
                <w:noProof/>
                <w:sz w:val="22"/>
                <w:szCs w:val="22"/>
              </w:rPr>
            </w:pPr>
            <w:r>
              <w:rPr>
                <w:rFonts w:ascii="Times New Roman" w:hAnsi="Times New Roman"/>
                <w:b w:val="0"/>
                <w:i w:val="0"/>
                <w:noProof/>
                <w:sz w:val="22"/>
              </w:rPr>
              <w:t>Надеждна отчетност и докладване;</w:t>
            </w:r>
          </w:p>
          <w:p w:rsidR="00222FCC" w:rsidRDefault="00FD122A" w:rsidP="00FD122A">
            <w:pPr>
              <w:pStyle w:val="ListParagraph"/>
              <w:widowControl/>
              <w:autoSpaceDE/>
              <w:autoSpaceDN/>
              <w:adjustRightInd/>
              <w:ind w:left="459"/>
              <w:rPr>
                <w:rFonts w:ascii="Times New Roman" w:hAnsi="Times New Roman" w:cs="Times New Roman"/>
                <w:noProof/>
                <w:sz w:val="22"/>
                <w:szCs w:val="22"/>
              </w:rPr>
            </w:pPr>
            <w:r>
              <w:rPr>
                <w:rFonts w:ascii="Times New Roman" w:hAnsi="Times New Roman"/>
                <w:b w:val="0"/>
                <w:i w:val="0"/>
                <w:noProof/>
                <w:sz w:val="22"/>
              </w:rPr>
              <w:t xml:space="preserve">Изпълнение на </w:t>
            </w:r>
            <w:r>
              <w:rPr>
                <w:rFonts w:ascii="Times New Roman" w:hAnsi="Times New Roman"/>
                <w:b w:val="0"/>
                <w:i w:val="0"/>
                <w:noProof/>
                <w:sz w:val="22"/>
              </w:rPr>
              <w:t>бюджета в съответствие с планираните резултати.</w:t>
            </w:r>
          </w:p>
        </w:tc>
      </w:tr>
    </w:tbl>
    <w:p w:rsidR="00222FCC" w:rsidRDefault="00FD122A">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 Надеждността на веригата на контрол и одитната следа</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Налице е надеждна система за контролиране използването на средствата на Съюза за дейностите, управлявани от националните агенции и от ИАОАК. Тази система</w:t>
      </w:r>
      <w:r>
        <w:rPr>
          <w:noProof/>
        </w:rPr>
        <w:t>, която понастоящем се прилага за програма „Еразъм+“, ще бъде разширена, за да обхване Европейския корпус за солидарност.</w:t>
      </w:r>
    </w:p>
    <w:p w:rsidR="00222FCC" w:rsidRDefault="00FD122A">
      <w:pPr>
        <w:pStyle w:val="Text1"/>
        <w:pBdr>
          <w:top w:val="single" w:sz="4" w:space="1" w:color="auto"/>
          <w:left w:val="single" w:sz="4" w:space="4" w:color="auto"/>
          <w:bottom w:val="single" w:sz="4" w:space="1" w:color="auto"/>
          <w:right w:val="single" w:sz="4" w:space="4" w:color="auto"/>
        </w:pBdr>
        <w:rPr>
          <w:b/>
          <w:noProof/>
          <w:u w:val="single"/>
        </w:rPr>
      </w:pPr>
      <w:r>
        <w:rPr>
          <w:noProof/>
          <w:u w:val="single"/>
        </w:rPr>
        <w:t>За действията, изпълнявани от националните агенции,</w:t>
      </w:r>
      <w:r>
        <w:rPr>
          <w:noProof/>
        </w:rPr>
        <w:t xml:space="preserve"> се предвижда следната структура:</w:t>
      </w:r>
      <w:r>
        <w:rPr>
          <w:b/>
          <w:noProof/>
          <w:u w:val="single"/>
        </w:rPr>
        <w:t xml:space="preserve">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Контролът се организира на три равнища: от нацио</w:t>
      </w:r>
      <w:r>
        <w:rPr>
          <w:noProof/>
        </w:rPr>
        <w:t>налните агенции, от независими одитни органи, определени от държавите членки, и от Комисията, при което Комисията ще вземе предвид проверките, проведени от други органи, за да се осигури ефективност на разходите на многогодишна основа.</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 xml:space="preserve">Докато националните </w:t>
      </w:r>
      <w:r>
        <w:rPr>
          <w:noProof/>
        </w:rPr>
        <w:t>агенции ще отговарят за проверките от първо ниво на бенефициерите, тяхната система на вътрешен контрол и съответствие се наблюдава и контролира от държавите членки /националните органи и се одитира от независим одитен орган. Комисията определя изискванията</w:t>
      </w:r>
      <w:r>
        <w:rPr>
          <w:noProof/>
        </w:rPr>
        <w:t xml:space="preserve"> за проверките на национално равнище, за да се осигури съгласуваност и надеждност и за да се наблюдава провеждането на проверките на равнище държави членки. Тази практика е вече добре установена от Комисията, която ежегодно издава насоки за националните аг</w:t>
      </w:r>
      <w:r>
        <w:rPr>
          <w:noProof/>
        </w:rPr>
        <w:t>енции, в които са формулирани минималните изисквания, целите на контрола и технически насоки за националните агенции по отношение на първичните проверки на бенефициерите по дадена програма. Същото се отнася и за насоките за националните органи и независими</w:t>
      </w:r>
      <w:r>
        <w:rPr>
          <w:noProof/>
        </w:rPr>
        <w:t xml:space="preserve">те одитни органи. </w:t>
      </w:r>
    </w:p>
    <w:p w:rsidR="00222FCC" w:rsidRDefault="00FD122A">
      <w:pPr>
        <w:pStyle w:val="Text1"/>
        <w:pBdr>
          <w:top w:val="single" w:sz="4" w:space="1" w:color="auto"/>
          <w:left w:val="single" w:sz="4" w:space="4" w:color="auto"/>
          <w:bottom w:val="single" w:sz="4" w:space="1" w:color="auto"/>
          <w:right w:val="single" w:sz="4" w:space="4" w:color="auto"/>
        </w:pBdr>
        <w:spacing w:before="0" w:after="0"/>
        <w:rPr>
          <w:noProof/>
        </w:rPr>
      </w:pPr>
      <w:r>
        <w:rPr>
          <w:noProof/>
        </w:rPr>
        <w:t xml:space="preserve">С цел да се осигури надеждна основа за годишната декларация за управлението от генералния директор, системата за постоянен контрол се състои от следните елементи: </w:t>
      </w:r>
    </w:p>
    <w:p w:rsidR="00222FCC" w:rsidRDefault="00FD122A">
      <w:pPr>
        <w:pStyle w:val="Text1"/>
        <w:pBdr>
          <w:top w:val="single" w:sz="4" w:space="1" w:color="auto"/>
          <w:left w:val="single" w:sz="4" w:space="4" w:color="auto"/>
          <w:bottom w:val="single" w:sz="4" w:space="1" w:color="auto"/>
          <w:right w:val="single" w:sz="4" w:space="4" w:color="auto"/>
        </w:pBdr>
        <w:spacing w:before="0" w:after="0"/>
        <w:rPr>
          <w:noProof/>
        </w:rPr>
      </w:pPr>
      <w:r>
        <w:rPr>
          <w:noProof/>
        </w:rPr>
        <w:t>▪</w:t>
      </w:r>
      <w:r>
        <w:rPr>
          <w:noProof/>
        </w:rPr>
        <w:tab/>
        <w:t>декларация за управлението от националната агенция, дължима към 15 февр</w:t>
      </w:r>
      <w:r>
        <w:rPr>
          <w:noProof/>
        </w:rPr>
        <w:t xml:space="preserve">уари N +1, </w:t>
      </w:r>
    </w:p>
    <w:p w:rsidR="00222FCC" w:rsidRDefault="00FD122A">
      <w:pPr>
        <w:pStyle w:val="Text1"/>
        <w:pBdr>
          <w:top w:val="single" w:sz="4" w:space="1" w:color="auto"/>
          <w:left w:val="single" w:sz="4" w:space="4" w:color="auto"/>
          <w:bottom w:val="single" w:sz="4" w:space="1" w:color="auto"/>
          <w:right w:val="single" w:sz="4" w:space="4" w:color="auto"/>
        </w:pBdr>
        <w:spacing w:before="0" w:after="0"/>
        <w:rPr>
          <w:noProof/>
        </w:rPr>
      </w:pPr>
      <w:r>
        <w:rPr>
          <w:noProof/>
        </w:rPr>
        <w:t>▪</w:t>
      </w:r>
      <w:r>
        <w:rPr>
          <w:noProof/>
        </w:rPr>
        <w:tab/>
        <w:t xml:space="preserve">независимо одитно становище, дължимо към 15 март N +1, </w:t>
      </w:r>
    </w:p>
    <w:p w:rsidR="00222FCC" w:rsidRDefault="00FD122A">
      <w:pPr>
        <w:pStyle w:val="Text1"/>
        <w:pBdr>
          <w:top w:val="single" w:sz="4" w:space="1" w:color="auto"/>
          <w:left w:val="single" w:sz="4" w:space="4" w:color="auto"/>
          <w:bottom w:val="single" w:sz="4" w:space="1" w:color="auto"/>
          <w:right w:val="single" w:sz="4" w:space="4" w:color="auto"/>
        </w:pBdr>
        <w:spacing w:before="0" w:after="0"/>
        <w:rPr>
          <w:noProof/>
        </w:rPr>
      </w:pPr>
      <w:r>
        <w:rPr>
          <w:noProof/>
        </w:rPr>
        <w:t>▪</w:t>
      </w:r>
      <w:r>
        <w:rPr>
          <w:noProof/>
        </w:rPr>
        <w:tab/>
        <w:t>анализ на Комисията на декларацията за управлението и независимото одитно становище и обратна информация по тях към националната агенция и държавата членка, включително официалните заб</w:t>
      </w:r>
      <w:r>
        <w:rPr>
          <w:noProof/>
        </w:rPr>
        <w:t>ележки и препоръки в случай на несъответствие или на незадоволителни резултати на националната агенция,</w:t>
      </w:r>
    </w:p>
    <w:p w:rsidR="00222FCC" w:rsidRDefault="00FD122A">
      <w:pPr>
        <w:pStyle w:val="Text1"/>
        <w:pBdr>
          <w:top w:val="single" w:sz="4" w:space="1" w:color="auto"/>
          <w:left w:val="single" w:sz="4" w:space="4" w:color="auto"/>
          <w:bottom w:val="single" w:sz="4" w:space="1" w:color="auto"/>
          <w:right w:val="single" w:sz="4" w:space="4" w:color="auto"/>
        </w:pBdr>
        <w:spacing w:before="0" w:after="0"/>
        <w:rPr>
          <w:noProof/>
        </w:rPr>
      </w:pPr>
      <w:r>
        <w:rPr>
          <w:noProof/>
        </w:rPr>
        <w:t>▪</w:t>
      </w:r>
      <w:r>
        <w:rPr>
          <w:noProof/>
        </w:rPr>
        <w:tab/>
        <w:t xml:space="preserve">информацията, предоставена от държавите членки до 30 октомври на всяка година, за дейностите им по мониторинг и надзор на програмата на национално </w:t>
      </w:r>
      <w:r>
        <w:rPr>
          <w:noProof/>
        </w:rPr>
        <w:t>равнище.</w:t>
      </w:r>
    </w:p>
    <w:p w:rsidR="00222FCC" w:rsidRDefault="00FD122A">
      <w:pPr>
        <w:pStyle w:val="Text1"/>
        <w:pBdr>
          <w:top w:val="single" w:sz="4" w:space="1" w:color="auto"/>
          <w:left w:val="single" w:sz="4" w:space="4" w:color="auto"/>
          <w:bottom w:val="single" w:sz="4" w:space="1" w:color="auto"/>
          <w:right w:val="single" w:sz="4" w:space="4" w:color="auto"/>
        </w:pBdr>
        <w:spacing w:before="0" w:after="0"/>
        <w:rPr>
          <w:noProof/>
        </w:rPr>
      </w:pPr>
      <w:r>
        <w:rPr>
          <w:noProof/>
        </w:rPr>
        <w:t>В зависимост от резултатите от извършените от Комисията проверки, надзорни посещения и одити, тя може да наложи на националните агенции обезпечителни мерки (като временно спиране на поети бюджетни ангажименти или плащания), както и корективни мерк</w:t>
      </w:r>
      <w:r>
        <w:rPr>
          <w:noProof/>
        </w:rPr>
        <w:t xml:space="preserve">и (по-специално финансови корекции). И двата вида мерки вече се използват ефикасно за решаване на сериозни проблеми по отношение на несъответствието и недостатъчните резултати.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u w:val="single"/>
        </w:rPr>
        <w:t>Дейности, управлявани от изпълнителна агенция (ИАОАК):</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ИАОАК ще управлява дейн</w:t>
      </w:r>
      <w:r>
        <w:rPr>
          <w:noProof/>
        </w:rPr>
        <w:t xml:space="preserve">остите чрез пряко централизирано управление, надграждайки опита си с „Еразъм+“.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Комисията ще приложи мерките за контрол, изисквани по отношение на изпълнителните агенции в съответствие с Финансовия регламент и с Регламент № (ЕО) № 58/2003 на Съвета за изп</w:t>
      </w:r>
      <w:r>
        <w:rPr>
          <w:noProof/>
        </w:rPr>
        <w:t>ълнителните агенции. Този надзор ще бъде интегриран що се отнася до сътрудничество между отговарящите генерални дирекции и изпълнителната агенция и полугодишното докладване на агенцията, както и тримесечните заседания на управителния комитет.</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Комисията въз</w:t>
      </w:r>
      <w:r>
        <w:rPr>
          <w:noProof/>
        </w:rPr>
        <w:t>намерява да управлява директно само минимален брой дейности.</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Комисията приема, че вследствие на тези мерки за опростяване ще има остатъчен риск, който е присъщ на политическия избор да се предостави подкрепата на Съюза на тези видове участници с оглед на ц</w:t>
      </w:r>
      <w:r>
        <w:rPr>
          <w:noProof/>
        </w:rPr>
        <w:t>елите на програмата.</w:t>
      </w:r>
    </w:p>
    <w:p w:rsidR="00222FCC" w:rsidRDefault="00FD122A">
      <w:pPr>
        <w:pStyle w:val="ManualHeading3"/>
        <w:rPr>
          <w:noProof/>
        </w:rPr>
      </w:pPr>
      <w:r>
        <w:t>2.</w:t>
      </w:r>
      <w:proofErr w:type="spellStart"/>
      <w:r>
        <w:t>2</w:t>
      </w:r>
      <w:proofErr w:type="spellEnd"/>
      <w:r>
        <w:t>.3.</w:t>
      </w:r>
      <w:r>
        <w:tab/>
      </w:r>
      <w:r>
        <w:rPr>
          <w:noProof/>
        </w:rPr>
        <w:t xml:space="preserve">Оценка на разходите и ползите от проверките и на очаквания риск от грешка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За ефективността от гледна точка на разходите Комисията направи начална оценка на разходите за ресурси и средства, необходими за осъществяване на проверк</w:t>
      </w:r>
      <w:r>
        <w:rPr>
          <w:noProof/>
        </w:rPr>
        <w:t>ите, и направи приблизителна оценка, доколкото е възможно, на ползите от тях по отношение на количеството грешки и нередности, предотвратени или открити и коригирани чрез тези проверки, а също и по отношение на грешките, които не могат да се изразят количе</w:t>
      </w:r>
      <w:r>
        <w:rPr>
          <w:noProof/>
        </w:rPr>
        <w:t>ствено. Този подход набляга на основните финансови и оперативни проверки от веригата на контрол.</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Стратегията за контрол се основава на единствена интегрирана рамка за контрол, за да се осигурят достатъчни гаранции в целия цикъл на проекта. Подходът, прилаг</w:t>
      </w:r>
      <w:r>
        <w:rPr>
          <w:noProof/>
        </w:rPr>
        <w:t>ан за оценка на разходната ефективност на проверките се основава на логиката на „градивни елементи“ от гаранции и единствена интегрирана рамка за контрол. Комисията диференцира честотата и интензивността на проверките, предвид различните профили на риска п</w:t>
      </w:r>
      <w:r>
        <w:rPr>
          <w:noProof/>
        </w:rPr>
        <w:t xml:space="preserve">ри нейните настоящи и бъдещи транзакции и предвид разходната ефективност на нейните съществуващи и алтернативни проверки, по-специално както са описани в насоките към националните агенции относно изпълнението на програмата. Изпълнителните агенции и всички </w:t>
      </w:r>
      <w:r>
        <w:rPr>
          <w:noProof/>
        </w:rPr>
        <w:t>субекти, на които е възложено изпълнението, във всички случаи отговарят за първичните проверки за гарантиране защита на финансовите интереси на Съюза, а Комисията отговаря за надзорните проверки.</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Преценката на Комисията е, че общите разходи за проверките с</w:t>
      </w:r>
      <w:r>
        <w:rPr>
          <w:noProof/>
        </w:rPr>
        <w:t>а ниски и са в диапазона 1—5 % от управлявания бюджет в зависимост от използваната мярка (бюджетът на изпълнителната агенция се изключва). Тези разходи са пропорционални и ефективни предвид вероятния риск от грешки ако такива проверки не се извършват и пре</w:t>
      </w:r>
      <w:r>
        <w:rPr>
          <w:noProof/>
        </w:rPr>
        <w:t>двид изискването за се осигури процент грешки под 2 %. Въз основа на опита с „Еразъм+“ и предшестващите я програми, при които процентът грешки е около 1 % на многогодишна база, очакваният риск от грешки е по-малко от 2 %.</w:t>
      </w:r>
    </w:p>
    <w:p w:rsidR="00222FCC" w:rsidRDefault="00FD122A">
      <w:pPr>
        <w:pStyle w:val="ManualHeading2"/>
        <w:rPr>
          <w:bCs/>
          <w:noProof/>
          <w:szCs w:val="24"/>
        </w:rPr>
      </w:pPr>
      <w:r>
        <w:t>2.3.</w:t>
      </w:r>
      <w:r>
        <w:tab/>
      </w:r>
      <w:r>
        <w:rPr>
          <w:noProof/>
        </w:rPr>
        <w:t>Мерки за предотвратяване на и</w:t>
      </w:r>
      <w:r>
        <w:rPr>
          <w:noProof/>
        </w:rPr>
        <w:t xml:space="preserve">змами и нередности </w:t>
      </w:r>
    </w:p>
    <w:p w:rsidR="00222FCC" w:rsidRDefault="00FD122A">
      <w:pPr>
        <w:pStyle w:val="Text1"/>
        <w:rPr>
          <w:i/>
          <w:noProof/>
          <w:sz w:val="20"/>
        </w:rPr>
      </w:pPr>
      <w:r>
        <w:rPr>
          <w:i/>
          <w:noProof/>
          <w:sz w:val="20"/>
        </w:rPr>
        <w:t>Да се посочат съществуващите или планираните мерки за превенция и защита.</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Проверките, насочени към предотвратяване и откриване на измами, не се различават от проверките с цел гарантиране на законосъобразността и редовността на транзакци</w:t>
      </w:r>
      <w:r>
        <w:rPr>
          <w:noProof/>
        </w:rPr>
        <w:t>ите (неволните грешки). Всяка година Комисията преглежда всички доклади от националните агенции относно възможни измами и нередности. Тези случаи се проследяват главно на национално равнище, където националните агенции имат пряк достъп до средства за правн</w:t>
      </w:r>
      <w:r>
        <w:rPr>
          <w:noProof/>
        </w:rPr>
        <w:t xml:space="preserve">а защита и сезиране при случаи на измама.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Службите на Комисията съдействат на продължаващите разследвания на OLAF и организират последващите действия след завършени разследвания на OLAF. Финансовите загуби за бюджета на ЕС в резултат от измами, констатира</w:t>
      </w:r>
      <w:r>
        <w:rPr>
          <w:noProof/>
        </w:rPr>
        <w:t>ни според окончателните доклади на OLAF при програми с подобни правила за финансиране и заинтересовани страни, са ниски. Случаите се насочват към OLAF и към IDOC както е целесъобразно, но по значителен брой случаи последващи действия се предприемат през го</w:t>
      </w:r>
      <w:r>
        <w:rPr>
          <w:noProof/>
        </w:rPr>
        <w:t>дината директно с националните агенции и националните органи, които имат пряк достъп до съответните съдебни органи и органи за борба с измамите.</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Службите на Комисията, изпълняващи тази дейност са разработили и от 2014 г. прилагат собствена стратегия за бор</w:t>
      </w:r>
      <w:r>
        <w:rPr>
          <w:noProof/>
        </w:rPr>
        <w:t>ба с измамите, създадена въз основа на методика, предоставена от OLAF. Тази стратегия редовно се актуализира и където е уместно се допълва с процедурни документи на по-ниско равнище, описващи как случаите се отнасят за разглеждане и какви последващи действ</w:t>
      </w:r>
      <w:r>
        <w:rPr>
          <w:noProof/>
        </w:rPr>
        <w:t xml:space="preserve">ия се предприемат. </w:t>
      </w:r>
    </w:p>
    <w:p w:rsidR="00222FCC" w:rsidRDefault="00FD122A">
      <w:pPr>
        <w:pStyle w:val="Text1"/>
        <w:pBdr>
          <w:top w:val="single" w:sz="4" w:space="1" w:color="auto"/>
          <w:left w:val="single" w:sz="4" w:space="4" w:color="auto"/>
          <w:bottom w:val="single" w:sz="4" w:space="1" w:color="auto"/>
          <w:right w:val="single" w:sz="4" w:space="4" w:color="auto"/>
        </w:pBdr>
        <w:rPr>
          <w:noProof/>
        </w:rPr>
      </w:pPr>
      <w:r>
        <w:rPr>
          <w:noProof/>
        </w:rPr>
        <w:t>Като се има предвид равнището на въздействие на измамите, с които предложената програма потенциално може да се сблъска, по-специално финансовите щети, регистрирани от Европейската служба за борба с измамите, остатъчният риск от измами н</w:t>
      </w:r>
      <w:r>
        <w:rPr>
          <w:noProof/>
        </w:rPr>
        <w:t>е оправдава допълнителни мерки. Службите на Комисията поддържат тясно сътрудничество с OLAF и от близо следят съществуващите случаи. По тази причина може да се направи положително заключение относно гаранциите по отношение на риска от измами.</w:t>
      </w:r>
    </w:p>
    <w:p w:rsidR="00222FCC" w:rsidRDefault="00222FCC">
      <w:pPr>
        <w:rPr>
          <w:noProof/>
        </w:rPr>
        <w:sectPr w:rsidR="00222FCC">
          <w:pgSz w:w="11907" w:h="16840" w:code="9"/>
          <w:pgMar w:top="1134" w:right="1418" w:bottom="1134" w:left="1418" w:header="709" w:footer="709" w:gutter="0"/>
          <w:cols w:space="708"/>
          <w:docGrid w:linePitch="360"/>
        </w:sectPr>
      </w:pPr>
    </w:p>
    <w:p w:rsidR="00222FCC" w:rsidRDefault="00FD122A">
      <w:pPr>
        <w:pStyle w:val="ManualHeading1"/>
        <w:rPr>
          <w:bCs/>
          <w:noProof/>
          <w:szCs w:val="24"/>
        </w:rPr>
      </w:pPr>
      <w:r>
        <w:t>3.</w:t>
      </w:r>
      <w:r>
        <w:tab/>
      </w:r>
      <w:r>
        <w:rPr>
          <w:noProof/>
        </w:rPr>
        <w:t xml:space="preserve">ОЧАКВАНО ФИНАНСОВО ОТРАЖЕНИЕ НА ПРЕДЛОЖЕНИЕТО/ИНИЦИАТИВАТА </w:t>
      </w:r>
    </w:p>
    <w:p w:rsidR="00222FCC" w:rsidRDefault="00FD122A">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rsidR="00222FCC" w:rsidRDefault="00FD122A">
      <w:pPr>
        <w:pStyle w:val="ListBullet1"/>
        <w:rPr>
          <w:noProof/>
        </w:rPr>
      </w:pPr>
      <w:r>
        <w:rPr>
          <w:noProof/>
        </w:rPr>
        <w:t xml:space="preserve">Поискани нови бюджетни редове </w:t>
      </w:r>
    </w:p>
    <w:p w:rsidR="00222FCC" w:rsidRDefault="00FD122A">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5476"/>
        <w:gridCol w:w="1735"/>
        <w:gridCol w:w="1477"/>
        <w:gridCol w:w="1409"/>
        <w:gridCol w:w="1406"/>
        <w:gridCol w:w="1779"/>
      </w:tblGrid>
      <w:tr w:rsidR="00222FCC">
        <w:tc>
          <w:tcPr>
            <w:tcW w:w="511" w:type="pct"/>
            <w:vMerge w:val="restart"/>
            <w:vAlign w:val="center"/>
          </w:tcPr>
          <w:p w:rsidR="00222FCC" w:rsidRDefault="00FD122A">
            <w:pPr>
              <w:spacing w:before="60" w:after="60"/>
              <w:jc w:val="center"/>
              <w:rPr>
                <w:noProof/>
                <w:sz w:val="18"/>
                <w:szCs w:val="18"/>
              </w:rPr>
            </w:pPr>
            <w:r>
              <w:rPr>
                <w:noProof/>
                <w:sz w:val="18"/>
              </w:rPr>
              <w:t>Функция от многогодишната финансова рамка</w:t>
            </w:r>
          </w:p>
        </w:tc>
        <w:tc>
          <w:tcPr>
            <w:tcW w:w="1875" w:type="pct"/>
            <w:vAlign w:val="center"/>
          </w:tcPr>
          <w:p w:rsidR="00222FCC" w:rsidRDefault="00FD122A">
            <w:pPr>
              <w:spacing w:before="60" w:after="60"/>
              <w:jc w:val="center"/>
              <w:rPr>
                <w:noProof/>
              </w:rPr>
            </w:pPr>
            <w:r>
              <w:rPr>
                <w:noProof/>
                <w:sz w:val="20"/>
              </w:rPr>
              <w:t>Бюджетен ред</w:t>
            </w:r>
          </w:p>
        </w:tc>
        <w:tc>
          <w:tcPr>
            <w:tcW w:w="511" w:type="pct"/>
            <w:vAlign w:val="center"/>
          </w:tcPr>
          <w:p w:rsidR="00222FCC" w:rsidRDefault="00FD122A">
            <w:pPr>
              <w:spacing w:before="60" w:after="60"/>
              <w:jc w:val="center"/>
              <w:rPr>
                <w:noProof/>
              </w:rPr>
            </w:pPr>
            <w:r>
              <w:rPr>
                <w:noProof/>
                <w:sz w:val="18"/>
              </w:rPr>
              <w:t>Вид</w:t>
            </w:r>
            <w:r>
              <w:rPr>
                <w:noProof/>
                <w:sz w:val="22"/>
              </w:rPr>
              <w:br/>
            </w:r>
            <w:r>
              <w:rPr>
                <w:noProof/>
                <w:sz w:val="18"/>
              </w:rPr>
              <w:t>разход</w:t>
            </w:r>
          </w:p>
        </w:tc>
        <w:tc>
          <w:tcPr>
            <w:tcW w:w="2103" w:type="pct"/>
            <w:gridSpan w:val="4"/>
            <w:vAlign w:val="center"/>
          </w:tcPr>
          <w:p w:rsidR="00222FCC" w:rsidRDefault="00FD122A">
            <w:pPr>
              <w:spacing w:before="60" w:after="60"/>
              <w:jc w:val="center"/>
              <w:rPr>
                <w:noProof/>
              </w:rPr>
            </w:pPr>
            <w:r>
              <w:rPr>
                <w:noProof/>
                <w:sz w:val="20"/>
              </w:rPr>
              <w:t xml:space="preserve">Вноска </w:t>
            </w:r>
          </w:p>
        </w:tc>
      </w:tr>
      <w:tr w:rsidR="00222FCC">
        <w:tc>
          <w:tcPr>
            <w:tcW w:w="511" w:type="pct"/>
            <w:vMerge/>
            <w:vAlign w:val="center"/>
          </w:tcPr>
          <w:p w:rsidR="00222FCC" w:rsidRDefault="00222FCC">
            <w:pPr>
              <w:jc w:val="center"/>
              <w:rPr>
                <w:noProof/>
              </w:rPr>
            </w:pPr>
          </w:p>
        </w:tc>
        <w:tc>
          <w:tcPr>
            <w:tcW w:w="1875" w:type="pct"/>
            <w:vAlign w:val="center"/>
          </w:tcPr>
          <w:p w:rsidR="00222FCC" w:rsidRDefault="00222FCC">
            <w:pPr>
              <w:rPr>
                <w:noProof/>
              </w:rPr>
            </w:pPr>
          </w:p>
        </w:tc>
        <w:tc>
          <w:tcPr>
            <w:tcW w:w="511" w:type="pct"/>
            <w:vAlign w:val="center"/>
          </w:tcPr>
          <w:p w:rsidR="00222FCC" w:rsidRDefault="00FD122A">
            <w:pPr>
              <w:jc w:val="center"/>
              <w:rPr>
                <w:noProof/>
              </w:rPr>
            </w:pPr>
            <w:r>
              <w:rPr>
                <w:noProof/>
                <w:sz w:val="18"/>
              </w:rPr>
              <w:t>Многогод./едногод.</w:t>
            </w:r>
          </w:p>
        </w:tc>
        <w:tc>
          <w:tcPr>
            <w:tcW w:w="512" w:type="pct"/>
            <w:vAlign w:val="center"/>
          </w:tcPr>
          <w:p w:rsidR="00222FCC" w:rsidRDefault="00FD122A">
            <w:pPr>
              <w:jc w:val="center"/>
              <w:rPr>
                <w:noProof/>
                <w:sz w:val="18"/>
              </w:rPr>
            </w:pPr>
            <w:r>
              <w:rPr>
                <w:noProof/>
                <w:sz w:val="18"/>
              </w:rPr>
              <w:t>от държави от ЕАСТ</w:t>
            </w:r>
          </w:p>
        </w:tc>
        <w:tc>
          <w:tcPr>
            <w:tcW w:w="489" w:type="pct"/>
            <w:vAlign w:val="center"/>
          </w:tcPr>
          <w:p w:rsidR="00222FCC" w:rsidRDefault="00FD122A">
            <w:pPr>
              <w:jc w:val="center"/>
              <w:rPr>
                <w:noProof/>
                <w:sz w:val="18"/>
              </w:rPr>
            </w:pPr>
            <w:r>
              <w:rPr>
                <w:noProof/>
                <w:sz w:val="18"/>
              </w:rPr>
              <w:t>от държави кандидатки</w:t>
            </w:r>
          </w:p>
        </w:tc>
        <w:tc>
          <w:tcPr>
            <w:tcW w:w="488" w:type="pct"/>
            <w:vAlign w:val="center"/>
          </w:tcPr>
          <w:p w:rsidR="00222FCC" w:rsidRDefault="00FD122A">
            <w:pPr>
              <w:jc w:val="center"/>
              <w:rPr>
                <w:noProof/>
                <w:sz w:val="18"/>
              </w:rPr>
            </w:pPr>
            <w:r>
              <w:rPr>
                <w:noProof/>
                <w:sz w:val="18"/>
              </w:rPr>
              <w:t>от трети държави</w:t>
            </w:r>
          </w:p>
        </w:tc>
        <w:tc>
          <w:tcPr>
            <w:tcW w:w="614" w:type="pct"/>
            <w:vAlign w:val="center"/>
          </w:tcPr>
          <w:p w:rsidR="00222FCC" w:rsidRDefault="00FD122A">
            <w:pPr>
              <w:jc w:val="center"/>
              <w:rPr>
                <w:noProof/>
              </w:rPr>
            </w:pPr>
            <w:r>
              <w:rPr>
                <w:noProof/>
                <w:sz w:val="16"/>
              </w:rPr>
              <w:t xml:space="preserve">по смисъла на член 21, параграф 2, буква б) от Финансовия регламент </w:t>
            </w:r>
          </w:p>
        </w:tc>
      </w:tr>
      <w:tr w:rsidR="00222FCC">
        <w:tc>
          <w:tcPr>
            <w:tcW w:w="511" w:type="pct"/>
            <w:vAlign w:val="center"/>
          </w:tcPr>
          <w:p w:rsidR="00222FCC" w:rsidRDefault="00FD122A">
            <w:pPr>
              <w:jc w:val="center"/>
              <w:rPr>
                <w:noProof/>
                <w:sz w:val="22"/>
              </w:rPr>
            </w:pPr>
            <w:r>
              <w:rPr>
                <w:noProof/>
                <w:sz w:val="22"/>
              </w:rPr>
              <w:t>1A</w:t>
            </w:r>
          </w:p>
        </w:tc>
        <w:tc>
          <w:tcPr>
            <w:tcW w:w="1875" w:type="pct"/>
            <w:vAlign w:val="center"/>
          </w:tcPr>
          <w:p w:rsidR="00222FCC" w:rsidRDefault="00FD122A">
            <w:pPr>
              <w:spacing w:before="60"/>
              <w:rPr>
                <w:noProof/>
                <w:sz w:val="22"/>
              </w:rPr>
            </w:pPr>
            <w:r>
              <w:rPr>
                <w:noProof/>
                <w:sz w:val="22"/>
              </w:rPr>
              <w:t>15 01 04 03 Разходи за поддръжка за Европейския корпус за солидарност</w:t>
            </w:r>
          </w:p>
        </w:tc>
        <w:tc>
          <w:tcPr>
            <w:tcW w:w="511" w:type="pct"/>
            <w:vAlign w:val="center"/>
          </w:tcPr>
          <w:p w:rsidR="00222FCC" w:rsidRDefault="00FD122A">
            <w:pPr>
              <w:jc w:val="center"/>
              <w:rPr>
                <w:noProof/>
                <w:sz w:val="22"/>
              </w:rPr>
            </w:pPr>
            <w:r>
              <w:rPr>
                <w:noProof/>
                <w:sz w:val="22"/>
              </w:rPr>
              <w:t>Едногод.</w:t>
            </w:r>
          </w:p>
        </w:tc>
        <w:tc>
          <w:tcPr>
            <w:tcW w:w="512" w:type="pct"/>
          </w:tcPr>
          <w:p w:rsidR="00222FCC" w:rsidRDefault="00FD122A">
            <w:pPr>
              <w:jc w:val="center"/>
              <w:rPr>
                <w:noProof/>
                <w:sz w:val="22"/>
              </w:rPr>
            </w:pPr>
            <w:r>
              <w:rPr>
                <w:noProof/>
                <w:sz w:val="22"/>
              </w:rPr>
              <w:t>Не*</w:t>
            </w:r>
          </w:p>
        </w:tc>
        <w:tc>
          <w:tcPr>
            <w:tcW w:w="489" w:type="pct"/>
          </w:tcPr>
          <w:p w:rsidR="00222FCC" w:rsidRDefault="00FD122A">
            <w:pPr>
              <w:jc w:val="center"/>
              <w:rPr>
                <w:noProof/>
                <w:sz w:val="22"/>
              </w:rPr>
            </w:pPr>
            <w:r>
              <w:rPr>
                <w:noProof/>
                <w:sz w:val="22"/>
              </w:rPr>
              <w:t>Не*</w:t>
            </w:r>
          </w:p>
        </w:tc>
        <w:tc>
          <w:tcPr>
            <w:tcW w:w="488" w:type="pct"/>
          </w:tcPr>
          <w:p w:rsidR="00222FCC" w:rsidRDefault="00FD122A">
            <w:pPr>
              <w:jc w:val="center"/>
              <w:rPr>
                <w:noProof/>
                <w:sz w:val="22"/>
              </w:rPr>
            </w:pPr>
            <w:r>
              <w:rPr>
                <w:noProof/>
                <w:sz w:val="22"/>
              </w:rPr>
              <w:t>Не*</w:t>
            </w:r>
          </w:p>
        </w:tc>
        <w:tc>
          <w:tcPr>
            <w:tcW w:w="614" w:type="pct"/>
            <w:vAlign w:val="center"/>
          </w:tcPr>
          <w:p w:rsidR="00222FCC" w:rsidRDefault="00FD122A">
            <w:pPr>
              <w:jc w:val="center"/>
              <w:rPr>
                <w:noProof/>
                <w:sz w:val="22"/>
              </w:rPr>
            </w:pPr>
            <w:r>
              <w:rPr>
                <w:noProof/>
                <w:sz w:val="22"/>
              </w:rPr>
              <w:t>Не</w:t>
            </w:r>
          </w:p>
        </w:tc>
      </w:tr>
      <w:tr w:rsidR="00222FCC">
        <w:tc>
          <w:tcPr>
            <w:tcW w:w="511" w:type="pct"/>
            <w:vAlign w:val="center"/>
          </w:tcPr>
          <w:p w:rsidR="00222FCC" w:rsidRDefault="00FD122A">
            <w:pPr>
              <w:jc w:val="center"/>
              <w:rPr>
                <w:noProof/>
                <w:sz w:val="22"/>
              </w:rPr>
            </w:pPr>
            <w:r>
              <w:rPr>
                <w:noProof/>
                <w:sz w:val="22"/>
              </w:rPr>
              <w:t>1A</w:t>
            </w:r>
          </w:p>
        </w:tc>
        <w:tc>
          <w:tcPr>
            <w:tcW w:w="1875" w:type="pct"/>
            <w:vAlign w:val="center"/>
          </w:tcPr>
          <w:p w:rsidR="00222FCC" w:rsidRDefault="00FD122A">
            <w:pPr>
              <w:spacing w:before="60"/>
              <w:rPr>
                <w:noProof/>
              </w:rPr>
            </w:pPr>
            <w:r>
              <w:rPr>
                <w:noProof/>
                <w:sz w:val="22"/>
              </w:rPr>
              <w:t>15 05 01 Европейски корпус за солидарност</w:t>
            </w:r>
          </w:p>
        </w:tc>
        <w:tc>
          <w:tcPr>
            <w:tcW w:w="511" w:type="pct"/>
            <w:vAlign w:val="center"/>
          </w:tcPr>
          <w:p w:rsidR="00222FCC" w:rsidRDefault="00FD122A">
            <w:pPr>
              <w:jc w:val="center"/>
              <w:rPr>
                <w:noProof/>
                <w:sz w:val="22"/>
              </w:rPr>
            </w:pPr>
            <w:r>
              <w:rPr>
                <w:noProof/>
                <w:sz w:val="22"/>
              </w:rPr>
              <w:t>Многогод.</w:t>
            </w:r>
          </w:p>
        </w:tc>
        <w:tc>
          <w:tcPr>
            <w:tcW w:w="512" w:type="pct"/>
          </w:tcPr>
          <w:p w:rsidR="00222FCC" w:rsidRDefault="00FD122A">
            <w:pPr>
              <w:jc w:val="center"/>
              <w:rPr>
                <w:noProof/>
                <w:sz w:val="22"/>
              </w:rPr>
            </w:pPr>
            <w:r>
              <w:rPr>
                <w:noProof/>
                <w:sz w:val="22"/>
              </w:rPr>
              <w:t>Не*</w:t>
            </w:r>
          </w:p>
        </w:tc>
        <w:tc>
          <w:tcPr>
            <w:tcW w:w="489" w:type="pct"/>
          </w:tcPr>
          <w:p w:rsidR="00222FCC" w:rsidRDefault="00FD122A">
            <w:pPr>
              <w:jc w:val="center"/>
              <w:rPr>
                <w:noProof/>
                <w:sz w:val="22"/>
              </w:rPr>
            </w:pPr>
            <w:r>
              <w:rPr>
                <w:noProof/>
                <w:sz w:val="22"/>
              </w:rPr>
              <w:t>Не*</w:t>
            </w:r>
          </w:p>
        </w:tc>
        <w:tc>
          <w:tcPr>
            <w:tcW w:w="488" w:type="pct"/>
          </w:tcPr>
          <w:p w:rsidR="00222FCC" w:rsidRDefault="00FD122A">
            <w:pPr>
              <w:jc w:val="center"/>
              <w:rPr>
                <w:noProof/>
                <w:sz w:val="22"/>
              </w:rPr>
            </w:pPr>
            <w:r>
              <w:rPr>
                <w:noProof/>
                <w:sz w:val="22"/>
              </w:rPr>
              <w:t>Не*</w:t>
            </w:r>
          </w:p>
        </w:tc>
        <w:tc>
          <w:tcPr>
            <w:tcW w:w="614" w:type="pct"/>
            <w:vAlign w:val="center"/>
          </w:tcPr>
          <w:p w:rsidR="00222FCC" w:rsidRDefault="00FD122A">
            <w:pPr>
              <w:jc w:val="center"/>
              <w:rPr>
                <w:noProof/>
                <w:sz w:val="22"/>
              </w:rPr>
            </w:pPr>
            <w:r>
              <w:rPr>
                <w:noProof/>
                <w:sz w:val="22"/>
              </w:rPr>
              <w:t>Не</w:t>
            </w:r>
          </w:p>
        </w:tc>
      </w:tr>
      <w:tr w:rsidR="00222FCC">
        <w:tc>
          <w:tcPr>
            <w:tcW w:w="511" w:type="pct"/>
            <w:vAlign w:val="center"/>
          </w:tcPr>
          <w:p w:rsidR="00222FCC" w:rsidRDefault="00FD122A">
            <w:pPr>
              <w:jc w:val="center"/>
              <w:rPr>
                <w:noProof/>
                <w:sz w:val="22"/>
              </w:rPr>
            </w:pPr>
            <w:r>
              <w:rPr>
                <w:noProof/>
                <w:sz w:val="22"/>
              </w:rPr>
              <w:t>1Б</w:t>
            </w:r>
          </w:p>
        </w:tc>
        <w:tc>
          <w:tcPr>
            <w:tcW w:w="1875" w:type="pct"/>
            <w:vAlign w:val="center"/>
          </w:tcPr>
          <w:p w:rsidR="00222FCC" w:rsidRDefault="00FD122A">
            <w:pPr>
              <w:spacing w:before="60"/>
              <w:rPr>
                <w:noProof/>
              </w:rPr>
            </w:pPr>
            <w:r>
              <w:rPr>
                <w:noProof/>
                <w:sz w:val="22"/>
              </w:rPr>
              <w:t xml:space="preserve">04 02 65 </w:t>
            </w:r>
            <w:r>
              <w:rPr>
                <w:noProof/>
                <w:sz w:val="22"/>
              </w:rPr>
              <w:t>Европейски корпус за солидарност — Вноска от Европейския социален фонд (ЕСФ)</w:t>
            </w:r>
          </w:p>
        </w:tc>
        <w:tc>
          <w:tcPr>
            <w:tcW w:w="511" w:type="pct"/>
            <w:vAlign w:val="center"/>
          </w:tcPr>
          <w:p w:rsidR="00222FCC" w:rsidRDefault="00FD122A">
            <w:pPr>
              <w:jc w:val="center"/>
              <w:rPr>
                <w:noProof/>
                <w:sz w:val="22"/>
              </w:rPr>
            </w:pPr>
            <w:r>
              <w:rPr>
                <w:noProof/>
                <w:sz w:val="22"/>
              </w:rPr>
              <w:t>Многогод.</w:t>
            </w:r>
          </w:p>
        </w:tc>
        <w:tc>
          <w:tcPr>
            <w:tcW w:w="512" w:type="pct"/>
          </w:tcPr>
          <w:p w:rsidR="00222FCC" w:rsidRDefault="00FD122A">
            <w:pPr>
              <w:jc w:val="center"/>
              <w:rPr>
                <w:noProof/>
                <w:sz w:val="22"/>
              </w:rPr>
            </w:pPr>
            <w:r>
              <w:rPr>
                <w:noProof/>
                <w:sz w:val="22"/>
              </w:rPr>
              <w:t>Не*</w:t>
            </w:r>
          </w:p>
        </w:tc>
        <w:tc>
          <w:tcPr>
            <w:tcW w:w="489" w:type="pct"/>
          </w:tcPr>
          <w:p w:rsidR="00222FCC" w:rsidRDefault="00FD122A">
            <w:pPr>
              <w:jc w:val="center"/>
              <w:rPr>
                <w:noProof/>
                <w:sz w:val="22"/>
              </w:rPr>
            </w:pPr>
            <w:r>
              <w:rPr>
                <w:noProof/>
                <w:sz w:val="22"/>
              </w:rPr>
              <w:t>Не*</w:t>
            </w:r>
          </w:p>
        </w:tc>
        <w:tc>
          <w:tcPr>
            <w:tcW w:w="488" w:type="pct"/>
          </w:tcPr>
          <w:p w:rsidR="00222FCC" w:rsidRDefault="00FD122A">
            <w:pPr>
              <w:jc w:val="center"/>
              <w:rPr>
                <w:noProof/>
                <w:sz w:val="22"/>
              </w:rPr>
            </w:pPr>
            <w:r>
              <w:rPr>
                <w:noProof/>
                <w:sz w:val="22"/>
              </w:rPr>
              <w:t>Не*</w:t>
            </w:r>
          </w:p>
        </w:tc>
        <w:tc>
          <w:tcPr>
            <w:tcW w:w="614" w:type="pct"/>
            <w:vAlign w:val="center"/>
          </w:tcPr>
          <w:p w:rsidR="00222FCC" w:rsidRDefault="00FD122A">
            <w:pPr>
              <w:jc w:val="center"/>
              <w:rPr>
                <w:noProof/>
                <w:sz w:val="22"/>
              </w:rPr>
            </w:pPr>
            <w:r>
              <w:rPr>
                <w:noProof/>
                <w:sz w:val="22"/>
              </w:rPr>
              <w:t>Не</w:t>
            </w:r>
          </w:p>
        </w:tc>
      </w:tr>
      <w:tr w:rsidR="00222FCC">
        <w:tc>
          <w:tcPr>
            <w:tcW w:w="511" w:type="pct"/>
            <w:vAlign w:val="center"/>
          </w:tcPr>
          <w:p w:rsidR="00222FCC" w:rsidRDefault="00FD122A">
            <w:pPr>
              <w:jc w:val="center"/>
              <w:rPr>
                <w:noProof/>
                <w:sz w:val="22"/>
              </w:rPr>
            </w:pPr>
            <w:r>
              <w:rPr>
                <w:noProof/>
                <w:sz w:val="22"/>
              </w:rPr>
              <w:t>2</w:t>
            </w:r>
          </w:p>
        </w:tc>
        <w:tc>
          <w:tcPr>
            <w:tcW w:w="1875" w:type="pct"/>
            <w:vAlign w:val="center"/>
          </w:tcPr>
          <w:p w:rsidR="00222FCC" w:rsidRDefault="00FD122A">
            <w:pPr>
              <w:spacing w:before="60"/>
              <w:rPr>
                <w:noProof/>
              </w:rPr>
            </w:pPr>
            <w:r>
              <w:rPr>
                <w:noProof/>
                <w:sz w:val="22"/>
              </w:rPr>
              <w:t>05 04 60 04 — Европейски корпус за солидарност — Вноска от Европейския земеделски фонд за развитие на селските райони (ЕЗФРСР)</w:t>
            </w:r>
          </w:p>
        </w:tc>
        <w:tc>
          <w:tcPr>
            <w:tcW w:w="511" w:type="pct"/>
            <w:vAlign w:val="center"/>
          </w:tcPr>
          <w:p w:rsidR="00222FCC" w:rsidRDefault="00FD122A">
            <w:pPr>
              <w:jc w:val="center"/>
              <w:rPr>
                <w:noProof/>
                <w:sz w:val="22"/>
              </w:rPr>
            </w:pPr>
            <w:r>
              <w:rPr>
                <w:noProof/>
                <w:sz w:val="22"/>
              </w:rPr>
              <w:t>Многогод.</w:t>
            </w:r>
          </w:p>
        </w:tc>
        <w:tc>
          <w:tcPr>
            <w:tcW w:w="512" w:type="pct"/>
          </w:tcPr>
          <w:p w:rsidR="00222FCC" w:rsidRDefault="00FD122A">
            <w:pPr>
              <w:jc w:val="center"/>
              <w:rPr>
                <w:noProof/>
                <w:sz w:val="22"/>
              </w:rPr>
            </w:pPr>
            <w:r>
              <w:rPr>
                <w:noProof/>
                <w:sz w:val="22"/>
              </w:rPr>
              <w:t>Не*</w:t>
            </w:r>
          </w:p>
        </w:tc>
        <w:tc>
          <w:tcPr>
            <w:tcW w:w="489" w:type="pct"/>
          </w:tcPr>
          <w:p w:rsidR="00222FCC" w:rsidRDefault="00FD122A">
            <w:pPr>
              <w:jc w:val="center"/>
              <w:rPr>
                <w:noProof/>
                <w:sz w:val="22"/>
              </w:rPr>
            </w:pPr>
            <w:r>
              <w:rPr>
                <w:noProof/>
                <w:sz w:val="22"/>
              </w:rPr>
              <w:t>Не*</w:t>
            </w:r>
          </w:p>
        </w:tc>
        <w:tc>
          <w:tcPr>
            <w:tcW w:w="488" w:type="pct"/>
          </w:tcPr>
          <w:p w:rsidR="00222FCC" w:rsidRDefault="00FD122A">
            <w:pPr>
              <w:jc w:val="center"/>
              <w:rPr>
                <w:noProof/>
                <w:sz w:val="22"/>
              </w:rPr>
            </w:pPr>
            <w:r>
              <w:rPr>
                <w:noProof/>
                <w:sz w:val="22"/>
              </w:rPr>
              <w:t>Не*</w:t>
            </w:r>
          </w:p>
        </w:tc>
        <w:tc>
          <w:tcPr>
            <w:tcW w:w="614" w:type="pct"/>
            <w:vAlign w:val="center"/>
          </w:tcPr>
          <w:p w:rsidR="00222FCC" w:rsidRDefault="00FD122A">
            <w:pPr>
              <w:jc w:val="center"/>
              <w:rPr>
                <w:noProof/>
                <w:sz w:val="22"/>
              </w:rPr>
            </w:pPr>
            <w:r>
              <w:rPr>
                <w:noProof/>
                <w:sz w:val="22"/>
              </w:rPr>
              <w:t>Не</w:t>
            </w:r>
          </w:p>
        </w:tc>
      </w:tr>
      <w:tr w:rsidR="00222FCC">
        <w:tc>
          <w:tcPr>
            <w:tcW w:w="511" w:type="pct"/>
            <w:vAlign w:val="center"/>
          </w:tcPr>
          <w:p w:rsidR="00222FCC" w:rsidRDefault="00FD122A">
            <w:pPr>
              <w:jc w:val="center"/>
              <w:rPr>
                <w:noProof/>
                <w:sz w:val="22"/>
              </w:rPr>
            </w:pPr>
            <w:r>
              <w:rPr>
                <w:noProof/>
                <w:sz w:val="22"/>
              </w:rPr>
              <w:t>2</w:t>
            </w:r>
          </w:p>
        </w:tc>
        <w:tc>
          <w:tcPr>
            <w:tcW w:w="1875" w:type="pct"/>
            <w:vAlign w:val="center"/>
          </w:tcPr>
          <w:p w:rsidR="00222FCC" w:rsidRDefault="00FD122A">
            <w:pPr>
              <w:spacing w:before="60"/>
              <w:rPr>
                <w:noProof/>
              </w:rPr>
            </w:pPr>
            <w:r>
              <w:rPr>
                <w:noProof/>
                <w:sz w:val="22"/>
              </w:rPr>
              <w:t>07 02 07 — Европейски корпус за солидарност — Вноска от подпрограмата за околната среда на програма LIFE</w:t>
            </w:r>
          </w:p>
        </w:tc>
        <w:tc>
          <w:tcPr>
            <w:tcW w:w="511" w:type="pct"/>
            <w:vAlign w:val="center"/>
          </w:tcPr>
          <w:p w:rsidR="00222FCC" w:rsidRDefault="00FD122A">
            <w:pPr>
              <w:jc w:val="center"/>
              <w:rPr>
                <w:noProof/>
                <w:sz w:val="22"/>
              </w:rPr>
            </w:pPr>
            <w:r>
              <w:rPr>
                <w:noProof/>
                <w:sz w:val="22"/>
              </w:rPr>
              <w:t>Многогод.</w:t>
            </w:r>
          </w:p>
        </w:tc>
        <w:tc>
          <w:tcPr>
            <w:tcW w:w="512" w:type="pct"/>
          </w:tcPr>
          <w:p w:rsidR="00222FCC" w:rsidRDefault="00FD122A">
            <w:pPr>
              <w:jc w:val="center"/>
              <w:rPr>
                <w:noProof/>
                <w:sz w:val="22"/>
              </w:rPr>
            </w:pPr>
            <w:r>
              <w:rPr>
                <w:noProof/>
                <w:sz w:val="22"/>
              </w:rPr>
              <w:t>Не*</w:t>
            </w:r>
          </w:p>
        </w:tc>
        <w:tc>
          <w:tcPr>
            <w:tcW w:w="489" w:type="pct"/>
          </w:tcPr>
          <w:p w:rsidR="00222FCC" w:rsidRDefault="00FD122A">
            <w:pPr>
              <w:jc w:val="center"/>
              <w:rPr>
                <w:noProof/>
                <w:sz w:val="22"/>
              </w:rPr>
            </w:pPr>
            <w:r>
              <w:rPr>
                <w:noProof/>
                <w:sz w:val="22"/>
              </w:rPr>
              <w:t>Не*</w:t>
            </w:r>
          </w:p>
        </w:tc>
        <w:tc>
          <w:tcPr>
            <w:tcW w:w="488" w:type="pct"/>
          </w:tcPr>
          <w:p w:rsidR="00222FCC" w:rsidRDefault="00FD122A">
            <w:pPr>
              <w:jc w:val="center"/>
              <w:rPr>
                <w:noProof/>
                <w:sz w:val="22"/>
              </w:rPr>
            </w:pPr>
            <w:r>
              <w:rPr>
                <w:noProof/>
                <w:sz w:val="22"/>
              </w:rPr>
              <w:t>Не*</w:t>
            </w:r>
          </w:p>
        </w:tc>
        <w:tc>
          <w:tcPr>
            <w:tcW w:w="614" w:type="pct"/>
            <w:vAlign w:val="center"/>
          </w:tcPr>
          <w:p w:rsidR="00222FCC" w:rsidRDefault="00FD122A">
            <w:pPr>
              <w:jc w:val="center"/>
              <w:rPr>
                <w:noProof/>
                <w:sz w:val="22"/>
              </w:rPr>
            </w:pPr>
            <w:r>
              <w:rPr>
                <w:noProof/>
                <w:sz w:val="22"/>
              </w:rPr>
              <w:t>Не</w:t>
            </w:r>
          </w:p>
        </w:tc>
      </w:tr>
      <w:tr w:rsidR="00222FCC">
        <w:tc>
          <w:tcPr>
            <w:tcW w:w="511" w:type="pct"/>
            <w:vAlign w:val="center"/>
          </w:tcPr>
          <w:p w:rsidR="00222FCC" w:rsidRDefault="00FD122A">
            <w:pPr>
              <w:jc w:val="center"/>
              <w:rPr>
                <w:noProof/>
                <w:sz w:val="22"/>
              </w:rPr>
            </w:pPr>
            <w:r>
              <w:rPr>
                <w:noProof/>
                <w:sz w:val="22"/>
              </w:rPr>
              <w:t>2</w:t>
            </w:r>
          </w:p>
        </w:tc>
        <w:tc>
          <w:tcPr>
            <w:tcW w:w="1875" w:type="pct"/>
            <w:vAlign w:val="center"/>
          </w:tcPr>
          <w:p w:rsidR="00222FCC" w:rsidRDefault="00FD122A">
            <w:pPr>
              <w:spacing w:before="60"/>
              <w:rPr>
                <w:noProof/>
              </w:rPr>
            </w:pPr>
            <w:r>
              <w:rPr>
                <w:noProof/>
                <w:sz w:val="22"/>
              </w:rPr>
              <w:t>34 02 05 — Европейски корпус за солидарност — Вноска от подпрограмата за действия по климата на програма LIFE</w:t>
            </w:r>
          </w:p>
        </w:tc>
        <w:tc>
          <w:tcPr>
            <w:tcW w:w="511" w:type="pct"/>
            <w:vAlign w:val="center"/>
          </w:tcPr>
          <w:p w:rsidR="00222FCC" w:rsidRDefault="00FD122A">
            <w:pPr>
              <w:jc w:val="center"/>
              <w:rPr>
                <w:noProof/>
                <w:sz w:val="22"/>
              </w:rPr>
            </w:pPr>
            <w:r>
              <w:rPr>
                <w:noProof/>
                <w:sz w:val="22"/>
              </w:rPr>
              <w:t>Многогод.</w:t>
            </w:r>
          </w:p>
        </w:tc>
        <w:tc>
          <w:tcPr>
            <w:tcW w:w="512" w:type="pct"/>
          </w:tcPr>
          <w:p w:rsidR="00222FCC" w:rsidRDefault="00FD122A">
            <w:pPr>
              <w:jc w:val="center"/>
              <w:rPr>
                <w:noProof/>
                <w:sz w:val="22"/>
              </w:rPr>
            </w:pPr>
            <w:r>
              <w:rPr>
                <w:noProof/>
                <w:sz w:val="22"/>
              </w:rPr>
              <w:t>Не*</w:t>
            </w:r>
          </w:p>
        </w:tc>
        <w:tc>
          <w:tcPr>
            <w:tcW w:w="489" w:type="pct"/>
          </w:tcPr>
          <w:p w:rsidR="00222FCC" w:rsidRDefault="00FD122A">
            <w:pPr>
              <w:jc w:val="center"/>
              <w:rPr>
                <w:noProof/>
                <w:sz w:val="22"/>
              </w:rPr>
            </w:pPr>
            <w:r>
              <w:rPr>
                <w:noProof/>
                <w:sz w:val="22"/>
              </w:rPr>
              <w:t>Не*</w:t>
            </w:r>
          </w:p>
        </w:tc>
        <w:tc>
          <w:tcPr>
            <w:tcW w:w="488" w:type="pct"/>
          </w:tcPr>
          <w:p w:rsidR="00222FCC" w:rsidRDefault="00FD122A">
            <w:pPr>
              <w:jc w:val="center"/>
              <w:rPr>
                <w:noProof/>
                <w:sz w:val="22"/>
              </w:rPr>
            </w:pPr>
            <w:r>
              <w:rPr>
                <w:noProof/>
                <w:sz w:val="22"/>
              </w:rPr>
              <w:t>Не*</w:t>
            </w:r>
          </w:p>
        </w:tc>
        <w:tc>
          <w:tcPr>
            <w:tcW w:w="614" w:type="pct"/>
            <w:vAlign w:val="center"/>
          </w:tcPr>
          <w:p w:rsidR="00222FCC" w:rsidRDefault="00FD122A">
            <w:pPr>
              <w:jc w:val="center"/>
              <w:rPr>
                <w:noProof/>
                <w:sz w:val="22"/>
              </w:rPr>
            </w:pPr>
            <w:r>
              <w:rPr>
                <w:noProof/>
                <w:sz w:val="22"/>
              </w:rPr>
              <w:t>Не</w:t>
            </w:r>
          </w:p>
        </w:tc>
      </w:tr>
      <w:tr w:rsidR="00222FCC">
        <w:tc>
          <w:tcPr>
            <w:tcW w:w="511" w:type="pct"/>
            <w:vAlign w:val="center"/>
          </w:tcPr>
          <w:p w:rsidR="00222FCC" w:rsidRDefault="00FD122A">
            <w:pPr>
              <w:jc w:val="center"/>
              <w:rPr>
                <w:noProof/>
                <w:sz w:val="22"/>
              </w:rPr>
            </w:pPr>
            <w:r>
              <w:rPr>
                <w:noProof/>
                <w:sz w:val="22"/>
              </w:rPr>
              <w:t>3</w:t>
            </w:r>
          </w:p>
        </w:tc>
        <w:tc>
          <w:tcPr>
            <w:tcW w:w="1875" w:type="pct"/>
            <w:vAlign w:val="center"/>
          </w:tcPr>
          <w:p w:rsidR="00222FCC" w:rsidRDefault="00FD122A">
            <w:pPr>
              <w:spacing w:before="60"/>
              <w:rPr>
                <w:noProof/>
              </w:rPr>
            </w:pPr>
            <w:r>
              <w:rPr>
                <w:noProof/>
                <w:sz w:val="22"/>
              </w:rPr>
              <w:t>23 03 01 03 — Европейски корпус за солидарност — Вноска от Механизма за гражданска защита на Съюза (МГЗС)</w:t>
            </w:r>
          </w:p>
        </w:tc>
        <w:tc>
          <w:tcPr>
            <w:tcW w:w="511" w:type="pct"/>
            <w:vAlign w:val="center"/>
          </w:tcPr>
          <w:p w:rsidR="00222FCC" w:rsidRDefault="00FD122A">
            <w:pPr>
              <w:jc w:val="center"/>
              <w:rPr>
                <w:noProof/>
                <w:sz w:val="22"/>
              </w:rPr>
            </w:pPr>
            <w:r>
              <w:rPr>
                <w:noProof/>
                <w:sz w:val="22"/>
              </w:rPr>
              <w:t>Многогод.</w:t>
            </w:r>
          </w:p>
        </w:tc>
        <w:tc>
          <w:tcPr>
            <w:tcW w:w="512" w:type="pct"/>
          </w:tcPr>
          <w:p w:rsidR="00222FCC" w:rsidRDefault="00FD122A">
            <w:pPr>
              <w:jc w:val="center"/>
              <w:rPr>
                <w:noProof/>
                <w:sz w:val="22"/>
              </w:rPr>
            </w:pPr>
            <w:r>
              <w:rPr>
                <w:noProof/>
                <w:sz w:val="22"/>
              </w:rPr>
              <w:t>Не*</w:t>
            </w:r>
          </w:p>
        </w:tc>
        <w:tc>
          <w:tcPr>
            <w:tcW w:w="489" w:type="pct"/>
          </w:tcPr>
          <w:p w:rsidR="00222FCC" w:rsidRDefault="00FD122A">
            <w:pPr>
              <w:jc w:val="center"/>
              <w:rPr>
                <w:noProof/>
                <w:sz w:val="22"/>
              </w:rPr>
            </w:pPr>
            <w:r>
              <w:rPr>
                <w:noProof/>
                <w:sz w:val="22"/>
              </w:rPr>
              <w:t>Не*</w:t>
            </w:r>
          </w:p>
        </w:tc>
        <w:tc>
          <w:tcPr>
            <w:tcW w:w="488" w:type="pct"/>
          </w:tcPr>
          <w:p w:rsidR="00222FCC" w:rsidRDefault="00FD122A">
            <w:pPr>
              <w:jc w:val="center"/>
              <w:rPr>
                <w:noProof/>
                <w:sz w:val="22"/>
              </w:rPr>
            </w:pPr>
            <w:r>
              <w:rPr>
                <w:noProof/>
                <w:sz w:val="22"/>
              </w:rPr>
              <w:t>Не*</w:t>
            </w:r>
          </w:p>
        </w:tc>
        <w:tc>
          <w:tcPr>
            <w:tcW w:w="614" w:type="pct"/>
            <w:vAlign w:val="center"/>
          </w:tcPr>
          <w:p w:rsidR="00222FCC" w:rsidRDefault="00FD122A">
            <w:pPr>
              <w:jc w:val="center"/>
              <w:rPr>
                <w:noProof/>
                <w:sz w:val="22"/>
              </w:rPr>
            </w:pPr>
            <w:r>
              <w:rPr>
                <w:noProof/>
                <w:sz w:val="22"/>
              </w:rPr>
              <w:t>Не</w:t>
            </w:r>
          </w:p>
        </w:tc>
      </w:tr>
      <w:tr w:rsidR="00222FCC">
        <w:tc>
          <w:tcPr>
            <w:tcW w:w="5000" w:type="pct"/>
            <w:gridSpan w:val="7"/>
            <w:tcBorders>
              <w:top w:val="single" w:sz="4" w:space="0" w:color="auto"/>
              <w:left w:val="single" w:sz="4" w:space="0" w:color="auto"/>
              <w:bottom w:val="single" w:sz="4" w:space="0" w:color="auto"/>
              <w:right w:val="single" w:sz="4" w:space="0" w:color="auto"/>
            </w:tcBorders>
            <w:vAlign w:val="center"/>
          </w:tcPr>
          <w:p w:rsidR="00222FCC" w:rsidRDefault="00FD122A">
            <w:pPr>
              <w:spacing w:before="60"/>
              <w:rPr>
                <w:noProof/>
                <w:sz w:val="20"/>
                <w:szCs w:val="20"/>
              </w:rPr>
            </w:pPr>
            <w:r>
              <w:rPr>
                <w:noProof/>
                <w:sz w:val="20"/>
              </w:rPr>
              <w:t xml:space="preserve">* Първоначално участието в Европейския корпус за солидарност е предвидено за държави — членки на </w:t>
            </w:r>
            <w:r>
              <w:rPr>
                <w:noProof/>
                <w:sz w:val="20"/>
              </w:rPr>
              <w:t>Европейския съюз. На един следващ етап участието може да обхване и други държави въз основа на двустранни споразумения, както е посочено в член 11 от настоящото законодателно предложение.</w:t>
            </w:r>
          </w:p>
        </w:tc>
      </w:tr>
    </w:tbl>
    <w:p w:rsidR="00222FCC" w:rsidRDefault="00222FCC">
      <w:pPr>
        <w:rPr>
          <w:noProof/>
          <w:szCs w:val="24"/>
        </w:rPr>
      </w:pPr>
    </w:p>
    <w:p w:rsidR="00222FCC" w:rsidRDefault="00222FCC">
      <w:pPr>
        <w:pStyle w:val="Text1"/>
        <w:rPr>
          <w:noProof/>
        </w:rPr>
      </w:pPr>
    </w:p>
    <w:p w:rsidR="00222FCC" w:rsidRDefault="00FD122A">
      <w:pPr>
        <w:pStyle w:val="ManualHeading2"/>
        <w:rPr>
          <w:bCs/>
          <w:noProof/>
          <w:szCs w:val="24"/>
        </w:rPr>
      </w:pPr>
      <w:r>
        <w:t>3.2.</w:t>
      </w:r>
      <w:r>
        <w:tab/>
      </w:r>
      <w:r>
        <w:rPr>
          <w:noProof/>
        </w:rPr>
        <w:t xml:space="preserve">Очаквано отражение върху разходите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1967"/>
        <w:gridCol w:w="1967"/>
        <w:gridCol w:w="1967"/>
        <w:gridCol w:w="1970"/>
      </w:tblGrid>
      <w:tr w:rsidR="00222FCC">
        <w:trPr>
          <w:trHeight w:val="457"/>
          <w:jc w:val="center"/>
        </w:trPr>
        <w:tc>
          <w:tcPr>
            <w:tcW w:w="2339" w:type="pct"/>
            <w:shd w:val="clear" w:color="auto" w:fill="auto"/>
            <w:vAlign w:val="bottom"/>
            <w:hideMark/>
          </w:tcPr>
          <w:p w:rsidR="00222FCC" w:rsidRDefault="00FD122A">
            <w:pPr>
              <w:spacing w:before="0" w:after="0"/>
              <w:jc w:val="left"/>
              <w:rPr>
                <w:rFonts w:eastAsia="Times New Roman"/>
                <w:b/>
                <w:bCs/>
                <w:i/>
                <w:iCs/>
                <w:noProof/>
                <w:color w:val="000000"/>
                <w:szCs w:val="24"/>
              </w:rPr>
            </w:pPr>
            <w:r>
              <w:rPr>
                <w:b/>
                <w:i/>
                <w:noProof/>
                <w:color w:val="000000"/>
              </w:rPr>
              <w:t xml:space="preserve">Източници на финансиране за Европейския корпус за солидарност </w:t>
            </w:r>
            <w:r>
              <w:rPr>
                <w:i/>
                <w:noProof/>
                <w:color w:val="000000"/>
              </w:rPr>
              <w:t xml:space="preserve">(в млн. евро — </w:t>
            </w:r>
            <w:r>
              <w:rPr>
                <w:i/>
                <w:noProof/>
                <w:color w:val="000000"/>
                <w:u w:val="single"/>
              </w:rPr>
              <w:t>закръглени цифри</w:t>
            </w:r>
            <w:r>
              <w:rPr>
                <w:i/>
                <w:noProof/>
                <w:color w:val="000000"/>
              </w:rPr>
              <w:t>)</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Cs w:val="24"/>
              </w:rPr>
            </w:pPr>
            <w:r>
              <w:rPr>
                <w:b/>
                <w:noProof/>
                <w:color w:val="000000"/>
              </w:rPr>
              <w:t>2018 г.</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Cs w:val="24"/>
              </w:rPr>
            </w:pPr>
            <w:r>
              <w:rPr>
                <w:b/>
                <w:noProof/>
                <w:color w:val="000000"/>
              </w:rPr>
              <w:t>2019 г.</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Cs w:val="24"/>
              </w:rPr>
            </w:pPr>
            <w:r>
              <w:rPr>
                <w:b/>
                <w:noProof/>
                <w:color w:val="000000"/>
              </w:rPr>
              <w:t>2020 г.</w:t>
            </w:r>
          </w:p>
        </w:tc>
        <w:tc>
          <w:tcPr>
            <w:tcW w:w="666" w:type="pct"/>
            <w:shd w:val="clear" w:color="auto" w:fill="auto"/>
            <w:noWrap/>
            <w:vAlign w:val="center"/>
            <w:hideMark/>
          </w:tcPr>
          <w:p w:rsidR="00222FCC" w:rsidRDefault="00FD122A">
            <w:pPr>
              <w:spacing w:before="0" w:after="0"/>
              <w:jc w:val="center"/>
              <w:rPr>
                <w:rFonts w:eastAsia="Times New Roman"/>
                <w:b/>
                <w:bCs/>
                <w:noProof/>
                <w:color w:val="000000"/>
                <w:szCs w:val="24"/>
              </w:rPr>
            </w:pPr>
            <w:r>
              <w:rPr>
                <w:b/>
                <w:noProof/>
                <w:color w:val="000000"/>
              </w:rPr>
              <w:t>ОБЩО</w:t>
            </w:r>
          </w:p>
        </w:tc>
      </w:tr>
      <w:tr w:rsidR="00222FCC">
        <w:trPr>
          <w:trHeight w:val="689"/>
          <w:jc w:val="center"/>
        </w:trPr>
        <w:tc>
          <w:tcPr>
            <w:tcW w:w="2339" w:type="pct"/>
            <w:shd w:val="clear" w:color="auto" w:fill="auto"/>
            <w:noWrap/>
            <w:vAlign w:val="bottom"/>
            <w:hideMark/>
          </w:tcPr>
          <w:p w:rsidR="00222FCC" w:rsidRDefault="00FD122A">
            <w:pPr>
              <w:spacing w:before="0" w:after="0"/>
              <w:jc w:val="left"/>
              <w:rPr>
                <w:rFonts w:eastAsia="Times New Roman"/>
                <w:noProof/>
                <w:color w:val="000000"/>
                <w:sz w:val="22"/>
              </w:rPr>
            </w:pPr>
            <w:r>
              <w:rPr>
                <w:b/>
                <w:noProof/>
                <w:color w:val="000000"/>
                <w:sz w:val="22"/>
              </w:rPr>
              <w:t>„Еразъм+“</w:t>
            </w:r>
            <w:r>
              <w:rPr>
                <w:noProof/>
                <w:color w:val="000000"/>
                <w:sz w:val="22"/>
              </w:rPr>
              <w:t>, от които:</w:t>
            </w:r>
          </w:p>
          <w:p w:rsidR="00222FCC" w:rsidRDefault="00222FCC">
            <w:pPr>
              <w:spacing w:before="0" w:after="0"/>
              <w:jc w:val="left"/>
              <w:rPr>
                <w:rFonts w:eastAsia="Times New Roman"/>
                <w:noProof/>
                <w:color w:val="000000"/>
                <w:sz w:val="22"/>
              </w:rPr>
            </w:pPr>
          </w:p>
        </w:tc>
        <w:tc>
          <w:tcPr>
            <w:tcW w:w="665" w:type="pct"/>
            <w:shd w:val="clear" w:color="auto" w:fill="auto"/>
            <w:noWrap/>
            <w:vAlign w:val="bottom"/>
            <w:hideMark/>
          </w:tcPr>
          <w:p w:rsidR="00222FCC" w:rsidRDefault="00FD122A">
            <w:pPr>
              <w:spacing w:before="0" w:after="0"/>
              <w:jc w:val="center"/>
              <w:rPr>
                <w:rFonts w:eastAsia="Times New Roman"/>
                <w:b/>
                <w:bCs/>
                <w:noProof/>
                <w:color w:val="000000"/>
                <w:sz w:val="22"/>
              </w:rPr>
            </w:pPr>
            <w:r>
              <w:rPr>
                <w:b/>
                <w:noProof/>
                <w:color w:val="000000"/>
                <w:sz w:val="22"/>
              </w:rPr>
              <w:t>51,9</w:t>
            </w:r>
          </w:p>
        </w:tc>
        <w:tc>
          <w:tcPr>
            <w:tcW w:w="665" w:type="pct"/>
            <w:shd w:val="clear" w:color="auto" w:fill="auto"/>
            <w:noWrap/>
            <w:vAlign w:val="bottom"/>
            <w:hideMark/>
          </w:tcPr>
          <w:p w:rsidR="00222FCC" w:rsidRDefault="00FD122A">
            <w:pPr>
              <w:spacing w:before="0" w:after="0"/>
              <w:jc w:val="center"/>
              <w:rPr>
                <w:rFonts w:eastAsia="Times New Roman"/>
                <w:b/>
                <w:bCs/>
                <w:noProof/>
                <w:color w:val="000000"/>
                <w:sz w:val="22"/>
              </w:rPr>
            </w:pPr>
            <w:r>
              <w:rPr>
                <w:b/>
                <w:noProof/>
                <w:color w:val="000000"/>
                <w:sz w:val="22"/>
              </w:rPr>
              <w:t>69,2</w:t>
            </w:r>
          </w:p>
        </w:tc>
        <w:tc>
          <w:tcPr>
            <w:tcW w:w="665" w:type="pct"/>
            <w:shd w:val="clear" w:color="auto" w:fill="auto"/>
            <w:noWrap/>
            <w:vAlign w:val="bottom"/>
            <w:hideMark/>
          </w:tcPr>
          <w:p w:rsidR="00222FCC" w:rsidRDefault="00FD122A">
            <w:pPr>
              <w:spacing w:before="0" w:after="0"/>
              <w:jc w:val="center"/>
              <w:rPr>
                <w:rFonts w:eastAsia="Times New Roman"/>
                <w:b/>
                <w:bCs/>
                <w:noProof/>
                <w:color w:val="000000"/>
                <w:sz w:val="22"/>
              </w:rPr>
            </w:pPr>
            <w:r>
              <w:rPr>
                <w:b/>
                <w:noProof/>
                <w:color w:val="000000"/>
                <w:sz w:val="22"/>
              </w:rPr>
              <w:t>76,6</w:t>
            </w:r>
          </w:p>
        </w:tc>
        <w:tc>
          <w:tcPr>
            <w:tcW w:w="666" w:type="pct"/>
            <w:shd w:val="clear" w:color="auto" w:fill="auto"/>
            <w:noWrap/>
            <w:vAlign w:val="bottom"/>
            <w:hideMark/>
          </w:tcPr>
          <w:p w:rsidR="00222FCC" w:rsidRDefault="00FD122A">
            <w:pPr>
              <w:spacing w:before="0" w:after="0"/>
              <w:jc w:val="center"/>
              <w:rPr>
                <w:rFonts w:eastAsia="Times New Roman"/>
                <w:b/>
                <w:bCs/>
                <w:noProof/>
                <w:color w:val="000000"/>
                <w:sz w:val="22"/>
              </w:rPr>
            </w:pPr>
            <w:r>
              <w:rPr>
                <w:b/>
                <w:noProof/>
                <w:color w:val="000000"/>
                <w:sz w:val="22"/>
              </w:rPr>
              <w:t>197,7</w:t>
            </w:r>
          </w:p>
        </w:tc>
      </w:tr>
      <w:tr w:rsidR="00222FCC">
        <w:trPr>
          <w:trHeight w:val="850"/>
          <w:jc w:val="center"/>
        </w:trPr>
        <w:tc>
          <w:tcPr>
            <w:tcW w:w="2339" w:type="pct"/>
            <w:shd w:val="clear" w:color="auto" w:fill="auto"/>
            <w:vAlign w:val="center"/>
            <w:hideMark/>
          </w:tcPr>
          <w:p w:rsidR="00222FCC" w:rsidRDefault="00FD122A">
            <w:pPr>
              <w:spacing w:before="0" w:after="0"/>
              <w:rPr>
                <w:rFonts w:eastAsia="Times New Roman"/>
                <w:noProof/>
                <w:color w:val="000000"/>
                <w:sz w:val="22"/>
              </w:rPr>
            </w:pPr>
            <w:r>
              <w:rPr>
                <w:noProof/>
                <w:color w:val="000000"/>
                <w:sz w:val="22"/>
              </w:rPr>
              <w:t xml:space="preserve">15 02 01 01 — Насърчаване на високите постижения и сътрудничеството в областта на </w:t>
            </w:r>
            <w:r>
              <w:rPr>
                <w:noProof/>
                <w:color w:val="000000"/>
                <w:sz w:val="22"/>
              </w:rPr>
              <w:t>европейското образование и обучение и тяхното значение за пазара на труда</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2,1</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2,1</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1,8</w:t>
            </w:r>
          </w:p>
        </w:tc>
        <w:tc>
          <w:tcPr>
            <w:tcW w:w="666"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5,9</w:t>
            </w:r>
          </w:p>
        </w:tc>
      </w:tr>
      <w:tr w:rsidR="00222FCC">
        <w:trPr>
          <w:trHeight w:val="861"/>
          <w:jc w:val="center"/>
        </w:trPr>
        <w:tc>
          <w:tcPr>
            <w:tcW w:w="2339" w:type="pct"/>
            <w:shd w:val="clear" w:color="auto" w:fill="auto"/>
            <w:vAlign w:val="center"/>
            <w:hideMark/>
          </w:tcPr>
          <w:p w:rsidR="00222FCC" w:rsidRDefault="00FD122A">
            <w:pPr>
              <w:spacing w:before="0" w:after="0"/>
              <w:rPr>
                <w:rFonts w:eastAsia="Times New Roman"/>
                <w:noProof/>
                <w:color w:val="000000"/>
                <w:sz w:val="22"/>
              </w:rPr>
            </w:pPr>
            <w:r>
              <w:rPr>
                <w:noProof/>
                <w:color w:val="000000"/>
                <w:sz w:val="22"/>
              </w:rPr>
              <w:t>15 02 01 02— Насърчаване на високите постижения и сътрудничеството в областта на европейската младеж и участието на младите хора в европейския демократичен живот</w:t>
            </w:r>
          </w:p>
          <w:p w:rsidR="00222FCC" w:rsidRDefault="00222FCC">
            <w:pPr>
              <w:spacing w:before="0" w:after="0"/>
              <w:rPr>
                <w:rFonts w:eastAsia="Times New Roman"/>
                <w:noProof/>
                <w:color w:val="000000"/>
                <w:sz w:val="22"/>
              </w:rPr>
            </w:pP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49,9</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67,1</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74,8</w:t>
            </w:r>
          </w:p>
        </w:tc>
        <w:tc>
          <w:tcPr>
            <w:tcW w:w="666"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191,8</w:t>
            </w:r>
          </w:p>
        </w:tc>
      </w:tr>
      <w:tr w:rsidR="00222FCC">
        <w:trPr>
          <w:trHeight w:val="425"/>
          <w:jc w:val="center"/>
        </w:trPr>
        <w:tc>
          <w:tcPr>
            <w:tcW w:w="2339" w:type="pct"/>
            <w:shd w:val="clear" w:color="auto" w:fill="auto"/>
            <w:vAlign w:val="center"/>
            <w:hideMark/>
          </w:tcPr>
          <w:p w:rsidR="00222FCC" w:rsidRDefault="00FD122A">
            <w:pPr>
              <w:spacing w:before="0" w:after="0"/>
              <w:rPr>
                <w:rFonts w:eastAsia="Times New Roman"/>
                <w:noProof/>
                <w:color w:val="000000"/>
                <w:sz w:val="22"/>
              </w:rPr>
            </w:pPr>
            <w:r>
              <w:rPr>
                <w:b/>
                <w:noProof/>
                <w:color w:val="000000"/>
                <w:sz w:val="22"/>
              </w:rPr>
              <w:t>Програма на Европейския съюз за заетост и социални иновации (ЕaSI)</w:t>
            </w:r>
            <w:r>
              <w:rPr>
                <w:noProof/>
                <w:color w:val="000000"/>
                <w:sz w:val="22"/>
              </w:rPr>
              <w:t>, от които:</w:t>
            </w:r>
          </w:p>
          <w:p w:rsidR="00222FCC" w:rsidRDefault="00222FCC">
            <w:pPr>
              <w:spacing w:before="0" w:after="0"/>
              <w:rPr>
                <w:rFonts w:eastAsia="Times New Roman"/>
                <w:noProof/>
                <w:color w:val="000000"/>
                <w:sz w:val="22"/>
              </w:rPr>
            </w:pP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2,5</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3,5</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4,0</w:t>
            </w:r>
          </w:p>
        </w:tc>
        <w:tc>
          <w:tcPr>
            <w:tcW w:w="666"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10,0</w:t>
            </w:r>
          </w:p>
        </w:tc>
      </w:tr>
      <w:tr w:rsidR="00222FCC">
        <w:trPr>
          <w:trHeight w:val="861"/>
          <w:jc w:val="center"/>
        </w:trPr>
        <w:tc>
          <w:tcPr>
            <w:tcW w:w="2339" w:type="pct"/>
            <w:shd w:val="clear" w:color="auto" w:fill="auto"/>
            <w:vAlign w:val="center"/>
            <w:hideMark/>
          </w:tcPr>
          <w:p w:rsidR="00222FCC" w:rsidRDefault="00FD122A">
            <w:pPr>
              <w:spacing w:before="0" w:after="0"/>
              <w:rPr>
                <w:rFonts w:eastAsia="Times New Roman"/>
                <w:noProof/>
                <w:color w:val="000000"/>
                <w:sz w:val="22"/>
              </w:rPr>
            </w:pPr>
            <w:r>
              <w:rPr>
                <w:noProof/>
                <w:color w:val="000000"/>
                <w:sz w:val="22"/>
              </w:rPr>
              <w:t xml:space="preserve">04 03 02 01— „Прогрес“ — Подкрепа за разработването, изпълнението, мониторинга и оценката на политиката на Съюза в областта на заетостта </w:t>
            </w:r>
            <w:r>
              <w:rPr>
                <w:noProof/>
                <w:color w:val="000000"/>
                <w:sz w:val="22"/>
              </w:rPr>
              <w:t>и социалната политика и на законодателството в областта на условията на труд</w:t>
            </w:r>
          </w:p>
          <w:p w:rsidR="00222FCC" w:rsidRDefault="00222FCC">
            <w:pPr>
              <w:spacing w:before="0" w:after="0"/>
              <w:rPr>
                <w:rFonts w:eastAsia="Times New Roman"/>
                <w:noProof/>
                <w:color w:val="000000"/>
                <w:sz w:val="22"/>
              </w:rPr>
            </w:pP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2,5</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3,5</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4,0</w:t>
            </w:r>
          </w:p>
        </w:tc>
        <w:tc>
          <w:tcPr>
            <w:tcW w:w="666"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10,0</w:t>
            </w:r>
          </w:p>
        </w:tc>
      </w:tr>
      <w:tr w:rsidR="00222FCC">
        <w:trPr>
          <w:trHeight w:val="212"/>
          <w:jc w:val="center"/>
        </w:trPr>
        <w:tc>
          <w:tcPr>
            <w:tcW w:w="2339" w:type="pct"/>
            <w:shd w:val="clear" w:color="auto" w:fill="auto"/>
            <w:noWrap/>
            <w:vAlign w:val="center"/>
            <w:hideMark/>
          </w:tcPr>
          <w:p w:rsidR="00222FCC" w:rsidRDefault="00FD122A">
            <w:pPr>
              <w:spacing w:before="0" w:after="0"/>
              <w:rPr>
                <w:rFonts w:eastAsia="Times New Roman"/>
                <w:noProof/>
                <w:color w:val="000000"/>
                <w:sz w:val="22"/>
              </w:rPr>
            </w:pPr>
            <w:r>
              <w:rPr>
                <w:b/>
                <w:noProof/>
                <w:color w:val="000000"/>
                <w:sz w:val="22"/>
              </w:rPr>
              <w:t>Механизма за гражданска защита на Съюза</w:t>
            </w:r>
            <w:r>
              <w:rPr>
                <w:noProof/>
                <w:color w:val="000000"/>
                <w:sz w:val="22"/>
              </w:rPr>
              <w:t>, от които:</w:t>
            </w:r>
          </w:p>
          <w:p w:rsidR="00222FCC" w:rsidRDefault="00222FCC">
            <w:pPr>
              <w:spacing w:before="0" w:after="0"/>
              <w:rPr>
                <w:rFonts w:eastAsia="Times New Roman"/>
                <w:b/>
                <w:bCs/>
                <w:noProof/>
                <w:color w:val="000000"/>
                <w:sz w:val="22"/>
              </w:rPr>
            </w:pP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2,0</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2,0</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2,0</w:t>
            </w:r>
          </w:p>
        </w:tc>
        <w:tc>
          <w:tcPr>
            <w:tcW w:w="666"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6,0</w:t>
            </w:r>
          </w:p>
        </w:tc>
      </w:tr>
      <w:tr w:rsidR="00222FCC">
        <w:trPr>
          <w:trHeight w:val="436"/>
          <w:jc w:val="center"/>
        </w:trPr>
        <w:tc>
          <w:tcPr>
            <w:tcW w:w="2339" w:type="pct"/>
            <w:shd w:val="clear" w:color="auto" w:fill="auto"/>
            <w:vAlign w:val="center"/>
            <w:hideMark/>
          </w:tcPr>
          <w:p w:rsidR="00222FCC" w:rsidRDefault="00FD122A">
            <w:pPr>
              <w:spacing w:before="0" w:after="0"/>
              <w:rPr>
                <w:rFonts w:eastAsia="Times New Roman"/>
                <w:noProof/>
                <w:color w:val="000000"/>
                <w:sz w:val="22"/>
              </w:rPr>
            </w:pPr>
            <w:r>
              <w:rPr>
                <w:noProof/>
                <w:color w:val="000000"/>
                <w:sz w:val="22"/>
              </w:rPr>
              <w:t>23 03 01 01— Предотвратяване на бедствия и готовност за реагиране при бедствия в рамките на</w:t>
            </w:r>
            <w:r>
              <w:rPr>
                <w:noProof/>
                <w:color w:val="000000"/>
                <w:sz w:val="22"/>
              </w:rPr>
              <w:t xml:space="preserve"> Съюза</w:t>
            </w:r>
          </w:p>
          <w:p w:rsidR="00222FCC" w:rsidRDefault="00222FCC">
            <w:pPr>
              <w:spacing w:before="0" w:after="0"/>
              <w:rPr>
                <w:rFonts w:eastAsia="Times New Roman"/>
                <w:noProof/>
                <w:color w:val="000000"/>
                <w:sz w:val="22"/>
              </w:rPr>
            </w:pP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2,0</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2,0</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2,0</w:t>
            </w:r>
          </w:p>
        </w:tc>
        <w:tc>
          <w:tcPr>
            <w:tcW w:w="666"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6,0</w:t>
            </w:r>
          </w:p>
        </w:tc>
      </w:tr>
      <w:tr w:rsidR="00222FCC">
        <w:trPr>
          <w:trHeight w:val="212"/>
          <w:jc w:val="center"/>
        </w:trPr>
        <w:tc>
          <w:tcPr>
            <w:tcW w:w="2339" w:type="pct"/>
            <w:shd w:val="clear" w:color="auto" w:fill="auto"/>
            <w:vAlign w:val="center"/>
            <w:hideMark/>
          </w:tcPr>
          <w:p w:rsidR="00222FCC" w:rsidRDefault="00FD122A">
            <w:pPr>
              <w:spacing w:before="0" w:after="0"/>
              <w:rPr>
                <w:rFonts w:eastAsia="Times New Roman"/>
                <w:b/>
                <w:bCs/>
                <w:noProof/>
                <w:color w:val="000000"/>
                <w:sz w:val="22"/>
              </w:rPr>
            </w:pPr>
            <w:r>
              <w:rPr>
                <w:b/>
                <w:noProof/>
                <w:color w:val="000000"/>
                <w:sz w:val="22"/>
              </w:rPr>
              <w:t>LIFE</w:t>
            </w:r>
            <w:r>
              <w:rPr>
                <w:noProof/>
                <w:color w:val="000000"/>
                <w:sz w:val="22"/>
              </w:rPr>
              <w:t>, от които:</w:t>
            </w:r>
          </w:p>
          <w:p w:rsidR="00222FCC" w:rsidRDefault="00222FCC">
            <w:pPr>
              <w:spacing w:before="0" w:after="0"/>
              <w:rPr>
                <w:rFonts w:eastAsia="Times New Roman"/>
                <w:noProof/>
                <w:color w:val="000000"/>
                <w:sz w:val="22"/>
              </w:rPr>
            </w:pP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1,5</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1,5</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1,5</w:t>
            </w:r>
          </w:p>
        </w:tc>
        <w:tc>
          <w:tcPr>
            <w:tcW w:w="666"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4,5</w:t>
            </w:r>
          </w:p>
        </w:tc>
      </w:tr>
      <w:tr w:rsidR="00222FCC">
        <w:trPr>
          <w:trHeight w:val="425"/>
          <w:jc w:val="center"/>
        </w:trPr>
        <w:tc>
          <w:tcPr>
            <w:tcW w:w="2339" w:type="pct"/>
            <w:shd w:val="clear" w:color="auto" w:fill="auto"/>
            <w:vAlign w:val="center"/>
            <w:hideMark/>
          </w:tcPr>
          <w:p w:rsidR="00222FCC" w:rsidRDefault="00FD122A">
            <w:pPr>
              <w:spacing w:before="0" w:after="0"/>
              <w:rPr>
                <w:rFonts w:eastAsia="Times New Roman"/>
                <w:noProof/>
                <w:color w:val="000000"/>
                <w:sz w:val="22"/>
              </w:rPr>
            </w:pPr>
            <w:r>
              <w:rPr>
                <w:noProof/>
                <w:color w:val="000000"/>
                <w:sz w:val="22"/>
              </w:rPr>
              <w:t>34 02 03— По-добро управление на всички равнища на дейността в областта на климата и осведомяване за нея</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0,5</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0,5</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0,5</w:t>
            </w:r>
          </w:p>
        </w:tc>
        <w:tc>
          <w:tcPr>
            <w:tcW w:w="666"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1,5</w:t>
            </w:r>
          </w:p>
        </w:tc>
      </w:tr>
      <w:tr w:rsidR="00222FCC">
        <w:trPr>
          <w:trHeight w:val="436"/>
          <w:jc w:val="center"/>
        </w:trPr>
        <w:tc>
          <w:tcPr>
            <w:tcW w:w="2339" w:type="pct"/>
            <w:shd w:val="clear" w:color="auto" w:fill="auto"/>
            <w:vAlign w:val="center"/>
            <w:hideMark/>
          </w:tcPr>
          <w:p w:rsidR="00222FCC" w:rsidRDefault="00FD122A">
            <w:pPr>
              <w:spacing w:before="0" w:after="0"/>
              <w:rPr>
                <w:rFonts w:eastAsia="Times New Roman"/>
                <w:noProof/>
                <w:color w:val="000000"/>
                <w:sz w:val="22"/>
              </w:rPr>
            </w:pPr>
            <w:r>
              <w:rPr>
                <w:noProof/>
                <w:color w:val="000000"/>
                <w:sz w:val="22"/>
              </w:rPr>
              <w:t xml:space="preserve">07 02 03— Подкрепа за по-добро управление, свързано с околната среда, и </w:t>
            </w:r>
            <w:r>
              <w:rPr>
                <w:noProof/>
                <w:color w:val="000000"/>
                <w:sz w:val="22"/>
              </w:rPr>
              <w:t>по-добра информация на всички равнища</w:t>
            </w:r>
          </w:p>
          <w:p w:rsidR="00222FCC" w:rsidRDefault="00222FCC">
            <w:pPr>
              <w:spacing w:before="0" w:after="0"/>
              <w:rPr>
                <w:rFonts w:eastAsia="Times New Roman"/>
                <w:noProof/>
                <w:color w:val="000000"/>
                <w:sz w:val="22"/>
              </w:rPr>
            </w:pP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1,0</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1,0</w:t>
            </w:r>
          </w:p>
        </w:tc>
        <w:tc>
          <w:tcPr>
            <w:tcW w:w="665"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1,0</w:t>
            </w:r>
          </w:p>
        </w:tc>
        <w:tc>
          <w:tcPr>
            <w:tcW w:w="666" w:type="pct"/>
            <w:shd w:val="clear" w:color="auto" w:fill="auto"/>
            <w:noWrap/>
            <w:vAlign w:val="center"/>
            <w:hideMark/>
          </w:tcPr>
          <w:p w:rsidR="00222FCC" w:rsidRDefault="00FD122A">
            <w:pPr>
              <w:spacing w:before="0" w:after="0"/>
              <w:jc w:val="center"/>
              <w:rPr>
                <w:rFonts w:eastAsia="Times New Roman"/>
                <w:noProof/>
                <w:color w:val="000000"/>
                <w:sz w:val="22"/>
              </w:rPr>
            </w:pPr>
            <w:r>
              <w:rPr>
                <w:noProof/>
                <w:color w:val="000000"/>
                <w:sz w:val="22"/>
              </w:rPr>
              <w:t>3,0</w:t>
            </w:r>
          </w:p>
        </w:tc>
      </w:tr>
      <w:tr w:rsidR="00222FCC">
        <w:trPr>
          <w:trHeight w:val="223"/>
          <w:jc w:val="center"/>
        </w:trPr>
        <w:tc>
          <w:tcPr>
            <w:tcW w:w="2339" w:type="pct"/>
            <w:shd w:val="clear" w:color="auto" w:fill="auto"/>
            <w:vAlign w:val="center"/>
            <w:hideMark/>
          </w:tcPr>
          <w:p w:rsidR="00222FCC" w:rsidRDefault="00FD122A">
            <w:pPr>
              <w:spacing w:before="0" w:after="0"/>
              <w:rPr>
                <w:rFonts w:eastAsia="Times New Roman"/>
                <w:b/>
                <w:bCs/>
                <w:noProof/>
                <w:color w:val="000000"/>
                <w:sz w:val="22"/>
              </w:rPr>
            </w:pPr>
            <w:r>
              <w:rPr>
                <w:b/>
                <w:noProof/>
                <w:color w:val="000000"/>
                <w:sz w:val="22"/>
              </w:rPr>
              <w:t>Европейски социален фонд (ЕСФ)</w:t>
            </w:r>
            <w:r>
              <w:rPr>
                <w:noProof/>
                <w:color w:val="000000"/>
                <w:sz w:val="22"/>
              </w:rPr>
              <w:t>*</w:t>
            </w:r>
          </w:p>
          <w:p w:rsidR="00222FCC" w:rsidRDefault="00222FCC">
            <w:pPr>
              <w:spacing w:before="0" w:after="0"/>
              <w:rPr>
                <w:rFonts w:eastAsia="Times New Roman"/>
                <w:b/>
                <w:bCs/>
                <w:noProof/>
                <w:color w:val="000000"/>
                <w:sz w:val="22"/>
              </w:rPr>
            </w:pP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11,1</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12,1</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11,8</w:t>
            </w:r>
          </w:p>
        </w:tc>
        <w:tc>
          <w:tcPr>
            <w:tcW w:w="666"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35,0</w:t>
            </w:r>
          </w:p>
        </w:tc>
      </w:tr>
      <w:tr w:rsidR="00222FCC">
        <w:trPr>
          <w:trHeight w:val="436"/>
          <w:jc w:val="center"/>
        </w:trPr>
        <w:tc>
          <w:tcPr>
            <w:tcW w:w="2339" w:type="pct"/>
            <w:shd w:val="clear" w:color="auto" w:fill="auto"/>
            <w:vAlign w:val="center"/>
            <w:hideMark/>
          </w:tcPr>
          <w:p w:rsidR="00222FCC" w:rsidRDefault="00FD122A">
            <w:pPr>
              <w:spacing w:before="0" w:after="0"/>
              <w:rPr>
                <w:rFonts w:eastAsia="Times New Roman"/>
                <w:b/>
                <w:bCs/>
                <w:noProof/>
                <w:color w:val="000000"/>
                <w:sz w:val="22"/>
              </w:rPr>
            </w:pPr>
            <w:r>
              <w:rPr>
                <w:b/>
                <w:noProof/>
                <w:color w:val="000000"/>
                <w:sz w:val="22"/>
              </w:rPr>
              <w:t xml:space="preserve">Европейски земеделски фонд за развитие на селските райони (ЕЗФРСР) </w:t>
            </w:r>
            <w:r>
              <w:rPr>
                <w:noProof/>
                <w:color w:val="000000"/>
                <w:sz w:val="22"/>
              </w:rPr>
              <w:t>*</w:t>
            </w:r>
          </w:p>
          <w:p w:rsidR="00222FCC" w:rsidRDefault="00222FCC">
            <w:pPr>
              <w:spacing w:before="0" w:after="0"/>
              <w:rPr>
                <w:rFonts w:eastAsia="Times New Roman"/>
                <w:b/>
                <w:bCs/>
                <w:noProof/>
                <w:color w:val="000000"/>
                <w:sz w:val="22"/>
              </w:rPr>
            </w:pP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1,8</w:t>
            </w:r>
          </w:p>
        </w:tc>
        <w:tc>
          <w:tcPr>
            <w:tcW w:w="665" w:type="pct"/>
            <w:shd w:val="clear" w:color="auto" w:fill="auto"/>
            <w:noWrap/>
            <w:vAlign w:val="center"/>
            <w:hideMark/>
          </w:tcPr>
          <w:p w:rsidR="00222FCC" w:rsidRDefault="00222FCC">
            <w:pPr>
              <w:spacing w:before="0" w:after="0"/>
              <w:jc w:val="center"/>
              <w:rPr>
                <w:rFonts w:eastAsia="Times New Roman"/>
                <w:b/>
                <w:bCs/>
                <w:noProof/>
                <w:color w:val="000000"/>
                <w:sz w:val="22"/>
              </w:rPr>
            </w:pPr>
          </w:p>
        </w:tc>
        <w:tc>
          <w:tcPr>
            <w:tcW w:w="665" w:type="pct"/>
            <w:shd w:val="clear" w:color="auto" w:fill="auto"/>
            <w:noWrap/>
            <w:vAlign w:val="center"/>
            <w:hideMark/>
          </w:tcPr>
          <w:p w:rsidR="00222FCC" w:rsidRDefault="00222FCC">
            <w:pPr>
              <w:spacing w:before="0" w:after="0"/>
              <w:rPr>
                <w:rFonts w:eastAsia="Times New Roman"/>
                <w:b/>
                <w:bCs/>
                <w:noProof/>
                <w:color w:val="000000"/>
                <w:sz w:val="22"/>
              </w:rPr>
            </w:pPr>
          </w:p>
        </w:tc>
        <w:tc>
          <w:tcPr>
            <w:tcW w:w="666"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1,8</w:t>
            </w:r>
          </w:p>
        </w:tc>
      </w:tr>
      <w:tr w:rsidR="00222FCC">
        <w:trPr>
          <w:trHeight w:val="425"/>
          <w:jc w:val="center"/>
        </w:trPr>
        <w:tc>
          <w:tcPr>
            <w:tcW w:w="2339" w:type="pct"/>
            <w:shd w:val="clear" w:color="auto" w:fill="auto"/>
            <w:vAlign w:val="center"/>
            <w:hideMark/>
          </w:tcPr>
          <w:p w:rsidR="00222FCC" w:rsidRDefault="00FD122A">
            <w:pPr>
              <w:spacing w:before="0" w:after="0"/>
              <w:rPr>
                <w:rFonts w:eastAsia="Times New Roman"/>
                <w:b/>
                <w:bCs/>
                <w:noProof/>
                <w:color w:val="000000"/>
                <w:sz w:val="22"/>
              </w:rPr>
            </w:pPr>
            <w:r>
              <w:rPr>
                <w:b/>
                <w:noProof/>
                <w:color w:val="000000"/>
                <w:sz w:val="22"/>
              </w:rPr>
              <w:t>Неразпределен марж по Функция 1а (включително общ марж за поетите</w:t>
            </w:r>
            <w:r>
              <w:rPr>
                <w:b/>
                <w:noProof/>
                <w:color w:val="000000"/>
                <w:sz w:val="22"/>
              </w:rPr>
              <w:t xml:space="preserve"> задължения)</w:t>
            </w:r>
          </w:p>
          <w:p w:rsidR="00222FCC" w:rsidRDefault="00222FCC">
            <w:pPr>
              <w:spacing w:before="0" w:after="0"/>
              <w:rPr>
                <w:rFonts w:eastAsia="Times New Roman"/>
                <w:b/>
                <w:bCs/>
                <w:noProof/>
                <w:color w:val="000000"/>
                <w:sz w:val="22"/>
              </w:rPr>
            </w:pP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18,4</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30,5</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37,7</w:t>
            </w:r>
          </w:p>
        </w:tc>
        <w:tc>
          <w:tcPr>
            <w:tcW w:w="666"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86,5</w:t>
            </w:r>
          </w:p>
        </w:tc>
      </w:tr>
      <w:tr w:rsidR="00222FCC">
        <w:trPr>
          <w:trHeight w:val="223"/>
          <w:jc w:val="center"/>
        </w:trPr>
        <w:tc>
          <w:tcPr>
            <w:tcW w:w="2339" w:type="pct"/>
            <w:shd w:val="clear" w:color="auto" w:fill="auto"/>
            <w:vAlign w:val="center"/>
            <w:hideMark/>
          </w:tcPr>
          <w:p w:rsidR="00222FCC" w:rsidRDefault="00FD122A">
            <w:pPr>
              <w:spacing w:before="0" w:after="0"/>
              <w:rPr>
                <w:rFonts w:eastAsia="Times New Roman"/>
                <w:b/>
                <w:bCs/>
                <w:noProof/>
                <w:color w:val="000000"/>
                <w:sz w:val="22"/>
              </w:rPr>
            </w:pPr>
            <w:r>
              <w:rPr>
                <w:b/>
                <w:noProof/>
                <w:color w:val="000000"/>
                <w:sz w:val="22"/>
              </w:rPr>
              <w:t>Общо вноски към Европейския корпус за солидарност</w:t>
            </w:r>
          </w:p>
          <w:p w:rsidR="00222FCC" w:rsidRDefault="00222FCC">
            <w:pPr>
              <w:spacing w:before="0" w:after="0"/>
              <w:jc w:val="center"/>
              <w:rPr>
                <w:rFonts w:eastAsia="Times New Roman"/>
                <w:b/>
                <w:bCs/>
                <w:noProof/>
                <w:color w:val="000000"/>
                <w:sz w:val="22"/>
              </w:rPr>
            </w:pP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89,2</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118,7</w:t>
            </w:r>
          </w:p>
        </w:tc>
        <w:tc>
          <w:tcPr>
            <w:tcW w:w="665"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133,6</w:t>
            </w:r>
          </w:p>
        </w:tc>
        <w:tc>
          <w:tcPr>
            <w:tcW w:w="666" w:type="pct"/>
            <w:shd w:val="clear" w:color="auto" w:fill="auto"/>
            <w:noWrap/>
            <w:vAlign w:val="center"/>
            <w:hideMark/>
          </w:tcPr>
          <w:p w:rsidR="00222FCC" w:rsidRDefault="00FD122A">
            <w:pPr>
              <w:spacing w:before="0" w:after="0"/>
              <w:jc w:val="center"/>
              <w:rPr>
                <w:rFonts w:eastAsia="Times New Roman"/>
                <w:b/>
                <w:bCs/>
                <w:noProof/>
                <w:color w:val="000000"/>
                <w:sz w:val="22"/>
              </w:rPr>
            </w:pPr>
            <w:r>
              <w:rPr>
                <w:b/>
                <w:noProof/>
                <w:color w:val="000000"/>
                <w:sz w:val="22"/>
              </w:rPr>
              <w:t>341,5</w:t>
            </w:r>
          </w:p>
        </w:tc>
      </w:tr>
      <w:tr w:rsidR="00222FCC">
        <w:trPr>
          <w:trHeight w:val="660"/>
          <w:jc w:val="center"/>
        </w:trPr>
        <w:tc>
          <w:tcPr>
            <w:tcW w:w="5000" w:type="pct"/>
            <w:gridSpan w:val="5"/>
            <w:shd w:val="clear" w:color="auto" w:fill="auto"/>
            <w:hideMark/>
          </w:tcPr>
          <w:p w:rsidR="00222FCC" w:rsidRDefault="00222FCC">
            <w:pPr>
              <w:spacing w:before="0" w:after="0"/>
              <w:jc w:val="left"/>
              <w:rPr>
                <w:rFonts w:eastAsia="Times New Roman"/>
                <w:noProof/>
                <w:color w:val="000000"/>
                <w:sz w:val="20"/>
                <w:szCs w:val="20"/>
              </w:rPr>
            </w:pPr>
          </w:p>
          <w:p w:rsidR="00222FCC" w:rsidRDefault="00FD122A">
            <w:pPr>
              <w:spacing w:before="0" w:after="0"/>
              <w:jc w:val="left"/>
              <w:rPr>
                <w:rFonts w:eastAsia="Times New Roman"/>
                <w:noProof/>
                <w:color w:val="000000"/>
                <w:sz w:val="20"/>
                <w:szCs w:val="20"/>
              </w:rPr>
            </w:pPr>
            <w:r>
              <w:rPr>
                <w:noProof/>
                <w:color w:val="000000"/>
                <w:sz w:val="20"/>
              </w:rPr>
              <w:t xml:space="preserve">* Вноските от ЕЗФРСР и ЕСФ са от общия пакет за техническа помощ, включен във финансовото програмиране и все още неразпределен. </w:t>
            </w:r>
          </w:p>
        </w:tc>
      </w:tr>
    </w:tbl>
    <w:p w:rsidR="00222FCC" w:rsidRDefault="00222FCC">
      <w:pPr>
        <w:pStyle w:val="Text1"/>
        <w:rPr>
          <w:noProof/>
        </w:rPr>
      </w:pPr>
    </w:p>
    <w:p w:rsidR="00222FCC" w:rsidRDefault="00FD122A">
      <w:pPr>
        <w:pStyle w:val="ManualHeading3"/>
        <w:rPr>
          <w:noProof/>
          <w:u w:val="single"/>
        </w:rPr>
      </w:pPr>
      <w:r>
        <w:t>3.2.1.</w:t>
      </w:r>
      <w:r>
        <w:tab/>
      </w:r>
      <w:r>
        <w:rPr>
          <w:noProof/>
        </w:rPr>
        <w:t xml:space="preserve">Обобщение на очакваното отражение върху разходите </w:t>
      </w:r>
    </w:p>
    <w:p w:rsidR="00222FCC" w:rsidRDefault="00FD122A">
      <w:pPr>
        <w:jc w:val="right"/>
        <w:rPr>
          <w:noProof/>
          <w:sz w:val="20"/>
        </w:rPr>
      </w:pPr>
      <w:r>
        <w:rPr>
          <w:noProof/>
          <w:sz w:val="20"/>
        </w:rPr>
        <w:t>млн. EUR (до третия знак след десетичната запетая)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rsidR="00222FCC">
        <w:trPr>
          <w:jc w:val="center"/>
        </w:trPr>
        <w:tc>
          <w:tcPr>
            <w:tcW w:w="1739" w:type="pct"/>
            <w:shd w:val="thinDiagStripe" w:color="C0C0C0" w:fill="auto"/>
            <w:vAlign w:val="center"/>
          </w:tcPr>
          <w:p w:rsidR="00222FCC" w:rsidRDefault="00FD122A">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396" w:type="pct"/>
            <w:vAlign w:val="center"/>
          </w:tcPr>
          <w:p w:rsidR="00222FCC" w:rsidRDefault="00FD122A">
            <w:pPr>
              <w:spacing w:before="60" w:after="60"/>
              <w:jc w:val="center"/>
              <w:rPr>
                <w:noProof/>
              </w:rPr>
            </w:pPr>
            <w:r>
              <w:rPr>
                <w:noProof/>
                <w:sz w:val="22"/>
              </w:rPr>
              <w:t>1A</w:t>
            </w:r>
          </w:p>
        </w:tc>
        <w:tc>
          <w:tcPr>
            <w:tcW w:w="2865" w:type="pct"/>
            <w:vAlign w:val="center"/>
          </w:tcPr>
          <w:p w:rsidR="00222FCC" w:rsidRDefault="00FD122A">
            <w:pPr>
              <w:spacing w:before="60" w:after="60"/>
              <w:rPr>
                <w:noProof/>
              </w:rPr>
            </w:pPr>
            <w:r>
              <w:rPr>
                <w:noProof/>
              </w:rPr>
              <w:t>Европейски корпус за солидарност</w:t>
            </w:r>
          </w:p>
        </w:tc>
      </w:tr>
    </w:tbl>
    <w:p w:rsidR="00222FCC" w:rsidRDefault="00222FCC">
      <w:pPr>
        <w:rPr>
          <w:noProof/>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gridCol w:w="1877"/>
        <w:gridCol w:w="165"/>
        <w:gridCol w:w="753"/>
        <w:gridCol w:w="1129"/>
        <w:gridCol w:w="1129"/>
        <w:gridCol w:w="1129"/>
        <w:gridCol w:w="1126"/>
        <w:gridCol w:w="2312"/>
      </w:tblGrid>
      <w:tr w:rsidR="00222FCC">
        <w:tc>
          <w:tcPr>
            <w:tcW w:w="1748" w:type="pct"/>
            <w:vAlign w:val="center"/>
          </w:tcPr>
          <w:p w:rsidR="00222FCC" w:rsidRDefault="00FD122A">
            <w:pPr>
              <w:jc w:val="center"/>
              <w:rPr>
                <w:noProof/>
                <w:sz w:val="22"/>
              </w:rPr>
            </w:pPr>
            <w:r>
              <w:rPr>
                <w:noProof/>
                <w:sz w:val="22"/>
              </w:rPr>
              <w:t>ГД: „Образование и култура“</w:t>
            </w:r>
          </w:p>
        </w:tc>
        <w:tc>
          <w:tcPr>
            <w:tcW w:w="691" w:type="pct"/>
            <w:gridSpan w:val="2"/>
          </w:tcPr>
          <w:p w:rsidR="00222FCC" w:rsidRDefault="00222FCC">
            <w:pPr>
              <w:rPr>
                <w:noProof/>
                <w:sz w:val="22"/>
              </w:rPr>
            </w:pPr>
          </w:p>
        </w:tc>
        <w:tc>
          <w:tcPr>
            <w:tcW w:w="254" w:type="pct"/>
          </w:tcPr>
          <w:p w:rsidR="00222FCC" w:rsidRDefault="00222FCC">
            <w:pPr>
              <w:jc w:val="center"/>
              <w:rPr>
                <w:noProof/>
                <w:sz w:val="22"/>
              </w:rPr>
            </w:pPr>
          </w:p>
        </w:tc>
        <w:tc>
          <w:tcPr>
            <w:tcW w:w="381" w:type="pct"/>
            <w:vAlign w:val="center"/>
          </w:tcPr>
          <w:p w:rsidR="00222FCC" w:rsidRDefault="00FD122A">
            <w:pPr>
              <w:jc w:val="center"/>
              <w:rPr>
                <w:noProof/>
                <w:sz w:val="22"/>
              </w:rPr>
            </w:pPr>
            <w:r>
              <w:rPr>
                <w:noProof/>
                <w:sz w:val="22"/>
              </w:rPr>
              <w:t>ГОДИНА</w:t>
            </w:r>
          </w:p>
          <w:p w:rsidR="00222FCC" w:rsidRDefault="00FD122A">
            <w:pPr>
              <w:jc w:val="center"/>
              <w:rPr>
                <w:b/>
                <w:noProof/>
                <w:sz w:val="22"/>
              </w:rPr>
            </w:pPr>
            <w:r>
              <w:rPr>
                <w:b/>
                <w:noProof/>
                <w:sz w:val="22"/>
              </w:rPr>
              <w:t>2018</w:t>
            </w:r>
          </w:p>
        </w:tc>
        <w:tc>
          <w:tcPr>
            <w:tcW w:w="381" w:type="pct"/>
            <w:vAlign w:val="center"/>
          </w:tcPr>
          <w:p w:rsidR="00222FCC" w:rsidRDefault="00FD122A">
            <w:pPr>
              <w:jc w:val="center"/>
              <w:rPr>
                <w:noProof/>
                <w:sz w:val="22"/>
              </w:rPr>
            </w:pPr>
            <w:r>
              <w:rPr>
                <w:noProof/>
                <w:sz w:val="22"/>
              </w:rPr>
              <w:t>ГОДИНА</w:t>
            </w:r>
          </w:p>
          <w:p w:rsidR="00222FCC" w:rsidRDefault="00FD122A">
            <w:pPr>
              <w:jc w:val="center"/>
              <w:rPr>
                <w:noProof/>
                <w:sz w:val="22"/>
              </w:rPr>
            </w:pPr>
            <w:r>
              <w:rPr>
                <w:b/>
                <w:noProof/>
                <w:sz w:val="22"/>
              </w:rPr>
              <w:t>2019</w:t>
            </w:r>
          </w:p>
        </w:tc>
        <w:tc>
          <w:tcPr>
            <w:tcW w:w="381" w:type="pct"/>
            <w:vAlign w:val="center"/>
          </w:tcPr>
          <w:p w:rsidR="00222FCC" w:rsidRDefault="00FD122A">
            <w:pPr>
              <w:jc w:val="center"/>
              <w:rPr>
                <w:noProof/>
                <w:sz w:val="22"/>
              </w:rPr>
            </w:pPr>
            <w:r>
              <w:rPr>
                <w:noProof/>
                <w:sz w:val="22"/>
              </w:rPr>
              <w:t>ГОДИНА</w:t>
            </w:r>
          </w:p>
          <w:p w:rsidR="00222FCC" w:rsidRDefault="00FD122A">
            <w:pPr>
              <w:jc w:val="center"/>
              <w:rPr>
                <w:noProof/>
                <w:sz w:val="22"/>
              </w:rPr>
            </w:pPr>
            <w:r>
              <w:rPr>
                <w:b/>
                <w:noProof/>
                <w:sz w:val="22"/>
              </w:rPr>
              <w:t>2020</w:t>
            </w:r>
          </w:p>
        </w:tc>
        <w:tc>
          <w:tcPr>
            <w:tcW w:w="381" w:type="pct"/>
            <w:vAlign w:val="center"/>
          </w:tcPr>
          <w:p w:rsidR="00222FCC" w:rsidRDefault="00FD122A">
            <w:pPr>
              <w:jc w:val="center"/>
              <w:rPr>
                <w:noProof/>
                <w:sz w:val="22"/>
              </w:rPr>
            </w:pPr>
            <w:r>
              <w:rPr>
                <w:noProof/>
                <w:sz w:val="16"/>
              </w:rPr>
              <w:t>Следващи години</w:t>
            </w:r>
          </w:p>
        </w:tc>
        <w:tc>
          <w:tcPr>
            <w:tcW w:w="783" w:type="pct"/>
            <w:vAlign w:val="center"/>
          </w:tcPr>
          <w:p w:rsidR="00222FCC" w:rsidRDefault="00FD122A">
            <w:pPr>
              <w:jc w:val="center"/>
              <w:rPr>
                <w:b/>
                <w:noProof/>
                <w:sz w:val="22"/>
              </w:rPr>
            </w:pPr>
            <w:r>
              <w:rPr>
                <w:b/>
                <w:noProof/>
                <w:sz w:val="22"/>
              </w:rPr>
              <w:t>ОБЩО</w:t>
            </w:r>
          </w:p>
        </w:tc>
      </w:tr>
      <w:tr w:rsidR="00222FCC">
        <w:trPr>
          <w:trHeight w:val="213"/>
        </w:trPr>
        <w:tc>
          <w:tcPr>
            <w:tcW w:w="2694" w:type="pct"/>
            <w:gridSpan w:val="4"/>
            <w:vAlign w:val="center"/>
          </w:tcPr>
          <w:p w:rsidR="00222FCC" w:rsidRDefault="00FD122A">
            <w:pPr>
              <w:spacing w:before="20" w:after="20"/>
              <w:rPr>
                <w:noProof/>
                <w:sz w:val="20"/>
                <w:szCs w:val="20"/>
              </w:rPr>
            </w:pPr>
            <w:r>
              <w:rPr>
                <w:noProof/>
                <w:sz w:val="20"/>
                <w:szCs w:val="20"/>
              </w:rPr>
              <w:sym w:font="Wingdings" w:char="F09F"/>
            </w:r>
            <w:r>
              <w:rPr>
                <w:noProof/>
                <w:sz w:val="20"/>
              </w:rPr>
              <w:t xml:space="preserve"> Бюджетни кредити за оперативни разходи</w:t>
            </w:r>
          </w:p>
        </w:tc>
        <w:tc>
          <w:tcPr>
            <w:tcW w:w="381" w:type="pct"/>
            <w:vAlign w:val="center"/>
          </w:tcPr>
          <w:p w:rsidR="00222FCC" w:rsidRDefault="00222FCC">
            <w:pPr>
              <w:rPr>
                <w:noProof/>
                <w:sz w:val="20"/>
                <w:szCs w:val="20"/>
              </w:rPr>
            </w:pPr>
          </w:p>
        </w:tc>
        <w:tc>
          <w:tcPr>
            <w:tcW w:w="381" w:type="pct"/>
            <w:vAlign w:val="center"/>
          </w:tcPr>
          <w:p w:rsidR="00222FCC" w:rsidRDefault="00222FCC">
            <w:pPr>
              <w:rPr>
                <w:noProof/>
                <w:sz w:val="20"/>
                <w:szCs w:val="20"/>
              </w:rPr>
            </w:pPr>
          </w:p>
        </w:tc>
        <w:tc>
          <w:tcPr>
            <w:tcW w:w="381" w:type="pct"/>
            <w:vAlign w:val="center"/>
          </w:tcPr>
          <w:p w:rsidR="00222FCC" w:rsidRDefault="00222FCC">
            <w:pPr>
              <w:rPr>
                <w:noProof/>
                <w:sz w:val="20"/>
                <w:szCs w:val="20"/>
              </w:rPr>
            </w:pPr>
          </w:p>
        </w:tc>
        <w:tc>
          <w:tcPr>
            <w:tcW w:w="381" w:type="pct"/>
            <w:vAlign w:val="center"/>
          </w:tcPr>
          <w:p w:rsidR="00222FCC" w:rsidRDefault="00222FCC">
            <w:pPr>
              <w:rPr>
                <w:noProof/>
                <w:sz w:val="20"/>
                <w:szCs w:val="20"/>
              </w:rPr>
            </w:pPr>
          </w:p>
        </w:tc>
        <w:tc>
          <w:tcPr>
            <w:tcW w:w="783" w:type="pct"/>
            <w:vAlign w:val="center"/>
          </w:tcPr>
          <w:p w:rsidR="00222FCC" w:rsidRDefault="00222FCC">
            <w:pPr>
              <w:rPr>
                <w:b/>
                <w:noProof/>
                <w:sz w:val="20"/>
                <w:szCs w:val="20"/>
              </w:rPr>
            </w:pPr>
          </w:p>
        </w:tc>
      </w:tr>
      <w:tr w:rsidR="00222FCC">
        <w:trPr>
          <w:trHeight w:val="277"/>
        </w:trPr>
        <w:tc>
          <w:tcPr>
            <w:tcW w:w="1748" w:type="pct"/>
            <w:vMerge w:val="restart"/>
            <w:vAlign w:val="center"/>
          </w:tcPr>
          <w:p w:rsidR="00222FCC" w:rsidRDefault="00FD122A">
            <w:pPr>
              <w:rPr>
                <w:noProof/>
                <w:sz w:val="20"/>
                <w:szCs w:val="20"/>
              </w:rPr>
            </w:pPr>
            <w:r>
              <w:rPr>
                <w:noProof/>
              </w:rPr>
              <w:t>15 05 01 Европейски корпус за солидарност</w:t>
            </w:r>
          </w:p>
        </w:tc>
        <w:tc>
          <w:tcPr>
            <w:tcW w:w="635" w:type="pct"/>
            <w:vAlign w:val="center"/>
          </w:tcPr>
          <w:p w:rsidR="00222FCC" w:rsidRDefault="00FD122A">
            <w:pPr>
              <w:spacing w:before="20" w:after="20"/>
              <w:rPr>
                <w:noProof/>
                <w:sz w:val="20"/>
                <w:szCs w:val="20"/>
              </w:rPr>
            </w:pPr>
            <w:r>
              <w:rPr>
                <w:noProof/>
                <w:sz w:val="20"/>
              </w:rPr>
              <w:t>Поети задължения</w:t>
            </w:r>
          </w:p>
        </w:tc>
        <w:tc>
          <w:tcPr>
            <w:tcW w:w="311" w:type="pct"/>
            <w:gridSpan w:val="2"/>
            <w:vAlign w:val="center"/>
          </w:tcPr>
          <w:p w:rsidR="00222FCC" w:rsidRDefault="00FD122A">
            <w:pPr>
              <w:spacing w:before="20" w:after="20"/>
              <w:jc w:val="center"/>
              <w:rPr>
                <w:noProof/>
                <w:sz w:val="20"/>
                <w:szCs w:val="20"/>
              </w:rPr>
            </w:pPr>
            <w:r>
              <w:rPr>
                <w:noProof/>
                <w:sz w:val="20"/>
              </w:rPr>
              <w:t>(1)</w:t>
            </w:r>
          </w:p>
        </w:tc>
        <w:tc>
          <w:tcPr>
            <w:tcW w:w="381" w:type="pct"/>
            <w:vAlign w:val="center"/>
          </w:tcPr>
          <w:p w:rsidR="00222FCC" w:rsidRDefault="00FD122A">
            <w:pPr>
              <w:spacing w:before="20" w:after="20"/>
              <w:jc w:val="right"/>
              <w:rPr>
                <w:noProof/>
                <w:sz w:val="20"/>
                <w:szCs w:val="20"/>
              </w:rPr>
            </w:pPr>
            <w:r>
              <w:rPr>
                <w:noProof/>
                <w:sz w:val="20"/>
              </w:rPr>
              <w:t>68,236</w:t>
            </w:r>
          </w:p>
        </w:tc>
        <w:tc>
          <w:tcPr>
            <w:tcW w:w="381" w:type="pct"/>
            <w:vAlign w:val="center"/>
          </w:tcPr>
          <w:p w:rsidR="00222FCC" w:rsidRDefault="00FD122A">
            <w:pPr>
              <w:spacing w:before="20" w:after="20"/>
              <w:jc w:val="right"/>
              <w:rPr>
                <w:noProof/>
                <w:sz w:val="20"/>
                <w:szCs w:val="20"/>
              </w:rPr>
            </w:pPr>
            <w:r>
              <w:rPr>
                <w:noProof/>
                <w:sz w:val="20"/>
              </w:rPr>
              <w:t>98,596</w:t>
            </w:r>
          </w:p>
        </w:tc>
        <w:tc>
          <w:tcPr>
            <w:tcW w:w="381" w:type="pct"/>
            <w:vAlign w:val="center"/>
          </w:tcPr>
          <w:p w:rsidR="00222FCC" w:rsidRDefault="00FD122A">
            <w:pPr>
              <w:spacing w:before="20" w:after="20"/>
              <w:jc w:val="right"/>
              <w:rPr>
                <w:noProof/>
                <w:sz w:val="20"/>
                <w:szCs w:val="20"/>
              </w:rPr>
            </w:pPr>
            <w:r>
              <w:rPr>
                <w:noProof/>
                <w:sz w:val="20"/>
              </w:rPr>
              <w:t>114,368</w:t>
            </w:r>
          </w:p>
        </w:tc>
        <w:tc>
          <w:tcPr>
            <w:tcW w:w="381" w:type="pct"/>
            <w:vAlign w:val="center"/>
          </w:tcPr>
          <w:p w:rsidR="00222FCC" w:rsidRDefault="00FD122A">
            <w:pPr>
              <w:spacing w:before="20" w:after="20"/>
              <w:jc w:val="right"/>
              <w:rPr>
                <w:noProof/>
                <w:sz w:val="20"/>
                <w:szCs w:val="20"/>
              </w:rPr>
            </w:pPr>
            <w:r>
              <w:rPr>
                <w:noProof/>
                <w:sz w:val="20"/>
              </w:rPr>
              <w:t>0,000</w:t>
            </w:r>
          </w:p>
        </w:tc>
        <w:tc>
          <w:tcPr>
            <w:tcW w:w="783" w:type="pct"/>
            <w:vAlign w:val="center"/>
          </w:tcPr>
          <w:p w:rsidR="00222FCC" w:rsidRDefault="00FD122A">
            <w:pPr>
              <w:spacing w:before="20" w:after="20"/>
              <w:jc w:val="right"/>
              <w:rPr>
                <w:b/>
                <w:noProof/>
                <w:sz w:val="20"/>
                <w:szCs w:val="20"/>
              </w:rPr>
            </w:pPr>
            <w:r>
              <w:rPr>
                <w:b/>
                <w:noProof/>
                <w:sz w:val="20"/>
              </w:rPr>
              <w:t>281,200</w:t>
            </w:r>
          </w:p>
        </w:tc>
      </w:tr>
      <w:tr w:rsidR="00222FCC">
        <w:tc>
          <w:tcPr>
            <w:tcW w:w="1748" w:type="pct"/>
            <w:vMerge/>
          </w:tcPr>
          <w:p w:rsidR="00222FCC" w:rsidRDefault="00222FCC">
            <w:pPr>
              <w:jc w:val="center"/>
              <w:rPr>
                <w:noProof/>
                <w:sz w:val="20"/>
                <w:szCs w:val="20"/>
              </w:rPr>
            </w:pPr>
          </w:p>
        </w:tc>
        <w:tc>
          <w:tcPr>
            <w:tcW w:w="635" w:type="pct"/>
            <w:vAlign w:val="center"/>
          </w:tcPr>
          <w:p w:rsidR="00222FCC" w:rsidRDefault="00FD122A">
            <w:pPr>
              <w:spacing w:before="20" w:after="20"/>
              <w:rPr>
                <w:noProof/>
                <w:sz w:val="20"/>
                <w:szCs w:val="20"/>
              </w:rPr>
            </w:pPr>
            <w:r>
              <w:rPr>
                <w:noProof/>
                <w:sz w:val="20"/>
              </w:rPr>
              <w:t>Плащания</w:t>
            </w:r>
          </w:p>
        </w:tc>
        <w:tc>
          <w:tcPr>
            <w:tcW w:w="311" w:type="pct"/>
            <w:gridSpan w:val="2"/>
            <w:vAlign w:val="center"/>
          </w:tcPr>
          <w:p w:rsidR="00222FCC" w:rsidRDefault="00FD122A">
            <w:pPr>
              <w:spacing w:before="20" w:after="20"/>
              <w:jc w:val="center"/>
              <w:rPr>
                <w:noProof/>
                <w:sz w:val="20"/>
                <w:szCs w:val="20"/>
              </w:rPr>
            </w:pPr>
            <w:r>
              <w:rPr>
                <w:noProof/>
                <w:sz w:val="20"/>
              </w:rPr>
              <w:t>(2)</w:t>
            </w:r>
          </w:p>
        </w:tc>
        <w:tc>
          <w:tcPr>
            <w:tcW w:w="381" w:type="pct"/>
            <w:vAlign w:val="center"/>
          </w:tcPr>
          <w:p w:rsidR="00222FCC" w:rsidRDefault="00FD122A">
            <w:pPr>
              <w:spacing w:before="20" w:after="20"/>
              <w:jc w:val="right"/>
              <w:rPr>
                <w:noProof/>
                <w:sz w:val="20"/>
                <w:szCs w:val="20"/>
              </w:rPr>
            </w:pPr>
            <w:r>
              <w:rPr>
                <w:noProof/>
                <w:sz w:val="20"/>
              </w:rPr>
              <w:t>51,177</w:t>
            </w:r>
          </w:p>
        </w:tc>
        <w:tc>
          <w:tcPr>
            <w:tcW w:w="381" w:type="pct"/>
            <w:vAlign w:val="center"/>
          </w:tcPr>
          <w:p w:rsidR="00222FCC" w:rsidRDefault="00FD122A">
            <w:pPr>
              <w:spacing w:before="20" w:after="20"/>
              <w:jc w:val="right"/>
              <w:rPr>
                <w:noProof/>
                <w:sz w:val="20"/>
                <w:szCs w:val="20"/>
              </w:rPr>
            </w:pPr>
            <w:r>
              <w:rPr>
                <w:noProof/>
                <w:sz w:val="20"/>
              </w:rPr>
              <w:t>97,454</w:t>
            </w:r>
          </w:p>
        </w:tc>
        <w:tc>
          <w:tcPr>
            <w:tcW w:w="381" w:type="pct"/>
            <w:vAlign w:val="center"/>
          </w:tcPr>
          <w:p w:rsidR="00222FCC" w:rsidRDefault="00FD122A">
            <w:pPr>
              <w:spacing w:before="20" w:after="20"/>
              <w:jc w:val="right"/>
              <w:rPr>
                <w:noProof/>
                <w:sz w:val="20"/>
                <w:szCs w:val="20"/>
              </w:rPr>
            </w:pPr>
            <w:r>
              <w:rPr>
                <w:noProof/>
                <w:sz w:val="20"/>
              </w:rPr>
              <w:t>110,484</w:t>
            </w:r>
          </w:p>
        </w:tc>
        <w:tc>
          <w:tcPr>
            <w:tcW w:w="381" w:type="pct"/>
            <w:vAlign w:val="center"/>
          </w:tcPr>
          <w:p w:rsidR="00222FCC" w:rsidRDefault="00FD122A">
            <w:pPr>
              <w:spacing w:before="20" w:after="20"/>
              <w:jc w:val="right"/>
              <w:rPr>
                <w:noProof/>
                <w:sz w:val="20"/>
                <w:szCs w:val="20"/>
              </w:rPr>
            </w:pPr>
            <w:r>
              <w:rPr>
                <w:noProof/>
                <w:sz w:val="20"/>
              </w:rPr>
              <w:t>22,085</w:t>
            </w:r>
          </w:p>
        </w:tc>
        <w:tc>
          <w:tcPr>
            <w:tcW w:w="783" w:type="pct"/>
            <w:vAlign w:val="center"/>
          </w:tcPr>
          <w:p w:rsidR="00222FCC" w:rsidRDefault="00FD122A">
            <w:pPr>
              <w:spacing w:before="20" w:after="20"/>
              <w:jc w:val="right"/>
              <w:rPr>
                <w:b/>
                <w:noProof/>
                <w:sz w:val="20"/>
                <w:szCs w:val="20"/>
              </w:rPr>
            </w:pPr>
            <w:r>
              <w:rPr>
                <w:b/>
                <w:noProof/>
                <w:sz w:val="20"/>
              </w:rPr>
              <w:t>281,200</w:t>
            </w:r>
          </w:p>
        </w:tc>
      </w:tr>
      <w:tr w:rsidR="00222FCC">
        <w:trPr>
          <w:trHeight w:val="231"/>
        </w:trPr>
        <w:tc>
          <w:tcPr>
            <w:tcW w:w="2694" w:type="pct"/>
            <w:gridSpan w:val="4"/>
            <w:vAlign w:val="center"/>
          </w:tcPr>
          <w:p w:rsidR="00222FCC" w:rsidRDefault="00FD122A">
            <w:pPr>
              <w:spacing w:before="20" w:after="20"/>
              <w:rPr>
                <w:noProof/>
                <w:sz w:val="20"/>
                <w:szCs w:val="20"/>
              </w:rPr>
            </w:pPr>
            <w:r>
              <w:rPr>
                <w:noProof/>
                <w:sz w:val="20"/>
              </w:rPr>
              <w:t>Бюджетни кредити за административни</w:t>
            </w:r>
            <w:r>
              <w:rPr>
                <w:noProof/>
                <w:sz w:val="20"/>
              </w:rPr>
              <w:t xml:space="preserve"> разходи, финансирани от пакета за определени програми</w:t>
            </w:r>
            <w:r>
              <w:rPr>
                <w:rStyle w:val="FootnoteReference"/>
                <w:noProof/>
                <w:sz w:val="20"/>
              </w:rPr>
              <w:footnoteReference w:id="39"/>
            </w:r>
            <w:r>
              <w:rPr>
                <w:noProof/>
                <w:sz w:val="20"/>
              </w:rPr>
              <w:t xml:space="preserve"> </w:t>
            </w:r>
          </w:p>
          <w:p w:rsidR="00222FCC" w:rsidRDefault="00222FCC">
            <w:pPr>
              <w:spacing w:before="0" w:after="0"/>
              <w:rPr>
                <w:noProof/>
                <w:sz w:val="20"/>
                <w:szCs w:val="20"/>
              </w:rPr>
            </w:pPr>
          </w:p>
        </w:tc>
        <w:tc>
          <w:tcPr>
            <w:tcW w:w="381" w:type="pct"/>
            <w:vAlign w:val="center"/>
          </w:tcPr>
          <w:p w:rsidR="00222FCC" w:rsidRDefault="00222FCC">
            <w:pPr>
              <w:rPr>
                <w:b/>
                <w:noProof/>
                <w:sz w:val="20"/>
                <w:szCs w:val="20"/>
              </w:rPr>
            </w:pPr>
          </w:p>
        </w:tc>
        <w:tc>
          <w:tcPr>
            <w:tcW w:w="381" w:type="pct"/>
            <w:vAlign w:val="center"/>
          </w:tcPr>
          <w:p w:rsidR="00222FCC" w:rsidRDefault="00222FCC">
            <w:pPr>
              <w:rPr>
                <w:b/>
                <w:noProof/>
                <w:sz w:val="20"/>
                <w:szCs w:val="20"/>
              </w:rPr>
            </w:pPr>
          </w:p>
        </w:tc>
        <w:tc>
          <w:tcPr>
            <w:tcW w:w="381" w:type="pct"/>
            <w:vAlign w:val="center"/>
          </w:tcPr>
          <w:p w:rsidR="00222FCC" w:rsidRDefault="00FD122A">
            <w:pPr>
              <w:rPr>
                <w:b/>
                <w:noProof/>
                <w:sz w:val="20"/>
                <w:szCs w:val="20"/>
              </w:rPr>
            </w:pPr>
            <w:r>
              <w:rPr>
                <w:b/>
                <w:noProof/>
                <w:sz w:val="20"/>
              </w:rPr>
              <w:t> </w:t>
            </w:r>
          </w:p>
        </w:tc>
        <w:tc>
          <w:tcPr>
            <w:tcW w:w="381" w:type="pct"/>
            <w:vAlign w:val="center"/>
          </w:tcPr>
          <w:p w:rsidR="00222FCC" w:rsidRDefault="00FD122A">
            <w:pPr>
              <w:rPr>
                <w:b/>
                <w:noProof/>
                <w:sz w:val="20"/>
                <w:szCs w:val="20"/>
              </w:rPr>
            </w:pPr>
            <w:r>
              <w:rPr>
                <w:b/>
                <w:noProof/>
                <w:sz w:val="20"/>
              </w:rPr>
              <w:t> </w:t>
            </w:r>
          </w:p>
        </w:tc>
        <w:tc>
          <w:tcPr>
            <w:tcW w:w="783" w:type="pct"/>
            <w:vAlign w:val="center"/>
          </w:tcPr>
          <w:p w:rsidR="00222FCC" w:rsidRDefault="00FD122A">
            <w:pPr>
              <w:rPr>
                <w:b/>
                <w:noProof/>
                <w:sz w:val="20"/>
                <w:szCs w:val="20"/>
              </w:rPr>
            </w:pPr>
            <w:r>
              <w:rPr>
                <w:b/>
                <w:noProof/>
                <w:sz w:val="20"/>
              </w:rPr>
              <w:t> </w:t>
            </w:r>
          </w:p>
        </w:tc>
      </w:tr>
      <w:tr w:rsidR="00222FCC">
        <w:trPr>
          <w:trHeight w:val="319"/>
        </w:trPr>
        <w:tc>
          <w:tcPr>
            <w:tcW w:w="1748" w:type="pct"/>
            <w:vAlign w:val="center"/>
          </w:tcPr>
          <w:p w:rsidR="00222FCC" w:rsidRDefault="00FD122A">
            <w:pPr>
              <w:spacing w:before="60" w:after="60"/>
              <w:rPr>
                <w:noProof/>
                <w:sz w:val="20"/>
                <w:szCs w:val="20"/>
              </w:rPr>
            </w:pPr>
            <w:r>
              <w:rPr>
                <w:noProof/>
              </w:rPr>
              <w:t>15 01 04 03 Разходи за поддръжка за Европейския корпус за солидарност</w:t>
            </w:r>
          </w:p>
        </w:tc>
        <w:tc>
          <w:tcPr>
            <w:tcW w:w="635" w:type="pct"/>
            <w:vAlign w:val="center"/>
          </w:tcPr>
          <w:p w:rsidR="00222FCC" w:rsidRDefault="00222FCC">
            <w:pPr>
              <w:spacing w:before="40" w:after="40"/>
              <w:jc w:val="right"/>
              <w:rPr>
                <w:noProof/>
                <w:sz w:val="20"/>
                <w:szCs w:val="20"/>
              </w:rPr>
            </w:pPr>
          </w:p>
        </w:tc>
        <w:tc>
          <w:tcPr>
            <w:tcW w:w="311" w:type="pct"/>
            <w:gridSpan w:val="2"/>
            <w:vAlign w:val="center"/>
          </w:tcPr>
          <w:p w:rsidR="00222FCC" w:rsidRDefault="00FD122A">
            <w:pPr>
              <w:spacing w:before="40" w:after="40"/>
              <w:jc w:val="center"/>
              <w:rPr>
                <w:noProof/>
                <w:sz w:val="20"/>
                <w:szCs w:val="20"/>
              </w:rPr>
            </w:pPr>
            <w:r>
              <w:rPr>
                <w:noProof/>
                <w:sz w:val="20"/>
              </w:rPr>
              <w:t>(3)</w:t>
            </w:r>
          </w:p>
        </w:tc>
        <w:tc>
          <w:tcPr>
            <w:tcW w:w="381" w:type="pct"/>
            <w:vAlign w:val="center"/>
          </w:tcPr>
          <w:p w:rsidR="00222FCC" w:rsidRDefault="00FD122A">
            <w:pPr>
              <w:spacing w:before="40" w:after="40"/>
              <w:jc w:val="right"/>
              <w:rPr>
                <w:noProof/>
                <w:sz w:val="20"/>
                <w:szCs w:val="20"/>
              </w:rPr>
            </w:pPr>
            <w:r>
              <w:rPr>
                <w:noProof/>
                <w:sz w:val="20"/>
              </w:rPr>
              <w:t>4,550</w:t>
            </w:r>
          </w:p>
        </w:tc>
        <w:tc>
          <w:tcPr>
            <w:tcW w:w="381" w:type="pct"/>
            <w:vAlign w:val="center"/>
          </w:tcPr>
          <w:p w:rsidR="00222FCC" w:rsidRDefault="00FD122A">
            <w:pPr>
              <w:spacing w:before="40" w:after="40"/>
              <w:jc w:val="right"/>
              <w:rPr>
                <w:noProof/>
                <w:sz w:val="20"/>
                <w:szCs w:val="20"/>
              </w:rPr>
            </w:pPr>
            <w:r>
              <w:rPr>
                <w:noProof/>
                <w:sz w:val="20"/>
              </w:rPr>
              <w:t>4,550</w:t>
            </w:r>
          </w:p>
        </w:tc>
        <w:tc>
          <w:tcPr>
            <w:tcW w:w="381" w:type="pct"/>
            <w:vAlign w:val="center"/>
          </w:tcPr>
          <w:p w:rsidR="00222FCC" w:rsidRDefault="00FD122A">
            <w:pPr>
              <w:spacing w:before="40" w:after="40"/>
              <w:jc w:val="right"/>
              <w:rPr>
                <w:noProof/>
                <w:sz w:val="20"/>
                <w:szCs w:val="20"/>
              </w:rPr>
            </w:pPr>
            <w:r>
              <w:rPr>
                <w:noProof/>
                <w:sz w:val="20"/>
              </w:rPr>
              <w:t>3,900</w:t>
            </w:r>
          </w:p>
        </w:tc>
        <w:tc>
          <w:tcPr>
            <w:tcW w:w="381" w:type="pct"/>
            <w:vAlign w:val="center"/>
          </w:tcPr>
          <w:p w:rsidR="00222FCC" w:rsidRDefault="00FD122A">
            <w:pPr>
              <w:spacing w:before="40" w:after="40"/>
              <w:jc w:val="right"/>
              <w:rPr>
                <w:noProof/>
                <w:sz w:val="20"/>
                <w:szCs w:val="20"/>
              </w:rPr>
            </w:pPr>
            <w:r>
              <w:rPr>
                <w:noProof/>
                <w:sz w:val="20"/>
              </w:rPr>
              <w:t>0,000</w:t>
            </w:r>
          </w:p>
        </w:tc>
        <w:tc>
          <w:tcPr>
            <w:tcW w:w="783" w:type="pct"/>
            <w:vAlign w:val="center"/>
          </w:tcPr>
          <w:p w:rsidR="00222FCC" w:rsidRDefault="00FD122A">
            <w:pPr>
              <w:spacing w:before="40" w:after="40"/>
              <w:jc w:val="right"/>
              <w:rPr>
                <w:b/>
                <w:noProof/>
                <w:sz w:val="20"/>
                <w:szCs w:val="20"/>
              </w:rPr>
            </w:pPr>
            <w:r>
              <w:rPr>
                <w:b/>
                <w:noProof/>
                <w:sz w:val="20"/>
              </w:rPr>
              <w:t>13,000</w:t>
            </w:r>
          </w:p>
        </w:tc>
      </w:tr>
      <w:tr w:rsidR="00222FCC">
        <w:tc>
          <w:tcPr>
            <w:tcW w:w="1748" w:type="pct"/>
            <w:vMerge w:val="restart"/>
            <w:vAlign w:val="center"/>
          </w:tcPr>
          <w:p w:rsidR="00222FCC" w:rsidRDefault="00FD122A">
            <w:pPr>
              <w:jc w:val="center"/>
              <w:rPr>
                <w:b/>
                <w:noProof/>
                <w:sz w:val="22"/>
              </w:rPr>
            </w:pPr>
            <w:r>
              <w:rPr>
                <w:b/>
                <w:noProof/>
                <w:sz w:val="22"/>
              </w:rPr>
              <w:t>ОБЩО бюджетни кредити</w:t>
            </w:r>
            <w:r>
              <w:rPr>
                <w:noProof/>
                <w:sz w:val="22"/>
              </w:rPr>
              <w:br/>
            </w:r>
            <w:r>
              <w:rPr>
                <w:b/>
                <w:noProof/>
                <w:sz w:val="22"/>
              </w:rPr>
              <w:t xml:space="preserve">за ГД </w:t>
            </w:r>
            <w:r>
              <w:rPr>
                <w:noProof/>
                <w:sz w:val="22"/>
              </w:rPr>
              <w:t>„Образование и култура“</w:t>
            </w:r>
          </w:p>
        </w:tc>
        <w:tc>
          <w:tcPr>
            <w:tcW w:w="635" w:type="pct"/>
            <w:vAlign w:val="center"/>
          </w:tcPr>
          <w:p w:rsidR="00222FCC" w:rsidRDefault="00FD122A">
            <w:pPr>
              <w:rPr>
                <w:noProof/>
                <w:sz w:val="20"/>
                <w:szCs w:val="20"/>
              </w:rPr>
            </w:pPr>
            <w:r>
              <w:rPr>
                <w:noProof/>
                <w:sz w:val="20"/>
              </w:rPr>
              <w:t>Поети задължения</w:t>
            </w:r>
          </w:p>
        </w:tc>
        <w:tc>
          <w:tcPr>
            <w:tcW w:w="311" w:type="pct"/>
            <w:gridSpan w:val="2"/>
            <w:vAlign w:val="center"/>
          </w:tcPr>
          <w:p w:rsidR="00222FCC" w:rsidRDefault="00FD122A">
            <w:pPr>
              <w:jc w:val="center"/>
              <w:rPr>
                <w:noProof/>
                <w:sz w:val="20"/>
                <w:szCs w:val="20"/>
              </w:rPr>
            </w:pPr>
            <w:r>
              <w:rPr>
                <w:noProof/>
                <w:sz w:val="20"/>
              </w:rPr>
              <w:t>=1+1а +3</w:t>
            </w:r>
          </w:p>
        </w:tc>
        <w:tc>
          <w:tcPr>
            <w:tcW w:w="381" w:type="pct"/>
            <w:vAlign w:val="center"/>
          </w:tcPr>
          <w:p w:rsidR="00222FCC" w:rsidRDefault="00FD122A">
            <w:pPr>
              <w:spacing w:before="20" w:after="20"/>
              <w:jc w:val="right"/>
              <w:rPr>
                <w:noProof/>
                <w:sz w:val="20"/>
                <w:szCs w:val="20"/>
              </w:rPr>
            </w:pPr>
            <w:r>
              <w:rPr>
                <w:noProof/>
                <w:sz w:val="20"/>
              </w:rPr>
              <w:t>72,786</w:t>
            </w:r>
          </w:p>
        </w:tc>
        <w:tc>
          <w:tcPr>
            <w:tcW w:w="381" w:type="pct"/>
            <w:vAlign w:val="center"/>
          </w:tcPr>
          <w:p w:rsidR="00222FCC" w:rsidRDefault="00FD122A">
            <w:pPr>
              <w:spacing w:before="20" w:after="20"/>
              <w:jc w:val="right"/>
              <w:rPr>
                <w:noProof/>
                <w:sz w:val="20"/>
                <w:szCs w:val="20"/>
              </w:rPr>
            </w:pPr>
            <w:r>
              <w:rPr>
                <w:noProof/>
                <w:sz w:val="20"/>
              </w:rPr>
              <w:t>103,146</w:t>
            </w:r>
          </w:p>
        </w:tc>
        <w:tc>
          <w:tcPr>
            <w:tcW w:w="381" w:type="pct"/>
            <w:vAlign w:val="center"/>
          </w:tcPr>
          <w:p w:rsidR="00222FCC" w:rsidRDefault="00FD122A">
            <w:pPr>
              <w:spacing w:before="20" w:after="20"/>
              <w:jc w:val="right"/>
              <w:rPr>
                <w:noProof/>
                <w:sz w:val="20"/>
                <w:szCs w:val="20"/>
              </w:rPr>
            </w:pPr>
            <w:r>
              <w:rPr>
                <w:noProof/>
                <w:sz w:val="20"/>
              </w:rPr>
              <w:t>118,268</w:t>
            </w:r>
          </w:p>
        </w:tc>
        <w:tc>
          <w:tcPr>
            <w:tcW w:w="381" w:type="pct"/>
            <w:vAlign w:val="center"/>
          </w:tcPr>
          <w:p w:rsidR="00222FCC" w:rsidRDefault="00FD122A">
            <w:pPr>
              <w:spacing w:before="20" w:after="20"/>
              <w:jc w:val="right"/>
              <w:rPr>
                <w:noProof/>
                <w:sz w:val="20"/>
                <w:szCs w:val="20"/>
              </w:rPr>
            </w:pPr>
            <w:r>
              <w:rPr>
                <w:noProof/>
                <w:sz w:val="20"/>
              </w:rPr>
              <w:t>0,000</w:t>
            </w:r>
          </w:p>
        </w:tc>
        <w:tc>
          <w:tcPr>
            <w:tcW w:w="783" w:type="pct"/>
            <w:vAlign w:val="center"/>
          </w:tcPr>
          <w:p w:rsidR="00222FCC" w:rsidRDefault="00FD122A">
            <w:pPr>
              <w:spacing w:before="20" w:after="20"/>
              <w:jc w:val="right"/>
              <w:rPr>
                <w:b/>
                <w:noProof/>
                <w:sz w:val="20"/>
                <w:szCs w:val="20"/>
              </w:rPr>
            </w:pPr>
            <w:r>
              <w:rPr>
                <w:b/>
                <w:noProof/>
                <w:sz w:val="20"/>
              </w:rPr>
              <w:t>294,200</w:t>
            </w:r>
          </w:p>
        </w:tc>
      </w:tr>
      <w:tr w:rsidR="00222FCC">
        <w:tc>
          <w:tcPr>
            <w:tcW w:w="1748" w:type="pct"/>
            <w:vMerge/>
          </w:tcPr>
          <w:p w:rsidR="00222FCC" w:rsidRDefault="00222FCC">
            <w:pPr>
              <w:rPr>
                <w:noProof/>
                <w:sz w:val="20"/>
                <w:szCs w:val="20"/>
              </w:rPr>
            </w:pPr>
          </w:p>
        </w:tc>
        <w:tc>
          <w:tcPr>
            <w:tcW w:w="635" w:type="pct"/>
            <w:vAlign w:val="center"/>
          </w:tcPr>
          <w:p w:rsidR="00222FCC" w:rsidRDefault="00FD122A">
            <w:pPr>
              <w:rPr>
                <w:noProof/>
                <w:sz w:val="20"/>
                <w:szCs w:val="20"/>
              </w:rPr>
            </w:pPr>
            <w:r>
              <w:rPr>
                <w:noProof/>
                <w:sz w:val="20"/>
              </w:rPr>
              <w:t>Плащания</w:t>
            </w:r>
          </w:p>
        </w:tc>
        <w:tc>
          <w:tcPr>
            <w:tcW w:w="311" w:type="pct"/>
            <w:gridSpan w:val="2"/>
            <w:vAlign w:val="center"/>
          </w:tcPr>
          <w:p w:rsidR="00222FCC" w:rsidRDefault="00FD122A">
            <w:pPr>
              <w:jc w:val="center"/>
              <w:rPr>
                <w:noProof/>
                <w:sz w:val="20"/>
                <w:szCs w:val="20"/>
              </w:rPr>
            </w:pPr>
            <w:r>
              <w:rPr>
                <w:noProof/>
                <w:sz w:val="20"/>
              </w:rPr>
              <w:t>=2+2а</w:t>
            </w:r>
          </w:p>
          <w:p w:rsidR="00222FCC" w:rsidRDefault="00FD122A">
            <w:pPr>
              <w:jc w:val="center"/>
              <w:rPr>
                <w:noProof/>
                <w:sz w:val="20"/>
                <w:szCs w:val="20"/>
              </w:rPr>
            </w:pPr>
            <w:r>
              <w:rPr>
                <w:noProof/>
                <w:sz w:val="20"/>
              </w:rPr>
              <w:t>+3</w:t>
            </w:r>
          </w:p>
        </w:tc>
        <w:tc>
          <w:tcPr>
            <w:tcW w:w="381" w:type="pct"/>
            <w:vAlign w:val="center"/>
          </w:tcPr>
          <w:p w:rsidR="00222FCC" w:rsidRDefault="00FD122A">
            <w:pPr>
              <w:spacing w:before="20" w:after="20"/>
              <w:jc w:val="right"/>
              <w:rPr>
                <w:noProof/>
                <w:sz w:val="20"/>
                <w:szCs w:val="20"/>
              </w:rPr>
            </w:pPr>
            <w:r>
              <w:rPr>
                <w:noProof/>
                <w:sz w:val="20"/>
              </w:rPr>
              <w:t>55,727</w:t>
            </w:r>
          </w:p>
        </w:tc>
        <w:tc>
          <w:tcPr>
            <w:tcW w:w="381" w:type="pct"/>
            <w:vAlign w:val="center"/>
          </w:tcPr>
          <w:p w:rsidR="00222FCC" w:rsidRDefault="00FD122A">
            <w:pPr>
              <w:spacing w:before="20" w:after="20"/>
              <w:jc w:val="right"/>
              <w:rPr>
                <w:noProof/>
                <w:sz w:val="20"/>
                <w:szCs w:val="20"/>
              </w:rPr>
            </w:pPr>
            <w:r>
              <w:rPr>
                <w:noProof/>
                <w:sz w:val="20"/>
              </w:rPr>
              <w:t>102,004</w:t>
            </w:r>
          </w:p>
        </w:tc>
        <w:tc>
          <w:tcPr>
            <w:tcW w:w="381" w:type="pct"/>
            <w:vAlign w:val="center"/>
          </w:tcPr>
          <w:p w:rsidR="00222FCC" w:rsidRDefault="00FD122A">
            <w:pPr>
              <w:spacing w:before="20" w:after="20"/>
              <w:jc w:val="right"/>
              <w:rPr>
                <w:noProof/>
                <w:sz w:val="20"/>
                <w:szCs w:val="20"/>
              </w:rPr>
            </w:pPr>
            <w:r>
              <w:rPr>
                <w:noProof/>
                <w:sz w:val="20"/>
              </w:rPr>
              <w:t>114,384</w:t>
            </w:r>
          </w:p>
        </w:tc>
        <w:tc>
          <w:tcPr>
            <w:tcW w:w="381" w:type="pct"/>
            <w:vAlign w:val="center"/>
          </w:tcPr>
          <w:p w:rsidR="00222FCC" w:rsidRDefault="00FD122A">
            <w:pPr>
              <w:spacing w:before="20" w:after="20"/>
              <w:jc w:val="right"/>
              <w:rPr>
                <w:noProof/>
                <w:sz w:val="20"/>
                <w:szCs w:val="20"/>
              </w:rPr>
            </w:pPr>
            <w:r>
              <w:rPr>
                <w:noProof/>
                <w:sz w:val="20"/>
              </w:rPr>
              <w:t>22,085</w:t>
            </w:r>
          </w:p>
        </w:tc>
        <w:tc>
          <w:tcPr>
            <w:tcW w:w="783" w:type="pct"/>
            <w:vAlign w:val="center"/>
          </w:tcPr>
          <w:p w:rsidR="00222FCC" w:rsidRDefault="00FD122A">
            <w:pPr>
              <w:spacing w:before="20" w:after="20"/>
              <w:jc w:val="right"/>
              <w:rPr>
                <w:b/>
                <w:noProof/>
                <w:sz w:val="20"/>
                <w:szCs w:val="20"/>
              </w:rPr>
            </w:pPr>
            <w:r>
              <w:rPr>
                <w:b/>
                <w:noProof/>
                <w:sz w:val="20"/>
              </w:rPr>
              <w:t>294,200</w:t>
            </w:r>
          </w:p>
        </w:tc>
      </w:tr>
    </w:tbl>
    <w:p w:rsidR="00222FCC" w:rsidRDefault="00222FCC">
      <w:pPr>
        <w:rPr>
          <w:noProof/>
          <w:sz w:val="20"/>
          <w:szCs w:val="20"/>
        </w:rPr>
      </w:pPr>
    </w:p>
    <w:p w:rsidR="00222FCC" w:rsidRDefault="00222FCC">
      <w:pPr>
        <w:rPr>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rsidR="00222FCC">
        <w:trPr>
          <w:trHeight w:val="277"/>
        </w:trPr>
        <w:tc>
          <w:tcPr>
            <w:tcW w:w="1752" w:type="pct"/>
            <w:vMerge w:val="restart"/>
            <w:vAlign w:val="center"/>
          </w:tcPr>
          <w:p w:rsidR="00222FCC" w:rsidRDefault="00FD122A">
            <w:pPr>
              <w:spacing w:before="20" w:after="20"/>
              <w:rPr>
                <w:noProof/>
                <w:sz w:val="20"/>
                <w:szCs w:val="20"/>
              </w:rPr>
            </w:pPr>
            <w:r>
              <w:rPr>
                <w:noProof/>
              </w:rPr>
              <w:br w:type="page"/>
            </w:r>
            <w:r>
              <w:rPr>
                <w:noProof/>
                <w:sz w:val="20"/>
                <w:szCs w:val="20"/>
              </w:rPr>
              <w:sym w:font="Wingdings" w:char="F09F"/>
            </w:r>
            <w:r>
              <w:rPr>
                <w:noProof/>
                <w:sz w:val="20"/>
              </w:rPr>
              <w:t xml:space="preserve"> ОБЩО бюджетни кредити за оперативни разходи H1A</w:t>
            </w:r>
          </w:p>
        </w:tc>
        <w:tc>
          <w:tcPr>
            <w:tcW w:w="637" w:type="pct"/>
            <w:vAlign w:val="center"/>
          </w:tcPr>
          <w:p w:rsidR="00222FCC" w:rsidRDefault="00FD122A">
            <w:pPr>
              <w:spacing w:beforeLines="20" w:before="48" w:afterLines="20" w:after="48"/>
              <w:rPr>
                <w:noProof/>
                <w:sz w:val="20"/>
                <w:szCs w:val="20"/>
              </w:rPr>
            </w:pPr>
            <w:r>
              <w:rPr>
                <w:noProof/>
                <w:sz w:val="20"/>
              </w:rPr>
              <w:t>Поети задължения</w:t>
            </w:r>
          </w:p>
        </w:tc>
        <w:tc>
          <w:tcPr>
            <w:tcW w:w="289" w:type="pct"/>
            <w:vAlign w:val="center"/>
          </w:tcPr>
          <w:p w:rsidR="00222FCC" w:rsidRDefault="00FD122A">
            <w:pPr>
              <w:spacing w:beforeLines="20" w:before="48" w:afterLines="20" w:after="48"/>
              <w:jc w:val="center"/>
              <w:rPr>
                <w:noProof/>
                <w:sz w:val="20"/>
                <w:szCs w:val="20"/>
              </w:rPr>
            </w:pPr>
            <w:r>
              <w:rPr>
                <w:noProof/>
                <w:sz w:val="20"/>
              </w:rPr>
              <w:t>(4)</w:t>
            </w:r>
          </w:p>
        </w:tc>
        <w:tc>
          <w:tcPr>
            <w:tcW w:w="384" w:type="pct"/>
            <w:vAlign w:val="center"/>
          </w:tcPr>
          <w:p w:rsidR="00222FCC" w:rsidRDefault="00FD122A">
            <w:pPr>
              <w:spacing w:before="20" w:after="20"/>
              <w:jc w:val="right"/>
              <w:rPr>
                <w:noProof/>
                <w:sz w:val="20"/>
                <w:szCs w:val="20"/>
              </w:rPr>
            </w:pPr>
            <w:r>
              <w:rPr>
                <w:noProof/>
                <w:color w:val="000000"/>
                <w:sz w:val="20"/>
              </w:rPr>
              <w:t>68,236</w:t>
            </w:r>
          </w:p>
        </w:tc>
        <w:tc>
          <w:tcPr>
            <w:tcW w:w="384" w:type="pct"/>
            <w:vAlign w:val="center"/>
          </w:tcPr>
          <w:p w:rsidR="00222FCC" w:rsidRDefault="00FD122A">
            <w:pPr>
              <w:spacing w:before="20" w:after="20"/>
              <w:jc w:val="right"/>
              <w:rPr>
                <w:noProof/>
                <w:sz w:val="20"/>
                <w:szCs w:val="20"/>
              </w:rPr>
            </w:pPr>
            <w:r>
              <w:rPr>
                <w:noProof/>
                <w:color w:val="000000"/>
                <w:sz w:val="20"/>
              </w:rPr>
              <w:t>98,596</w:t>
            </w:r>
          </w:p>
        </w:tc>
        <w:tc>
          <w:tcPr>
            <w:tcW w:w="384" w:type="pct"/>
            <w:vAlign w:val="center"/>
          </w:tcPr>
          <w:p w:rsidR="00222FCC" w:rsidRDefault="00FD122A">
            <w:pPr>
              <w:spacing w:before="20" w:after="20"/>
              <w:jc w:val="right"/>
              <w:rPr>
                <w:noProof/>
                <w:sz w:val="20"/>
                <w:szCs w:val="20"/>
              </w:rPr>
            </w:pPr>
            <w:r>
              <w:rPr>
                <w:noProof/>
                <w:color w:val="000000"/>
                <w:sz w:val="20"/>
              </w:rPr>
              <w:t>114,368</w:t>
            </w:r>
          </w:p>
        </w:tc>
        <w:tc>
          <w:tcPr>
            <w:tcW w:w="384" w:type="pct"/>
            <w:vAlign w:val="center"/>
          </w:tcPr>
          <w:p w:rsidR="00222FCC" w:rsidRDefault="00FD122A">
            <w:pPr>
              <w:spacing w:before="20" w:after="20"/>
              <w:jc w:val="right"/>
              <w:rPr>
                <w:noProof/>
                <w:sz w:val="20"/>
                <w:szCs w:val="20"/>
              </w:rPr>
            </w:pPr>
            <w:r>
              <w:rPr>
                <w:noProof/>
                <w:color w:val="000000"/>
                <w:sz w:val="20"/>
              </w:rPr>
              <w:t>0,000</w:t>
            </w:r>
          </w:p>
        </w:tc>
        <w:tc>
          <w:tcPr>
            <w:tcW w:w="786" w:type="pct"/>
            <w:vAlign w:val="center"/>
          </w:tcPr>
          <w:p w:rsidR="00222FCC" w:rsidRDefault="00FD122A">
            <w:pPr>
              <w:spacing w:before="20" w:after="20"/>
              <w:jc w:val="right"/>
              <w:rPr>
                <w:b/>
                <w:noProof/>
                <w:sz w:val="20"/>
                <w:szCs w:val="20"/>
              </w:rPr>
            </w:pPr>
            <w:r>
              <w:rPr>
                <w:b/>
                <w:noProof/>
                <w:color w:val="000000"/>
                <w:sz w:val="20"/>
              </w:rPr>
              <w:t>281,200</w:t>
            </w:r>
          </w:p>
        </w:tc>
      </w:tr>
      <w:tr w:rsidR="00222FCC">
        <w:tc>
          <w:tcPr>
            <w:tcW w:w="1752" w:type="pct"/>
            <w:vMerge/>
          </w:tcPr>
          <w:p w:rsidR="00222FCC" w:rsidRDefault="00222FCC">
            <w:pPr>
              <w:jc w:val="center"/>
              <w:rPr>
                <w:noProof/>
                <w:sz w:val="20"/>
                <w:szCs w:val="20"/>
              </w:rPr>
            </w:pPr>
          </w:p>
        </w:tc>
        <w:tc>
          <w:tcPr>
            <w:tcW w:w="637" w:type="pct"/>
            <w:vAlign w:val="center"/>
          </w:tcPr>
          <w:p w:rsidR="00222FCC" w:rsidRDefault="00FD122A">
            <w:pPr>
              <w:spacing w:beforeLines="20" w:before="48" w:afterLines="20" w:after="48"/>
              <w:rPr>
                <w:noProof/>
                <w:sz w:val="20"/>
                <w:szCs w:val="20"/>
              </w:rPr>
            </w:pPr>
            <w:r>
              <w:rPr>
                <w:noProof/>
                <w:sz w:val="20"/>
              </w:rPr>
              <w:t>Плащания</w:t>
            </w:r>
          </w:p>
        </w:tc>
        <w:tc>
          <w:tcPr>
            <w:tcW w:w="289" w:type="pct"/>
            <w:vAlign w:val="center"/>
          </w:tcPr>
          <w:p w:rsidR="00222FCC" w:rsidRDefault="00FD122A">
            <w:pPr>
              <w:spacing w:beforeLines="20" w:before="48" w:afterLines="20" w:after="48"/>
              <w:jc w:val="center"/>
              <w:rPr>
                <w:noProof/>
                <w:sz w:val="20"/>
                <w:szCs w:val="20"/>
              </w:rPr>
            </w:pPr>
            <w:r>
              <w:rPr>
                <w:noProof/>
                <w:sz w:val="20"/>
              </w:rPr>
              <w:t>(5)</w:t>
            </w:r>
          </w:p>
        </w:tc>
        <w:tc>
          <w:tcPr>
            <w:tcW w:w="384" w:type="pct"/>
            <w:vAlign w:val="center"/>
          </w:tcPr>
          <w:p w:rsidR="00222FCC" w:rsidRDefault="00FD122A">
            <w:pPr>
              <w:spacing w:before="20" w:after="20"/>
              <w:jc w:val="right"/>
              <w:rPr>
                <w:noProof/>
                <w:sz w:val="20"/>
                <w:szCs w:val="20"/>
              </w:rPr>
            </w:pPr>
            <w:r>
              <w:rPr>
                <w:noProof/>
                <w:color w:val="000000"/>
                <w:sz w:val="20"/>
              </w:rPr>
              <w:t>51,177</w:t>
            </w:r>
          </w:p>
        </w:tc>
        <w:tc>
          <w:tcPr>
            <w:tcW w:w="384" w:type="pct"/>
            <w:vAlign w:val="center"/>
          </w:tcPr>
          <w:p w:rsidR="00222FCC" w:rsidRDefault="00FD122A">
            <w:pPr>
              <w:spacing w:before="20" w:after="20"/>
              <w:jc w:val="right"/>
              <w:rPr>
                <w:noProof/>
                <w:sz w:val="20"/>
                <w:szCs w:val="20"/>
              </w:rPr>
            </w:pPr>
            <w:r>
              <w:rPr>
                <w:noProof/>
                <w:color w:val="000000"/>
                <w:sz w:val="20"/>
              </w:rPr>
              <w:t>97,454</w:t>
            </w:r>
          </w:p>
        </w:tc>
        <w:tc>
          <w:tcPr>
            <w:tcW w:w="384" w:type="pct"/>
            <w:vAlign w:val="center"/>
          </w:tcPr>
          <w:p w:rsidR="00222FCC" w:rsidRDefault="00FD122A">
            <w:pPr>
              <w:spacing w:before="20" w:after="20"/>
              <w:jc w:val="right"/>
              <w:rPr>
                <w:noProof/>
                <w:sz w:val="20"/>
                <w:szCs w:val="20"/>
              </w:rPr>
            </w:pPr>
            <w:r>
              <w:rPr>
                <w:noProof/>
                <w:color w:val="000000"/>
                <w:sz w:val="20"/>
              </w:rPr>
              <w:t>110,484</w:t>
            </w:r>
          </w:p>
        </w:tc>
        <w:tc>
          <w:tcPr>
            <w:tcW w:w="384" w:type="pct"/>
            <w:vAlign w:val="center"/>
          </w:tcPr>
          <w:p w:rsidR="00222FCC" w:rsidRDefault="00FD122A">
            <w:pPr>
              <w:spacing w:before="20" w:after="20"/>
              <w:jc w:val="right"/>
              <w:rPr>
                <w:noProof/>
                <w:sz w:val="20"/>
                <w:szCs w:val="20"/>
              </w:rPr>
            </w:pPr>
            <w:r>
              <w:rPr>
                <w:noProof/>
                <w:color w:val="000000"/>
                <w:sz w:val="20"/>
              </w:rPr>
              <w:t>22,085</w:t>
            </w:r>
          </w:p>
        </w:tc>
        <w:tc>
          <w:tcPr>
            <w:tcW w:w="786" w:type="pct"/>
            <w:vAlign w:val="center"/>
          </w:tcPr>
          <w:p w:rsidR="00222FCC" w:rsidRDefault="00FD122A">
            <w:pPr>
              <w:spacing w:before="20" w:after="20"/>
              <w:jc w:val="right"/>
              <w:rPr>
                <w:b/>
                <w:noProof/>
                <w:sz w:val="20"/>
                <w:szCs w:val="20"/>
              </w:rPr>
            </w:pPr>
            <w:r>
              <w:rPr>
                <w:b/>
                <w:noProof/>
                <w:color w:val="000000"/>
                <w:sz w:val="20"/>
              </w:rPr>
              <w:t>281,200</w:t>
            </w:r>
          </w:p>
        </w:tc>
      </w:tr>
      <w:tr w:rsidR="00222FCC">
        <w:trPr>
          <w:trHeight w:val="533"/>
        </w:trPr>
        <w:tc>
          <w:tcPr>
            <w:tcW w:w="2390" w:type="pct"/>
            <w:gridSpan w:val="2"/>
            <w:vAlign w:val="center"/>
          </w:tcPr>
          <w:p w:rsidR="00222FCC" w:rsidRDefault="00FD122A">
            <w:pPr>
              <w:spacing w:beforeLines="20" w:before="48" w:afterLines="20" w:after="48"/>
              <w:rPr>
                <w:noProof/>
                <w:sz w:val="20"/>
                <w:szCs w:val="20"/>
              </w:rPr>
            </w:pPr>
            <w:r>
              <w:rPr>
                <w:noProof/>
                <w:sz w:val="20"/>
                <w:szCs w:val="20"/>
              </w:rPr>
              <w:sym w:font="Wingdings" w:char="F09F"/>
            </w:r>
            <w:r>
              <w:rPr>
                <w:noProof/>
                <w:sz w:val="20"/>
              </w:rPr>
              <w:t xml:space="preserve"> ОБЩО бюджетни кредити за административни разходи, финансирани от пакета за определени програми</w:t>
            </w:r>
          </w:p>
        </w:tc>
        <w:tc>
          <w:tcPr>
            <w:tcW w:w="289" w:type="pct"/>
            <w:vAlign w:val="center"/>
          </w:tcPr>
          <w:p w:rsidR="00222FCC" w:rsidRDefault="00FD122A">
            <w:pPr>
              <w:spacing w:beforeLines="20" w:before="48" w:afterLines="20" w:after="48"/>
              <w:jc w:val="center"/>
              <w:rPr>
                <w:noProof/>
                <w:sz w:val="20"/>
                <w:szCs w:val="20"/>
              </w:rPr>
            </w:pPr>
            <w:r>
              <w:rPr>
                <w:noProof/>
                <w:sz w:val="20"/>
              </w:rPr>
              <w:t>(6)</w:t>
            </w:r>
          </w:p>
        </w:tc>
        <w:tc>
          <w:tcPr>
            <w:tcW w:w="384" w:type="pct"/>
            <w:vAlign w:val="center"/>
          </w:tcPr>
          <w:p w:rsidR="00222FCC" w:rsidRDefault="00FD122A">
            <w:pPr>
              <w:spacing w:before="20" w:after="20"/>
              <w:jc w:val="right"/>
              <w:rPr>
                <w:noProof/>
                <w:sz w:val="20"/>
                <w:szCs w:val="20"/>
              </w:rPr>
            </w:pPr>
            <w:r>
              <w:rPr>
                <w:noProof/>
                <w:color w:val="000000"/>
                <w:sz w:val="20"/>
              </w:rPr>
              <w:t>4,550</w:t>
            </w:r>
          </w:p>
        </w:tc>
        <w:tc>
          <w:tcPr>
            <w:tcW w:w="384" w:type="pct"/>
            <w:vAlign w:val="center"/>
          </w:tcPr>
          <w:p w:rsidR="00222FCC" w:rsidRDefault="00FD122A">
            <w:pPr>
              <w:spacing w:before="20" w:after="20"/>
              <w:jc w:val="right"/>
              <w:rPr>
                <w:noProof/>
                <w:sz w:val="20"/>
                <w:szCs w:val="20"/>
              </w:rPr>
            </w:pPr>
            <w:r>
              <w:rPr>
                <w:noProof/>
                <w:color w:val="000000"/>
                <w:sz w:val="20"/>
              </w:rPr>
              <w:t>4,550</w:t>
            </w:r>
          </w:p>
        </w:tc>
        <w:tc>
          <w:tcPr>
            <w:tcW w:w="384" w:type="pct"/>
            <w:vAlign w:val="center"/>
          </w:tcPr>
          <w:p w:rsidR="00222FCC" w:rsidRDefault="00FD122A">
            <w:pPr>
              <w:spacing w:before="20" w:after="20"/>
              <w:jc w:val="right"/>
              <w:rPr>
                <w:noProof/>
                <w:sz w:val="20"/>
                <w:szCs w:val="20"/>
              </w:rPr>
            </w:pPr>
            <w:r>
              <w:rPr>
                <w:noProof/>
                <w:color w:val="000000"/>
                <w:sz w:val="20"/>
              </w:rPr>
              <w:t>3,900</w:t>
            </w:r>
          </w:p>
        </w:tc>
        <w:tc>
          <w:tcPr>
            <w:tcW w:w="384" w:type="pct"/>
            <w:vAlign w:val="center"/>
          </w:tcPr>
          <w:p w:rsidR="00222FCC" w:rsidRDefault="00FD122A">
            <w:pPr>
              <w:spacing w:before="20" w:after="20"/>
              <w:jc w:val="right"/>
              <w:rPr>
                <w:noProof/>
                <w:sz w:val="20"/>
                <w:szCs w:val="20"/>
              </w:rPr>
            </w:pPr>
            <w:r>
              <w:rPr>
                <w:noProof/>
                <w:color w:val="000000"/>
                <w:sz w:val="20"/>
              </w:rPr>
              <w:t>0,000</w:t>
            </w:r>
          </w:p>
        </w:tc>
        <w:tc>
          <w:tcPr>
            <w:tcW w:w="786" w:type="pct"/>
            <w:vAlign w:val="center"/>
          </w:tcPr>
          <w:p w:rsidR="00222FCC" w:rsidRDefault="00FD122A">
            <w:pPr>
              <w:spacing w:before="20" w:after="20"/>
              <w:jc w:val="right"/>
              <w:rPr>
                <w:b/>
                <w:noProof/>
                <w:sz w:val="20"/>
                <w:szCs w:val="20"/>
              </w:rPr>
            </w:pPr>
            <w:r>
              <w:rPr>
                <w:b/>
                <w:noProof/>
                <w:color w:val="000000"/>
                <w:sz w:val="20"/>
              </w:rPr>
              <w:t>13,000 </w:t>
            </w:r>
          </w:p>
        </w:tc>
      </w:tr>
      <w:tr w:rsidR="00222FCC">
        <w:tc>
          <w:tcPr>
            <w:tcW w:w="1752" w:type="pct"/>
            <w:vMerge w:val="restart"/>
            <w:shd w:val="thinDiagStripe" w:color="C0C0C0" w:fill="auto"/>
            <w:vAlign w:val="center"/>
          </w:tcPr>
          <w:p w:rsidR="00222FCC" w:rsidRDefault="00FD122A">
            <w:pPr>
              <w:jc w:val="center"/>
              <w:rPr>
                <w:b/>
                <w:noProof/>
                <w:sz w:val="22"/>
              </w:rPr>
            </w:pPr>
            <w:r>
              <w:rPr>
                <w:b/>
                <w:noProof/>
                <w:sz w:val="22"/>
              </w:rPr>
              <w:t>ОБЩО бюджетни кредити</w:t>
            </w:r>
            <w:r>
              <w:rPr>
                <w:noProof/>
                <w:sz w:val="22"/>
              </w:rPr>
              <w:br/>
            </w:r>
            <w:r>
              <w:rPr>
                <w:b/>
                <w:noProof/>
                <w:sz w:val="22"/>
              </w:rPr>
              <w:t>за ФУНКЦИЯ 1А</w:t>
            </w:r>
          </w:p>
          <w:p w:rsidR="00222FCC" w:rsidRDefault="00FD122A">
            <w:pPr>
              <w:jc w:val="center"/>
              <w:rPr>
                <w:b/>
                <w:noProof/>
                <w:sz w:val="22"/>
              </w:rPr>
            </w:pPr>
            <w:r>
              <w:rPr>
                <w:noProof/>
                <w:sz w:val="22"/>
              </w:rPr>
              <w:t>от многогодишната финансова рамка</w:t>
            </w:r>
            <w:r>
              <w:rPr>
                <w:noProof/>
                <w:sz w:val="22"/>
              </w:rPr>
              <w:br/>
              <w:t>(Основна референтна сума)</w:t>
            </w:r>
          </w:p>
        </w:tc>
        <w:tc>
          <w:tcPr>
            <w:tcW w:w="637" w:type="pct"/>
            <w:vAlign w:val="center"/>
          </w:tcPr>
          <w:p w:rsidR="00222FCC" w:rsidRDefault="00FD122A">
            <w:pPr>
              <w:rPr>
                <w:noProof/>
                <w:sz w:val="20"/>
                <w:szCs w:val="20"/>
              </w:rPr>
            </w:pPr>
            <w:r>
              <w:rPr>
                <w:noProof/>
                <w:sz w:val="20"/>
              </w:rPr>
              <w:t>Поети задължения</w:t>
            </w:r>
          </w:p>
        </w:tc>
        <w:tc>
          <w:tcPr>
            <w:tcW w:w="289" w:type="pct"/>
            <w:vAlign w:val="center"/>
          </w:tcPr>
          <w:p w:rsidR="00222FCC" w:rsidRDefault="00FD122A">
            <w:pPr>
              <w:jc w:val="center"/>
              <w:rPr>
                <w:noProof/>
                <w:sz w:val="20"/>
                <w:szCs w:val="20"/>
              </w:rPr>
            </w:pPr>
            <w:r>
              <w:rPr>
                <w:noProof/>
                <w:sz w:val="20"/>
              </w:rPr>
              <w:t>=4+ 6</w:t>
            </w:r>
          </w:p>
        </w:tc>
        <w:tc>
          <w:tcPr>
            <w:tcW w:w="384" w:type="pct"/>
            <w:vAlign w:val="center"/>
          </w:tcPr>
          <w:p w:rsidR="00222FCC" w:rsidRDefault="00FD122A">
            <w:pPr>
              <w:spacing w:before="20" w:after="20"/>
              <w:jc w:val="right"/>
              <w:rPr>
                <w:noProof/>
                <w:sz w:val="20"/>
                <w:szCs w:val="20"/>
              </w:rPr>
            </w:pPr>
            <w:r>
              <w:rPr>
                <w:noProof/>
                <w:color w:val="000000"/>
                <w:sz w:val="20"/>
              </w:rPr>
              <w:t>72,786</w:t>
            </w:r>
          </w:p>
        </w:tc>
        <w:tc>
          <w:tcPr>
            <w:tcW w:w="384" w:type="pct"/>
            <w:vAlign w:val="center"/>
          </w:tcPr>
          <w:p w:rsidR="00222FCC" w:rsidRDefault="00FD122A">
            <w:pPr>
              <w:spacing w:before="20" w:after="20"/>
              <w:jc w:val="right"/>
              <w:rPr>
                <w:noProof/>
                <w:sz w:val="20"/>
                <w:szCs w:val="20"/>
              </w:rPr>
            </w:pPr>
            <w:r>
              <w:rPr>
                <w:noProof/>
                <w:color w:val="000000"/>
                <w:sz w:val="20"/>
              </w:rPr>
              <w:t>103,146</w:t>
            </w:r>
          </w:p>
        </w:tc>
        <w:tc>
          <w:tcPr>
            <w:tcW w:w="384" w:type="pct"/>
            <w:vAlign w:val="center"/>
          </w:tcPr>
          <w:p w:rsidR="00222FCC" w:rsidRDefault="00FD122A">
            <w:pPr>
              <w:spacing w:before="20" w:after="20"/>
              <w:jc w:val="right"/>
              <w:rPr>
                <w:noProof/>
                <w:sz w:val="20"/>
                <w:szCs w:val="20"/>
              </w:rPr>
            </w:pPr>
            <w:r>
              <w:rPr>
                <w:noProof/>
                <w:color w:val="000000"/>
                <w:sz w:val="20"/>
              </w:rPr>
              <w:t>118,268</w:t>
            </w:r>
          </w:p>
        </w:tc>
        <w:tc>
          <w:tcPr>
            <w:tcW w:w="384" w:type="pct"/>
            <w:vAlign w:val="center"/>
          </w:tcPr>
          <w:p w:rsidR="00222FCC" w:rsidRDefault="00FD122A">
            <w:pPr>
              <w:spacing w:before="20" w:after="20"/>
              <w:jc w:val="right"/>
              <w:rPr>
                <w:noProof/>
                <w:sz w:val="20"/>
                <w:szCs w:val="20"/>
              </w:rPr>
            </w:pPr>
            <w:r>
              <w:rPr>
                <w:noProof/>
                <w:color w:val="000000"/>
                <w:sz w:val="20"/>
              </w:rPr>
              <w:t>0,000</w:t>
            </w:r>
          </w:p>
        </w:tc>
        <w:tc>
          <w:tcPr>
            <w:tcW w:w="786" w:type="pct"/>
            <w:vAlign w:val="center"/>
          </w:tcPr>
          <w:p w:rsidR="00222FCC" w:rsidRDefault="00FD122A">
            <w:pPr>
              <w:spacing w:before="20" w:after="20"/>
              <w:jc w:val="right"/>
              <w:rPr>
                <w:b/>
                <w:noProof/>
                <w:sz w:val="20"/>
                <w:szCs w:val="20"/>
              </w:rPr>
            </w:pPr>
            <w:r>
              <w:rPr>
                <w:b/>
                <w:noProof/>
                <w:color w:val="000000"/>
                <w:sz w:val="20"/>
              </w:rPr>
              <w:t>294,200</w:t>
            </w:r>
          </w:p>
        </w:tc>
      </w:tr>
      <w:tr w:rsidR="00222FCC">
        <w:tc>
          <w:tcPr>
            <w:tcW w:w="1752" w:type="pct"/>
            <w:vMerge/>
            <w:shd w:val="thinDiagStripe" w:color="C0C0C0" w:fill="auto"/>
          </w:tcPr>
          <w:p w:rsidR="00222FCC" w:rsidRDefault="00222FCC">
            <w:pPr>
              <w:rPr>
                <w:noProof/>
                <w:sz w:val="20"/>
                <w:szCs w:val="20"/>
              </w:rPr>
            </w:pPr>
          </w:p>
        </w:tc>
        <w:tc>
          <w:tcPr>
            <w:tcW w:w="637" w:type="pct"/>
            <w:vAlign w:val="center"/>
          </w:tcPr>
          <w:p w:rsidR="00222FCC" w:rsidRDefault="00FD122A">
            <w:pPr>
              <w:rPr>
                <w:noProof/>
                <w:sz w:val="20"/>
                <w:szCs w:val="20"/>
              </w:rPr>
            </w:pPr>
            <w:r>
              <w:rPr>
                <w:noProof/>
                <w:sz w:val="20"/>
              </w:rPr>
              <w:t>Плащания</w:t>
            </w:r>
          </w:p>
        </w:tc>
        <w:tc>
          <w:tcPr>
            <w:tcW w:w="289" w:type="pct"/>
            <w:vAlign w:val="center"/>
          </w:tcPr>
          <w:p w:rsidR="00222FCC" w:rsidRDefault="00FD122A">
            <w:pPr>
              <w:jc w:val="center"/>
              <w:rPr>
                <w:noProof/>
                <w:sz w:val="20"/>
                <w:szCs w:val="20"/>
              </w:rPr>
            </w:pPr>
            <w:r>
              <w:rPr>
                <w:noProof/>
                <w:sz w:val="20"/>
              </w:rPr>
              <w:t>=5+ 6</w:t>
            </w:r>
          </w:p>
        </w:tc>
        <w:tc>
          <w:tcPr>
            <w:tcW w:w="384" w:type="pct"/>
            <w:vAlign w:val="center"/>
          </w:tcPr>
          <w:p w:rsidR="00222FCC" w:rsidRDefault="00FD122A">
            <w:pPr>
              <w:spacing w:before="20" w:after="20"/>
              <w:jc w:val="right"/>
              <w:rPr>
                <w:noProof/>
                <w:sz w:val="20"/>
                <w:szCs w:val="20"/>
              </w:rPr>
            </w:pPr>
            <w:r>
              <w:rPr>
                <w:noProof/>
                <w:color w:val="000000"/>
                <w:sz w:val="20"/>
              </w:rPr>
              <w:t>55 727</w:t>
            </w:r>
          </w:p>
        </w:tc>
        <w:tc>
          <w:tcPr>
            <w:tcW w:w="384" w:type="pct"/>
            <w:vAlign w:val="center"/>
          </w:tcPr>
          <w:p w:rsidR="00222FCC" w:rsidRDefault="00FD122A">
            <w:pPr>
              <w:spacing w:before="20" w:after="20"/>
              <w:jc w:val="right"/>
              <w:rPr>
                <w:noProof/>
                <w:sz w:val="20"/>
                <w:szCs w:val="20"/>
              </w:rPr>
            </w:pPr>
            <w:r>
              <w:rPr>
                <w:noProof/>
                <w:color w:val="000000"/>
                <w:sz w:val="20"/>
              </w:rPr>
              <w:t>102,004</w:t>
            </w:r>
          </w:p>
        </w:tc>
        <w:tc>
          <w:tcPr>
            <w:tcW w:w="384" w:type="pct"/>
            <w:vAlign w:val="center"/>
          </w:tcPr>
          <w:p w:rsidR="00222FCC" w:rsidRDefault="00FD122A">
            <w:pPr>
              <w:spacing w:before="20" w:after="20"/>
              <w:jc w:val="right"/>
              <w:rPr>
                <w:noProof/>
                <w:sz w:val="20"/>
                <w:szCs w:val="20"/>
              </w:rPr>
            </w:pPr>
            <w:r>
              <w:rPr>
                <w:noProof/>
                <w:color w:val="000000"/>
                <w:sz w:val="20"/>
              </w:rPr>
              <w:t>114,384</w:t>
            </w:r>
          </w:p>
        </w:tc>
        <w:tc>
          <w:tcPr>
            <w:tcW w:w="384" w:type="pct"/>
            <w:vAlign w:val="center"/>
          </w:tcPr>
          <w:p w:rsidR="00222FCC" w:rsidRDefault="00FD122A">
            <w:pPr>
              <w:spacing w:before="20" w:after="20"/>
              <w:jc w:val="right"/>
              <w:rPr>
                <w:noProof/>
                <w:sz w:val="20"/>
                <w:szCs w:val="20"/>
              </w:rPr>
            </w:pPr>
            <w:r>
              <w:rPr>
                <w:noProof/>
                <w:color w:val="000000"/>
                <w:sz w:val="20"/>
              </w:rPr>
              <w:t>22,085</w:t>
            </w:r>
          </w:p>
        </w:tc>
        <w:tc>
          <w:tcPr>
            <w:tcW w:w="786" w:type="pct"/>
            <w:vAlign w:val="center"/>
          </w:tcPr>
          <w:p w:rsidR="00222FCC" w:rsidRDefault="00FD122A">
            <w:pPr>
              <w:spacing w:before="20" w:after="20"/>
              <w:jc w:val="right"/>
              <w:rPr>
                <w:b/>
                <w:noProof/>
                <w:sz w:val="20"/>
                <w:szCs w:val="20"/>
              </w:rPr>
            </w:pPr>
            <w:r>
              <w:rPr>
                <w:b/>
                <w:noProof/>
                <w:color w:val="000000"/>
                <w:sz w:val="20"/>
              </w:rPr>
              <w:t>294,200</w:t>
            </w:r>
          </w:p>
        </w:tc>
      </w:tr>
    </w:tbl>
    <w:p w:rsidR="00222FCC" w:rsidRDefault="00222FCC">
      <w:pPr>
        <w:spacing w:after="40"/>
        <w:rPr>
          <w:b/>
          <w:noProof/>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rsidR="00222FCC">
        <w:trPr>
          <w:jc w:val="center"/>
        </w:trPr>
        <w:tc>
          <w:tcPr>
            <w:tcW w:w="1739" w:type="pct"/>
            <w:shd w:val="thinDiagStripe" w:color="C0C0C0" w:fill="auto"/>
            <w:vAlign w:val="center"/>
          </w:tcPr>
          <w:p w:rsidR="00222FCC" w:rsidRDefault="00FD122A">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396" w:type="pct"/>
            <w:vAlign w:val="center"/>
          </w:tcPr>
          <w:p w:rsidR="00222FCC" w:rsidRDefault="00FD122A">
            <w:pPr>
              <w:spacing w:before="60" w:after="60"/>
              <w:jc w:val="center"/>
              <w:rPr>
                <w:noProof/>
                <w:sz w:val="22"/>
              </w:rPr>
            </w:pPr>
            <w:r>
              <w:rPr>
                <w:noProof/>
                <w:sz w:val="22"/>
              </w:rPr>
              <w:t>1B</w:t>
            </w:r>
          </w:p>
        </w:tc>
        <w:tc>
          <w:tcPr>
            <w:tcW w:w="2865" w:type="pct"/>
            <w:vAlign w:val="center"/>
          </w:tcPr>
          <w:p w:rsidR="00222FCC" w:rsidRDefault="00FD122A">
            <w:pPr>
              <w:spacing w:before="60" w:after="60"/>
              <w:rPr>
                <w:noProof/>
                <w:sz w:val="22"/>
              </w:rPr>
            </w:pPr>
            <w:r>
              <w:rPr>
                <w:noProof/>
              </w:rPr>
              <w:t>Европейски корпус за солидарност</w:t>
            </w:r>
          </w:p>
        </w:tc>
      </w:tr>
    </w:tbl>
    <w:p w:rsidR="00222FCC" w:rsidRDefault="00222FCC">
      <w:pPr>
        <w:spacing w:after="40"/>
        <w:rPr>
          <w:b/>
          <w:noProof/>
          <w:sz w:val="20"/>
          <w:szCs w:val="20"/>
          <w:u w:val="single"/>
        </w:rPr>
      </w:pPr>
    </w:p>
    <w:p w:rsidR="00222FCC" w:rsidRDefault="00222FCC">
      <w:pPr>
        <w:spacing w:after="40"/>
        <w:rPr>
          <w:b/>
          <w:noProof/>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gridCol w:w="1877"/>
        <w:gridCol w:w="165"/>
        <w:gridCol w:w="753"/>
        <w:gridCol w:w="1129"/>
        <w:gridCol w:w="1129"/>
        <w:gridCol w:w="1129"/>
        <w:gridCol w:w="1126"/>
        <w:gridCol w:w="2312"/>
      </w:tblGrid>
      <w:tr w:rsidR="00222FCC">
        <w:tc>
          <w:tcPr>
            <w:tcW w:w="1748" w:type="pct"/>
            <w:vAlign w:val="center"/>
          </w:tcPr>
          <w:p w:rsidR="00222FCC" w:rsidRDefault="00FD122A">
            <w:pPr>
              <w:jc w:val="center"/>
              <w:rPr>
                <w:noProof/>
                <w:sz w:val="22"/>
              </w:rPr>
            </w:pPr>
            <w:r>
              <w:rPr>
                <w:noProof/>
                <w:sz w:val="22"/>
              </w:rPr>
              <w:t>ГД: „Образование и култура“</w:t>
            </w:r>
          </w:p>
        </w:tc>
        <w:tc>
          <w:tcPr>
            <w:tcW w:w="691" w:type="pct"/>
            <w:gridSpan w:val="2"/>
          </w:tcPr>
          <w:p w:rsidR="00222FCC" w:rsidRDefault="00222FCC">
            <w:pPr>
              <w:rPr>
                <w:noProof/>
                <w:sz w:val="22"/>
              </w:rPr>
            </w:pPr>
          </w:p>
        </w:tc>
        <w:tc>
          <w:tcPr>
            <w:tcW w:w="254" w:type="pct"/>
          </w:tcPr>
          <w:p w:rsidR="00222FCC" w:rsidRDefault="00222FCC">
            <w:pPr>
              <w:jc w:val="center"/>
              <w:rPr>
                <w:noProof/>
                <w:sz w:val="22"/>
              </w:rPr>
            </w:pPr>
          </w:p>
        </w:tc>
        <w:tc>
          <w:tcPr>
            <w:tcW w:w="381" w:type="pct"/>
            <w:vAlign w:val="center"/>
          </w:tcPr>
          <w:p w:rsidR="00222FCC" w:rsidRDefault="00FD122A">
            <w:pPr>
              <w:jc w:val="center"/>
              <w:rPr>
                <w:noProof/>
                <w:sz w:val="22"/>
              </w:rPr>
            </w:pPr>
            <w:r>
              <w:rPr>
                <w:noProof/>
                <w:sz w:val="22"/>
              </w:rPr>
              <w:t>ГОДИНА</w:t>
            </w:r>
          </w:p>
          <w:p w:rsidR="00222FCC" w:rsidRDefault="00FD122A">
            <w:pPr>
              <w:jc w:val="center"/>
              <w:rPr>
                <w:b/>
                <w:noProof/>
                <w:sz w:val="22"/>
              </w:rPr>
            </w:pPr>
            <w:r>
              <w:rPr>
                <w:b/>
                <w:noProof/>
                <w:sz w:val="22"/>
              </w:rPr>
              <w:t>2018</w:t>
            </w:r>
          </w:p>
        </w:tc>
        <w:tc>
          <w:tcPr>
            <w:tcW w:w="381" w:type="pct"/>
            <w:vAlign w:val="center"/>
          </w:tcPr>
          <w:p w:rsidR="00222FCC" w:rsidRDefault="00FD122A">
            <w:pPr>
              <w:jc w:val="center"/>
              <w:rPr>
                <w:noProof/>
                <w:sz w:val="22"/>
              </w:rPr>
            </w:pPr>
            <w:r>
              <w:rPr>
                <w:noProof/>
                <w:sz w:val="22"/>
              </w:rPr>
              <w:t>ГОДИНА</w:t>
            </w:r>
          </w:p>
          <w:p w:rsidR="00222FCC" w:rsidRDefault="00FD122A">
            <w:pPr>
              <w:jc w:val="center"/>
              <w:rPr>
                <w:noProof/>
                <w:sz w:val="22"/>
              </w:rPr>
            </w:pPr>
            <w:r>
              <w:rPr>
                <w:b/>
                <w:noProof/>
                <w:sz w:val="22"/>
              </w:rPr>
              <w:t>2019</w:t>
            </w:r>
          </w:p>
        </w:tc>
        <w:tc>
          <w:tcPr>
            <w:tcW w:w="381" w:type="pct"/>
            <w:vAlign w:val="center"/>
          </w:tcPr>
          <w:p w:rsidR="00222FCC" w:rsidRDefault="00FD122A">
            <w:pPr>
              <w:jc w:val="center"/>
              <w:rPr>
                <w:noProof/>
                <w:sz w:val="22"/>
              </w:rPr>
            </w:pPr>
            <w:r>
              <w:rPr>
                <w:noProof/>
                <w:sz w:val="22"/>
              </w:rPr>
              <w:t>ГОДИНА</w:t>
            </w:r>
          </w:p>
          <w:p w:rsidR="00222FCC" w:rsidRDefault="00FD122A">
            <w:pPr>
              <w:jc w:val="center"/>
              <w:rPr>
                <w:noProof/>
                <w:sz w:val="22"/>
              </w:rPr>
            </w:pPr>
            <w:r>
              <w:rPr>
                <w:b/>
                <w:noProof/>
                <w:sz w:val="22"/>
              </w:rPr>
              <w:t>2020</w:t>
            </w:r>
          </w:p>
        </w:tc>
        <w:tc>
          <w:tcPr>
            <w:tcW w:w="381" w:type="pct"/>
            <w:vAlign w:val="center"/>
          </w:tcPr>
          <w:p w:rsidR="00222FCC" w:rsidRDefault="00FD122A">
            <w:pPr>
              <w:jc w:val="center"/>
              <w:rPr>
                <w:noProof/>
                <w:sz w:val="22"/>
              </w:rPr>
            </w:pPr>
            <w:r>
              <w:rPr>
                <w:noProof/>
                <w:sz w:val="16"/>
              </w:rPr>
              <w:t>Следващи години</w:t>
            </w:r>
          </w:p>
        </w:tc>
        <w:tc>
          <w:tcPr>
            <w:tcW w:w="783" w:type="pct"/>
            <w:vAlign w:val="center"/>
          </w:tcPr>
          <w:p w:rsidR="00222FCC" w:rsidRDefault="00FD122A">
            <w:pPr>
              <w:jc w:val="center"/>
              <w:rPr>
                <w:b/>
                <w:noProof/>
                <w:sz w:val="22"/>
              </w:rPr>
            </w:pPr>
            <w:r>
              <w:rPr>
                <w:b/>
                <w:noProof/>
                <w:sz w:val="22"/>
              </w:rPr>
              <w:t>ОБЩО</w:t>
            </w:r>
          </w:p>
        </w:tc>
      </w:tr>
      <w:tr w:rsidR="00222FCC">
        <w:trPr>
          <w:trHeight w:val="213"/>
        </w:trPr>
        <w:tc>
          <w:tcPr>
            <w:tcW w:w="2694" w:type="pct"/>
            <w:gridSpan w:val="4"/>
            <w:vAlign w:val="center"/>
          </w:tcPr>
          <w:p w:rsidR="00222FCC" w:rsidRDefault="00FD122A">
            <w:pPr>
              <w:spacing w:before="20" w:after="20"/>
              <w:rPr>
                <w:noProof/>
                <w:sz w:val="20"/>
                <w:szCs w:val="20"/>
              </w:rPr>
            </w:pPr>
            <w:r>
              <w:rPr>
                <w:noProof/>
                <w:sz w:val="20"/>
                <w:szCs w:val="20"/>
              </w:rPr>
              <w:sym w:font="Wingdings" w:char="F09F"/>
            </w:r>
            <w:r>
              <w:rPr>
                <w:noProof/>
                <w:sz w:val="20"/>
              </w:rPr>
              <w:t xml:space="preserve"> Бюджетни кредити за оперативни разходи</w:t>
            </w:r>
          </w:p>
        </w:tc>
        <w:tc>
          <w:tcPr>
            <w:tcW w:w="381" w:type="pct"/>
            <w:vAlign w:val="center"/>
          </w:tcPr>
          <w:p w:rsidR="00222FCC" w:rsidRDefault="00222FCC">
            <w:pPr>
              <w:rPr>
                <w:noProof/>
                <w:sz w:val="20"/>
                <w:szCs w:val="20"/>
              </w:rPr>
            </w:pPr>
          </w:p>
        </w:tc>
        <w:tc>
          <w:tcPr>
            <w:tcW w:w="381" w:type="pct"/>
            <w:vAlign w:val="center"/>
          </w:tcPr>
          <w:p w:rsidR="00222FCC" w:rsidRDefault="00222FCC">
            <w:pPr>
              <w:rPr>
                <w:noProof/>
                <w:sz w:val="20"/>
                <w:szCs w:val="20"/>
              </w:rPr>
            </w:pPr>
          </w:p>
        </w:tc>
        <w:tc>
          <w:tcPr>
            <w:tcW w:w="381" w:type="pct"/>
            <w:vAlign w:val="center"/>
          </w:tcPr>
          <w:p w:rsidR="00222FCC" w:rsidRDefault="00222FCC">
            <w:pPr>
              <w:rPr>
                <w:noProof/>
                <w:sz w:val="20"/>
                <w:szCs w:val="20"/>
              </w:rPr>
            </w:pPr>
          </w:p>
        </w:tc>
        <w:tc>
          <w:tcPr>
            <w:tcW w:w="381" w:type="pct"/>
            <w:vAlign w:val="center"/>
          </w:tcPr>
          <w:p w:rsidR="00222FCC" w:rsidRDefault="00222FCC">
            <w:pPr>
              <w:rPr>
                <w:noProof/>
                <w:sz w:val="20"/>
                <w:szCs w:val="20"/>
              </w:rPr>
            </w:pPr>
          </w:p>
        </w:tc>
        <w:tc>
          <w:tcPr>
            <w:tcW w:w="783" w:type="pct"/>
            <w:vAlign w:val="center"/>
          </w:tcPr>
          <w:p w:rsidR="00222FCC" w:rsidRDefault="00222FCC">
            <w:pPr>
              <w:rPr>
                <w:b/>
                <w:noProof/>
                <w:sz w:val="20"/>
                <w:szCs w:val="20"/>
              </w:rPr>
            </w:pPr>
          </w:p>
        </w:tc>
      </w:tr>
      <w:tr w:rsidR="00222FCC">
        <w:trPr>
          <w:trHeight w:val="277"/>
        </w:trPr>
        <w:tc>
          <w:tcPr>
            <w:tcW w:w="1748" w:type="pct"/>
            <w:vMerge w:val="restart"/>
            <w:vAlign w:val="center"/>
          </w:tcPr>
          <w:p w:rsidR="00222FCC" w:rsidRDefault="00FD122A">
            <w:pPr>
              <w:rPr>
                <w:noProof/>
                <w:sz w:val="20"/>
                <w:szCs w:val="20"/>
              </w:rPr>
            </w:pPr>
            <w:r>
              <w:rPr>
                <w:noProof/>
              </w:rPr>
              <w:t>04 02 65 Европейски корпус за солидарност — Вноска от Европейския социален фонд (ЕСФ)</w:t>
            </w:r>
          </w:p>
        </w:tc>
        <w:tc>
          <w:tcPr>
            <w:tcW w:w="635" w:type="pct"/>
            <w:vAlign w:val="center"/>
          </w:tcPr>
          <w:p w:rsidR="00222FCC" w:rsidRDefault="00FD122A">
            <w:pPr>
              <w:spacing w:before="20" w:after="20"/>
              <w:rPr>
                <w:noProof/>
                <w:sz w:val="20"/>
                <w:szCs w:val="20"/>
              </w:rPr>
            </w:pPr>
            <w:r>
              <w:rPr>
                <w:noProof/>
                <w:sz w:val="20"/>
              </w:rPr>
              <w:t>Поети задължения</w:t>
            </w:r>
          </w:p>
        </w:tc>
        <w:tc>
          <w:tcPr>
            <w:tcW w:w="311" w:type="pct"/>
            <w:gridSpan w:val="2"/>
            <w:vAlign w:val="center"/>
          </w:tcPr>
          <w:p w:rsidR="00222FCC" w:rsidRDefault="00FD122A">
            <w:pPr>
              <w:spacing w:before="20" w:after="20"/>
              <w:jc w:val="center"/>
              <w:rPr>
                <w:noProof/>
                <w:sz w:val="20"/>
                <w:szCs w:val="20"/>
              </w:rPr>
            </w:pPr>
            <w:r>
              <w:rPr>
                <w:noProof/>
                <w:sz w:val="20"/>
              </w:rPr>
              <w:t>(1)</w:t>
            </w:r>
          </w:p>
        </w:tc>
        <w:tc>
          <w:tcPr>
            <w:tcW w:w="381" w:type="pct"/>
            <w:vAlign w:val="center"/>
          </w:tcPr>
          <w:p w:rsidR="00222FCC" w:rsidRDefault="00FD122A">
            <w:pPr>
              <w:spacing w:before="20" w:after="20"/>
              <w:jc w:val="right"/>
              <w:rPr>
                <w:noProof/>
                <w:sz w:val="20"/>
                <w:szCs w:val="20"/>
              </w:rPr>
            </w:pPr>
            <w:r>
              <w:rPr>
                <w:noProof/>
                <w:sz w:val="20"/>
              </w:rPr>
              <w:t>11,102</w:t>
            </w:r>
          </w:p>
        </w:tc>
        <w:tc>
          <w:tcPr>
            <w:tcW w:w="381" w:type="pct"/>
            <w:vAlign w:val="center"/>
          </w:tcPr>
          <w:p w:rsidR="00222FCC" w:rsidRDefault="00FD122A">
            <w:pPr>
              <w:spacing w:before="20" w:after="20"/>
              <w:jc w:val="right"/>
              <w:rPr>
                <w:noProof/>
                <w:sz w:val="20"/>
                <w:szCs w:val="20"/>
              </w:rPr>
            </w:pPr>
            <w:r>
              <w:rPr>
                <w:noProof/>
                <w:sz w:val="20"/>
              </w:rPr>
              <w:t>12,078</w:t>
            </w:r>
          </w:p>
        </w:tc>
        <w:tc>
          <w:tcPr>
            <w:tcW w:w="381" w:type="pct"/>
            <w:vAlign w:val="center"/>
          </w:tcPr>
          <w:p w:rsidR="00222FCC" w:rsidRDefault="00FD122A">
            <w:pPr>
              <w:spacing w:before="20" w:after="20"/>
              <w:jc w:val="right"/>
              <w:rPr>
                <w:noProof/>
                <w:sz w:val="20"/>
                <w:szCs w:val="20"/>
              </w:rPr>
            </w:pPr>
            <w:r>
              <w:rPr>
                <w:noProof/>
                <w:sz w:val="20"/>
              </w:rPr>
              <w:t>11,820</w:t>
            </w:r>
          </w:p>
        </w:tc>
        <w:tc>
          <w:tcPr>
            <w:tcW w:w="381" w:type="pct"/>
            <w:vAlign w:val="center"/>
          </w:tcPr>
          <w:p w:rsidR="00222FCC" w:rsidRDefault="00FD122A">
            <w:pPr>
              <w:spacing w:before="20" w:after="20"/>
              <w:jc w:val="right"/>
              <w:rPr>
                <w:noProof/>
                <w:sz w:val="20"/>
                <w:szCs w:val="20"/>
              </w:rPr>
            </w:pPr>
            <w:r>
              <w:rPr>
                <w:noProof/>
                <w:sz w:val="20"/>
              </w:rPr>
              <w:t>0,000</w:t>
            </w:r>
          </w:p>
        </w:tc>
        <w:tc>
          <w:tcPr>
            <w:tcW w:w="783" w:type="pct"/>
            <w:vAlign w:val="center"/>
          </w:tcPr>
          <w:p w:rsidR="00222FCC" w:rsidRDefault="00FD122A">
            <w:pPr>
              <w:spacing w:before="20" w:after="20"/>
              <w:jc w:val="right"/>
              <w:rPr>
                <w:b/>
                <w:noProof/>
                <w:sz w:val="20"/>
                <w:szCs w:val="20"/>
              </w:rPr>
            </w:pPr>
            <w:r>
              <w:rPr>
                <w:b/>
                <w:noProof/>
                <w:sz w:val="20"/>
              </w:rPr>
              <w:t>35,000</w:t>
            </w:r>
          </w:p>
        </w:tc>
      </w:tr>
      <w:tr w:rsidR="00222FCC">
        <w:tc>
          <w:tcPr>
            <w:tcW w:w="1748" w:type="pct"/>
            <w:vMerge/>
          </w:tcPr>
          <w:p w:rsidR="00222FCC" w:rsidRDefault="00222FCC">
            <w:pPr>
              <w:jc w:val="center"/>
              <w:rPr>
                <w:noProof/>
                <w:sz w:val="20"/>
                <w:szCs w:val="20"/>
              </w:rPr>
            </w:pPr>
          </w:p>
        </w:tc>
        <w:tc>
          <w:tcPr>
            <w:tcW w:w="635" w:type="pct"/>
            <w:vAlign w:val="center"/>
          </w:tcPr>
          <w:p w:rsidR="00222FCC" w:rsidRDefault="00FD122A">
            <w:pPr>
              <w:spacing w:before="20" w:after="20"/>
              <w:rPr>
                <w:noProof/>
                <w:sz w:val="20"/>
                <w:szCs w:val="20"/>
              </w:rPr>
            </w:pPr>
            <w:r>
              <w:rPr>
                <w:noProof/>
                <w:sz w:val="20"/>
              </w:rPr>
              <w:t>Плащания</w:t>
            </w:r>
          </w:p>
        </w:tc>
        <w:tc>
          <w:tcPr>
            <w:tcW w:w="311" w:type="pct"/>
            <w:gridSpan w:val="2"/>
            <w:vAlign w:val="center"/>
          </w:tcPr>
          <w:p w:rsidR="00222FCC" w:rsidRDefault="00FD122A">
            <w:pPr>
              <w:spacing w:before="20" w:after="20"/>
              <w:jc w:val="center"/>
              <w:rPr>
                <w:noProof/>
                <w:sz w:val="20"/>
                <w:szCs w:val="20"/>
              </w:rPr>
            </w:pPr>
            <w:r>
              <w:rPr>
                <w:noProof/>
                <w:sz w:val="20"/>
              </w:rPr>
              <w:t>(2)</w:t>
            </w:r>
          </w:p>
        </w:tc>
        <w:tc>
          <w:tcPr>
            <w:tcW w:w="381" w:type="pct"/>
            <w:vAlign w:val="center"/>
          </w:tcPr>
          <w:p w:rsidR="00222FCC" w:rsidRDefault="00FD122A">
            <w:pPr>
              <w:spacing w:before="20" w:after="20"/>
              <w:jc w:val="right"/>
              <w:rPr>
                <w:noProof/>
                <w:sz w:val="20"/>
                <w:szCs w:val="20"/>
              </w:rPr>
            </w:pPr>
            <w:r>
              <w:rPr>
                <w:noProof/>
                <w:sz w:val="20"/>
              </w:rPr>
              <w:t>8,327</w:t>
            </w:r>
          </w:p>
        </w:tc>
        <w:tc>
          <w:tcPr>
            <w:tcW w:w="381" w:type="pct"/>
            <w:vAlign w:val="center"/>
          </w:tcPr>
          <w:p w:rsidR="00222FCC" w:rsidRDefault="00FD122A">
            <w:pPr>
              <w:spacing w:before="20" w:after="20"/>
              <w:jc w:val="right"/>
              <w:rPr>
                <w:noProof/>
                <w:sz w:val="20"/>
                <w:szCs w:val="20"/>
              </w:rPr>
            </w:pPr>
            <w:r>
              <w:rPr>
                <w:noProof/>
                <w:sz w:val="20"/>
              </w:rPr>
              <w:t>12,487</w:t>
            </w:r>
          </w:p>
        </w:tc>
        <w:tc>
          <w:tcPr>
            <w:tcW w:w="381" w:type="pct"/>
            <w:vAlign w:val="center"/>
          </w:tcPr>
          <w:p w:rsidR="00222FCC" w:rsidRDefault="00FD122A">
            <w:pPr>
              <w:spacing w:before="20" w:after="20"/>
              <w:jc w:val="right"/>
              <w:rPr>
                <w:noProof/>
                <w:sz w:val="20"/>
                <w:szCs w:val="20"/>
              </w:rPr>
            </w:pPr>
            <w:r>
              <w:rPr>
                <w:noProof/>
                <w:sz w:val="20"/>
              </w:rPr>
              <w:t>11,810</w:t>
            </w:r>
          </w:p>
        </w:tc>
        <w:tc>
          <w:tcPr>
            <w:tcW w:w="381" w:type="pct"/>
            <w:vAlign w:val="center"/>
          </w:tcPr>
          <w:p w:rsidR="00222FCC" w:rsidRDefault="00FD122A">
            <w:pPr>
              <w:spacing w:before="20" w:after="20"/>
              <w:jc w:val="right"/>
              <w:rPr>
                <w:noProof/>
                <w:sz w:val="20"/>
                <w:szCs w:val="20"/>
              </w:rPr>
            </w:pPr>
            <w:r>
              <w:rPr>
                <w:noProof/>
                <w:sz w:val="20"/>
              </w:rPr>
              <w:t>2,377</w:t>
            </w:r>
          </w:p>
        </w:tc>
        <w:tc>
          <w:tcPr>
            <w:tcW w:w="783" w:type="pct"/>
            <w:vAlign w:val="center"/>
          </w:tcPr>
          <w:p w:rsidR="00222FCC" w:rsidRDefault="00FD122A">
            <w:pPr>
              <w:spacing w:before="20" w:after="20"/>
              <w:jc w:val="right"/>
              <w:rPr>
                <w:b/>
                <w:noProof/>
                <w:sz w:val="20"/>
                <w:szCs w:val="20"/>
              </w:rPr>
            </w:pPr>
            <w:r>
              <w:rPr>
                <w:b/>
                <w:noProof/>
                <w:sz w:val="20"/>
              </w:rPr>
              <w:t>35,000</w:t>
            </w:r>
          </w:p>
        </w:tc>
      </w:tr>
      <w:tr w:rsidR="00222FCC">
        <w:trPr>
          <w:trHeight w:val="231"/>
        </w:trPr>
        <w:tc>
          <w:tcPr>
            <w:tcW w:w="2694" w:type="pct"/>
            <w:gridSpan w:val="4"/>
            <w:vAlign w:val="center"/>
          </w:tcPr>
          <w:p w:rsidR="00222FCC" w:rsidRDefault="00FD122A">
            <w:pPr>
              <w:spacing w:before="20" w:after="20"/>
              <w:rPr>
                <w:noProof/>
                <w:sz w:val="20"/>
                <w:szCs w:val="20"/>
              </w:rPr>
            </w:pPr>
            <w:r>
              <w:rPr>
                <w:noProof/>
                <w:sz w:val="20"/>
              </w:rPr>
              <w:t>Бюджетни кредити за административни разходи, финансирани от пакета за определени програми</w:t>
            </w:r>
            <w:r>
              <w:rPr>
                <w:rStyle w:val="FootnoteReference"/>
                <w:noProof/>
                <w:sz w:val="20"/>
              </w:rPr>
              <w:footnoteReference w:id="40"/>
            </w:r>
            <w:r>
              <w:rPr>
                <w:noProof/>
                <w:sz w:val="20"/>
              </w:rPr>
              <w:t xml:space="preserve"> </w:t>
            </w:r>
          </w:p>
          <w:p w:rsidR="00222FCC" w:rsidRDefault="00222FCC">
            <w:pPr>
              <w:spacing w:before="0" w:after="0"/>
              <w:rPr>
                <w:noProof/>
                <w:sz w:val="20"/>
                <w:szCs w:val="20"/>
              </w:rPr>
            </w:pPr>
          </w:p>
        </w:tc>
        <w:tc>
          <w:tcPr>
            <w:tcW w:w="381" w:type="pct"/>
            <w:vAlign w:val="center"/>
          </w:tcPr>
          <w:p w:rsidR="00222FCC" w:rsidRDefault="00222FCC">
            <w:pPr>
              <w:rPr>
                <w:b/>
                <w:noProof/>
                <w:sz w:val="20"/>
                <w:szCs w:val="20"/>
              </w:rPr>
            </w:pPr>
          </w:p>
        </w:tc>
        <w:tc>
          <w:tcPr>
            <w:tcW w:w="381" w:type="pct"/>
            <w:vAlign w:val="center"/>
          </w:tcPr>
          <w:p w:rsidR="00222FCC" w:rsidRDefault="00222FCC">
            <w:pPr>
              <w:rPr>
                <w:b/>
                <w:noProof/>
                <w:sz w:val="20"/>
                <w:szCs w:val="20"/>
              </w:rPr>
            </w:pPr>
          </w:p>
        </w:tc>
        <w:tc>
          <w:tcPr>
            <w:tcW w:w="381" w:type="pct"/>
            <w:vAlign w:val="center"/>
          </w:tcPr>
          <w:p w:rsidR="00222FCC" w:rsidRDefault="00222FCC">
            <w:pPr>
              <w:rPr>
                <w:b/>
                <w:noProof/>
                <w:sz w:val="20"/>
                <w:szCs w:val="20"/>
              </w:rPr>
            </w:pPr>
          </w:p>
        </w:tc>
        <w:tc>
          <w:tcPr>
            <w:tcW w:w="381" w:type="pct"/>
            <w:vAlign w:val="center"/>
          </w:tcPr>
          <w:p w:rsidR="00222FCC" w:rsidRDefault="00222FCC">
            <w:pPr>
              <w:rPr>
                <w:b/>
                <w:noProof/>
                <w:sz w:val="20"/>
                <w:szCs w:val="20"/>
              </w:rPr>
            </w:pPr>
          </w:p>
        </w:tc>
        <w:tc>
          <w:tcPr>
            <w:tcW w:w="783" w:type="pct"/>
            <w:vAlign w:val="center"/>
          </w:tcPr>
          <w:p w:rsidR="00222FCC" w:rsidRDefault="00222FCC">
            <w:pPr>
              <w:rPr>
                <w:b/>
                <w:noProof/>
                <w:sz w:val="20"/>
                <w:szCs w:val="20"/>
              </w:rPr>
            </w:pPr>
          </w:p>
        </w:tc>
      </w:tr>
      <w:tr w:rsidR="00222FCC">
        <w:trPr>
          <w:trHeight w:val="319"/>
        </w:trPr>
        <w:tc>
          <w:tcPr>
            <w:tcW w:w="1748" w:type="pct"/>
            <w:vAlign w:val="center"/>
          </w:tcPr>
          <w:p w:rsidR="00222FCC" w:rsidRDefault="00222FCC">
            <w:pPr>
              <w:spacing w:before="60" w:after="60"/>
              <w:rPr>
                <w:noProof/>
                <w:sz w:val="20"/>
                <w:szCs w:val="20"/>
              </w:rPr>
            </w:pPr>
          </w:p>
        </w:tc>
        <w:tc>
          <w:tcPr>
            <w:tcW w:w="635" w:type="pct"/>
            <w:vAlign w:val="center"/>
          </w:tcPr>
          <w:p w:rsidR="00222FCC" w:rsidRDefault="00222FCC">
            <w:pPr>
              <w:spacing w:before="40" w:after="40"/>
              <w:jc w:val="right"/>
              <w:rPr>
                <w:noProof/>
                <w:sz w:val="20"/>
                <w:szCs w:val="20"/>
              </w:rPr>
            </w:pPr>
          </w:p>
        </w:tc>
        <w:tc>
          <w:tcPr>
            <w:tcW w:w="311" w:type="pct"/>
            <w:gridSpan w:val="2"/>
            <w:vAlign w:val="center"/>
          </w:tcPr>
          <w:p w:rsidR="00222FCC" w:rsidRDefault="00FD122A">
            <w:pPr>
              <w:spacing w:before="40" w:after="40"/>
              <w:jc w:val="center"/>
              <w:rPr>
                <w:noProof/>
                <w:sz w:val="20"/>
                <w:szCs w:val="20"/>
              </w:rPr>
            </w:pPr>
            <w:r>
              <w:rPr>
                <w:noProof/>
                <w:sz w:val="20"/>
              </w:rPr>
              <w:t>(3)</w:t>
            </w:r>
          </w:p>
        </w:tc>
        <w:tc>
          <w:tcPr>
            <w:tcW w:w="381" w:type="pct"/>
            <w:vAlign w:val="center"/>
          </w:tcPr>
          <w:p w:rsidR="00222FCC" w:rsidRDefault="00222FCC">
            <w:pPr>
              <w:spacing w:before="40" w:after="40"/>
              <w:jc w:val="right"/>
              <w:rPr>
                <w:b/>
                <w:noProof/>
                <w:sz w:val="20"/>
                <w:szCs w:val="20"/>
              </w:rPr>
            </w:pPr>
          </w:p>
        </w:tc>
        <w:tc>
          <w:tcPr>
            <w:tcW w:w="381" w:type="pct"/>
            <w:vAlign w:val="center"/>
          </w:tcPr>
          <w:p w:rsidR="00222FCC" w:rsidRDefault="00222FCC">
            <w:pPr>
              <w:spacing w:before="40" w:after="40"/>
              <w:jc w:val="right"/>
              <w:rPr>
                <w:b/>
                <w:noProof/>
                <w:sz w:val="20"/>
                <w:szCs w:val="20"/>
              </w:rPr>
            </w:pPr>
          </w:p>
        </w:tc>
        <w:tc>
          <w:tcPr>
            <w:tcW w:w="381" w:type="pct"/>
            <w:vAlign w:val="center"/>
          </w:tcPr>
          <w:p w:rsidR="00222FCC" w:rsidRDefault="00222FCC">
            <w:pPr>
              <w:spacing w:before="40" w:after="40"/>
              <w:jc w:val="right"/>
              <w:rPr>
                <w:b/>
                <w:noProof/>
                <w:sz w:val="20"/>
                <w:szCs w:val="20"/>
              </w:rPr>
            </w:pPr>
          </w:p>
        </w:tc>
        <w:tc>
          <w:tcPr>
            <w:tcW w:w="381" w:type="pct"/>
            <w:vAlign w:val="center"/>
          </w:tcPr>
          <w:p w:rsidR="00222FCC" w:rsidRDefault="00222FCC">
            <w:pPr>
              <w:spacing w:before="40" w:after="40"/>
              <w:jc w:val="right"/>
              <w:rPr>
                <w:b/>
                <w:noProof/>
                <w:sz w:val="20"/>
                <w:szCs w:val="20"/>
              </w:rPr>
            </w:pPr>
          </w:p>
        </w:tc>
        <w:tc>
          <w:tcPr>
            <w:tcW w:w="783" w:type="pct"/>
            <w:vAlign w:val="center"/>
          </w:tcPr>
          <w:p w:rsidR="00222FCC" w:rsidRDefault="00222FCC">
            <w:pPr>
              <w:spacing w:before="40" w:after="40"/>
              <w:jc w:val="right"/>
              <w:rPr>
                <w:b/>
                <w:noProof/>
                <w:sz w:val="20"/>
                <w:szCs w:val="20"/>
              </w:rPr>
            </w:pPr>
          </w:p>
        </w:tc>
      </w:tr>
      <w:tr w:rsidR="00222FCC">
        <w:tc>
          <w:tcPr>
            <w:tcW w:w="1748" w:type="pct"/>
            <w:vMerge w:val="restart"/>
            <w:vAlign w:val="center"/>
          </w:tcPr>
          <w:p w:rsidR="00222FCC" w:rsidRDefault="00FD122A">
            <w:pPr>
              <w:jc w:val="center"/>
              <w:rPr>
                <w:b/>
                <w:noProof/>
                <w:sz w:val="20"/>
                <w:szCs w:val="20"/>
              </w:rPr>
            </w:pPr>
            <w:r>
              <w:rPr>
                <w:b/>
                <w:noProof/>
                <w:sz w:val="20"/>
              </w:rPr>
              <w:t>ОБЩО бюджетни кредити</w:t>
            </w:r>
            <w:r>
              <w:rPr>
                <w:noProof/>
                <w:sz w:val="20"/>
                <w:szCs w:val="20"/>
              </w:rPr>
              <w:br/>
            </w:r>
            <w:r>
              <w:rPr>
                <w:b/>
                <w:noProof/>
                <w:sz w:val="20"/>
              </w:rPr>
              <w:t xml:space="preserve">за ГД </w:t>
            </w:r>
            <w:r>
              <w:rPr>
                <w:noProof/>
                <w:sz w:val="20"/>
              </w:rPr>
              <w:t>„Образование и култура“</w:t>
            </w:r>
          </w:p>
        </w:tc>
        <w:tc>
          <w:tcPr>
            <w:tcW w:w="635" w:type="pct"/>
            <w:vAlign w:val="center"/>
          </w:tcPr>
          <w:p w:rsidR="00222FCC" w:rsidRDefault="00FD122A">
            <w:pPr>
              <w:rPr>
                <w:noProof/>
                <w:sz w:val="20"/>
                <w:szCs w:val="20"/>
              </w:rPr>
            </w:pPr>
            <w:r>
              <w:rPr>
                <w:noProof/>
                <w:sz w:val="20"/>
              </w:rPr>
              <w:t>Поети задължения</w:t>
            </w:r>
          </w:p>
        </w:tc>
        <w:tc>
          <w:tcPr>
            <w:tcW w:w="311" w:type="pct"/>
            <w:gridSpan w:val="2"/>
            <w:vAlign w:val="center"/>
          </w:tcPr>
          <w:p w:rsidR="00222FCC" w:rsidRDefault="00FD122A">
            <w:pPr>
              <w:jc w:val="center"/>
              <w:rPr>
                <w:noProof/>
                <w:sz w:val="20"/>
                <w:szCs w:val="20"/>
              </w:rPr>
            </w:pPr>
            <w:r>
              <w:rPr>
                <w:noProof/>
                <w:sz w:val="20"/>
              </w:rPr>
              <w:t>=1+1a +3</w:t>
            </w:r>
          </w:p>
        </w:tc>
        <w:tc>
          <w:tcPr>
            <w:tcW w:w="381" w:type="pct"/>
            <w:vAlign w:val="center"/>
          </w:tcPr>
          <w:p w:rsidR="00222FCC" w:rsidRDefault="00FD122A">
            <w:pPr>
              <w:spacing w:before="20" w:after="20"/>
              <w:jc w:val="right"/>
              <w:rPr>
                <w:noProof/>
                <w:sz w:val="20"/>
                <w:szCs w:val="20"/>
              </w:rPr>
            </w:pPr>
            <w:r>
              <w:rPr>
                <w:noProof/>
                <w:sz w:val="20"/>
              </w:rPr>
              <w:t>11,102</w:t>
            </w:r>
          </w:p>
        </w:tc>
        <w:tc>
          <w:tcPr>
            <w:tcW w:w="381" w:type="pct"/>
            <w:vAlign w:val="center"/>
          </w:tcPr>
          <w:p w:rsidR="00222FCC" w:rsidRDefault="00FD122A">
            <w:pPr>
              <w:spacing w:before="20" w:after="20"/>
              <w:jc w:val="right"/>
              <w:rPr>
                <w:noProof/>
                <w:sz w:val="20"/>
                <w:szCs w:val="20"/>
              </w:rPr>
            </w:pPr>
            <w:r>
              <w:rPr>
                <w:noProof/>
                <w:sz w:val="20"/>
              </w:rPr>
              <w:t>12,078</w:t>
            </w:r>
          </w:p>
        </w:tc>
        <w:tc>
          <w:tcPr>
            <w:tcW w:w="381" w:type="pct"/>
            <w:vAlign w:val="center"/>
          </w:tcPr>
          <w:p w:rsidR="00222FCC" w:rsidRDefault="00FD122A">
            <w:pPr>
              <w:spacing w:before="20" w:after="20"/>
              <w:jc w:val="right"/>
              <w:rPr>
                <w:noProof/>
                <w:sz w:val="20"/>
                <w:szCs w:val="20"/>
              </w:rPr>
            </w:pPr>
            <w:r>
              <w:rPr>
                <w:noProof/>
                <w:sz w:val="20"/>
              </w:rPr>
              <w:t>11,820</w:t>
            </w:r>
          </w:p>
        </w:tc>
        <w:tc>
          <w:tcPr>
            <w:tcW w:w="381" w:type="pct"/>
            <w:vAlign w:val="center"/>
          </w:tcPr>
          <w:p w:rsidR="00222FCC" w:rsidRDefault="00FD122A">
            <w:pPr>
              <w:spacing w:before="20" w:after="20"/>
              <w:jc w:val="right"/>
              <w:rPr>
                <w:noProof/>
                <w:sz w:val="20"/>
                <w:szCs w:val="20"/>
              </w:rPr>
            </w:pPr>
            <w:r>
              <w:rPr>
                <w:noProof/>
                <w:sz w:val="20"/>
              </w:rPr>
              <w:t>0,000</w:t>
            </w:r>
          </w:p>
        </w:tc>
        <w:tc>
          <w:tcPr>
            <w:tcW w:w="783" w:type="pct"/>
            <w:vAlign w:val="center"/>
          </w:tcPr>
          <w:p w:rsidR="00222FCC" w:rsidRDefault="00FD122A">
            <w:pPr>
              <w:spacing w:before="20" w:after="20"/>
              <w:jc w:val="right"/>
              <w:rPr>
                <w:b/>
                <w:noProof/>
                <w:sz w:val="20"/>
                <w:szCs w:val="20"/>
              </w:rPr>
            </w:pPr>
            <w:r>
              <w:rPr>
                <w:b/>
                <w:noProof/>
                <w:sz w:val="20"/>
              </w:rPr>
              <w:t>35,000</w:t>
            </w:r>
          </w:p>
        </w:tc>
      </w:tr>
      <w:tr w:rsidR="00222FCC">
        <w:tc>
          <w:tcPr>
            <w:tcW w:w="1748" w:type="pct"/>
            <w:vMerge/>
          </w:tcPr>
          <w:p w:rsidR="00222FCC" w:rsidRDefault="00222FCC">
            <w:pPr>
              <w:rPr>
                <w:noProof/>
                <w:sz w:val="20"/>
                <w:szCs w:val="20"/>
              </w:rPr>
            </w:pPr>
          </w:p>
        </w:tc>
        <w:tc>
          <w:tcPr>
            <w:tcW w:w="635" w:type="pct"/>
            <w:vAlign w:val="center"/>
          </w:tcPr>
          <w:p w:rsidR="00222FCC" w:rsidRDefault="00FD122A">
            <w:pPr>
              <w:rPr>
                <w:noProof/>
                <w:sz w:val="20"/>
                <w:szCs w:val="20"/>
              </w:rPr>
            </w:pPr>
            <w:r>
              <w:rPr>
                <w:noProof/>
                <w:sz w:val="20"/>
              </w:rPr>
              <w:t>Плащания</w:t>
            </w:r>
          </w:p>
        </w:tc>
        <w:tc>
          <w:tcPr>
            <w:tcW w:w="311" w:type="pct"/>
            <w:gridSpan w:val="2"/>
            <w:vAlign w:val="center"/>
          </w:tcPr>
          <w:p w:rsidR="00222FCC" w:rsidRDefault="00FD122A">
            <w:pPr>
              <w:jc w:val="center"/>
              <w:rPr>
                <w:noProof/>
                <w:sz w:val="20"/>
                <w:szCs w:val="20"/>
              </w:rPr>
            </w:pPr>
            <w:r>
              <w:rPr>
                <w:noProof/>
                <w:sz w:val="20"/>
              </w:rPr>
              <w:t>=2+2а</w:t>
            </w:r>
          </w:p>
          <w:p w:rsidR="00222FCC" w:rsidRDefault="00FD122A">
            <w:pPr>
              <w:jc w:val="center"/>
              <w:rPr>
                <w:noProof/>
                <w:sz w:val="20"/>
                <w:szCs w:val="20"/>
              </w:rPr>
            </w:pPr>
            <w:r>
              <w:rPr>
                <w:noProof/>
                <w:sz w:val="20"/>
              </w:rPr>
              <w:t>+3</w:t>
            </w:r>
          </w:p>
        </w:tc>
        <w:tc>
          <w:tcPr>
            <w:tcW w:w="381" w:type="pct"/>
            <w:vAlign w:val="center"/>
          </w:tcPr>
          <w:p w:rsidR="00222FCC" w:rsidRDefault="00FD122A">
            <w:pPr>
              <w:spacing w:before="20" w:after="20"/>
              <w:jc w:val="right"/>
              <w:rPr>
                <w:noProof/>
                <w:sz w:val="20"/>
                <w:szCs w:val="20"/>
              </w:rPr>
            </w:pPr>
            <w:r>
              <w:rPr>
                <w:noProof/>
                <w:sz w:val="20"/>
              </w:rPr>
              <w:t>8,327</w:t>
            </w:r>
          </w:p>
        </w:tc>
        <w:tc>
          <w:tcPr>
            <w:tcW w:w="381" w:type="pct"/>
            <w:vAlign w:val="center"/>
          </w:tcPr>
          <w:p w:rsidR="00222FCC" w:rsidRDefault="00FD122A">
            <w:pPr>
              <w:spacing w:before="20" w:after="20"/>
              <w:jc w:val="right"/>
              <w:rPr>
                <w:noProof/>
                <w:sz w:val="20"/>
                <w:szCs w:val="20"/>
              </w:rPr>
            </w:pPr>
            <w:r>
              <w:rPr>
                <w:noProof/>
                <w:sz w:val="20"/>
              </w:rPr>
              <w:t>12,487</w:t>
            </w:r>
          </w:p>
        </w:tc>
        <w:tc>
          <w:tcPr>
            <w:tcW w:w="381" w:type="pct"/>
            <w:vAlign w:val="center"/>
          </w:tcPr>
          <w:p w:rsidR="00222FCC" w:rsidRDefault="00FD122A">
            <w:pPr>
              <w:spacing w:before="20" w:after="20"/>
              <w:jc w:val="right"/>
              <w:rPr>
                <w:noProof/>
                <w:sz w:val="20"/>
                <w:szCs w:val="20"/>
              </w:rPr>
            </w:pPr>
            <w:r>
              <w:rPr>
                <w:noProof/>
                <w:sz w:val="20"/>
              </w:rPr>
              <w:t>11,810</w:t>
            </w:r>
          </w:p>
        </w:tc>
        <w:tc>
          <w:tcPr>
            <w:tcW w:w="381" w:type="pct"/>
            <w:vAlign w:val="center"/>
          </w:tcPr>
          <w:p w:rsidR="00222FCC" w:rsidRDefault="00FD122A">
            <w:pPr>
              <w:spacing w:before="20" w:after="20"/>
              <w:jc w:val="right"/>
              <w:rPr>
                <w:noProof/>
                <w:sz w:val="20"/>
                <w:szCs w:val="20"/>
              </w:rPr>
            </w:pPr>
            <w:r>
              <w:rPr>
                <w:noProof/>
                <w:sz w:val="20"/>
              </w:rPr>
              <w:t>2,377</w:t>
            </w:r>
          </w:p>
        </w:tc>
        <w:tc>
          <w:tcPr>
            <w:tcW w:w="783" w:type="pct"/>
            <w:vAlign w:val="center"/>
          </w:tcPr>
          <w:p w:rsidR="00222FCC" w:rsidRDefault="00FD122A">
            <w:pPr>
              <w:spacing w:before="20" w:after="20"/>
              <w:jc w:val="right"/>
              <w:rPr>
                <w:b/>
                <w:noProof/>
                <w:sz w:val="20"/>
                <w:szCs w:val="20"/>
              </w:rPr>
            </w:pPr>
            <w:r>
              <w:rPr>
                <w:b/>
                <w:noProof/>
                <w:sz w:val="20"/>
              </w:rPr>
              <w:t>35,000</w:t>
            </w:r>
          </w:p>
        </w:tc>
      </w:tr>
    </w:tbl>
    <w:p w:rsidR="00222FCC" w:rsidRDefault="00222FCC">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rsidR="00222FCC">
        <w:trPr>
          <w:trHeight w:val="277"/>
        </w:trPr>
        <w:tc>
          <w:tcPr>
            <w:tcW w:w="1752" w:type="pct"/>
            <w:vMerge w:val="restart"/>
            <w:vAlign w:val="center"/>
          </w:tcPr>
          <w:p w:rsidR="00222FCC" w:rsidRDefault="00FD122A">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H1В</w:t>
            </w:r>
          </w:p>
        </w:tc>
        <w:tc>
          <w:tcPr>
            <w:tcW w:w="637" w:type="pct"/>
            <w:vAlign w:val="center"/>
          </w:tcPr>
          <w:p w:rsidR="00222FCC" w:rsidRDefault="00FD122A">
            <w:pPr>
              <w:spacing w:beforeLines="20" w:before="48" w:afterLines="20" w:after="48"/>
              <w:rPr>
                <w:noProof/>
                <w:sz w:val="18"/>
              </w:rPr>
            </w:pPr>
            <w:r>
              <w:rPr>
                <w:noProof/>
                <w:sz w:val="18"/>
              </w:rPr>
              <w:t>Поети задължения</w:t>
            </w:r>
          </w:p>
        </w:tc>
        <w:tc>
          <w:tcPr>
            <w:tcW w:w="289" w:type="pct"/>
            <w:vAlign w:val="center"/>
          </w:tcPr>
          <w:p w:rsidR="00222FCC" w:rsidRDefault="00FD122A">
            <w:pPr>
              <w:spacing w:beforeLines="20" w:before="48" w:afterLines="20" w:after="48"/>
              <w:jc w:val="center"/>
              <w:rPr>
                <w:noProof/>
                <w:sz w:val="14"/>
              </w:rPr>
            </w:pPr>
            <w:r>
              <w:rPr>
                <w:noProof/>
                <w:sz w:val="14"/>
              </w:rPr>
              <w:t>(4)</w:t>
            </w:r>
          </w:p>
        </w:tc>
        <w:tc>
          <w:tcPr>
            <w:tcW w:w="384" w:type="pct"/>
            <w:vAlign w:val="center"/>
          </w:tcPr>
          <w:p w:rsidR="00222FCC" w:rsidRDefault="00FD122A">
            <w:pPr>
              <w:spacing w:before="20" w:after="20"/>
              <w:jc w:val="right"/>
              <w:rPr>
                <w:noProof/>
                <w:sz w:val="20"/>
              </w:rPr>
            </w:pPr>
            <w:r>
              <w:rPr>
                <w:noProof/>
                <w:color w:val="000000"/>
                <w:sz w:val="20"/>
              </w:rPr>
              <w:t>11,102</w:t>
            </w:r>
          </w:p>
        </w:tc>
        <w:tc>
          <w:tcPr>
            <w:tcW w:w="384" w:type="pct"/>
            <w:vAlign w:val="center"/>
          </w:tcPr>
          <w:p w:rsidR="00222FCC" w:rsidRDefault="00FD122A">
            <w:pPr>
              <w:spacing w:before="20" w:after="20"/>
              <w:jc w:val="right"/>
              <w:rPr>
                <w:noProof/>
                <w:sz w:val="20"/>
              </w:rPr>
            </w:pPr>
            <w:r>
              <w:rPr>
                <w:noProof/>
                <w:color w:val="000000"/>
                <w:sz w:val="20"/>
              </w:rPr>
              <w:t>12,078</w:t>
            </w:r>
          </w:p>
        </w:tc>
        <w:tc>
          <w:tcPr>
            <w:tcW w:w="384" w:type="pct"/>
            <w:vAlign w:val="center"/>
          </w:tcPr>
          <w:p w:rsidR="00222FCC" w:rsidRDefault="00FD122A">
            <w:pPr>
              <w:spacing w:before="20" w:after="20"/>
              <w:jc w:val="right"/>
              <w:rPr>
                <w:noProof/>
                <w:sz w:val="20"/>
              </w:rPr>
            </w:pPr>
            <w:r>
              <w:rPr>
                <w:noProof/>
                <w:color w:val="000000"/>
                <w:sz w:val="20"/>
              </w:rPr>
              <w:t>11,820</w:t>
            </w:r>
          </w:p>
        </w:tc>
        <w:tc>
          <w:tcPr>
            <w:tcW w:w="384" w:type="pct"/>
            <w:vAlign w:val="center"/>
          </w:tcPr>
          <w:p w:rsidR="00222FCC" w:rsidRDefault="00FD122A">
            <w:pPr>
              <w:spacing w:before="20" w:after="20"/>
              <w:jc w:val="right"/>
              <w:rPr>
                <w:noProof/>
                <w:sz w:val="20"/>
              </w:rPr>
            </w:pPr>
            <w:r>
              <w:rPr>
                <w:noProof/>
                <w:color w:val="000000"/>
                <w:sz w:val="20"/>
              </w:rPr>
              <w:t>0,000</w:t>
            </w:r>
          </w:p>
        </w:tc>
        <w:tc>
          <w:tcPr>
            <w:tcW w:w="786" w:type="pct"/>
            <w:vAlign w:val="center"/>
          </w:tcPr>
          <w:p w:rsidR="00222FCC" w:rsidRDefault="00FD122A">
            <w:pPr>
              <w:spacing w:before="20" w:after="20"/>
              <w:jc w:val="right"/>
              <w:rPr>
                <w:b/>
                <w:noProof/>
                <w:sz w:val="20"/>
              </w:rPr>
            </w:pPr>
            <w:r>
              <w:rPr>
                <w:b/>
                <w:noProof/>
                <w:color w:val="000000"/>
                <w:sz w:val="20"/>
              </w:rPr>
              <w:t>35,000</w:t>
            </w:r>
          </w:p>
        </w:tc>
      </w:tr>
      <w:tr w:rsidR="00222FCC">
        <w:tc>
          <w:tcPr>
            <w:tcW w:w="1752" w:type="pct"/>
            <w:vMerge/>
          </w:tcPr>
          <w:p w:rsidR="00222FCC" w:rsidRDefault="00222FCC">
            <w:pPr>
              <w:jc w:val="center"/>
              <w:rPr>
                <w:noProof/>
                <w:sz w:val="20"/>
              </w:rPr>
            </w:pPr>
          </w:p>
        </w:tc>
        <w:tc>
          <w:tcPr>
            <w:tcW w:w="637" w:type="pct"/>
            <w:vAlign w:val="center"/>
          </w:tcPr>
          <w:p w:rsidR="00222FCC" w:rsidRDefault="00FD122A">
            <w:pPr>
              <w:spacing w:beforeLines="20" w:before="48" w:afterLines="20" w:after="48"/>
              <w:rPr>
                <w:noProof/>
                <w:sz w:val="18"/>
              </w:rPr>
            </w:pPr>
            <w:r>
              <w:rPr>
                <w:noProof/>
                <w:sz w:val="18"/>
              </w:rPr>
              <w:t>Плащания</w:t>
            </w:r>
          </w:p>
        </w:tc>
        <w:tc>
          <w:tcPr>
            <w:tcW w:w="289" w:type="pct"/>
            <w:vAlign w:val="center"/>
          </w:tcPr>
          <w:p w:rsidR="00222FCC" w:rsidRDefault="00FD122A">
            <w:pPr>
              <w:spacing w:beforeLines="20" w:before="48" w:afterLines="20" w:after="48"/>
              <w:jc w:val="center"/>
              <w:rPr>
                <w:noProof/>
                <w:sz w:val="14"/>
              </w:rPr>
            </w:pPr>
            <w:r>
              <w:rPr>
                <w:noProof/>
                <w:sz w:val="14"/>
              </w:rPr>
              <w:t>(5)</w:t>
            </w:r>
          </w:p>
        </w:tc>
        <w:tc>
          <w:tcPr>
            <w:tcW w:w="384" w:type="pct"/>
            <w:vAlign w:val="center"/>
          </w:tcPr>
          <w:p w:rsidR="00222FCC" w:rsidRDefault="00FD122A">
            <w:pPr>
              <w:spacing w:before="20" w:after="20"/>
              <w:jc w:val="right"/>
              <w:rPr>
                <w:noProof/>
                <w:sz w:val="20"/>
              </w:rPr>
            </w:pPr>
            <w:r>
              <w:rPr>
                <w:noProof/>
                <w:color w:val="000000"/>
                <w:sz w:val="20"/>
              </w:rPr>
              <w:t>8,327</w:t>
            </w:r>
          </w:p>
        </w:tc>
        <w:tc>
          <w:tcPr>
            <w:tcW w:w="384" w:type="pct"/>
            <w:vAlign w:val="center"/>
          </w:tcPr>
          <w:p w:rsidR="00222FCC" w:rsidRDefault="00FD122A">
            <w:pPr>
              <w:spacing w:before="20" w:after="20"/>
              <w:jc w:val="right"/>
              <w:rPr>
                <w:noProof/>
                <w:sz w:val="20"/>
              </w:rPr>
            </w:pPr>
            <w:r>
              <w:rPr>
                <w:noProof/>
                <w:color w:val="000000"/>
                <w:sz w:val="20"/>
              </w:rPr>
              <w:t>12,487</w:t>
            </w:r>
          </w:p>
        </w:tc>
        <w:tc>
          <w:tcPr>
            <w:tcW w:w="384" w:type="pct"/>
            <w:vAlign w:val="center"/>
          </w:tcPr>
          <w:p w:rsidR="00222FCC" w:rsidRDefault="00FD122A">
            <w:pPr>
              <w:spacing w:before="20" w:after="20"/>
              <w:jc w:val="right"/>
              <w:rPr>
                <w:noProof/>
                <w:sz w:val="20"/>
              </w:rPr>
            </w:pPr>
            <w:r>
              <w:rPr>
                <w:noProof/>
                <w:color w:val="000000"/>
                <w:sz w:val="20"/>
              </w:rPr>
              <w:t>11,810</w:t>
            </w:r>
          </w:p>
        </w:tc>
        <w:tc>
          <w:tcPr>
            <w:tcW w:w="384" w:type="pct"/>
            <w:vAlign w:val="center"/>
          </w:tcPr>
          <w:p w:rsidR="00222FCC" w:rsidRDefault="00FD122A">
            <w:pPr>
              <w:spacing w:before="20" w:after="20"/>
              <w:jc w:val="right"/>
              <w:rPr>
                <w:noProof/>
                <w:sz w:val="20"/>
              </w:rPr>
            </w:pPr>
            <w:r>
              <w:rPr>
                <w:noProof/>
                <w:color w:val="000000"/>
                <w:sz w:val="20"/>
              </w:rPr>
              <w:t>2,377</w:t>
            </w:r>
          </w:p>
        </w:tc>
        <w:tc>
          <w:tcPr>
            <w:tcW w:w="786" w:type="pct"/>
            <w:vAlign w:val="center"/>
          </w:tcPr>
          <w:p w:rsidR="00222FCC" w:rsidRDefault="00FD122A">
            <w:pPr>
              <w:spacing w:before="20" w:after="20"/>
              <w:jc w:val="right"/>
              <w:rPr>
                <w:b/>
                <w:noProof/>
                <w:sz w:val="20"/>
              </w:rPr>
            </w:pPr>
            <w:r>
              <w:rPr>
                <w:b/>
                <w:noProof/>
                <w:color w:val="000000"/>
                <w:sz w:val="20"/>
              </w:rPr>
              <w:t>35,000</w:t>
            </w:r>
          </w:p>
        </w:tc>
      </w:tr>
      <w:tr w:rsidR="00222FCC">
        <w:trPr>
          <w:trHeight w:val="533"/>
        </w:trPr>
        <w:tc>
          <w:tcPr>
            <w:tcW w:w="2390" w:type="pct"/>
            <w:gridSpan w:val="2"/>
            <w:vAlign w:val="center"/>
          </w:tcPr>
          <w:p w:rsidR="00222FCC" w:rsidRDefault="00FD122A">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289" w:type="pct"/>
            <w:vAlign w:val="center"/>
          </w:tcPr>
          <w:p w:rsidR="00222FCC" w:rsidRDefault="00FD122A">
            <w:pPr>
              <w:spacing w:beforeLines="20" w:before="48" w:afterLines="20" w:after="48"/>
              <w:jc w:val="center"/>
              <w:rPr>
                <w:noProof/>
                <w:sz w:val="14"/>
              </w:rPr>
            </w:pPr>
            <w:r>
              <w:rPr>
                <w:noProof/>
                <w:sz w:val="14"/>
              </w:rPr>
              <w:t>(6)</w:t>
            </w:r>
          </w:p>
        </w:tc>
        <w:tc>
          <w:tcPr>
            <w:tcW w:w="384" w:type="pct"/>
            <w:vAlign w:val="center"/>
          </w:tcPr>
          <w:p w:rsidR="00222FCC" w:rsidRDefault="00222FCC">
            <w:pPr>
              <w:spacing w:before="20" w:after="20"/>
              <w:jc w:val="right"/>
              <w:rPr>
                <w:b/>
                <w:noProof/>
                <w:sz w:val="20"/>
              </w:rPr>
            </w:pPr>
          </w:p>
        </w:tc>
        <w:tc>
          <w:tcPr>
            <w:tcW w:w="384" w:type="pct"/>
            <w:vAlign w:val="center"/>
          </w:tcPr>
          <w:p w:rsidR="00222FCC" w:rsidRDefault="00222FCC">
            <w:pPr>
              <w:spacing w:before="20" w:after="20"/>
              <w:jc w:val="right"/>
              <w:rPr>
                <w:b/>
                <w:noProof/>
                <w:sz w:val="20"/>
              </w:rPr>
            </w:pPr>
          </w:p>
        </w:tc>
        <w:tc>
          <w:tcPr>
            <w:tcW w:w="384" w:type="pct"/>
            <w:vAlign w:val="center"/>
          </w:tcPr>
          <w:p w:rsidR="00222FCC" w:rsidRDefault="00222FCC">
            <w:pPr>
              <w:spacing w:before="20" w:after="20"/>
              <w:jc w:val="right"/>
              <w:rPr>
                <w:b/>
                <w:noProof/>
                <w:sz w:val="20"/>
              </w:rPr>
            </w:pPr>
          </w:p>
        </w:tc>
        <w:tc>
          <w:tcPr>
            <w:tcW w:w="384" w:type="pct"/>
            <w:vAlign w:val="center"/>
          </w:tcPr>
          <w:p w:rsidR="00222FCC" w:rsidRDefault="00222FCC">
            <w:pPr>
              <w:spacing w:before="20" w:after="20"/>
              <w:jc w:val="right"/>
              <w:rPr>
                <w:b/>
                <w:noProof/>
                <w:sz w:val="20"/>
              </w:rPr>
            </w:pPr>
          </w:p>
        </w:tc>
        <w:tc>
          <w:tcPr>
            <w:tcW w:w="786" w:type="pct"/>
            <w:vAlign w:val="center"/>
          </w:tcPr>
          <w:p w:rsidR="00222FCC" w:rsidRDefault="00222FCC">
            <w:pPr>
              <w:spacing w:before="20" w:after="20"/>
              <w:jc w:val="right"/>
              <w:rPr>
                <w:b/>
                <w:noProof/>
                <w:sz w:val="20"/>
              </w:rPr>
            </w:pPr>
          </w:p>
        </w:tc>
      </w:tr>
      <w:tr w:rsidR="00222FCC">
        <w:tc>
          <w:tcPr>
            <w:tcW w:w="1752" w:type="pct"/>
            <w:vMerge w:val="restart"/>
            <w:shd w:val="thinDiagStripe" w:color="C0C0C0" w:fill="auto"/>
            <w:vAlign w:val="center"/>
          </w:tcPr>
          <w:p w:rsidR="00222FCC" w:rsidRDefault="00FD122A">
            <w:pPr>
              <w:jc w:val="center"/>
              <w:rPr>
                <w:b/>
                <w:noProof/>
                <w:sz w:val="22"/>
              </w:rPr>
            </w:pPr>
            <w:r>
              <w:rPr>
                <w:b/>
                <w:noProof/>
                <w:sz w:val="22"/>
              </w:rPr>
              <w:t>ОБЩО бюджетни кредити</w:t>
            </w:r>
            <w:r>
              <w:rPr>
                <w:noProof/>
                <w:sz w:val="22"/>
              </w:rPr>
              <w:br/>
            </w:r>
            <w:r>
              <w:rPr>
                <w:b/>
                <w:noProof/>
                <w:sz w:val="22"/>
              </w:rPr>
              <w:t>за ФУНКЦИЯ 1Б</w:t>
            </w:r>
          </w:p>
          <w:p w:rsidR="00222FCC" w:rsidRDefault="00FD122A">
            <w:pPr>
              <w:jc w:val="center"/>
              <w:rPr>
                <w:b/>
                <w:noProof/>
              </w:rPr>
            </w:pPr>
            <w:r>
              <w:rPr>
                <w:noProof/>
                <w:sz w:val="22"/>
              </w:rPr>
              <w:t>от многогодишната финансова рамка</w:t>
            </w:r>
          </w:p>
        </w:tc>
        <w:tc>
          <w:tcPr>
            <w:tcW w:w="637" w:type="pct"/>
            <w:vAlign w:val="center"/>
          </w:tcPr>
          <w:p w:rsidR="00222FCC" w:rsidRDefault="00FD122A">
            <w:pPr>
              <w:rPr>
                <w:noProof/>
                <w:sz w:val="18"/>
              </w:rPr>
            </w:pPr>
            <w:r>
              <w:rPr>
                <w:noProof/>
                <w:sz w:val="18"/>
              </w:rPr>
              <w:t>Поети задължения</w:t>
            </w:r>
          </w:p>
        </w:tc>
        <w:tc>
          <w:tcPr>
            <w:tcW w:w="289" w:type="pct"/>
            <w:vAlign w:val="center"/>
          </w:tcPr>
          <w:p w:rsidR="00222FCC" w:rsidRDefault="00FD122A">
            <w:pPr>
              <w:jc w:val="center"/>
              <w:rPr>
                <w:noProof/>
                <w:sz w:val="14"/>
              </w:rPr>
            </w:pPr>
            <w:r>
              <w:rPr>
                <w:noProof/>
                <w:sz w:val="14"/>
              </w:rPr>
              <w:t>=4+ 6</w:t>
            </w:r>
          </w:p>
        </w:tc>
        <w:tc>
          <w:tcPr>
            <w:tcW w:w="384" w:type="pct"/>
            <w:vAlign w:val="center"/>
          </w:tcPr>
          <w:p w:rsidR="00222FCC" w:rsidRDefault="00FD122A">
            <w:pPr>
              <w:spacing w:before="20" w:after="20"/>
              <w:jc w:val="right"/>
              <w:rPr>
                <w:noProof/>
                <w:sz w:val="20"/>
              </w:rPr>
            </w:pPr>
            <w:r>
              <w:rPr>
                <w:noProof/>
                <w:color w:val="000000"/>
                <w:sz w:val="20"/>
              </w:rPr>
              <w:t>11,102</w:t>
            </w:r>
          </w:p>
        </w:tc>
        <w:tc>
          <w:tcPr>
            <w:tcW w:w="384" w:type="pct"/>
            <w:vAlign w:val="center"/>
          </w:tcPr>
          <w:p w:rsidR="00222FCC" w:rsidRDefault="00FD122A">
            <w:pPr>
              <w:spacing w:before="20" w:after="20"/>
              <w:jc w:val="right"/>
              <w:rPr>
                <w:noProof/>
                <w:sz w:val="20"/>
              </w:rPr>
            </w:pPr>
            <w:r>
              <w:rPr>
                <w:noProof/>
                <w:color w:val="000000"/>
                <w:sz w:val="20"/>
              </w:rPr>
              <w:t>12,078</w:t>
            </w:r>
          </w:p>
        </w:tc>
        <w:tc>
          <w:tcPr>
            <w:tcW w:w="384" w:type="pct"/>
            <w:vAlign w:val="center"/>
          </w:tcPr>
          <w:p w:rsidR="00222FCC" w:rsidRDefault="00FD122A">
            <w:pPr>
              <w:spacing w:before="20" w:after="20"/>
              <w:jc w:val="right"/>
              <w:rPr>
                <w:noProof/>
                <w:sz w:val="20"/>
              </w:rPr>
            </w:pPr>
            <w:r>
              <w:rPr>
                <w:noProof/>
                <w:color w:val="000000"/>
                <w:sz w:val="20"/>
              </w:rPr>
              <w:t>11,820</w:t>
            </w:r>
          </w:p>
        </w:tc>
        <w:tc>
          <w:tcPr>
            <w:tcW w:w="384" w:type="pct"/>
            <w:vAlign w:val="center"/>
          </w:tcPr>
          <w:p w:rsidR="00222FCC" w:rsidRDefault="00FD122A">
            <w:pPr>
              <w:spacing w:before="20" w:after="20"/>
              <w:jc w:val="right"/>
              <w:rPr>
                <w:noProof/>
                <w:sz w:val="20"/>
              </w:rPr>
            </w:pPr>
            <w:r>
              <w:rPr>
                <w:noProof/>
                <w:color w:val="000000"/>
                <w:sz w:val="20"/>
              </w:rPr>
              <w:t>0,000</w:t>
            </w:r>
          </w:p>
        </w:tc>
        <w:tc>
          <w:tcPr>
            <w:tcW w:w="786" w:type="pct"/>
            <w:vAlign w:val="center"/>
          </w:tcPr>
          <w:p w:rsidR="00222FCC" w:rsidRDefault="00FD122A">
            <w:pPr>
              <w:spacing w:before="20" w:after="20"/>
              <w:jc w:val="right"/>
              <w:rPr>
                <w:b/>
                <w:noProof/>
                <w:sz w:val="20"/>
              </w:rPr>
            </w:pPr>
            <w:r>
              <w:rPr>
                <w:b/>
                <w:noProof/>
                <w:color w:val="000000"/>
                <w:sz w:val="20"/>
              </w:rPr>
              <w:t>35,000</w:t>
            </w:r>
          </w:p>
        </w:tc>
      </w:tr>
      <w:tr w:rsidR="00222FCC">
        <w:tc>
          <w:tcPr>
            <w:tcW w:w="1752" w:type="pct"/>
            <w:vMerge/>
            <w:shd w:val="thinDiagStripe" w:color="C0C0C0" w:fill="auto"/>
          </w:tcPr>
          <w:p w:rsidR="00222FCC" w:rsidRDefault="00222FCC">
            <w:pPr>
              <w:rPr>
                <w:noProof/>
                <w:sz w:val="20"/>
              </w:rPr>
            </w:pPr>
          </w:p>
        </w:tc>
        <w:tc>
          <w:tcPr>
            <w:tcW w:w="637" w:type="pct"/>
            <w:vAlign w:val="center"/>
          </w:tcPr>
          <w:p w:rsidR="00222FCC" w:rsidRDefault="00FD122A">
            <w:pPr>
              <w:rPr>
                <w:noProof/>
                <w:sz w:val="18"/>
              </w:rPr>
            </w:pPr>
            <w:r>
              <w:rPr>
                <w:noProof/>
                <w:sz w:val="18"/>
              </w:rPr>
              <w:t>Плащания</w:t>
            </w:r>
          </w:p>
        </w:tc>
        <w:tc>
          <w:tcPr>
            <w:tcW w:w="289" w:type="pct"/>
            <w:vAlign w:val="center"/>
          </w:tcPr>
          <w:p w:rsidR="00222FCC" w:rsidRDefault="00FD122A">
            <w:pPr>
              <w:jc w:val="center"/>
              <w:rPr>
                <w:noProof/>
                <w:sz w:val="14"/>
              </w:rPr>
            </w:pPr>
            <w:r>
              <w:rPr>
                <w:noProof/>
                <w:sz w:val="14"/>
              </w:rPr>
              <w:t>=5+ 6</w:t>
            </w:r>
          </w:p>
        </w:tc>
        <w:tc>
          <w:tcPr>
            <w:tcW w:w="384" w:type="pct"/>
            <w:vAlign w:val="center"/>
          </w:tcPr>
          <w:p w:rsidR="00222FCC" w:rsidRDefault="00FD122A">
            <w:pPr>
              <w:spacing w:before="20" w:after="20"/>
              <w:jc w:val="right"/>
              <w:rPr>
                <w:noProof/>
                <w:sz w:val="20"/>
              </w:rPr>
            </w:pPr>
            <w:r>
              <w:rPr>
                <w:noProof/>
                <w:color w:val="000000"/>
                <w:sz w:val="20"/>
              </w:rPr>
              <w:t>8,327</w:t>
            </w:r>
          </w:p>
        </w:tc>
        <w:tc>
          <w:tcPr>
            <w:tcW w:w="384" w:type="pct"/>
            <w:vAlign w:val="center"/>
          </w:tcPr>
          <w:p w:rsidR="00222FCC" w:rsidRDefault="00FD122A">
            <w:pPr>
              <w:spacing w:before="20" w:after="20"/>
              <w:jc w:val="right"/>
              <w:rPr>
                <w:noProof/>
                <w:sz w:val="20"/>
              </w:rPr>
            </w:pPr>
            <w:r>
              <w:rPr>
                <w:noProof/>
                <w:color w:val="000000"/>
                <w:sz w:val="20"/>
              </w:rPr>
              <w:t>12,487</w:t>
            </w:r>
          </w:p>
        </w:tc>
        <w:tc>
          <w:tcPr>
            <w:tcW w:w="384" w:type="pct"/>
            <w:vAlign w:val="center"/>
          </w:tcPr>
          <w:p w:rsidR="00222FCC" w:rsidRDefault="00FD122A">
            <w:pPr>
              <w:spacing w:before="20" w:after="20"/>
              <w:jc w:val="right"/>
              <w:rPr>
                <w:noProof/>
                <w:sz w:val="20"/>
              </w:rPr>
            </w:pPr>
            <w:r>
              <w:rPr>
                <w:noProof/>
                <w:color w:val="000000"/>
                <w:sz w:val="20"/>
              </w:rPr>
              <w:t>11,810</w:t>
            </w:r>
          </w:p>
        </w:tc>
        <w:tc>
          <w:tcPr>
            <w:tcW w:w="384" w:type="pct"/>
            <w:vAlign w:val="center"/>
          </w:tcPr>
          <w:p w:rsidR="00222FCC" w:rsidRDefault="00FD122A">
            <w:pPr>
              <w:spacing w:before="20" w:after="20"/>
              <w:jc w:val="right"/>
              <w:rPr>
                <w:noProof/>
                <w:sz w:val="20"/>
              </w:rPr>
            </w:pPr>
            <w:r>
              <w:rPr>
                <w:noProof/>
                <w:color w:val="000000"/>
                <w:sz w:val="20"/>
              </w:rPr>
              <w:t>2,377</w:t>
            </w:r>
          </w:p>
        </w:tc>
        <w:tc>
          <w:tcPr>
            <w:tcW w:w="786" w:type="pct"/>
            <w:vAlign w:val="center"/>
          </w:tcPr>
          <w:p w:rsidR="00222FCC" w:rsidRDefault="00FD122A">
            <w:pPr>
              <w:spacing w:before="20" w:after="20"/>
              <w:jc w:val="right"/>
              <w:rPr>
                <w:b/>
                <w:noProof/>
                <w:sz w:val="20"/>
              </w:rPr>
            </w:pPr>
            <w:r>
              <w:rPr>
                <w:b/>
                <w:noProof/>
                <w:color w:val="000000"/>
                <w:sz w:val="20"/>
              </w:rPr>
              <w:t>35,000</w:t>
            </w:r>
          </w:p>
        </w:tc>
      </w:tr>
    </w:tbl>
    <w:p w:rsidR="00222FCC" w:rsidRDefault="00222FCC">
      <w:pPr>
        <w:spacing w:after="40"/>
        <w:rPr>
          <w:b/>
          <w:noProof/>
          <w:sz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rsidR="00222FCC">
        <w:trPr>
          <w:jc w:val="center"/>
        </w:trPr>
        <w:tc>
          <w:tcPr>
            <w:tcW w:w="1739" w:type="pct"/>
            <w:shd w:val="thinDiagStripe" w:color="C0C0C0" w:fill="auto"/>
            <w:vAlign w:val="center"/>
          </w:tcPr>
          <w:p w:rsidR="00222FCC" w:rsidRDefault="00FD122A">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396" w:type="pct"/>
            <w:vAlign w:val="center"/>
          </w:tcPr>
          <w:p w:rsidR="00222FCC" w:rsidRDefault="00FD122A">
            <w:pPr>
              <w:spacing w:before="60" w:after="60"/>
              <w:jc w:val="center"/>
              <w:rPr>
                <w:noProof/>
              </w:rPr>
            </w:pPr>
            <w:r>
              <w:rPr>
                <w:noProof/>
                <w:sz w:val="22"/>
              </w:rPr>
              <w:t>2</w:t>
            </w:r>
          </w:p>
        </w:tc>
        <w:tc>
          <w:tcPr>
            <w:tcW w:w="2865" w:type="pct"/>
            <w:vAlign w:val="center"/>
          </w:tcPr>
          <w:p w:rsidR="00222FCC" w:rsidRDefault="00FD122A">
            <w:pPr>
              <w:spacing w:before="60" w:after="60"/>
              <w:rPr>
                <w:noProof/>
              </w:rPr>
            </w:pPr>
            <w:r>
              <w:rPr>
                <w:noProof/>
              </w:rPr>
              <w:t>Европейски корпус за солидарност</w:t>
            </w:r>
          </w:p>
        </w:tc>
      </w:tr>
    </w:tbl>
    <w:p w:rsidR="00222FCC" w:rsidRDefault="00222FCC">
      <w:pPr>
        <w:spacing w:after="40"/>
        <w:rPr>
          <w:b/>
          <w:noProof/>
          <w:sz w:val="22"/>
          <w:u w:val="single"/>
        </w:rPr>
      </w:pPr>
    </w:p>
    <w:p w:rsidR="00222FCC" w:rsidRDefault="00222FCC">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3"/>
        <w:gridCol w:w="157"/>
        <w:gridCol w:w="701"/>
        <w:gridCol w:w="1136"/>
        <w:gridCol w:w="1136"/>
        <w:gridCol w:w="1136"/>
        <w:gridCol w:w="1136"/>
        <w:gridCol w:w="2322"/>
      </w:tblGrid>
      <w:tr w:rsidR="00222FCC">
        <w:tc>
          <w:tcPr>
            <w:tcW w:w="1752" w:type="pct"/>
            <w:vAlign w:val="center"/>
          </w:tcPr>
          <w:p w:rsidR="00222FCC" w:rsidRDefault="00FD122A">
            <w:pPr>
              <w:jc w:val="center"/>
              <w:rPr>
                <w:noProof/>
              </w:rPr>
            </w:pPr>
            <w:r>
              <w:rPr>
                <w:noProof/>
                <w:sz w:val="22"/>
              </w:rPr>
              <w:t xml:space="preserve">ГД: </w:t>
            </w:r>
            <w:r>
              <w:rPr>
                <w:noProof/>
              </w:rPr>
              <w:t>„Образование и култура“</w:t>
            </w:r>
          </w:p>
        </w:tc>
        <w:tc>
          <w:tcPr>
            <w:tcW w:w="690" w:type="pct"/>
            <w:gridSpan w:val="2"/>
          </w:tcPr>
          <w:p w:rsidR="00222FCC" w:rsidRDefault="00222FCC">
            <w:pPr>
              <w:rPr>
                <w:noProof/>
                <w:sz w:val="20"/>
              </w:rPr>
            </w:pPr>
          </w:p>
        </w:tc>
        <w:tc>
          <w:tcPr>
            <w:tcW w:w="236" w:type="pct"/>
          </w:tcPr>
          <w:p w:rsidR="00222FCC" w:rsidRDefault="00222FCC">
            <w:pPr>
              <w:jc w:val="center"/>
              <w:rPr>
                <w:noProof/>
                <w:sz w:val="20"/>
              </w:rPr>
            </w:pPr>
          </w:p>
        </w:tc>
        <w:tc>
          <w:tcPr>
            <w:tcW w:w="384" w:type="pct"/>
            <w:vAlign w:val="center"/>
          </w:tcPr>
          <w:p w:rsidR="00222FCC" w:rsidRDefault="00FD122A">
            <w:pPr>
              <w:jc w:val="center"/>
              <w:rPr>
                <w:noProof/>
                <w:sz w:val="20"/>
              </w:rPr>
            </w:pPr>
            <w:r>
              <w:rPr>
                <w:noProof/>
                <w:sz w:val="20"/>
              </w:rPr>
              <w:t>ГОДИНА</w:t>
            </w:r>
          </w:p>
          <w:p w:rsidR="00222FCC" w:rsidRDefault="00FD122A">
            <w:pPr>
              <w:jc w:val="center"/>
              <w:rPr>
                <w:b/>
                <w:noProof/>
                <w:sz w:val="20"/>
              </w:rPr>
            </w:pPr>
            <w:r>
              <w:rPr>
                <w:b/>
                <w:noProof/>
              </w:rPr>
              <w:t>2018</w:t>
            </w:r>
          </w:p>
        </w:tc>
        <w:tc>
          <w:tcPr>
            <w:tcW w:w="384" w:type="pct"/>
            <w:vAlign w:val="center"/>
          </w:tcPr>
          <w:p w:rsidR="00222FCC" w:rsidRDefault="00FD122A">
            <w:pPr>
              <w:jc w:val="center"/>
              <w:rPr>
                <w:noProof/>
                <w:sz w:val="20"/>
              </w:rPr>
            </w:pPr>
            <w:r>
              <w:rPr>
                <w:noProof/>
                <w:sz w:val="20"/>
              </w:rPr>
              <w:t>ГОДИНА</w:t>
            </w:r>
          </w:p>
          <w:p w:rsidR="00222FCC" w:rsidRDefault="00FD122A">
            <w:pPr>
              <w:jc w:val="center"/>
              <w:rPr>
                <w:noProof/>
                <w:sz w:val="20"/>
              </w:rPr>
            </w:pPr>
            <w:r>
              <w:rPr>
                <w:b/>
                <w:noProof/>
              </w:rPr>
              <w:t>2019</w:t>
            </w:r>
          </w:p>
        </w:tc>
        <w:tc>
          <w:tcPr>
            <w:tcW w:w="384" w:type="pct"/>
            <w:vAlign w:val="center"/>
          </w:tcPr>
          <w:p w:rsidR="00222FCC" w:rsidRDefault="00FD122A">
            <w:pPr>
              <w:jc w:val="center"/>
              <w:rPr>
                <w:noProof/>
                <w:sz w:val="20"/>
              </w:rPr>
            </w:pPr>
            <w:r>
              <w:rPr>
                <w:noProof/>
                <w:sz w:val="20"/>
              </w:rPr>
              <w:t>ГОДИНА</w:t>
            </w:r>
          </w:p>
          <w:p w:rsidR="00222FCC" w:rsidRDefault="00FD122A">
            <w:pPr>
              <w:jc w:val="center"/>
              <w:rPr>
                <w:noProof/>
                <w:sz w:val="20"/>
              </w:rPr>
            </w:pPr>
            <w:r>
              <w:rPr>
                <w:b/>
                <w:noProof/>
              </w:rPr>
              <w:t>2020</w:t>
            </w:r>
          </w:p>
        </w:tc>
        <w:tc>
          <w:tcPr>
            <w:tcW w:w="384" w:type="pct"/>
            <w:vAlign w:val="center"/>
          </w:tcPr>
          <w:p w:rsidR="00222FCC" w:rsidRDefault="00FD122A">
            <w:pPr>
              <w:jc w:val="center"/>
              <w:rPr>
                <w:noProof/>
                <w:sz w:val="20"/>
              </w:rPr>
            </w:pPr>
            <w:r>
              <w:rPr>
                <w:noProof/>
                <w:sz w:val="16"/>
              </w:rPr>
              <w:t>Следващи години</w:t>
            </w:r>
          </w:p>
        </w:tc>
        <w:tc>
          <w:tcPr>
            <w:tcW w:w="786" w:type="pct"/>
            <w:vAlign w:val="center"/>
          </w:tcPr>
          <w:p w:rsidR="00222FCC" w:rsidRDefault="00FD122A">
            <w:pPr>
              <w:jc w:val="center"/>
              <w:rPr>
                <w:b/>
                <w:noProof/>
                <w:sz w:val="20"/>
              </w:rPr>
            </w:pPr>
            <w:r>
              <w:rPr>
                <w:b/>
                <w:noProof/>
                <w:sz w:val="20"/>
              </w:rPr>
              <w:t>ОБЩО</w:t>
            </w:r>
          </w:p>
        </w:tc>
      </w:tr>
      <w:tr w:rsidR="00222FCC">
        <w:trPr>
          <w:trHeight w:val="213"/>
        </w:trPr>
        <w:tc>
          <w:tcPr>
            <w:tcW w:w="2679" w:type="pct"/>
            <w:gridSpan w:val="4"/>
            <w:vAlign w:val="center"/>
          </w:tcPr>
          <w:p w:rsidR="00222FCC" w:rsidRDefault="00FD122A">
            <w:pPr>
              <w:spacing w:before="20" w:after="20"/>
              <w:rPr>
                <w:noProof/>
                <w:sz w:val="21"/>
              </w:rPr>
            </w:pPr>
            <w:r>
              <w:rPr>
                <w:noProof/>
                <w:sz w:val="21"/>
              </w:rPr>
              <w:sym w:font="Wingdings" w:char="F09F"/>
            </w:r>
            <w:r>
              <w:rPr>
                <w:noProof/>
                <w:sz w:val="21"/>
              </w:rPr>
              <w:t xml:space="preserve"> Бюджетни кредити за оперативни разходи</w:t>
            </w:r>
          </w:p>
        </w:tc>
        <w:tc>
          <w:tcPr>
            <w:tcW w:w="384" w:type="pct"/>
            <w:vAlign w:val="center"/>
          </w:tcPr>
          <w:p w:rsidR="00222FCC" w:rsidRDefault="00222FCC">
            <w:pPr>
              <w:rPr>
                <w:noProof/>
                <w:sz w:val="20"/>
              </w:rPr>
            </w:pPr>
          </w:p>
        </w:tc>
        <w:tc>
          <w:tcPr>
            <w:tcW w:w="384" w:type="pct"/>
            <w:vAlign w:val="center"/>
          </w:tcPr>
          <w:p w:rsidR="00222FCC" w:rsidRDefault="00222FCC">
            <w:pPr>
              <w:rPr>
                <w:noProof/>
                <w:sz w:val="20"/>
              </w:rPr>
            </w:pPr>
          </w:p>
        </w:tc>
        <w:tc>
          <w:tcPr>
            <w:tcW w:w="384" w:type="pct"/>
            <w:vAlign w:val="center"/>
          </w:tcPr>
          <w:p w:rsidR="00222FCC" w:rsidRDefault="00222FCC">
            <w:pPr>
              <w:rPr>
                <w:noProof/>
                <w:sz w:val="20"/>
              </w:rPr>
            </w:pPr>
          </w:p>
        </w:tc>
        <w:tc>
          <w:tcPr>
            <w:tcW w:w="384" w:type="pct"/>
            <w:vAlign w:val="center"/>
          </w:tcPr>
          <w:p w:rsidR="00222FCC" w:rsidRDefault="00222FCC">
            <w:pPr>
              <w:rPr>
                <w:noProof/>
                <w:sz w:val="20"/>
              </w:rPr>
            </w:pPr>
          </w:p>
        </w:tc>
        <w:tc>
          <w:tcPr>
            <w:tcW w:w="786" w:type="pct"/>
            <w:vAlign w:val="center"/>
          </w:tcPr>
          <w:p w:rsidR="00222FCC" w:rsidRDefault="00222FCC">
            <w:pPr>
              <w:rPr>
                <w:b/>
                <w:noProof/>
                <w:sz w:val="20"/>
              </w:rPr>
            </w:pPr>
          </w:p>
        </w:tc>
      </w:tr>
      <w:tr w:rsidR="00222FCC">
        <w:trPr>
          <w:trHeight w:val="277"/>
        </w:trPr>
        <w:tc>
          <w:tcPr>
            <w:tcW w:w="1752" w:type="pct"/>
            <w:vMerge w:val="restart"/>
            <w:vAlign w:val="center"/>
          </w:tcPr>
          <w:p w:rsidR="00222FCC" w:rsidRDefault="00FD122A">
            <w:pPr>
              <w:rPr>
                <w:noProof/>
              </w:rPr>
            </w:pPr>
            <w:r>
              <w:rPr>
                <w:noProof/>
              </w:rPr>
              <w:t xml:space="preserve">05 04 60 </w:t>
            </w:r>
            <w:r>
              <w:rPr>
                <w:noProof/>
              </w:rPr>
              <w:t>04 — Европейски корпус за солидарност — Вноска от Европейския земеделски фонд за развитие на селските райони (ЕЗФРСР)</w:t>
            </w:r>
          </w:p>
        </w:tc>
        <w:tc>
          <w:tcPr>
            <w:tcW w:w="637" w:type="pct"/>
            <w:vAlign w:val="center"/>
          </w:tcPr>
          <w:p w:rsidR="00222FCC" w:rsidRDefault="00FD122A">
            <w:pPr>
              <w:spacing w:before="20" w:after="20"/>
              <w:rPr>
                <w:noProof/>
                <w:sz w:val="18"/>
              </w:rPr>
            </w:pPr>
            <w:r>
              <w:rPr>
                <w:noProof/>
                <w:sz w:val="18"/>
              </w:rPr>
              <w:t>Поети задължения</w:t>
            </w:r>
          </w:p>
        </w:tc>
        <w:tc>
          <w:tcPr>
            <w:tcW w:w="289" w:type="pct"/>
            <w:gridSpan w:val="2"/>
            <w:vAlign w:val="center"/>
          </w:tcPr>
          <w:p w:rsidR="00222FCC" w:rsidRDefault="00FD122A">
            <w:pPr>
              <w:spacing w:before="20" w:after="20"/>
              <w:jc w:val="center"/>
              <w:rPr>
                <w:noProof/>
                <w:sz w:val="14"/>
              </w:rPr>
            </w:pPr>
            <w:r>
              <w:rPr>
                <w:noProof/>
                <w:sz w:val="14"/>
              </w:rPr>
              <w:t>(1)</w:t>
            </w:r>
          </w:p>
        </w:tc>
        <w:tc>
          <w:tcPr>
            <w:tcW w:w="384" w:type="pct"/>
            <w:vAlign w:val="center"/>
          </w:tcPr>
          <w:p w:rsidR="00222FCC" w:rsidRDefault="00FD122A">
            <w:pPr>
              <w:spacing w:before="20" w:after="20"/>
              <w:jc w:val="right"/>
              <w:rPr>
                <w:noProof/>
                <w:sz w:val="20"/>
              </w:rPr>
            </w:pPr>
            <w:r>
              <w:rPr>
                <w:noProof/>
                <w:sz w:val="20"/>
              </w:rPr>
              <w:t>1,800</w:t>
            </w:r>
          </w:p>
        </w:tc>
        <w:tc>
          <w:tcPr>
            <w:tcW w:w="384" w:type="pct"/>
            <w:vAlign w:val="center"/>
          </w:tcPr>
          <w:p w:rsidR="00222FCC" w:rsidRDefault="00FD122A">
            <w:pPr>
              <w:spacing w:before="20" w:after="20"/>
              <w:jc w:val="right"/>
              <w:rPr>
                <w:noProof/>
                <w:sz w:val="20"/>
              </w:rPr>
            </w:pPr>
            <w:r>
              <w:rPr>
                <w:noProof/>
                <w:sz w:val="20"/>
              </w:rPr>
              <w:t>0,000</w:t>
            </w:r>
          </w:p>
        </w:tc>
        <w:tc>
          <w:tcPr>
            <w:tcW w:w="384" w:type="pct"/>
            <w:vAlign w:val="center"/>
          </w:tcPr>
          <w:p w:rsidR="00222FCC" w:rsidRDefault="00FD122A">
            <w:pPr>
              <w:spacing w:before="20" w:after="20"/>
              <w:jc w:val="right"/>
              <w:rPr>
                <w:noProof/>
                <w:sz w:val="20"/>
              </w:rPr>
            </w:pPr>
            <w:r>
              <w:rPr>
                <w:noProof/>
                <w:sz w:val="20"/>
              </w:rPr>
              <w:t>0,000</w:t>
            </w:r>
          </w:p>
        </w:tc>
        <w:tc>
          <w:tcPr>
            <w:tcW w:w="384" w:type="pct"/>
            <w:vAlign w:val="center"/>
          </w:tcPr>
          <w:p w:rsidR="00222FCC" w:rsidRDefault="00FD122A">
            <w:pPr>
              <w:spacing w:before="20" w:after="20"/>
              <w:jc w:val="right"/>
              <w:rPr>
                <w:noProof/>
                <w:sz w:val="20"/>
              </w:rPr>
            </w:pPr>
            <w:r>
              <w:rPr>
                <w:noProof/>
                <w:sz w:val="20"/>
              </w:rPr>
              <w:t>0,000</w:t>
            </w:r>
          </w:p>
        </w:tc>
        <w:tc>
          <w:tcPr>
            <w:tcW w:w="786" w:type="pct"/>
            <w:vAlign w:val="center"/>
          </w:tcPr>
          <w:p w:rsidR="00222FCC" w:rsidRDefault="00FD122A">
            <w:pPr>
              <w:spacing w:before="20" w:after="20"/>
              <w:jc w:val="right"/>
              <w:rPr>
                <w:b/>
                <w:noProof/>
                <w:sz w:val="20"/>
              </w:rPr>
            </w:pPr>
            <w:r>
              <w:rPr>
                <w:b/>
                <w:noProof/>
                <w:sz w:val="20"/>
              </w:rPr>
              <w:t>1,800</w:t>
            </w:r>
          </w:p>
        </w:tc>
      </w:tr>
      <w:tr w:rsidR="00222FCC">
        <w:tc>
          <w:tcPr>
            <w:tcW w:w="1752" w:type="pct"/>
            <w:vMerge/>
          </w:tcPr>
          <w:p w:rsidR="00222FCC" w:rsidRDefault="00222FCC">
            <w:pPr>
              <w:jc w:val="center"/>
              <w:rPr>
                <w:noProof/>
                <w:sz w:val="20"/>
              </w:rPr>
            </w:pPr>
          </w:p>
        </w:tc>
        <w:tc>
          <w:tcPr>
            <w:tcW w:w="637" w:type="pct"/>
            <w:vAlign w:val="center"/>
          </w:tcPr>
          <w:p w:rsidR="00222FCC" w:rsidRDefault="00FD122A">
            <w:pPr>
              <w:spacing w:before="20" w:after="20"/>
              <w:rPr>
                <w:noProof/>
                <w:sz w:val="18"/>
              </w:rPr>
            </w:pPr>
            <w:r>
              <w:rPr>
                <w:noProof/>
                <w:sz w:val="18"/>
              </w:rPr>
              <w:t>Плащания</w:t>
            </w:r>
          </w:p>
        </w:tc>
        <w:tc>
          <w:tcPr>
            <w:tcW w:w="289" w:type="pct"/>
            <w:gridSpan w:val="2"/>
            <w:vAlign w:val="center"/>
          </w:tcPr>
          <w:p w:rsidR="00222FCC" w:rsidRDefault="00FD122A">
            <w:pPr>
              <w:spacing w:before="20" w:after="20"/>
              <w:jc w:val="center"/>
              <w:rPr>
                <w:noProof/>
                <w:sz w:val="14"/>
              </w:rPr>
            </w:pPr>
            <w:r>
              <w:rPr>
                <w:noProof/>
                <w:sz w:val="14"/>
              </w:rPr>
              <w:t>(2)</w:t>
            </w:r>
          </w:p>
        </w:tc>
        <w:tc>
          <w:tcPr>
            <w:tcW w:w="384" w:type="pct"/>
            <w:vAlign w:val="center"/>
          </w:tcPr>
          <w:p w:rsidR="00222FCC" w:rsidRDefault="00FD122A">
            <w:pPr>
              <w:spacing w:before="20" w:after="20"/>
              <w:jc w:val="right"/>
              <w:rPr>
                <w:noProof/>
                <w:sz w:val="20"/>
              </w:rPr>
            </w:pPr>
            <w:r>
              <w:rPr>
                <w:noProof/>
                <w:sz w:val="20"/>
              </w:rPr>
              <w:t>1,350</w:t>
            </w:r>
          </w:p>
        </w:tc>
        <w:tc>
          <w:tcPr>
            <w:tcW w:w="384" w:type="pct"/>
            <w:vAlign w:val="center"/>
          </w:tcPr>
          <w:p w:rsidR="00222FCC" w:rsidRDefault="00FD122A">
            <w:pPr>
              <w:spacing w:before="20" w:after="20"/>
              <w:jc w:val="right"/>
              <w:rPr>
                <w:noProof/>
                <w:sz w:val="20"/>
              </w:rPr>
            </w:pPr>
            <w:r>
              <w:rPr>
                <w:noProof/>
                <w:sz w:val="20"/>
              </w:rPr>
              <w:t>0,360</w:t>
            </w:r>
          </w:p>
        </w:tc>
        <w:tc>
          <w:tcPr>
            <w:tcW w:w="384" w:type="pct"/>
            <w:vAlign w:val="center"/>
          </w:tcPr>
          <w:p w:rsidR="00222FCC" w:rsidRDefault="00FD122A">
            <w:pPr>
              <w:spacing w:before="20" w:after="20"/>
              <w:jc w:val="right"/>
              <w:rPr>
                <w:noProof/>
                <w:sz w:val="20"/>
              </w:rPr>
            </w:pPr>
            <w:r>
              <w:rPr>
                <w:noProof/>
                <w:sz w:val="20"/>
              </w:rPr>
              <w:t>0,090</w:t>
            </w:r>
          </w:p>
        </w:tc>
        <w:tc>
          <w:tcPr>
            <w:tcW w:w="384" w:type="pct"/>
            <w:vAlign w:val="center"/>
          </w:tcPr>
          <w:p w:rsidR="00222FCC" w:rsidRDefault="00FD122A">
            <w:pPr>
              <w:spacing w:before="20" w:after="20"/>
              <w:jc w:val="right"/>
              <w:rPr>
                <w:noProof/>
                <w:sz w:val="20"/>
              </w:rPr>
            </w:pPr>
            <w:r>
              <w:rPr>
                <w:noProof/>
                <w:sz w:val="20"/>
              </w:rPr>
              <w:t>0,000</w:t>
            </w:r>
          </w:p>
        </w:tc>
        <w:tc>
          <w:tcPr>
            <w:tcW w:w="786" w:type="pct"/>
            <w:vAlign w:val="center"/>
          </w:tcPr>
          <w:p w:rsidR="00222FCC" w:rsidRDefault="00FD122A">
            <w:pPr>
              <w:spacing w:before="20" w:after="20"/>
              <w:jc w:val="right"/>
              <w:rPr>
                <w:b/>
                <w:noProof/>
                <w:sz w:val="20"/>
              </w:rPr>
            </w:pPr>
            <w:r>
              <w:rPr>
                <w:b/>
                <w:noProof/>
                <w:sz w:val="20"/>
              </w:rPr>
              <w:t>1,800</w:t>
            </w:r>
          </w:p>
        </w:tc>
      </w:tr>
      <w:tr w:rsidR="00222FCC">
        <w:trPr>
          <w:trHeight w:val="277"/>
        </w:trPr>
        <w:tc>
          <w:tcPr>
            <w:tcW w:w="1752" w:type="pct"/>
            <w:vMerge w:val="restart"/>
            <w:vAlign w:val="center"/>
          </w:tcPr>
          <w:p w:rsidR="00222FCC" w:rsidRDefault="00FD122A">
            <w:pPr>
              <w:rPr>
                <w:noProof/>
              </w:rPr>
            </w:pPr>
            <w:r>
              <w:rPr>
                <w:noProof/>
              </w:rPr>
              <w:t xml:space="preserve">07 02 07 — Европейски корпус за </w:t>
            </w:r>
            <w:r>
              <w:rPr>
                <w:noProof/>
              </w:rPr>
              <w:t>солидарност — Вноска от подпрограмата за околната среда на програма LIFE</w:t>
            </w:r>
          </w:p>
        </w:tc>
        <w:tc>
          <w:tcPr>
            <w:tcW w:w="637" w:type="pct"/>
            <w:vAlign w:val="center"/>
          </w:tcPr>
          <w:p w:rsidR="00222FCC" w:rsidRDefault="00FD122A">
            <w:pPr>
              <w:spacing w:before="20" w:after="20"/>
              <w:rPr>
                <w:noProof/>
                <w:sz w:val="18"/>
              </w:rPr>
            </w:pPr>
            <w:r>
              <w:rPr>
                <w:noProof/>
                <w:sz w:val="18"/>
              </w:rPr>
              <w:t>Поети задължения</w:t>
            </w:r>
          </w:p>
        </w:tc>
        <w:tc>
          <w:tcPr>
            <w:tcW w:w="289" w:type="pct"/>
            <w:gridSpan w:val="2"/>
            <w:vAlign w:val="center"/>
          </w:tcPr>
          <w:p w:rsidR="00222FCC" w:rsidRDefault="00FD122A">
            <w:pPr>
              <w:spacing w:before="20" w:after="20"/>
              <w:jc w:val="center"/>
              <w:rPr>
                <w:noProof/>
                <w:sz w:val="14"/>
              </w:rPr>
            </w:pPr>
            <w:r>
              <w:rPr>
                <w:noProof/>
                <w:sz w:val="14"/>
              </w:rPr>
              <w:t>(1)</w:t>
            </w:r>
          </w:p>
        </w:tc>
        <w:tc>
          <w:tcPr>
            <w:tcW w:w="384" w:type="pct"/>
            <w:vAlign w:val="center"/>
          </w:tcPr>
          <w:p w:rsidR="00222FCC" w:rsidRDefault="00FD122A">
            <w:pPr>
              <w:spacing w:before="20" w:after="20"/>
              <w:jc w:val="right"/>
              <w:rPr>
                <w:noProof/>
                <w:sz w:val="20"/>
              </w:rPr>
            </w:pPr>
            <w:r>
              <w:rPr>
                <w:noProof/>
                <w:sz w:val="20"/>
              </w:rPr>
              <w:t>1,000</w:t>
            </w:r>
          </w:p>
        </w:tc>
        <w:tc>
          <w:tcPr>
            <w:tcW w:w="384" w:type="pct"/>
            <w:vAlign w:val="center"/>
          </w:tcPr>
          <w:p w:rsidR="00222FCC" w:rsidRDefault="00FD122A">
            <w:pPr>
              <w:spacing w:before="20" w:after="20"/>
              <w:jc w:val="right"/>
              <w:rPr>
                <w:noProof/>
                <w:sz w:val="20"/>
              </w:rPr>
            </w:pPr>
            <w:r>
              <w:rPr>
                <w:noProof/>
                <w:sz w:val="20"/>
              </w:rPr>
              <w:t>1,000</w:t>
            </w:r>
          </w:p>
        </w:tc>
        <w:tc>
          <w:tcPr>
            <w:tcW w:w="384" w:type="pct"/>
            <w:vAlign w:val="center"/>
          </w:tcPr>
          <w:p w:rsidR="00222FCC" w:rsidRDefault="00FD122A">
            <w:pPr>
              <w:spacing w:before="20" w:after="20"/>
              <w:jc w:val="right"/>
              <w:rPr>
                <w:noProof/>
                <w:sz w:val="20"/>
              </w:rPr>
            </w:pPr>
            <w:r>
              <w:rPr>
                <w:noProof/>
                <w:sz w:val="20"/>
              </w:rPr>
              <w:t>1,000</w:t>
            </w:r>
          </w:p>
        </w:tc>
        <w:tc>
          <w:tcPr>
            <w:tcW w:w="384" w:type="pct"/>
            <w:vAlign w:val="center"/>
          </w:tcPr>
          <w:p w:rsidR="00222FCC" w:rsidRDefault="00FD122A">
            <w:pPr>
              <w:spacing w:before="20" w:after="20"/>
              <w:jc w:val="right"/>
              <w:rPr>
                <w:noProof/>
                <w:sz w:val="20"/>
              </w:rPr>
            </w:pPr>
            <w:r>
              <w:rPr>
                <w:noProof/>
                <w:sz w:val="20"/>
              </w:rPr>
              <w:t>0,000</w:t>
            </w:r>
          </w:p>
        </w:tc>
        <w:tc>
          <w:tcPr>
            <w:tcW w:w="786" w:type="pct"/>
            <w:vAlign w:val="center"/>
          </w:tcPr>
          <w:p w:rsidR="00222FCC" w:rsidRDefault="00FD122A">
            <w:pPr>
              <w:spacing w:before="20" w:after="20"/>
              <w:jc w:val="right"/>
              <w:rPr>
                <w:b/>
                <w:noProof/>
                <w:sz w:val="20"/>
              </w:rPr>
            </w:pPr>
            <w:r>
              <w:rPr>
                <w:b/>
                <w:noProof/>
                <w:sz w:val="20"/>
              </w:rPr>
              <w:t>3,000</w:t>
            </w:r>
          </w:p>
        </w:tc>
      </w:tr>
      <w:tr w:rsidR="00222FCC">
        <w:tc>
          <w:tcPr>
            <w:tcW w:w="1752" w:type="pct"/>
            <w:vMerge/>
          </w:tcPr>
          <w:p w:rsidR="00222FCC" w:rsidRDefault="00222FCC">
            <w:pPr>
              <w:jc w:val="center"/>
              <w:rPr>
                <w:noProof/>
                <w:sz w:val="20"/>
              </w:rPr>
            </w:pPr>
          </w:p>
        </w:tc>
        <w:tc>
          <w:tcPr>
            <w:tcW w:w="637" w:type="pct"/>
            <w:vAlign w:val="center"/>
          </w:tcPr>
          <w:p w:rsidR="00222FCC" w:rsidRDefault="00FD122A">
            <w:pPr>
              <w:spacing w:before="20" w:after="20"/>
              <w:rPr>
                <w:noProof/>
                <w:sz w:val="18"/>
              </w:rPr>
            </w:pPr>
            <w:r>
              <w:rPr>
                <w:noProof/>
                <w:sz w:val="18"/>
              </w:rPr>
              <w:t>Плащания</w:t>
            </w:r>
          </w:p>
        </w:tc>
        <w:tc>
          <w:tcPr>
            <w:tcW w:w="289" w:type="pct"/>
            <w:gridSpan w:val="2"/>
            <w:vAlign w:val="center"/>
          </w:tcPr>
          <w:p w:rsidR="00222FCC" w:rsidRDefault="00FD122A">
            <w:pPr>
              <w:spacing w:before="20" w:after="20"/>
              <w:jc w:val="center"/>
              <w:rPr>
                <w:noProof/>
                <w:sz w:val="14"/>
              </w:rPr>
            </w:pPr>
            <w:r>
              <w:rPr>
                <w:noProof/>
                <w:sz w:val="14"/>
              </w:rPr>
              <w:t>(2)</w:t>
            </w:r>
          </w:p>
        </w:tc>
        <w:tc>
          <w:tcPr>
            <w:tcW w:w="384" w:type="pct"/>
            <w:vAlign w:val="center"/>
          </w:tcPr>
          <w:p w:rsidR="00222FCC" w:rsidRDefault="00FD122A">
            <w:pPr>
              <w:spacing w:before="20" w:after="20"/>
              <w:jc w:val="right"/>
              <w:rPr>
                <w:noProof/>
                <w:sz w:val="20"/>
              </w:rPr>
            </w:pPr>
            <w:r>
              <w:rPr>
                <w:noProof/>
                <w:sz w:val="20"/>
              </w:rPr>
              <w:t>0,750</w:t>
            </w:r>
          </w:p>
        </w:tc>
        <w:tc>
          <w:tcPr>
            <w:tcW w:w="384" w:type="pct"/>
            <w:vAlign w:val="center"/>
          </w:tcPr>
          <w:p w:rsidR="00222FCC" w:rsidRDefault="00FD122A">
            <w:pPr>
              <w:spacing w:before="20" w:after="20"/>
              <w:jc w:val="right"/>
              <w:rPr>
                <w:noProof/>
                <w:sz w:val="20"/>
              </w:rPr>
            </w:pPr>
            <w:r>
              <w:rPr>
                <w:noProof/>
                <w:sz w:val="20"/>
              </w:rPr>
              <w:t>1,050</w:t>
            </w:r>
          </w:p>
        </w:tc>
        <w:tc>
          <w:tcPr>
            <w:tcW w:w="384" w:type="pct"/>
            <w:vAlign w:val="center"/>
          </w:tcPr>
          <w:p w:rsidR="00222FCC" w:rsidRDefault="00FD122A">
            <w:pPr>
              <w:spacing w:before="20" w:after="20"/>
              <w:jc w:val="right"/>
              <w:rPr>
                <w:noProof/>
                <w:sz w:val="20"/>
              </w:rPr>
            </w:pPr>
            <w:r>
              <w:rPr>
                <w:noProof/>
                <w:sz w:val="20"/>
              </w:rPr>
              <w:t>1,000</w:t>
            </w:r>
          </w:p>
        </w:tc>
        <w:tc>
          <w:tcPr>
            <w:tcW w:w="384" w:type="pct"/>
            <w:vAlign w:val="center"/>
          </w:tcPr>
          <w:p w:rsidR="00222FCC" w:rsidRDefault="00FD122A">
            <w:pPr>
              <w:spacing w:before="20" w:after="20"/>
              <w:jc w:val="right"/>
              <w:rPr>
                <w:noProof/>
                <w:sz w:val="20"/>
              </w:rPr>
            </w:pPr>
            <w:r>
              <w:rPr>
                <w:noProof/>
                <w:sz w:val="20"/>
              </w:rPr>
              <w:t>0,200</w:t>
            </w:r>
          </w:p>
        </w:tc>
        <w:tc>
          <w:tcPr>
            <w:tcW w:w="786" w:type="pct"/>
            <w:vAlign w:val="center"/>
          </w:tcPr>
          <w:p w:rsidR="00222FCC" w:rsidRDefault="00FD122A">
            <w:pPr>
              <w:spacing w:before="20" w:after="20"/>
              <w:jc w:val="right"/>
              <w:rPr>
                <w:b/>
                <w:noProof/>
                <w:sz w:val="20"/>
              </w:rPr>
            </w:pPr>
            <w:r>
              <w:rPr>
                <w:b/>
                <w:noProof/>
                <w:sz w:val="20"/>
              </w:rPr>
              <w:t>3,000</w:t>
            </w:r>
          </w:p>
        </w:tc>
      </w:tr>
      <w:tr w:rsidR="00222FCC">
        <w:trPr>
          <w:trHeight w:val="277"/>
        </w:trPr>
        <w:tc>
          <w:tcPr>
            <w:tcW w:w="1752" w:type="pct"/>
            <w:vMerge w:val="restart"/>
            <w:vAlign w:val="center"/>
          </w:tcPr>
          <w:p w:rsidR="00222FCC" w:rsidRDefault="00FD122A">
            <w:pPr>
              <w:rPr>
                <w:noProof/>
              </w:rPr>
            </w:pPr>
            <w:r>
              <w:rPr>
                <w:noProof/>
              </w:rPr>
              <w:t xml:space="preserve">34 02 05 — Европейски корпус за солидарност — Вноска от подпрограмата за действия по </w:t>
            </w:r>
            <w:r>
              <w:rPr>
                <w:noProof/>
              </w:rPr>
              <w:t>климата на програма LIFE</w:t>
            </w:r>
          </w:p>
        </w:tc>
        <w:tc>
          <w:tcPr>
            <w:tcW w:w="637" w:type="pct"/>
            <w:vAlign w:val="center"/>
          </w:tcPr>
          <w:p w:rsidR="00222FCC" w:rsidRDefault="00FD122A">
            <w:pPr>
              <w:spacing w:before="20" w:after="20"/>
              <w:rPr>
                <w:noProof/>
                <w:sz w:val="18"/>
              </w:rPr>
            </w:pPr>
            <w:r>
              <w:rPr>
                <w:noProof/>
                <w:sz w:val="18"/>
              </w:rPr>
              <w:t>Поети задължения</w:t>
            </w:r>
          </w:p>
        </w:tc>
        <w:tc>
          <w:tcPr>
            <w:tcW w:w="289" w:type="pct"/>
            <w:gridSpan w:val="2"/>
            <w:vAlign w:val="center"/>
          </w:tcPr>
          <w:p w:rsidR="00222FCC" w:rsidRDefault="00FD122A">
            <w:pPr>
              <w:spacing w:before="20" w:after="20"/>
              <w:jc w:val="center"/>
              <w:rPr>
                <w:noProof/>
                <w:sz w:val="14"/>
              </w:rPr>
            </w:pPr>
            <w:r>
              <w:rPr>
                <w:noProof/>
                <w:sz w:val="14"/>
              </w:rPr>
              <w:t>(1)</w:t>
            </w:r>
          </w:p>
        </w:tc>
        <w:tc>
          <w:tcPr>
            <w:tcW w:w="384" w:type="pct"/>
            <w:vAlign w:val="center"/>
          </w:tcPr>
          <w:p w:rsidR="00222FCC" w:rsidRDefault="00FD122A">
            <w:pPr>
              <w:spacing w:before="20" w:after="20"/>
              <w:jc w:val="right"/>
              <w:rPr>
                <w:noProof/>
                <w:sz w:val="20"/>
              </w:rPr>
            </w:pPr>
            <w:r>
              <w:rPr>
                <w:noProof/>
                <w:sz w:val="20"/>
              </w:rPr>
              <w:t>0,500</w:t>
            </w:r>
          </w:p>
        </w:tc>
        <w:tc>
          <w:tcPr>
            <w:tcW w:w="384" w:type="pct"/>
            <w:vAlign w:val="center"/>
          </w:tcPr>
          <w:p w:rsidR="00222FCC" w:rsidRDefault="00FD122A">
            <w:pPr>
              <w:spacing w:before="20" w:after="20"/>
              <w:jc w:val="right"/>
              <w:rPr>
                <w:noProof/>
                <w:sz w:val="20"/>
              </w:rPr>
            </w:pPr>
            <w:r>
              <w:rPr>
                <w:noProof/>
                <w:sz w:val="20"/>
              </w:rPr>
              <w:t>0,500</w:t>
            </w:r>
          </w:p>
        </w:tc>
        <w:tc>
          <w:tcPr>
            <w:tcW w:w="384" w:type="pct"/>
            <w:vAlign w:val="center"/>
          </w:tcPr>
          <w:p w:rsidR="00222FCC" w:rsidRDefault="00FD122A">
            <w:pPr>
              <w:spacing w:before="20" w:after="20"/>
              <w:jc w:val="right"/>
              <w:rPr>
                <w:noProof/>
                <w:sz w:val="20"/>
              </w:rPr>
            </w:pPr>
            <w:r>
              <w:rPr>
                <w:noProof/>
                <w:sz w:val="20"/>
              </w:rPr>
              <w:t>0,500</w:t>
            </w:r>
          </w:p>
        </w:tc>
        <w:tc>
          <w:tcPr>
            <w:tcW w:w="384" w:type="pct"/>
            <w:vAlign w:val="center"/>
          </w:tcPr>
          <w:p w:rsidR="00222FCC" w:rsidRDefault="00FD122A">
            <w:pPr>
              <w:spacing w:before="20" w:after="20"/>
              <w:jc w:val="right"/>
              <w:rPr>
                <w:noProof/>
                <w:sz w:val="20"/>
              </w:rPr>
            </w:pPr>
            <w:r>
              <w:rPr>
                <w:noProof/>
                <w:sz w:val="20"/>
              </w:rPr>
              <w:t>0,000</w:t>
            </w:r>
          </w:p>
        </w:tc>
        <w:tc>
          <w:tcPr>
            <w:tcW w:w="786" w:type="pct"/>
            <w:vAlign w:val="center"/>
          </w:tcPr>
          <w:p w:rsidR="00222FCC" w:rsidRDefault="00FD122A">
            <w:pPr>
              <w:spacing w:before="20" w:after="20"/>
              <w:jc w:val="right"/>
              <w:rPr>
                <w:b/>
                <w:noProof/>
                <w:sz w:val="20"/>
              </w:rPr>
            </w:pPr>
            <w:r>
              <w:rPr>
                <w:b/>
                <w:noProof/>
                <w:sz w:val="20"/>
              </w:rPr>
              <w:t>1,500</w:t>
            </w:r>
          </w:p>
        </w:tc>
      </w:tr>
      <w:tr w:rsidR="00222FCC">
        <w:tc>
          <w:tcPr>
            <w:tcW w:w="1752" w:type="pct"/>
            <w:vMerge/>
          </w:tcPr>
          <w:p w:rsidR="00222FCC" w:rsidRDefault="00222FCC">
            <w:pPr>
              <w:jc w:val="center"/>
              <w:rPr>
                <w:noProof/>
                <w:sz w:val="20"/>
              </w:rPr>
            </w:pPr>
          </w:p>
        </w:tc>
        <w:tc>
          <w:tcPr>
            <w:tcW w:w="637" w:type="pct"/>
            <w:vAlign w:val="center"/>
          </w:tcPr>
          <w:p w:rsidR="00222FCC" w:rsidRDefault="00FD122A">
            <w:pPr>
              <w:spacing w:before="20" w:after="20"/>
              <w:rPr>
                <w:noProof/>
                <w:sz w:val="18"/>
              </w:rPr>
            </w:pPr>
            <w:r>
              <w:rPr>
                <w:noProof/>
                <w:sz w:val="18"/>
              </w:rPr>
              <w:t>Плащания</w:t>
            </w:r>
          </w:p>
        </w:tc>
        <w:tc>
          <w:tcPr>
            <w:tcW w:w="289" w:type="pct"/>
            <w:gridSpan w:val="2"/>
            <w:vAlign w:val="center"/>
          </w:tcPr>
          <w:p w:rsidR="00222FCC" w:rsidRDefault="00FD122A">
            <w:pPr>
              <w:spacing w:before="20" w:after="20"/>
              <w:jc w:val="center"/>
              <w:rPr>
                <w:noProof/>
                <w:sz w:val="14"/>
              </w:rPr>
            </w:pPr>
            <w:r>
              <w:rPr>
                <w:noProof/>
                <w:sz w:val="14"/>
              </w:rPr>
              <w:t>(2)</w:t>
            </w:r>
          </w:p>
        </w:tc>
        <w:tc>
          <w:tcPr>
            <w:tcW w:w="384" w:type="pct"/>
            <w:vAlign w:val="center"/>
          </w:tcPr>
          <w:p w:rsidR="00222FCC" w:rsidRDefault="00FD122A">
            <w:pPr>
              <w:spacing w:before="20" w:after="20"/>
              <w:jc w:val="right"/>
              <w:rPr>
                <w:noProof/>
                <w:sz w:val="20"/>
              </w:rPr>
            </w:pPr>
            <w:r>
              <w:rPr>
                <w:noProof/>
                <w:sz w:val="20"/>
              </w:rPr>
              <w:t>0,375</w:t>
            </w:r>
          </w:p>
        </w:tc>
        <w:tc>
          <w:tcPr>
            <w:tcW w:w="384" w:type="pct"/>
            <w:vAlign w:val="center"/>
          </w:tcPr>
          <w:p w:rsidR="00222FCC" w:rsidRDefault="00FD122A">
            <w:pPr>
              <w:spacing w:before="20" w:after="20"/>
              <w:jc w:val="right"/>
              <w:rPr>
                <w:noProof/>
                <w:sz w:val="20"/>
              </w:rPr>
            </w:pPr>
            <w:r>
              <w:rPr>
                <w:noProof/>
                <w:sz w:val="20"/>
              </w:rPr>
              <w:t>0,525</w:t>
            </w:r>
          </w:p>
        </w:tc>
        <w:tc>
          <w:tcPr>
            <w:tcW w:w="384" w:type="pct"/>
            <w:vAlign w:val="center"/>
          </w:tcPr>
          <w:p w:rsidR="00222FCC" w:rsidRDefault="00FD122A">
            <w:pPr>
              <w:spacing w:before="20" w:after="20"/>
              <w:jc w:val="right"/>
              <w:rPr>
                <w:noProof/>
                <w:sz w:val="20"/>
              </w:rPr>
            </w:pPr>
            <w:r>
              <w:rPr>
                <w:noProof/>
                <w:sz w:val="20"/>
              </w:rPr>
              <w:t>0,500</w:t>
            </w:r>
          </w:p>
        </w:tc>
        <w:tc>
          <w:tcPr>
            <w:tcW w:w="384" w:type="pct"/>
            <w:vAlign w:val="center"/>
          </w:tcPr>
          <w:p w:rsidR="00222FCC" w:rsidRDefault="00FD122A">
            <w:pPr>
              <w:spacing w:before="20" w:after="20"/>
              <w:jc w:val="right"/>
              <w:rPr>
                <w:noProof/>
                <w:sz w:val="20"/>
              </w:rPr>
            </w:pPr>
            <w:r>
              <w:rPr>
                <w:noProof/>
                <w:sz w:val="20"/>
              </w:rPr>
              <w:t>0,100</w:t>
            </w:r>
          </w:p>
        </w:tc>
        <w:tc>
          <w:tcPr>
            <w:tcW w:w="786" w:type="pct"/>
            <w:vAlign w:val="center"/>
          </w:tcPr>
          <w:p w:rsidR="00222FCC" w:rsidRDefault="00FD122A">
            <w:pPr>
              <w:spacing w:before="20" w:after="20"/>
              <w:jc w:val="right"/>
              <w:rPr>
                <w:b/>
                <w:noProof/>
                <w:sz w:val="20"/>
              </w:rPr>
            </w:pPr>
            <w:r>
              <w:rPr>
                <w:b/>
                <w:noProof/>
                <w:sz w:val="20"/>
              </w:rPr>
              <w:t>1,500</w:t>
            </w:r>
          </w:p>
        </w:tc>
      </w:tr>
    </w:tbl>
    <w:p w:rsidR="00222FCC" w:rsidRDefault="00222FC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3"/>
        <w:gridCol w:w="858"/>
        <w:gridCol w:w="1136"/>
        <w:gridCol w:w="1136"/>
        <w:gridCol w:w="1136"/>
        <w:gridCol w:w="1136"/>
        <w:gridCol w:w="2322"/>
      </w:tblGrid>
      <w:tr w:rsidR="00222FCC">
        <w:trPr>
          <w:trHeight w:val="231"/>
        </w:trPr>
        <w:tc>
          <w:tcPr>
            <w:tcW w:w="2679" w:type="pct"/>
            <w:gridSpan w:val="3"/>
            <w:vAlign w:val="center"/>
          </w:tcPr>
          <w:p w:rsidR="00222FCC" w:rsidRDefault="00FD122A">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41"/>
            </w:r>
            <w:r>
              <w:rPr>
                <w:noProof/>
                <w:sz w:val="21"/>
              </w:rPr>
              <w:t xml:space="preserve"> </w:t>
            </w:r>
          </w:p>
          <w:p w:rsidR="00222FCC" w:rsidRDefault="00222FCC">
            <w:pPr>
              <w:spacing w:before="0" w:after="0"/>
              <w:rPr>
                <w:noProof/>
              </w:rPr>
            </w:pPr>
          </w:p>
        </w:tc>
        <w:tc>
          <w:tcPr>
            <w:tcW w:w="384" w:type="pct"/>
            <w:vAlign w:val="center"/>
          </w:tcPr>
          <w:p w:rsidR="00222FCC" w:rsidRDefault="00222FCC">
            <w:pPr>
              <w:rPr>
                <w:b/>
                <w:noProof/>
                <w:sz w:val="20"/>
              </w:rPr>
            </w:pPr>
          </w:p>
        </w:tc>
        <w:tc>
          <w:tcPr>
            <w:tcW w:w="384" w:type="pct"/>
            <w:vAlign w:val="center"/>
          </w:tcPr>
          <w:p w:rsidR="00222FCC" w:rsidRDefault="00222FCC">
            <w:pPr>
              <w:rPr>
                <w:b/>
                <w:noProof/>
                <w:sz w:val="20"/>
              </w:rPr>
            </w:pPr>
          </w:p>
        </w:tc>
        <w:tc>
          <w:tcPr>
            <w:tcW w:w="384" w:type="pct"/>
            <w:vAlign w:val="center"/>
          </w:tcPr>
          <w:p w:rsidR="00222FCC" w:rsidRDefault="00222FCC">
            <w:pPr>
              <w:rPr>
                <w:b/>
                <w:noProof/>
                <w:sz w:val="20"/>
              </w:rPr>
            </w:pPr>
          </w:p>
        </w:tc>
        <w:tc>
          <w:tcPr>
            <w:tcW w:w="384" w:type="pct"/>
            <w:vAlign w:val="center"/>
          </w:tcPr>
          <w:p w:rsidR="00222FCC" w:rsidRDefault="00222FCC">
            <w:pPr>
              <w:rPr>
                <w:b/>
                <w:noProof/>
                <w:sz w:val="20"/>
              </w:rPr>
            </w:pPr>
          </w:p>
        </w:tc>
        <w:tc>
          <w:tcPr>
            <w:tcW w:w="786" w:type="pct"/>
            <w:vAlign w:val="center"/>
          </w:tcPr>
          <w:p w:rsidR="00222FCC" w:rsidRDefault="00222FCC">
            <w:pPr>
              <w:rPr>
                <w:b/>
                <w:noProof/>
                <w:sz w:val="20"/>
              </w:rPr>
            </w:pPr>
          </w:p>
        </w:tc>
      </w:tr>
      <w:tr w:rsidR="00222FCC">
        <w:trPr>
          <w:trHeight w:val="319"/>
        </w:trPr>
        <w:tc>
          <w:tcPr>
            <w:tcW w:w="1752" w:type="pct"/>
            <w:vAlign w:val="center"/>
          </w:tcPr>
          <w:p w:rsidR="00222FCC" w:rsidRDefault="00222FCC">
            <w:pPr>
              <w:spacing w:before="60" w:after="60"/>
              <w:rPr>
                <w:noProof/>
              </w:rPr>
            </w:pPr>
          </w:p>
        </w:tc>
        <w:tc>
          <w:tcPr>
            <w:tcW w:w="637" w:type="pct"/>
            <w:vAlign w:val="center"/>
          </w:tcPr>
          <w:p w:rsidR="00222FCC" w:rsidRDefault="00222FCC">
            <w:pPr>
              <w:spacing w:before="40" w:after="40"/>
              <w:jc w:val="right"/>
              <w:rPr>
                <w:noProof/>
                <w:sz w:val="18"/>
              </w:rPr>
            </w:pPr>
          </w:p>
        </w:tc>
        <w:tc>
          <w:tcPr>
            <w:tcW w:w="289" w:type="pct"/>
            <w:vAlign w:val="center"/>
          </w:tcPr>
          <w:p w:rsidR="00222FCC" w:rsidRDefault="00FD122A">
            <w:pPr>
              <w:spacing w:before="40" w:after="40"/>
              <w:jc w:val="center"/>
              <w:rPr>
                <w:noProof/>
                <w:sz w:val="14"/>
              </w:rPr>
            </w:pPr>
            <w:r>
              <w:rPr>
                <w:noProof/>
                <w:sz w:val="14"/>
              </w:rPr>
              <w:t>(3)</w:t>
            </w:r>
          </w:p>
        </w:tc>
        <w:tc>
          <w:tcPr>
            <w:tcW w:w="384" w:type="pct"/>
            <w:vAlign w:val="center"/>
          </w:tcPr>
          <w:p w:rsidR="00222FCC" w:rsidRDefault="00222FCC">
            <w:pPr>
              <w:spacing w:before="40" w:after="40"/>
              <w:jc w:val="right"/>
              <w:rPr>
                <w:b/>
                <w:noProof/>
                <w:sz w:val="20"/>
              </w:rPr>
            </w:pPr>
          </w:p>
        </w:tc>
        <w:tc>
          <w:tcPr>
            <w:tcW w:w="384" w:type="pct"/>
            <w:vAlign w:val="center"/>
          </w:tcPr>
          <w:p w:rsidR="00222FCC" w:rsidRDefault="00222FCC">
            <w:pPr>
              <w:spacing w:before="40" w:after="40"/>
              <w:jc w:val="right"/>
              <w:rPr>
                <w:b/>
                <w:noProof/>
                <w:sz w:val="20"/>
              </w:rPr>
            </w:pPr>
          </w:p>
        </w:tc>
        <w:tc>
          <w:tcPr>
            <w:tcW w:w="384" w:type="pct"/>
            <w:vAlign w:val="center"/>
          </w:tcPr>
          <w:p w:rsidR="00222FCC" w:rsidRDefault="00222FCC">
            <w:pPr>
              <w:spacing w:before="40" w:after="40"/>
              <w:jc w:val="right"/>
              <w:rPr>
                <w:b/>
                <w:noProof/>
                <w:sz w:val="20"/>
              </w:rPr>
            </w:pPr>
          </w:p>
        </w:tc>
        <w:tc>
          <w:tcPr>
            <w:tcW w:w="384" w:type="pct"/>
            <w:vAlign w:val="center"/>
          </w:tcPr>
          <w:p w:rsidR="00222FCC" w:rsidRDefault="00222FCC">
            <w:pPr>
              <w:spacing w:before="40" w:after="40"/>
              <w:jc w:val="right"/>
              <w:rPr>
                <w:b/>
                <w:noProof/>
                <w:sz w:val="20"/>
              </w:rPr>
            </w:pPr>
          </w:p>
        </w:tc>
        <w:tc>
          <w:tcPr>
            <w:tcW w:w="786" w:type="pct"/>
            <w:vAlign w:val="center"/>
          </w:tcPr>
          <w:p w:rsidR="00222FCC" w:rsidRDefault="00222FCC">
            <w:pPr>
              <w:spacing w:before="40" w:after="40"/>
              <w:jc w:val="right"/>
              <w:rPr>
                <w:b/>
                <w:noProof/>
                <w:sz w:val="20"/>
              </w:rPr>
            </w:pPr>
          </w:p>
        </w:tc>
      </w:tr>
      <w:tr w:rsidR="00222FCC">
        <w:tc>
          <w:tcPr>
            <w:tcW w:w="1752" w:type="pct"/>
            <w:vMerge w:val="restart"/>
            <w:vAlign w:val="center"/>
          </w:tcPr>
          <w:p w:rsidR="00222FCC" w:rsidRDefault="00FD122A">
            <w:pPr>
              <w:jc w:val="center"/>
              <w:rPr>
                <w:b/>
                <w:noProof/>
              </w:rPr>
            </w:pPr>
            <w:r>
              <w:rPr>
                <w:b/>
                <w:noProof/>
                <w:sz w:val="22"/>
              </w:rPr>
              <w:t xml:space="preserve">ОБЩО бюджетни кредити за ГД </w:t>
            </w:r>
            <w:r>
              <w:rPr>
                <w:noProof/>
              </w:rPr>
              <w:t>„Образование и култура“</w:t>
            </w:r>
          </w:p>
        </w:tc>
        <w:tc>
          <w:tcPr>
            <w:tcW w:w="637" w:type="pct"/>
            <w:vAlign w:val="center"/>
          </w:tcPr>
          <w:p w:rsidR="00222FCC" w:rsidRDefault="00FD122A">
            <w:pPr>
              <w:rPr>
                <w:noProof/>
                <w:sz w:val="18"/>
              </w:rPr>
            </w:pPr>
            <w:r>
              <w:rPr>
                <w:noProof/>
                <w:sz w:val="18"/>
              </w:rPr>
              <w:t>Поети задължения</w:t>
            </w:r>
          </w:p>
        </w:tc>
        <w:tc>
          <w:tcPr>
            <w:tcW w:w="289" w:type="pct"/>
            <w:vAlign w:val="center"/>
          </w:tcPr>
          <w:p w:rsidR="00222FCC" w:rsidRDefault="00FD122A">
            <w:pPr>
              <w:jc w:val="center"/>
              <w:rPr>
                <w:noProof/>
                <w:sz w:val="14"/>
              </w:rPr>
            </w:pPr>
            <w:r>
              <w:rPr>
                <w:noProof/>
                <w:sz w:val="14"/>
              </w:rPr>
              <w:t>=1+1а +3</w:t>
            </w:r>
          </w:p>
        </w:tc>
        <w:tc>
          <w:tcPr>
            <w:tcW w:w="384" w:type="pct"/>
            <w:vAlign w:val="center"/>
          </w:tcPr>
          <w:p w:rsidR="00222FCC" w:rsidRDefault="00FD122A">
            <w:pPr>
              <w:spacing w:before="20" w:after="20"/>
              <w:jc w:val="right"/>
              <w:rPr>
                <w:noProof/>
                <w:sz w:val="20"/>
              </w:rPr>
            </w:pPr>
            <w:r>
              <w:rPr>
                <w:noProof/>
                <w:sz w:val="20"/>
              </w:rPr>
              <w:t>3,300</w:t>
            </w:r>
          </w:p>
        </w:tc>
        <w:tc>
          <w:tcPr>
            <w:tcW w:w="384" w:type="pct"/>
            <w:vAlign w:val="center"/>
          </w:tcPr>
          <w:p w:rsidR="00222FCC" w:rsidRDefault="00FD122A">
            <w:pPr>
              <w:spacing w:before="20" w:after="20"/>
              <w:jc w:val="right"/>
              <w:rPr>
                <w:noProof/>
                <w:sz w:val="20"/>
              </w:rPr>
            </w:pPr>
            <w:r>
              <w:rPr>
                <w:noProof/>
                <w:sz w:val="20"/>
              </w:rPr>
              <w:t>1,500</w:t>
            </w:r>
          </w:p>
        </w:tc>
        <w:tc>
          <w:tcPr>
            <w:tcW w:w="384" w:type="pct"/>
            <w:vAlign w:val="center"/>
          </w:tcPr>
          <w:p w:rsidR="00222FCC" w:rsidRDefault="00FD122A">
            <w:pPr>
              <w:spacing w:before="20" w:after="20"/>
              <w:jc w:val="right"/>
              <w:rPr>
                <w:noProof/>
                <w:sz w:val="20"/>
              </w:rPr>
            </w:pPr>
            <w:r>
              <w:rPr>
                <w:noProof/>
                <w:sz w:val="20"/>
              </w:rPr>
              <w:t>1,500</w:t>
            </w:r>
          </w:p>
        </w:tc>
        <w:tc>
          <w:tcPr>
            <w:tcW w:w="384" w:type="pct"/>
            <w:vAlign w:val="center"/>
          </w:tcPr>
          <w:p w:rsidR="00222FCC" w:rsidRDefault="00FD122A">
            <w:pPr>
              <w:spacing w:before="20" w:after="20"/>
              <w:jc w:val="right"/>
              <w:rPr>
                <w:noProof/>
                <w:sz w:val="20"/>
              </w:rPr>
            </w:pPr>
            <w:r>
              <w:rPr>
                <w:noProof/>
                <w:sz w:val="20"/>
              </w:rPr>
              <w:t>0,000</w:t>
            </w:r>
          </w:p>
        </w:tc>
        <w:tc>
          <w:tcPr>
            <w:tcW w:w="786" w:type="pct"/>
            <w:vAlign w:val="center"/>
          </w:tcPr>
          <w:p w:rsidR="00222FCC" w:rsidRDefault="00FD122A">
            <w:pPr>
              <w:spacing w:before="20" w:after="20"/>
              <w:jc w:val="right"/>
              <w:rPr>
                <w:b/>
                <w:noProof/>
                <w:sz w:val="20"/>
              </w:rPr>
            </w:pPr>
            <w:r>
              <w:rPr>
                <w:b/>
                <w:noProof/>
                <w:sz w:val="20"/>
              </w:rPr>
              <w:t>6,300</w:t>
            </w:r>
          </w:p>
        </w:tc>
      </w:tr>
      <w:tr w:rsidR="00222FCC">
        <w:tc>
          <w:tcPr>
            <w:tcW w:w="1752" w:type="pct"/>
            <w:vMerge/>
          </w:tcPr>
          <w:p w:rsidR="00222FCC" w:rsidRDefault="00222FCC">
            <w:pPr>
              <w:rPr>
                <w:noProof/>
                <w:sz w:val="20"/>
              </w:rPr>
            </w:pPr>
          </w:p>
        </w:tc>
        <w:tc>
          <w:tcPr>
            <w:tcW w:w="637" w:type="pct"/>
            <w:vAlign w:val="center"/>
          </w:tcPr>
          <w:p w:rsidR="00222FCC" w:rsidRDefault="00FD122A">
            <w:pPr>
              <w:rPr>
                <w:noProof/>
                <w:sz w:val="18"/>
              </w:rPr>
            </w:pPr>
            <w:r>
              <w:rPr>
                <w:noProof/>
                <w:sz w:val="18"/>
              </w:rPr>
              <w:t>Плащания</w:t>
            </w:r>
          </w:p>
        </w:tc>
        <w:tc>
          <w:tcPr>
            <w:tcW w:w="289" w:type="pct"/>
            <w:vAlign w:val="center"/>
          </w:tcPr>
          <w:p w:rsidR="00222FCC" w:rsidRDefault="00FD122A">
            <w:pPr>
              <w:jc w:val="center"/>
              <w:rPr>
                <w:noProof/>
                <w:sz w:val="14"/>
              </w:rPr>
            </w:pPr>
            <w:r>
              <w:rPr>
                <w:noProof/>
                <w:sz w:val="14"/>
              </w:rPr>
              <w:t>=2+2а</w:t>
            </w:r>
          </w:p>
          <w:p w:rsidR="00222FCC" w:rsidRDefault="00FD122A">
            <w:pPr>
              <w:jc w:val="center"/>
              <w:rPr>
                <w:noProof/>
                <w:sz w:val="14"/>
              </w:rPr>
            </w:pPr>
            <w:r>
              <w:rPr>
                <w:noProof/>
                <w:sz w:val="14"/>
              </w:rPr>
              <w:t>+3</w:t>
            </w:r>
          </w:p>
        </w:tc>
        <w:tc>
          <w:tcPr>
            <w:tcW w:w="384" w:type="pct"/>
            <w:vAlign w:val="center"/>
          </w:tcPr>
          <w:p w:rsidR="00222FCC" w:rsidRDefault="00FD122A">
            <w:pPr>
              <w:spacing w:before="20" w:after="20"/>
              <w:jc w:val="right"/>
              <w:rPr>
                <w:noProof/>
                <w:sz w:val="20"/>
              </w:rPr>
            </w:pPr>
            <w:r>
              <w:rPr>
                <w:noProof/>
                <w:sz w:val="20"/>
              </w:rPr>
              <w:t>2,475</w:t>
            </w:r>
          </w:p>
        </w:tc>
        <w:tc>
          <w:tcPr>
            <w:tcW w:w="384" w:type="pct"/>
            <w:vAlign w:val="center"/>
          </w:tcPr>
          <w:p w:rsidR="00222FCC" w:rsidRDefault="00FD122A">
            <w:pPr>
              <w:spacing w:before="20" w:after="20"/>
              <w:jc w:val="right"/>
              <w:rPr>
                <w:noProof/>
                <w:sz w:val="20"/>
              </w:rPr>
            </w:pPr>
            <w:r>
              <w:rPr>
                <w:noProof/>
                <w:sz w:val="20"/>
              </w:rPr>
              <w:t>1,935</w:t>
            </w:r>
          </w:p>
        </w:tc>
        <w:tc>
          <w:tcPr>
            <w:tcW w:w="384" w:type="pct"/>
            <w:vAlign w:val="center"/>
          </w:tcPr>
          <w:p w:rsidR="00222FCC" w:rsidRDefault="00FD122A">
            <w:pPr>
              <w:spacing w:before="20" w:after="20"/>
              <w:jc w:val="right"/>
              <w:rPr>
                <w:noProof/>
                <w:sz w:val="20"/>
              </w:rPr>
            </w:pPr>
            <w:r>
              <w:rPr>
                <w:noProof/>
                <w:sz w:val="20"/>
              </w:rPr>
              <w:t>1,590</w:t>
            </w:r>
          </w:p>
        </w:tc>
        <w:tc>
          <w:tcPr>
            <w:tcW w:w="384" w:type="pct"/>
            <w:vAlign w:val="center"/>
          </w:tcPr>
          <w:p w:rsidR="00222FCC" w:rsidRDefault="00FD122A">
            <w:pPr>
              <w:spacing w:before="20" w:after="20"/>
              <w:jc w:val="right"/>
              <w:rPr>
                <w:noProof/>
                <w:sz w:val="20"/>
              </w:rPr>
            </w:pPr>
            <w:r>
              <w:rPr>
                <w:noProof/>
                <w:sz w:val="20"/>
              </w:rPr>
              <w:t>0,300</w:t>
            </w:r>
          </w:p>
        </w:tc>
        <w:tc>
          <w:tcPr>
            <w:tcW w:w="786" w:type="pct"/>
            <w:vAlign w:val="center"/>
          </w:tcPr>
          <w:p w:rsidR="00222FCC" w:rsidRDefault="00FD122A">
            <w:pPr>
              <w:spacing w:before="20" w:after="20"/>
              <w:jc w:val="right"/>
              <w:rPr>
                <w:b/>
                <w:noProof/>
                <w:sz w:val="20"/>
              </w:rPr>
            </w:pPr>
            <w:r>
              <w:rPr>
                <w:b/>
                <w:noProof/>
                <w:sz w:val="20"/>
              </w:rPr>
              <w:t>6,300</w:t>
            </w:r>
          </w:p>
        </w:tc>
      </w:tr>
    </w:tbl>
    <w:p w:rsidR="00222FCC" w:rsidRDefault="00222FCC">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rsidR="00222FCC">
        <w:trPr>
          <w:trHeight w:val="277"/>
        </w:trPr>
        <w:tc>
          <w:tcPr>
            <w:tcW w:w="1752" w:type="pct"/>
            <w:vMerge w:val="restart"/>
            <w:vAlign w:val="center"/>
          </w:tcPr>
          <w:p w:rsidR="00222FCC" w:rsidRDefault="00FD122A">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Н2</w:t>
            </w:r>
          </w:p>
        </w:tc>
        <w:tc>
          <w:tcPr>
            <w:tcW w:w="637" w:type="pct"/>
            <w:vAlign w:val="center"/>
          </w:tcPr>
          <w:p w:rsidR="00222FCC" w:rsidRDefault="00FD122A">
            <w:pPr>
              <w:spacing w:beforeLines="20" w:before="48" w:afterLines="20" w:after="48"/>
              <w:rPr>
                <w:noProof/>
                <w:sz w:val="18"/>
              </w:rPr>
            </w:pPr>
            <w:r>
              <w:rPr>
                <w:noProof/>
                <w:sz w:val="18"/>
              </w:rPr>
              <w:t>Поети задължения</w:t>
            </w:r>
          </w:p>
        </w:tc>
        <w:tc>
          <w:tcPr>
            <w:tcW w:w="289" w:type="pct"/>
            <w:vAlign w:val="center"/>
          </w:tcPr>
          <w:p w:rsidR="00222FCC" w:rsidRDefault="00FD122A">
            <w:pPr>
              <w:spacing w:beforeLines="20" w:before="48" w:afterLines="20" w:after="48"/>
              <w:jc w:val="center"/>
              <w:rPr>
                <w:noProof/>
                <w:sz w:val="14"/>
              </w:rPr>
            </w:pPr>
            <w:r>
              <w:rPr>
                <w:noProof/>
                <w:sz w:val="14"/>
              </w:rPr>
              <w:t>(4)</w:t>
            </w:r>
          </w:p>
        </w:tc>
        <w:tc>
          <w:tcPr>
            <w:tcW w:w="384" w:type="pct"/>
            <w:vAlign w:val="center"/>
          </w:tcPr>
          <w:p w:rsidR="00222FCC" w:rsidRDefault="00FD122A">
            <w:pPr>
              <w:spacing w:before="20" w:after="20"/>
              <w:jc w:val="right"/>
              <w:rPr>
                <w:noProof/>
                <w:sz w:val="20"/>
              </w:rPr>
            </w:pPr>
            <w:r>
              <w:rPr>
                <w:noProof/>
                <w:color w:val="000000"/>
                <w:sz w:val="20"/>
              </w:rPr>
              <w:t>3,300</w:t>
            </w:r>
          </w:p>
        </w:tc>
        <w:tc>
          <w:tcPr>
            <w:tcW w:w="384" w:type="pct"/>
            <w:vAlign w:val="center"/>
          </w:tcPr>
          <w:p w:rsidR="00222FCC" w:rsidRDefault="00FD122A">
            <w:pPr>
              <w:spacing w:before="20" w:after="20"/>
              <w:jc w:val="right"/>
              <w:rPr>
                <w:noProof/>
                <w:sz w:val="20"/>
              </w:rPr>
            </w:pPr>
            <w:r>
              <w:rPr>
                <w:noProof/>
                <w:color w:val="000000"/>
                <w:sz w:val="20"/>
              </w:rPr>
              <w:t>1,500</w:t>
            </w:r>
          </w:p>
        </w:tc>
        <w:tc>
          <w:tcPr>
            <w:tcW w:w="384" w:type="pct"/>
            <w:vAlign w:val="center"/>
          </w:tcPr>
          <w:p w:rsidR="00222FCC" w:rsidRDefault="00FD122A">
            <w:pPr>
              <w:spacing w:before="20" w:after="20"/>
              <w:jc w:val="right"/>
              <w:rPr>
                <w:noProof/>
                <w:sz w:val="20"/>
              </w:rPr>
            </w:pPr>
            <w:r>
              <w:rPr>
                <w:noProof/>
                <w:color w:val="000000"/>
                <w:sz w:val="20"/>
              </w:rPr>
              <w:t>1,500</w:t>
            </w:r>
          </w:p>
        </w:tc>
        <w:tc>
          <w:tcPr>
            <w:tcW w:w="384" w:type="pct"/>
            <w:vAlign w:val="center"/>
          </w:tcPr>
          <w:p w:rsidR="00222FCC" w:rsidRDefault="00FD122A">
            <w:pPr>
              <w:spacing w:before="20" w:after="20"/>
              <w:jc w:val="right"/>
              <w:rPr>
                <w:noProof/>
                <w:sz w:val="20"/>
              </w:rPr>
            </w:pPr>
            <w:r>
              <w:rPr>
                <w:noProof/>
                <w:color w:val="000000"/>
                <w:sz w:val="20"/>
              </w:rPr>
              <w:t>0,000</w:t>
            </w:r>
          </w:p>
        </w:tc>
        <w:tc>
          <w:tcPr>
            <w:tcW w:w="786" w:type="pct"/>
            <w:vAlign w:val="center"/>
          </w:tcPr>
          <w:p w:rsidR="00222FCC" w:rsidRDefault="00FD122A">
            <w:pPr>
              <w:spacing w:before="20" w:after="20"/>
              <w:jc w:val="right"/>
              <w:rPr>
                <w:b/>
                <w:noProof/>
                <w:sz w:val="20"/>
              </w:rPr>
            </w:pPr>
            <w:r>
              <w:rPr>
                <w:b/>
                <w:noProof/>
                <w:color w:val="000000"/>
                <w:sz w:val="20"/>
              </w:rPr>
              <w:t>6,300</w:t>
            </w:r>
          </w:p>
        </w:tc>
      </w:tr>
      <w:tr w:rsidR="00222FCC">
        <w:tc>
          <w:tcPr>
            <w:tcW w:w="1752" w:type="pct"/>
            <w:vMerge/>
          </w:tcPr>
          <w:p w:rsidR="00222FCC" w:rsidRDefault="00222FCC">
            <w:pPr>
              <w:jc w:val="center"/>
              <w:rPr>
                <w:noProof/>
                <w:sz w:val="20"/>
              </w:rPr>
            </w:pPr>
          </w:p>
        </w:tc>
        <w:tc>
          <w:tcPr>
            <w:tcW w:w="637" w:type="pct"/>
            <w:vAlign w:val="center"/>
          </w:tcPr>
          <w:p w:rsidR="00222FCC" w:rsidRDefault="00FD122A">
            <w:pPr>
              <w:spacing w:beforeLines="20" w:before="48" w:afterLines="20" w:after="48"/>
              <w:rPr>
                <w:noProof/>
                <w:sz w:val="18"/>
              </w:rPr>
            </w:pPr>
            <w:r>
              <w:rPr>
                <w:noProof/>
                <w:sz w:val="18"/>
              </w:rPr>
              <w:t>Плащания</w:t>
            </w:r>
          </w:p>
        </w:tc>
        <w:tc>
          <w:tcPr>
            <w:tcW w:w="289" w:type="pct"/>
            <w:vAlign w:val="center"/>
          </w:tcPr>
          <w:p w:rsidR="00222FCC" w:rsidRDefault="00FD122A">
            <w:pPr>
              <w:spacing w:beforeLines="20" w:before="48" w:afterLines="20" w:after="48"/>
              <w:jc w:val="center"/>
              <w:rPr>
                <w:noProof/>
                <w:sz w:val="14"/>
              </w:rPr>
            </w:pPr>
            <w:r>
              <w:rPr>
                <w:noProof/>
                <w:sz w:val="14"/>
              </w:rPr>
              <w:t>(5)</w:t>
            </w:r>
          </w:p>
        </w:tc>
        <w:tc>
          <w:tcPr>
            <w:tcW w:w="384" w:type="pct"/>
            <w:vAlign w:val="center"/>
          </w:tcPr>
          <w:p w:rsidR="00222FCC" w:rsidRDefault="00FD122A">
            <w:pPr>
              <w:spacing w:before="20" w:after="20"/>
              <w:jc w:val="right"/>
              <w:rPr>
                <w:noProof/>
                <w:sz w:val="20"/>
              </w:rPr>
            </w:pPr>
            <w:r>
              <w:rPr>
                <w:noProof/>
                <w:color w:val="000000"/>
                <w:sz w:val="20"/>
              </w:rPr>
              <w:t>2,475</w:t>
            </w:r>
          </w:p>
        </w:tc>
        <w:tc>
          <w:tcPr>
            <w:tcW w:w="384" w:type="pct"/>
            <w:vAlign w:val="center"/>
          </w:tcPr>
          <w:p w:rsidR="00222FCC" w:rsidRDefault="00FD122A">
            <w:pPr>
              <w:spacing w:before="20" w:after="20"/>
              <w:jc w:val="right"/>
              <w:rPr>
                <w:noProof/>
                <w:sz w:val="20"/>
              </w:rPr>
            </w:pPr>
            <w:r>
              <w:rPr>
                <w:noProof/>
                <w:color w:val="000000"/>
                <w:sz w:val="20"/>
              </w:rPr>
              <w:t>1,935</w:t>
            </w:r>
          </w:p>
        </w:tc>
        <w:tc>
          <w:tcPr>
            <w:tcW w:w="384" w:type="pct"/>
            <w:vAlign w:val="center"/>
          </w:tcPr>
          <w:p w:rsidR="00222FCC" w:rsidRDefault="00FD122A">
            <w:pPr>
              <w:spacing w:before="20" w:after="20"/>
              <w:jc w:val="right"/>
              <w:rPr>
                <w:noProof/>
                <w:sz w:val="20"/>
              </w:rPr>
            </w:pPr>
            <w:r>
              <w:rPr>
                <w:noProof/>
                <w:color w:val="000000"/>
                <w:sz w:val="20"/>
              </w:rPr>
              <w:t>1,590</w:t>
            </w:r>
          </w:p>
        </w:tc>
        <w:tc>
          <w:tcPr>
            <w:tcW w:w="384" w:type="pct"/>
            <w:vAlign w:val="center"/>
          </w:tcPr>
          <w:p w:rsidR="00222FCC" w:rsidRDefault="00FD122A">
            <w:pPr>
              <w:spacing w:before="20" w:after="20"/>
              <w:jc w:val="right"/>
              <w:rPr>
                <w:noProof/>
                <w:sz w:val="20"/>
              </w:rPr>
            </w:pPr>
            <w:r>
              <w:rPr>
                <w:noProof/>
                <w:color w:val="000000"/>
                <w:sz w:val="20"/>
              </w:rPr>
              <w:t>0,300</w:t>
            </w:r>
          </w:p>
        </w:tc>
        <w:tc>
          <w:tcPr>
            <w:tcW w:w="786" w:type="pct"/>
            <w:vAlign w:val="center"/>
          </w:tcPr>
          <w:p w:rsidR="00222FCC" w:rsidRDefault="00FD122A">
            <w:pPr>
              <w:spacing w:before="20" w:after="20"/>
              <w:jc w:val="right"/>
              <w:rPr>
                <w:b/>
                <w:noProof/>
                <w:sz w:val="20"/>
              </w:rPr>
            </w:pPr>
            <w:r>
              <w:rPr>
                <w:b/>
                <w:noProof/>
                <w:color w:val="000000"/>
                <w:sz w:val="20"/>
              </w:rPr>
              <w:t>6,300</w:t>
            </w:r>
          </w:p>
        </w:tc>
      </w:tr>
      <w:tr w:rsidR="00222FCC">
        <w:trPr>
          <w:trHeight w:val="533"/>
        </w:trPr>
        <w:tc>
          <w:tcPr>
            <w:tcW w:w="2390" w:type="pct"/>
            <w:gridSpan w:val="2"/>
            <w:vAlign w:val="center"/>
          </w:tcPr>
          <w:p w:rsidR="00222FCC" w:rsidRDefault="00FD122A">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289" w:type="pct"/>
            <w:vAlign w:val="center"/>
          </w:tcPr>
          <w:p w:rsidR="00222FCC" w:rsidRDefault="00FD122A">
            <w:pPr>
              <w:spacing w:beforeLines="20" w:before="48" w:afterLines="20" w:after="48"/>
              <w:jc w:val="center"/>
              <w:rPr>
                <w:noProof/>
                <w:sz w:val="14"/>
              </w:rPr>
            </w:pPr>
            <w:r>
              <w:rPr>
                <w:noProof/>
                <w:sz w:val="14"/>
              </w:rPr>
              <w:t>(6)</w:t>
            </w:r>
          </w:p>
        </w:tc>
        <w:tc>
          <w:tcPr>
            <w:tcW w:w="384" w:type="pct"/>
            <w:vAlign w:val="center"/>
          </w:tcPr>
          <w:p w:rsidR="00222FCC" w:rsidRDefault="00222FCC">
            <w:pPr>
              <w:spacing w:before="20" w:after="20"/>
              <w:jc w:val="right"/>
              <w:rPr>
                <w:b/>
                <w:noProof/>
                <w:sz w:val="20"/>
              </w:rPr>
            </w:pPr>
          </w:p>
        </w:tc>
        <w:tc>
          <w:tcPr>
            <w:tcW w:w="384" w:type="pct"/>
            <w:vAlign w:val="center"/>
          </w:tcPr>
          <w:p w:rsidR="00222FCC" w:rsidRDefault="00222FCC">
            <w:pPr>
              <w:spacing w:before="20" w:after="20"/>
              <w:jc w:val="right"/>
              <w:rPr>
                <w:b/>
                <w:noProof/>
                <w:sz w:val="20"/>
              </w:rPr>
            </w:pPr>
          </w:p>
        </w:tc>
        <w:tc>
          <w:tcPr>
            <w:tcW w:w="384" w:type="pct"/>
            <w:vAlign w:val="center"/>
          </w:tcPr>
          <w:p w:rsidR="00222FCC" w:rsidRDefault="00222FCC">
            <w:pPr>
              <w:spacing w:before="20" w:after="20"/>
              <w:jc w:val="right"/>
              <w:rPr>
                <w:b/>
                <w:noProof/>
                <w:sz w:val="20"/>
              </w:rPr>
            </w:pPr>
          </w:p>
        </w:tc>
        <w:tc>
          <w:tcPr>
            <w:tcW w:w="384" w:type="pct"/>
            <w:vAlign w:val="center"/>
          </w:tcPr>
          <w:p w:rsidR="00222FCC" w:rsidRDefault="00222FCC">
            <w:pPr>
              <w:spacing w:before="20" w:after="20"/>
              <w:jc w:val="right"/>
              <w:rPr>
                <w:b/>
                <w:noProof/>
                <w:sz w:val="20"/>
              </w:rPr>
            </w:pPr>
          </w:p>
        </w:tc>
        <w:tc>
          <w:tcPr>
            <w:tcW w:w="786" w:type="pct"/>
            <w:vAlign w:val="center"/>
          </w:tcPr>
          <w:p w:rsidR="00222FCC" w:rsidRDefault="00222FCC">
            <w:pPr>
              <w:spacing w:before="20" w:after="20"/>
              <w:jc w:val="right"/>
              <w:rPr>
                <w:b/>
                <w:noProof/>
                <w:sz w:val="20"/>
              </w:rPr>
            </w:pPr>
          </w:p>
        </w:tc>
      </w:tr>
      <w:tr w:rsidR="00222FCC">
        <w:tc>
          <w:tcPr>
            <w:tcW w:w="1752" w:type="pct"/>
            <w:vMerge w:val="restart"/>
            <w:shd w:val="thinDiagStripe" w:color="C0C0C0" w:fill="auto"/>
            <w:vAlign w:val="center"/>
          </w:tcPr>
          <w:p w:rsidR="00222FCC" w:rsidRDefault="00FD122A">
            <w:pPr>
              <w:jc w:val="center"/>
              <w:rPr>
                <w:b/>
                <w:noProof/>
                <w:sz w:val="22"/>
              </w:rPr>
            </w:pPr>
            <w:r>
              <w:rPr>
                <w:b/>
                <w:noProof/>
                <w:sz w:val="22"/>
              </w:rPr>
              <w:t xml:space="preserve">ОБЩО бюджетни кредити </w:t>
            </w:r>
            <w:r>
              <w:rPr>
                <w:noProof/>
                <w:sz w:val="22"/>
              </w:rPr>
              <w:br/>
            </w:r>
            <w:r>
              <w:rPr>
                <w:b/>
                <w:noProof/>
                <w:sz w:val="22"/>
              </w:rPr>
              <w:t>за ФУНКЦИЯ 2</w:t>
            </w:r>
          </w:p>
          <w:p w:rsidR="00222FCC" w:rsidRDefault="00FD122A">
            <w:pPr>
              <w:jc w:val="center"/>
              <w:rPr>
                <w:b/>
                <w:noProof/>
              </w:rPr>
            </w:pPr>
            <w:r>
              <w:rPr>
                <w:noProof/>
                <w:sz w:val="22"/>
              </w:rPr>
              <w:t>от многогодишната финансова рамка</w:t>
            </w:r>
          </w:p>
        </w:tc>
        <w:tc>
          <w:tcPr>
            <w:tcW w:w="637" w:type="pct"/>
            <w:vAlign w:val="center"/>
          </w:tcPr>
          <w:p w:rsidR="00222FCC" w:rsidRDefault="00FD122A">
            <w:pPr>
              <w:rPr>
                <w:noProof/>
                <w:sz w:val="18"/>
              </w:rPr>
            </w:pPr>
            <w:r>
              <w:rPr>
                <w:noProof/>
                <w:sz w:val="18"/>
              </w:rPr>
              <w:t>Поети задължения</w:t>
            </w:r>
          </w:p>
        </w:tc>
        <w:tc>
          <w:tcPr>
            <w:tcW w:w="289" w:type="pct"/>
            <w:vAlign w:val="center"/>
          </w:tcPr>
          <w:p w:rsidR="00222FCC" w:rsidRDefault="00FD122A">
            <w:pPr>
              <w:jc w:val="center"/>
              <w:rPr>
                <w:noProof/>
                <w:sz w:val="14"/>
              </w:rPr>
            </w:pPr>
            <w:r>
              <w:rPr>
                <w:noProof/>
                <w:sz w:val="14"/>
              </w:rPr>
              <w:t>=4+ 6</w:t>
            </w:r>
          </w:p>
        </w:tc>
        <w:tc>
          <w:tcPr>
            <w:tcW w:w="384" w:type="pct"/>
            <w:vAlign w:val="center"/>
          </w:tcPr>
          <w:p w:rsidR="00222FCC" w:rsidRDefault="00FD122A">
            <w:pPr>
              <w:spacing w:before="20" w:after="20"/>
              <w:jc w:val="right"/>
              <w:rPr>
                <w:noProof/>
                <w:sz w:val="20"/>
              </w:rPr>
            </w:pPr>
            <w:r>
              <w:rPr>
                <w:noProof/>
                <w:color w:val="000000"/>
                <w:sz w:val="20"/>
              </w:rPr>
              <w:t>3,300</w:t>
            </w:r>
          </w:p>
        </w:tc>
        <w:tc>
          <w:tcPr>
            <w:tcW w:w="384" w:type="pct"/>
            <w:vAlign w:val="center"/>
          </w:tcPr>
          <w:p w:rsidR="00222FCC" w:rsidRDefault="00FD122A">
            <w:pPr>
              <w:spacing w:before="20" w:after="20"/>
              <w:jc w:val="right"/>
              <w:rPr>
                <w:noProof/>
                <w:sz w:val="20"/>
              </w:rPr>
            </w:pPr>
            <w:r>
              <w:rPr>
                <w:noProof/>
                <w:color w:val="000000"/>
                <w:sz w:val="20"/>
              </w:rPr>
              <w:t>1,500</w:t>
            </w:r>
          </w:p>
        </w:tc>
        <w:tc>
          <w:tcPr>
            <w:tcW w:w="384" w:type="pct"/>
            <w:vAlign w:val="center"/>
          </w:tcPr>
          <w:p w:rsidR="00222FCC" w:rsidRDefault="00FD122A">
            <w:pPr>
              <w:spacing w:before="20" w:after="20"/>
              <w:jc w:val="right"/>
              <w:rPr>
                <w:noProof/>
                <w:sz w:val="20"/>
              </w:rPr>
            </w:pPr>
            <w:r>
              <w:rPr>
                <w:noProof/>
                <w:color w:val="000000"/>
                <w:sz w:val="20"/>
              </w:rPr>
              <w:t>1,500</w:t>
            </w:r>
          </w:p>
        </w:tc>
        <w:tc>
          <w:tcPr>
            <w:tcW w:w="384" w:type="pct"/>
            <w:vAlign w:val="center"/>
          </w:tcPr>
          <w:p w:rsidR="00222FCC" w:rsidRDefault="00FD122A">
            <w:pPr>
              <w:spacing w:before="20" w:after="20"/>
              <w:jc w:val="right"/>
              <w:rPr>
                <w:noProof/>
                <w:sz w:val="20"/>
              </w:rPr>
            </w:pPr>
            <w:r>
              <w:rPr>
                <w:noProof/>
                <w:color w:val="000000"/>
                <w:sz w:val="20"/>
              </w:rPr>
              <w:t>0,000</w:t>
            </w:r>
          </w:p>
        </w:tc>
        <w:tc>
          <w:tcPr>
            <w:tcW w:w="786" w:type="pct"/>
            <w:vAlign w:val="center"/>
          </w:tcPr>
          <w:p w:rsidR="00222FCC" w:rsidRDefault="00FD122A">
            <w:pPr>
              <w:spacing w:before="20" w:after="20"/>
              <w:jc w:val="right"/>
              <w:rPr>
                <w:b/>
                <w:noProof/>
                <w:sz w:val="20"/>
              </w:rPr>
            </w:pPr>
            <w:r>
              <w:rPr>
                <w:b/>
                <w:noProof/>
                <w:color w:val="000000"/>
                <w:sz w:val="20"/>
              </w:rPr>
              <w:t>6,300</w:t>
            </w:r>
          </w:p>
        </w:tc>
      </w:tr>
      <w:tr w:rsidR="00222FCC">
        <w:tc>
          <w:tcPr>
            <w:tcW w:w="1752" w:type="pct"/>
            <w:vMerge/>
            <w:shd w:val="thinDiagStripe" w:color="C0C0C0" w:fill="auto"/>
          </w:tcPr>
          <w:p w:rsidR="00222FCC" w:rsidRDefault="00222FCC">
            <w:pPr>
              <w:rPr>
                <w:noProof/>
                <w:sz w:val="20"/>
              </w:rPr>
            </w:pPr>
          </w:p>
        </w:tc>
        <w:tc>
          <w:tcPr>
            <w:tcW w:w="637" w:type="pct"/>
            <w:vAlign w:val="center"/>
          </w:tcPr>
          <w:p w:rsidR="00222FCC" w:rsidRDefault="00FD122A">
            <w:pPr>
              <w:rPr>
                <w:noProof/>
                <w:sz w:val="18"/>
              </w:rPr>
            </w:pPr>
            <w:r>
              <w:rPr>
                <w:noProof/>
                <w:sz w:val="18"/>
              </w:rPr>
              <w:t>Плащания</w:t>
            </w:r>
          </w:p>
        </w:tc>
        <w:tc>
          <w:tcPr>
            <w:tcW w:w="289" w:type="pct"/>
            <w:vAlign w:val="center"/>
          </w:tcPr>
          <w:p w:rsidR="00222FCC" w:rsidRDefault="00FD122A">
            <w:pPr>
              <w:jc w:val="center"/>
              <w:rPr>
                <w:noProof/>
                <w:sz w:val="14"/>
              </w:rPr>
            </w:pPr>
            <w:r>
              <w:rPr>
                <w:noProof/>
                <w:sz w:val="14"/>
              </w:rPr>
              <w:t>=5+ 6</w:t>
            </w:r>
          </w:p>
        </w:tc>
        <w:tc>
          <w:tcPr>
            <w:tcW w:w="384" w:type="pct"/>
            <w:vAlign w:val="center"/>
          </w:tcPr>
          <w:p w:rsidR="00222FCC" w:rsidRDefault="00FD122A">
            <w:pPr>
              <w:spacing w:before="20" w:after="20"/>
              <w:jc w:val="right"/>
              <w:rPr>
                <w:noProof/>
                <w:sz w:val="20"/>
              </w:rPr>
            </w:pPr>
            <w:r>
              <w:rPr>
                <w:noProof/>
                <w:color w:val="000000"/>
                <w:sz w:val="20"/>
              </w:rPr>
              <w:t>2,475</w:t>
            </w:r>
          </w:p>
        </w:tc>
        <w:tc>
          <w:tcPr>
            <w:tcW w:w="384" w:type="pct"/>
            <w:vAlign w:val="center"/>
          </w:tcPr>
          <w:p w:rsidR="00222FCC" w:rsidRDefault="00FD122A">
            <w:pPr>
              <w:spacing w:before="20" w:after="20"/>
              <w:jc w:val="right"/>
              <w:rPr>
                <w:noProof/>
                <w:sz w:val="20"/>
              </w:rPr>
            </w:pPr>
            <w:r>
              <w:rPr>
                <w:noProof/>
                <w:color w:val="000000"/>
                <w:sz w:val="20"/>
              </w:rPr>
              <w:t>1,935</w:t>
            </w:r>
          </w:p>
        </w:tc>
        <w:tc>
          <w:tcPr>
            <w:tcW w:w="384" w:type="pct"/>
            <w:vAlign w:val="center"/>
          </w:tcPr>
          <w:p w:rsidR="00222FCC" w:rsidRDefault="00FD122A">
            <w:pPr>
              <w:spacing w:before="20" w:after="20"/>
              <w:jc w:val="right"/>
              <w:rPr>
                <w:noProof/>
                <w:sz w:val="20"/>
              </w:rPr>
            </w:pPr>
            <w:r>
              <w:rPr>
                <w:noProof/>
                <w:color w:val="000000"/>
                <w:sz w:val="20"/>
              </w:rPr>
              <w:t>1,590</w:t>
            </w:r>
          </w:p>
        </w:tc>
        <w:tc>
          <w:tcPr>
            <w:tcW w:w="384" w:type="pct"/>
            <w:vAlign w:val="center"/>
          </w:tcPr>
          <w:p w:rsidR="00222FCC" w:rsidRDefault="00FD122A">
            <w:pPr>
              <w:spacing w:before="20" w:after="20"/>
              <w:jc w:val="right"/>
              <w:rPr>
                <w:noProof/>
                <w:sz w:val="20"/>
              </w:rPr>
            </w:pPr>
            <w:r>
              <w:rPr>
                <w:noProof/>
                <w:color w:val="000000"/>
                <w:sz w:val="20"/>
              </w:rPr>
              <w:t>0,300</w:t>
            </w:r>
          </w:p>
        </w:tc>
        <w:tc>
          <w:tcPr>
            <w:tcW w:w="786" w:type="pct"/>
            <w:vAlign w:val="center"/>
          </w:tcPr>
          <w:p w:rsidR="00222FCC" w:rsidRDefault="00FD122A">
            <w:pPr>
              <w:spacing w:before="20" w:after="20"/>
              <w:jc w:val="right"/>
              <w:rPr>
                <w:b/>
                <w:noProof/>
                <w:sz w:val="20"/>
              </w:rPr>
            </w:pPr>
            <w:r>
              <w:rPr>
                <w:b/>
                <w:noProof/>
                <w:color w:val="000000"/>
                <w:sz w:val="20"/>
              </w:rPr>
              <w:t>6,300</w:t>
            </w:r>
          </w:p>
        </w:tc>
      </w:tr>
    </w:tbl>
    <w:p w:rsidR="00222FCC" w:rsidRDefault="00222FCC">
      <w:pPr>
        <w:spacing w:after="40"/>
        <w:rPr>
          <w:b/>
          <w:noProof/>
          <w:sz w:val="22"/>
          <w:u w:val="single"/>
        </w:rPr>
      </w:pPr>
    </w:p>
    <w:p w:rsidR="00222FCC" w:rsidRDefault="00222FCC">
      <w:pPr>
        <w:spacing w:after="40"/>
        <w:rPr>
          <w:b/>
          <w:noProof/>
          <w:sz w:val="22"/>
          <w:u w:val="single"/>
        </w:rPr>
      </w:pPr>
    </w:p>
    <w:p w:rsidR="00222FCC" w:rsidRDefault="00222FCC">
      <w:pPr>
        <w:spacing w:after="40"/>
        <w:rPr>
          <w:b/>
          <w:noProof/>
          <w:sz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rsidR="00222FCC">
        <w:trPr>
          <w:jc w:val="center"/>
        </w:trPr>
        <w:tc>
          <w:tcPr>
            <w:tcW w:w="1739" w:type="pct"/>
            <w:shd w:val="thinDiagStripe" w:color="C0C0C0" w:fill="auto"/>
            <w:vAlign w:val="center"/>
          </w:tcPr>
          <w:p w:rsidR="00222FCC" w:rsidRDefault="00FD122A">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396" w:type="pct"/>
            <w:vAlign w:val="center"/>
          </w:tcPr>
          <w:p w:rsidR="00222FCC" w:rsidRDefault="00FD122A">
            <w:pPr>
              <w:spacing w:before="60" w:after="60"/>
              <w:jc w:val="center"/>
              <w:rPr>
                <w:noProof/>
              </w:rPr>
            </w:pPr>
            <w:r>
              <w:rPr>
                <w:noProof/>
                <w:sz w:val="22"/>
              </w:rPr>
              <w:t>3</w:t>
            </w:r>
          </w:p>
        </w:tc>
        <w:tc>
          <w:tcPr>
            <w:tcW w:w="2865" w:type="pct"/>
            <w:vAlign w:val="center"/>
          </w:tcPr>
          <w:p w:rsidR="00222FCC" w:rsidRDefault="00FD122A">
            <w:pPr>
              <w:spacing w:before="60" w:after="60"/>
              <w:rPr>
                <w:noProof/>
              </w:rPr>
            </w:pPr>
            <w:r>
              <w:rPr>
                <w:noProof/>
              </w:rPr>
              <w:t>Европейски корпус за солидарност</w:t>
            </w:r>
          </w:p>
        </w:tc>
      </w:tr>
    </w:tbl>
    <w:p w:rsidR="00222FCC" w:rsidRDefault="00222FCC">
      <w:pPr>
        <w:spacing w:after="40"/>
        <w:rPr>
          <w:b/>
          <w:noProof/>
          <w:sz w:val="22"/>
          <w:u w:val="single"/>
        </w:rPr>
      </w:pPr>
    </w:p>
    <w:p w:rsidR="00222FCC" w:rsidRDefault="00222FCC">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3"/>
        <w:gridCol w:w="157"/>
        <w:gridCol w:w="701"/>
        <w:gridCol w:w="1136"/>
        <w:gridCol w:w="1136"/>
        <w:gridCol w:w="1136"/>
        <w:gridCol w:w="1136"/>
        <w:gridCol w:w="2322"/>
      </w:tblGrid>
      <w:tr w:rsidR="00222FCC">
        <w:tc>
          <w:tcPr>
            <w:tcW w:w="1752" w:type="pct"/>
            <w:vAlign w:val="center"/>
          </w:tcPr>
          <w:p w:rsidR="00222FCC" w:rsidRDefault="00FD122A">
            <w:pPr>
              <w:jc w:val="center"/>
              <w:rPr>
                <w:noProof/>
              </w:rPr>
            </w:pPr>
            <w:r>
              <w:rPr>
                <w:noProof/>
                <w:sz w:val="22"/>
              </w:rPr>
              <w:t xml:space="preserve">ГД: </w:t>
            </w:r>
            <w:r>
              <w:rPr>
                <w:noProof/>
              </w:rPr>
              <w:t>„Образование и култура“</w:t>
            </w:r>
          </w:p>
        </w:tc>
        <w:tc>
          <w:tcPr>
            <w:tcW w:w="690" w:type="pct"/>
            <w:gridSpan w:val="2"/>
          </w:tcPr>
          <w:p w:rsidR="00222FCC" w:rsidRDefault="00222FCC">
            <w:pPr>
              <w:rPr>
                <w:noProof/>
                <w:sz w:val="20"/>
              </w:rPr>
            </w:pPr>
          </w:p>
        </w:tc>
        <w:tc>
          <w:tcPr>
            <w:tcW w:w="236" w:type="pct"/>
          </w:tcPr>
          <w:p w:rsidR="00222FCC" w:rsidRDefault="00222FCC">
            <w:pPr>
              <w:jc w:val="center"/>
              <w:rPr>
                <w:noProof/>
                <w:sz w:val="20"/>
              </w:rPr>
            </w:pPr>
          </w:p>
        </w:tc>
        <w:tc>
          <w:tcPr>
            <w:tcW w:w="384" w:type="pct"/>
            <w:vAlign w:val="center"/>
          </w:tcPr>
          <w:p w:rsidR="00222FCC" w:rsidRDefault="00FD122A">
            <w:pPr>
              <w:jc w:val="center"/>
              <w:rPr>
                <w:noProof/>
                <w:sz w:val="20"/>
              </w:rPr>
            </w:pPr>
            <w:r>
              <w:rPr>
                <w:noProof/>
                <w:sz w:val="20"/>
              </w:rPr>
              <w:t>ГОДИНА</w:t>
            </w:r>
          </w:p>
          <w:p w:rsidR="00222FCC" w:rsidRDefault="00FD122A">
            <w:pPr>
              <w:jc w:val="center"/>
              <w:rPr>
                <w:b/>
                <w:noProof/>
                <w:sz w:val="20"/>
              </w:rPr>
            </w:pPr>
            <w:r>
              <w:rPr>
                <w:b/>
                <w:noProof/>
              </w:rPr>
              <w:t>2018</w:t>
            </w:r>
          </w:p>
        </w:tc>
        <w:tc>
          <w:tcPr>
            <w:tcW w:w="384" w:type="pct"/>
            <w:vAlign w:val="center"/>
          </w:tcPr>
          <w:p w:rsidR="00222FCC" w:rsidRDefault="00FD122A">
            <w:pPr>
              <w:jc w:val="center"/>
              <w:rPr>
                <w:noProof/>
                <w:sz w:val="20"/>
              </w:rPr>
            </w:pPr>
            <w:r>
              <w:rPr>
                <w:noProof/>
                <w:sz w:val="20"/>
              </w:rPr>
              <w:t>ГОДИНА</w:t>
            </w:r>
          </w:p>
          <w:p w:rsidR="00222FCC" w:rsidRDefault="00FD122A">
            <w:pPr>
              <w:jc w:val="center"/>
              <w:rPr>
                <w:noProof/>
                <w:sz w:val="20"/>
              </w:rPr>
            </w:pPr>
            <w:r>
              <w:rPr>
                <w:b/>
                <w:noProof/>
              </w:rPr>
              <w:t>2019</w:t>
            </w:r>
          </w:p>
        </w:tc>
        <w:tc>
          <w:tcPr>
            <w:tcW w:w="384" w:type="pct"/>
            <w:vAlign w:val="center"/>
          </w:tcPr>
          <w:p w:rsidR="00222FCC" w:rsidRDefault="00FD122A">
            <w:pPr>
              <w:jc w:val="center"/>
              <w:rPr>
                <w:noProof/>
                <w:sz w:val="20"/>
              </w:rPr>
            </w:pPr>
            <w:r>
              <w:rPr>
                <w:noProof/>
                <w:sz w:val="20"/>
              </w:rPr>
              <w:t>ГОДИНА</w:t>
            </w:r>
          </w:p>
          <w:p w:rsidR="00222FCC" w:rsidRDefault="00FD122A">
            <w:pPr>
              <w:jc w:val="center"/>
              <w:rPr>
                <w:noProof/>
                <w:sz w:val="20"/>
              </w:rPr>
            </w:pPr>
            <w:r>
              <w:rPr>
                <w:b/>
                <w:noProof/>
              </w:rPr>
              <w:t>2020</w:t>
            </w:r>
          </w:p>
        </w:tc>
        <w:tc>
          <w:tcPr>
            <w:tcW w:w="384" w:type="pct"/>
            <w:vAlign w:val="center"/>
          </w:tcPr>
          <w:p w:rsidR="00222FCC" w:rsidRDefault="00FD122A">
            <w:pPr>
              <w:jc w:val="center"/>
              <w:rPr>
                <w:noProof/>
                <w:sz w:val="20"/>
              </w:rPr>
            </w:pPr>
            <w:r>
              <w:rPr>
                <w:noProof/>
                <w:sz w:val="16"/>
              </w:rPr>
              <w:t>Следващи години</w:t>
            </w:r>
          </w:p>
        </w:tc>
        <w:tc>
          <w:tcPr>
            <w:tcW w:w="786" w:type="pct"/>
            <w:vAlign w:val="center"/>
          </w:tcPr>
          <w:p w:rsidR="00222FCC" w:rsidRDefault="00FD122A">
            <w:pPr>
              <w:jc w:val="center"/>
              <w:rPr>
                <w:b/>
                <w:noProof/>
                <w:sz w:val="20"/>
              </w:rPr>
            </w:pPr>
            <w:r>
              <w:rPr>
                <w:b/>
                <w:noProof/>
                <w:sz w:val="20"/>
              </w:rPr>
              <w:t>ОБЩО</w:t>
            </w:r>
          </w:p>
        </w:tc>
      </w:tr>
      <w:tr w:rsidR="00222FCC">
        <w:trPr>
          <w:trHeight w:val="213"/>
        </w:trPr>
        <w:tc>
          <w:tcPr>
            <w:tcW w:w="2679" w:type="pct"/>
            <w:gridSpan w:val="4"/>
            <w:vAlign w:val="center"/>
          </w:tcPr>
          <w:p w:rsidR="00222FCC" w:rsidRDefault="00FD122A">
            <w:pPr>
              <w:spacing w:before="20" w:after="20"/>
              <w:rPr>
                <w:noProof/>
                <w:sz w:val="21"/>
              </w:rPr>
            </w:pPr>
            <w:r>
              <w:rPr>
                <w:noProof/>
                <w:sz w:val="21"/>
              </w:rPr>
              <w:sym w:font="Wingdings" w:char="F09F"/>
            </w:r>
            <w:r>
              <w:rPr>
                <w:noProof/>
                <w:sz w:val="21"/>
              </w:rPr>
              <w:t xml:space="preserve"> Бюджетни кредити за оперативни разходи</w:t>
            </w:r>
          </w:p>
        </w:tc>
        <w:tc>
          <w:tcPr>
            <w:tcW w:w="384" w:type="pct"/>
            <w:vAlign w:val="center"/>
          </w:tcPr>
          <w:p w:rsidR="00222FCC" w:rsidRDefault="00222FCC">
            <w:pPr>
              <w:rPr>
                <w:noProof/>
                <w:sz w:val="20"/>
              </w:rPr>
            </w:pPr>
          </w:p>
        </w:tc>
        <w:tc>
          <w:tcPr>
            <w:tcW w:w="384" w:type="pct"/>
            <w:vAlign w:val="center"/>
          </w:tcPr>
          <w:p w:rsidR="00222FCC" w:rsidRDefault="00222FCC">
            <w:pPr>
              <w:rPr>
                <w:noProof/>
                <w:sz w:val="20"/>
              </w:rPr>
            </w:pPr>
          </w:p>
        </w:tc>
        <w:tc>
          <w:tcPr>
            <w:tcW w:w="384" w:type="pct"/>
            <w:vAlign w:val="center"/>
          </w:tcPr>
          <w:p w:rsidR="00222FCC" w:rsidRDefault="00222FCC">
            <w:pPr>
              <w:rPr>
                <w:noProof/>
                <w:sz w:val="20"/>
              </w:rPr>
            </w:pPr>
          </w:p>
        </w:tc>
        <w:tc>
          <w:tcPr>
            <w:tcW w:w="384" w:type="pct"/>
            <w:vAlign w:val="center"/>
          </w:tcPr>
          <w:p w:rsidR="00222FCC" w:rsidRDefault="00222FCC">
            <w:pPr>
              <w:rPr>
                <w:noProof/>
                <w:sz w:val="20"/>
              </w:rPr>
            </w:pPr>
          </w:p>
        </w:tc>
        <w:tc>
          <w:tcPr>
            <w:tcW w:w="786" w:type="pct"/>
            <w:vAlign w:val="center"/>
          </w:tcPr>
          <w:p w:rsidR="00222FCC" w:rsidRDefault="00222FCC">
            <w:pPr>
              <w:rPr>
                <w:b/>
                <w:noProof/>
                <w:sz w:val="20"/>
              </w:rPr>
            </w:pPr>
          </w:p>
        </w:tc>
      </w:tr>
      <w:tr w:rsidR="00222FCC">
        <w:trPr>
          <w:trHeight w:val="277"/>
        </w:trPr>
        <w:tc>
          <w:tcPr>
            <w:tcW w:w="1752" w:type="pct"/>
            <w:vMerge w:val="restart"/>
            <w:vAlign w:val="center"/>
          </w:tcPr>
          <w:p w:rsidR="00222FCC" w:rsidRDefault="00FD122A">
            <w:pPr>
              <w:rPr>
                <w:noProof/>
              </w:rPr>
            </w:pPr>
            <w:r>
              <w:rPr>
                <w:noProof/>
              </w:rPr>
              <w:t>23 03 01 03 — Европейски корпус за солидарност — Вноска от Механизма за гражданска защита на Съюза (МГЗС)</w:t>
            </w:r>
          </w:p>
        </w:tc>
        <w:tc>
          <w:tcPr>
            <w:tcW w:w="637" w:type="pct"/>
            <w:vAlign w:val="center"/>
          </w:tcPr>
          <w:p w:rsidR="00222FCC" w:rsidRDefault="00FD122A">
            <w:pPr>
              <w:spacing w:before="20" w:after="20"/>
              <w:rPr>
                <w:noProof/>
                <w:sz w:val="18"/>
              </w:rPr>
            </w:pPr>
            <w:r>
              <w:rPr>
                <w:noProof/>
                <w:sz w:val="18"/>
              </w:rPr>
              <w:t>Поети задължения</w:t>
            </w:r>
          </w:p>
        </w:tc>
        <w:tc>
          <w:tcPr>
            <w:tcW w:w="289" w:type="pct"/>
            <w:gridSpan w:val="2"/>
            <w:vAlign w:val="center"/>
          </w:tcPr>
          <w:p w:rsidR="00222FCC" w:rsidRDefault="00FD122A">
            <w:pPr>
              <w:spacing w:before="20" w:after="20"/>
              <w:jc w:val="center"/>
              <w:rPr>
                <w:noProof/>
                <w:sz w:val="14"/>
              </w:rPr>
            </w:pPr>
            <w:r>
              <w:rPr>
                <w:noProof/>
                <w:sz w:val="14"/>
              </w:rPr>
              <w:t>(1)</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0,000</w:t>
            </w:r>
          </w:p>
        </w:tc>
        <w:tc>
          <w:tcPr>
            <w:tcW w:w="786" w:type="pct"/>
            <w:vAlign w:val="center"/>
          </w:tcPr>
          <w:p w:rsidR="00222FCC" w:rsidRDefault="00FD122A">
            <w:pPr>
              <w:spacing w:before="20" w:after="20"/>
              <w:jc w:val="right"/>
              <w:rPr>
                <w:b/>
                <w:noProof/>
                <w:sz w:val="20"/>
              </w:rPr>
            </w:pPr>
            <w:r>
              <w:rPr>
                <w:b/>
                <w:noProof/>
                <w:sz w:val="20"/>
              </w:rPr>
              <w:t>6,000</w:t>
            </w:r>
          </w:p>
        </w:tc>
      </w:tr>
      <w:tr w:rsidR="00222FCC">
        <w:tc>
          <w:tcPr>
            <w:tcW w:w="1752" w:type="pct"/>
            <w:vMerge/>
          </w:tcPr>
          <w:p w:rsidR="00222FCC" w:rsidRDefault="00222FCC">
            <w:pPr>
              <w:jc w:val="center"/>
              <w:rPr>
                <w:noProof/>
                <w:sz w:val="20"/>
              </w:rPr>
            </w:pPr>
          </w:p>
        </w:tc>
        <w:tc>
          <w:tcPr>
            <w:tcW w:w="637" w:type="pct"/>
            <w:vAlign w:val="center"/>
          </w:tcPr>
          <w:p w:rsidR="00222FCC" w:rsidRDefault="00FD122A">
            <w:pPr>
              <w:spacing w:before="20" w:after="20"/>
              <w:rPr>
                <w:noProof/>
                <w:sz w:val="18"/>
              </w:rPr>
            </w:pPr>
            <w:r>
              <w:rPr>
                <w:noProof/>
                <w:sz w:val="18"/>
              </w:rPr>
              <w:t>Плащания</w:t>
            </w:r>
          </w:p>
        </w:tc>
        <w:tc>
          <w:tcPr>
            <w:tcW w:w="289" w:type="pct"/>
            <w:gridSpan w:val="2"/>
            <w:vAlign w:val="center"/>
          </w:tcPr>
          <w:p w:rsidR="00222FCC" w:rsidRDefault="00FD122A">
            <w:pPr>
              <w:spacing w:before="20" w:after="20"/>
              <w:jc w:val="center"/>
              <w:rPr>
                <w:noProof/>
                <w:sz w:val="14"/>
              </w:rPr>
            </w:pPr>
            <w:r>
              <w:rPr>
                <w:noProof/>
                <w:sz w:val="14"/>
              </w:rPr>
              <w:t>(2)</w:t>
            </w:r>
          </w:p>
        </w:tc>
        <w:tc>
          <w:tcPr>
            <w:tcW w:w="384" w:type="pct"/>
            <w:vAlign w:val="center"/>
          </w:tcPr>
          <w:p w:rsidR="00222FCC" w:rsidRDefault="00FD122A">
            <w:pPr>
              <w:spacing w:before="20" w:after="20"/>
              <w:jc w:val="right"/>
              <w:rPr>
                <w:noProof/>
                <w:sz w:val="20"/>
              </w:rPr>
            </w:pPr>
            <w:r>
              <w:rPr>
                <w:noProof/>
                <w:sz w:val="20"/>
              </w:rPr>
              <w:t>1,500</w:t>
            </w:r>
          </w:p>
        </w:tc>
        <w:tc>
          <w:tcPr>
            <w:tcW w:w="384" w:type="pct"/>
            <w:vAlign w:val="center"/>
          </w:tcPr>
          <w:p w:rsidR="00222FCC" w:rsidRDefault="00FD122A">
            <w:pPr>
              <w:spacing w:before="20" w:after="20"/>
              <w:jc w:val="right"/>
              <w:rPr>
                <w:noProof/>
                <w:sz w:val="20"/>
              </w:rPr>
            </w:pPr>
            <w:r>
              <w:rPr>
                <w:noProof/>
                <w:sz w:val="20"/>
              </w:rPr>
              <w:t>2,100</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0,400</w:t>
            </w:r>
          </w:p>
        </w:tc>
        <w:tc>
          <w:tcPr>
            <w:tcW w:w="786" w:type="pct"/>
            <w:vAlign w:val="center"/>
          </w:tcPr>
          <w:p w:rsidR="00222FCC" w:rsidRDefault="00FD122A">
            <w:pPr>
              <w:spacing w:before="20" w:after="20"/>
              <w:jc w:val="right"/>
              <w:rPr>
                <w:b/>
                <w:noProof/>
                <w:sz w:val="20"/>
              </w:rPr>
            </w:pPr>
            <w:r>
              <w:rPr>
                <w:b/>
                <w:noProof/>
                <w:sz w:val="20"/>
              </w:rPr>
              <w:t>6,000</w:t>
            </w:r>
          </w:p>
        </w:tc>
      </w:tr>
      <w:tr w:rsidR="00222FCC">
        <w:trPr>
          <w:trHeight w:val="231"/>
        </w:trPr>
        <w:tc>
          <w:tcPr>
            <w:tcW w:w="2679" w:type="pct"/>
            <w:gridSpan w:val="4"/>
            <w:vAlign w:val="center"/>
          </w:tcPr>
          <w:p w:rsidR="00222FCC" w:rsidRDefault="00FD122A">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42"/>
            </w:r>
            <w:r>
              <w:rPr>
                <w:noProof/>
                <w:sz w:val="21"/>
              </w:rPr>
              <w:t xml:space="preserve"> </w:t>
            </w:r>
          </w:p>
          <w:p w:rsidR="00222FCC" w:rsidRDefault="00222FCC">
            <w:pPr>
              <w:spacing w:before="0" w:after="0"/>
              <w:rPr>
                <w:noProof/>
              </w:rPr>
            </w:pPr>
          </w:p>
        </w:tc>
        <w:tc>
          <w:tcPr>
            <w:tcW w:w="384" w:type="pct"/>
            <w:vAlign w:val="center"/>
          </w:tcPr>
          <w:p w:rsidR="00222FCC" w:rsidRDefault="00222FCC">
            <w:pPr>
              <w:rPr>
                <w:b/>
                <w:noProof/>
                <w:sz w:val="20"/>
              </w:rPr>
            </w:pPr>
          </w:p>
        </w:tc>
        <w:tc>
          <w:tcPr>
            <w:tcW w:w="384" w:type="pct"/>
            <w:vAlign w:val="center"/>
          </w:tcPr>
          <w:p w:rsidR="00222FCC" w:rsidRDefault="00222FCC">
            <w:pPr>
              <w:rPr>
                <w:b/>
                <w:noProof/>
                <w:sz w:val="20"/>
              </w:rPr>
            </w:pPr>
          </w:p>
        </w:tc>
        <w:tc>
          <w:tcPr>
            <w:tcW w:w="384" w:type="pct"/>
            <w:vAlign w:val="center"/>
          </w:tcPr>
          <w:p w:rsidR="00222FCC" w:rsidRDefault="00222FCC">
            <w:pPr>
              <w:rPr>
                <w:b/>
                <w:noProof/>
                <w:sz w:val="20"/>
              </w:rPr>
            </w:pPr>
          </w:p>
        </w:tc>
        <w:tc>
          <w:tcPr>
            <w:tcW w:w="384" w:type="pct"/>
            <w:vAlign w:val="center"/>
          </w:tcPr>
          <w:p w:rsidR="00222FCC" w:rsidRDefault="00222FCC">
            <w:pPr>
              <w:rPr>
                <w:b/>
                <w:noProof/>
                <w:sz w:val="20"/>
              </w:rPr>
            </w:pPr>
          </w:p>
        </w:tc>
        <w:tc>
          <w:tcPr>
            <w:tcW w:w="786" w:type="pct"/>
            <w:vAlign w:val="center"/>
          </w:tcPr>
          <w:p w:rsidR="00222FCC" w:rsidRDefault="00222FCC">
            <w:pPr>
              <w:rPr>
                <w:b/>
                <w:noProof/>
                <w:sz w:val="20"/>
              </w:rPr>
            </w:pPr>
          </w:p>
        </w:tc>
      </w:tr>
      <w:tr w:rsidR="00222FCC">
        <w:trPr>
          <w:trHeight w:val="319"/>
        </w:trPr>
        <w:tc>
          <w:tcPr>
            <w:tcW w:w="1752" w:type="pct"/>
            <w:vAlign w:val="center"/>
          </w:tcPr>
          <w:p w:rsidR="00222FCC" w:rsidRDefault="00222FCC">
            <w:pPr>
              <w:spacing w:before="60" w:after="60"/>
              <w:rPr>
                <w:noProof/>
              </w:rPr>
            </w:pPr>
          </w:p>
        </w:tc>
        <w:tc>
          <w:tcPr>
            <w:tcW w:w="637" w:type="pct"/>
            <w:vAlign w:val="center"/>
          </w:tcPr>
          <w:p w:rsidR="00222FCC" w:rsidRDefault="00222FCC">
            <w:pPr>
              <w:spacing w:before="40" w:after="40"/>
              <w:jc w:val="right"/>
              <w:rPr>
                <w:noProof/>
                <w:sz w:val="18"/>
              </w:rPr>
            </w:pPr>
          </w:p>
        </w:tc>
        <w:tc>
          <w:tcPr>
            <w:tcW w:w="289" w:type="pct"/>
            <w:gridSpan w:val="2"/>
            <w:vAlign w:val="center"/>
          </w:tcPr>
          <w:p w:rsidR="00222FCC" w:rsidRDefault="00FD122A">
            <w:pPr>
              <w:spacing w:before="40" w:after="40"/>
              <w:jc w:val="center"/>
              <w:rPr>
                <w:noProof/>
                <w:sz w:val="14"/>
              </w:rPr>
            </w:pPr>
            <w:r>
              <w:rPr>
                <w:noProof/>
                <w:sz w:val="14"/>
              </w:rPr>
              <w:t>(3)</w:t>
            </w:r>
          </w:p>
        </w:tc>
        <w:tc>
          <w:tcPr>
            <w:tcW w:w="384" w:type="pct"/>
            <w:vAlign w:val="center"/>
          </w:tcPr>
          <w:p w:rsidR="00222FCC" w:rsidRDefault="00222FCC">
            <w:pPr>
              <w:spacing w:before="40" w:after="40"/>
              <w:jc w:val="right"/>
              <w:rPr>
                <w:b/>
                <w:noProof/>
                <w:sz w:val="20"/>
              </w:rPr>
            </w:pPr>
          </w:p>
        </w:tc>
        <w:tc>
          <w:tcPr>
            <w:tcW w:w="384" w:type="pct"/>
            <w:vAlign w:val="center"/>
          </w:tcPr>
          <w:p w:rsidR="00222FCC" w:rsidRDefault="00222FCC">
            <w:pPr>
              <w:spacing w:before="40" w:after="40"/>
              <w:jc w:val="right"/>
              <w:rPr>
                <w:b/>
                <w:noProof/>
                <w:sz w:val="20"/>
              </w:rPr>
            </w:pPr>
          </w:p>
        </w:tc>
        <w:tc>
          <w:tcPr>
            <w:tcW w:w="384" w:type="pct"/>
            <w:vAlign w:val="center"/>
          </w:tcPr>
          <w:p w:rsidR="00222FCC" w:rsidRDefault="00222FCC">
            <w:pPr>
              <w:spacing w:before="40" w:after="40"/>
              <w:jc w:val="right"/>
              <w:rPr>
                <w:b/>
                <w:noProof/>
                <w:sz w:val="20"/>
              </w:rPr>
            </w:pPr>
          </w:p>
        </w:tc>
        <w:tc>
          <w:tcPr>
            <w:tcW w:w="384" w:type="pct"/>
            <w:vAlign w:val="center"/>
          </w:tcPr>
          <w:p w:rsidR="00222FCC" w:rsidRDefault="00222FCC">
            <w:pPr>
              <w:spacing w:before="40" w:after="40"/>
              <w:jc w:val="right"/>
              <w:rPr>
                <w:b/>
                <w:noProof/>
                <w:sz w:val="20"/>
              </w:rPr>
            </w:pPr>
          </w:p>
        </w:tc>
        <w:tc>
          <w:tcPr>
            <w:tcW w:w="786" w:type="pct"/>
            <w:vAlign w:val="center"/>
          </w:tcPr>
          <w:p w:rsidR="00222FCC" w:rsidRDefault="00222FCC">
            <w:pPr>
              <w:spacing w:before="40" w:after="40"/>
              <w:jc w:val="right"/>
              <w:rPr>
                <w:b/>
                <w:noProof/>
                <w:sz w:val="20"/>
              </w:rPr>
            </w:pPr>
          </w:p>
        </w:tc>
      </w:tr>
      <w:tr w:rsidR="00222FCC">
        <w:tc>
          <w:tcPr>
            <w:tcW w:w="1752" w:type="pct"/>
            <w:vMerge w:val="restart"/>
            <w:vAlign w:val="center"/>
          </w:tcPr>
          <w:p w:rsidR="00222FCC" w:rsidRDefault="00FD122A">
            <w:pPr>
              <w:jc w:val="center"/>
              <w:rPr>
                <w:b/>
                <w:noProof/>
              </w:rPr>
            </w:pPr>
            <w:r>
              <w:rPr>
                <w:b/>
                <w:noProof/>
                <w:sz w:val="22"/>
              </w:rPr>
              <w:t xml:space="preserve">ОБЩО бюджетни кредитиза ГД </w:t>
            </w:r>
            <w:r>
              <w:rPr>
                <w:noProof/>
              </w:rPr>
              <w:t>„Образование и култура“</w:t>
            </w:r>
          </w:p>
        </w:tc>
        <w:tc>
          <w:tcPr>
            <w:tcW w:w="637" w:type="pct"/>
            <w:vAlign w:val="center"/>
          </w:tcPr>
          <w:p w:rsidR="00222FCC" w:rsidRDefault="00FD122A">
            <w:pPr>
              <w:rPr>
                <w:noProof/>
                <w:sz w:val="18"/>
              </w:rPr>
            </w:pPr>
            <w:r>
              <w:rPr>
                <w:noProof/>
                <w:sz w:val="18"/>
              </w:rPr>
              <w:t>Поети задължения</w:t>
            </w:r>
          </w:p>
        </w:tc>
        <w:tc>
          <w:tcPr>
            <w:tcW w:w="289" w:type="pct"/>
            <w:gridSpan w:val="2"/>
            <w:vAlign w:val="center"/>
          </w:tcPr>
          <w:p w:rsidR="00222FCC" w:rsidRDefault="00FD122A">
            <w:pPr>
              <w:jc w:val="center"/>
              <w:rPr>
                <w:noProof/>
                <w:sz w:val="14"/>
              </w:rPr>
            </w:pPr>
            <w:r>
              <w:rPr>
                <w:noProof/>
                <w:sz w:val="14"/>
              </w:rPr>
              <w:t>=1+1а +3</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0,000</w:t>
            </w:r>
          </w:p>
        </w:tc>
        <w:tc>
          <w:tcPr>
            <w:tcW w:w="786" w:type="pct"/>
            <w:vAlign w:val="center"/>
          </w:tcPr>
          <w:p w:rsidR="00222FCC" w:rsidRDefault="00FD122A">
            <w:pPr>
              <w:spacing w:before="20" w:after="20"/>
              <w:jc w:val="right"/>
              <w:rPr>
                <w:b/>
                <w:noProof/>
                <w:sz w:val="20"/>
              </w:rPr>
            </w:pPr>
            <w:r>
              <w:rPr>
                <w:b/>
                <w:noProof/>
                <w:sz w:val="20"/>
              </w:rPr>
              <w:t>6,000</w:t>
            </w:r>
          </w:p>
        </w:tc>
      </w:tr>
      <w:tr w:rsidR="00222FCC">
        <w:tc>
          <w:tcPr>
            <w:tcW w:w="1752" w:type="pct"/>
            <w:vMerge/>
          </w:tcPr>
          <w:p w:rsidR="00222FCC" w:rsidRDefault="00222FCC">
            <w:pPr>
              <w:rPr>
                <w:noProof/>
                <w:sz w:val="20"/>
              </w:rPr>
            </w:pPr>
          </w:p>
        </w:tc>
        <w:tc>
          <w:tcPr>
            <w:tcW w:w="637" w:type="pct"/>
            <w:vAlign w:val="center"/>
          </w:tcPr>
          <w:p w:rsidR="00222FCC" w:rsidRDefault="00FD122A">
            <w:pPr>
              <w:rPr>
                <w:noProof/>
                <w:sz w:val="18"/>
              </w:rPr>
            </w:pPr>
            <w:r>
              <w:rPr>
                <w:noProof/>
                <w:sz w:val="18"/>
              </w:rPr>
              <w:t>Плащания</w:t>
            </w:r>
          </w:p>
        </w:tc>
        <w:tc>
          <w:tcPr>
            <w:tcW w:w="289" w:type="pct"/>
            <w:gridSpan w:val="2"/>
            <w:vAlign w:val="center"/>
          </w:tcPr>
          <w:p w:rsidR="00222FCC" w:rsidRDefault="00FD122A">
            <w:pPr>
              <w:jc w:val="center"/>
              <w:rPr>
                <w:noProof/>
                <w:sz w:val="14"/>
              </w:rPr>
            </w:pPr>
            <w:r>
              <w:rPr>
                <w:noProof/>
                <w:sz w:val="14"/>
              </w:rPr>
              <w:t>=2+2а</w:t>
            </w:r>
          </w:p>
          <w:p w:rsidR="00222FCC" w:rsidRDefault="00FD122A">
            <w:pPr>
              <w:jc w:val="center"/>
              <w:rPr>
                <w:noProof/>
                <w:sz w:val="14"/>
              </w:rPr>
            </w:pPr>
            <w:r>
              <w:rPr>
                <w:noProof/>
                <w:sz w:val="14"/>
              </w:rPr>
              <w:t>+3</w:t>
            </w:r>
          </w:p>
        </w:tc>
        <w:tc>
          <w:tcPr>
            <w:tcW w:w="384" w:type="pct"/>
            <w:vAlign w:val="center"/>
          </w:tcPr>
          <w:p w:rsidR="00222FCC" w:rsidRDefault="00FD122A">
            <w:pPr>
              <w:spacing w:before="20" w:after="20"/>
              <w:jc w:val="right"/>
              <w:rPr>
                <w:noProof/>
                <w:sz w:val="20"/>
              </w:rPr>
            </w:pPr>
            <w:r>
              <w:rPr>
                <w:noProof/>
                <w:sz w:val="20"/>
              </w:rPr>
              <w:t>1,500</w:t>
            </w:r>
          </w:p>
        </w:tc>
        <w:tc>
          <w:tcPr>
            <w:tcW w:w="384" w:type="pct"/>
            <w:vAlign w:val="center"/>
          </w:tcPr>
          <w:p w:rsidR="00222FCC" w:rsidRDefault="00FD122A">
            <w:pPr>
              <w:spacing w:before="20" w:after="20"/>
              <w:jc w:val="right"/>
              <w:rPr>
                <w:noProof/>
                <w:sz w:val="20"/>
              </w:rPr>
            </w:pPr>
            <w:r>
              <w:rPr>
                <w:noProof/>
                <w:sz w:val="20"/>
              </w:rPr>
              <w:t>2,100</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0,400</w:t>
            </w:r>
          </w:p>
        </w:tc>
        <w:tc>
          <w:tcPr>
            <w:tcW w:w="786" w:type="pct"/>
            <w:vAlign w:val="center"/>
          </w:tcPr>
          <w:p w:rsidR="00222FCC" w:rsidRDefault="00FD122A">
            <w:pPr>
              <w:spacing w:before="20" w:after="20"/>
              <w:jc w:val="right"/>
              <w:rPr>
                <w:b/>
                <w:noProof/>
                <w:sz w:val="20"/>
              </w:rPr>
            </w:pPr>
            <w:r>
              <w:rPr>
                <w:b/>
                <w:noProof/>
                <w:sz w:val="20"/>
              </w:rPr>
              <w:t>6,000</w:t>
            </w:r>
          </w:p>
        </w:tc>
      </w:tr>
    </w:tbl>
    <w:p w:rsidR="00222FCC" w:rsidRDefault="00222FCC">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rsidR="00222FCC">
        <w:trPr>
          <w:trHeight w:val="277"/>
        </w:trPr>
        <w:tc>
          <w:tcPr>
            <w:tcW w:w="1752" w:type="pct"/>
            <w:vMerge w:val="restart"/>
            <w:vAlign w:val="center"/>
          </w:tcPr>
          <w:p w:rsidR="00222FCC" w:rsidRDefault="00FD122A">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H3</w:t>
            </w:r>
          </w:p>
        </w:tc>
        <w:tc>
          <w:tcPr>
            <w:tcW w:w="637" w:type="pct"/>
            <w:vAlign w:val="center"/>
          </w:tcPr>
          <w:p w:rsidR="00222FCC" w:rsidRDefault="00FD122A">
            <w:pPr>
              <w:spacing w:beforeLines="20" w:before="48" w:afterLines="20" w:after="48"/>
              <w:rPr>
                <w:noProof/>
                <w:sz w:val="18"/>
              </w:rPr>
            </w:pPr>
            <w:r>
              <w:rPr>
                <w:noProof/>
                <w:sz w:val="18"/>
              </w:rPr>
              <w:t>Поети задължения</w:t>
            </w:r>
          </w:p>
        </w:tc>
        <w:tc>
          <w:tcPr>
            <w:tcW w:w="289" w:type="pct"/>
            <w:vAlign w:val="center"/>
          </w:tcPr>
          <w:p w:rsidR="00222FCC" w:rsidRDefault="00FD122A">
            <w:pPr>
              <w:spacing w:beforeLines="20" w:before="48" w:afterLines="20" w:after="48"/>
              <w:jc w:val="center"/>
              <w:rPr>
                <w:noProof/>
                <w:sz w:val="14"/>
              </w:rPr>
            </w:pPr>
            <w:r>
              <w:rPr>
                <w:noProof/>
                <w:sz w:val="14"/>
              </w:rPr>
              <w:t>(4)</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0,000</w:t>
            </w:r>
          </w:p>
        </w:tc>
        <w:tc>
          <w:tcPr>
            <w:tcW w:w="786" w:type="pct"/>
            <w:vAlign w:val="center"/>
          </w:tcPr>
          <w:p w:rsidR="00222FCC" w:rsidRDefault="00FD122A">
            <w:pPr>
              <w:spacing w:before="20" w:after="20"/>
              <w:jc w:val="right"/>
              <w:rPr>
                <w:b/>
                <w:noProof/>
                <w:sz w:val="20"/>
              </w:rPr>
            </w:pPr>
            <w:r>
              <w:rPr>
                <w:b/>
                <w:noProof/>
                <w:sz w:val="20"/>
              </w:rPr>
              <w:t>6,000</w:t>
            </w:r>
          </w:p>
        </w:tc>
      </w:tr>
      <w:tr w:rsidR="00222FCC">
        <w:tc>
          <w:tcPr>
            <w:tcW w:w="1752" w:type="pct"/>
            <w:vMerge/>
          </w:tcPr>
          <w:p w:rsidR="00222FCC" w:rsidRDefault="00222FCC">
            <w:pPr>
              <w:jc w:val="center"/>
              <w:rPr>
                <w:noProof/>
                <w:sz w:val="20"/>
              </w:rPr>
            </w:pPr>
          </w:p>
        </w:tc>
        <w:tc>
          <w:tcPr>
            <w:tcW w:w="637" w:type="pct"/>
            <w:vAlign w:val="center"/>
          </w:tcPr>
          <w:p w:rsidR="00222FCC" w:rsidRDefault="00FD122A">
            <w:pPr>
              <w:spacing w:beforeLines="20" w:before="48" w:afterLines="20" w:after="48"/>
              <w:rPr>
                <w:noProof/>
                <w:sz w:val="18"/>
              </w:rPr>
            </w:pPr>
            <w:r>
              <w:rPr>
                <w:noProof/>
                <w:sz w:val="18"/>
              </w:rPr>
              <w:t>Плащания</w:t>
            </w:r>
          </w:p>
        </w:tc>
        <w:tc>
          <w:tcPr>
            <w:tcW w:w="289" w:type="pct"/>
            <w:vAlign w:val="center"/>
          </w:tcPr>
          <w:p w:rsidR="00222FCC" w:rsidRDefault="00FD122A">
            <w:pPr>
              <w:spacing w:beforeLines="20" w:before="48" w:afterLines="20" w:after="48"/>
              <w:jc w:val="center"/>
              <w:rPr>
                <w:noProof/>
                <w:sz w:val="14"/>
              </w:rPr>
            </w:pPr>
            <w:r>
              <w:rPr>
                <w:noProof/>
                <w:sz w:val="14"/>
              </w:rPr>
              <w:t>(5)</w:t>
            </w:r>
          </w:p>
        </w:tc>
        <w:tc>
          <w:tcPr>
            <w:tcW w:w="384" w:type="pct"/>
            <w:vAlign w:val="center"/>
          </w:tcPr>
          <w:p w:rsidR="00222FCC" w:rsidRDefault="00FD122A">
            <w:pPr>
              <w:spacing w:before="20" w:after="20"/>
              <w:jc w:val="right"/>
              <w:rPr>
                <w:noProof/>
                <w:sz w:val="20"/>
              </w:rPr>
            </w:pPr>
            <w:r>
              <w:rPr>
                <w:noProof/>
                <w:sz w:val="20"/>
              </w:rPr>
              <w:t>1,500</w:t>
            </w:r>
          </w:p>
        </w:tc>
        <w:tc>
          <w:tcPr>
            <w:tcW w:w="384" w:type="pct"/>
            <w:vAlign w:val="center"/>
          </w:tcPr>
          <w:p w:rsidR="00222FCC" w:rsidRDefault="00FD122A">
            <w:pPr>
              <w:spacing w:before="20" w:after="20"/>
              <w:jc w:val="right"/>
              <w:rPr>
                <w:noProof/>
                <w:sz w:val="20"/>
              </w:rPr>
            </w:pPr>
            <w:r>
              <w:rPr>
                <w:noProof/>
                <w:sz w:val="20"/>
              </w:rPr>
              <w:t>2,100</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0,400</w:t>
            </w:r>
          </w:p>
        </w:tc>
        <w:tc>
          <w:tcPr>
            <w:tcW w:w="786" w:type="pct"/>
            <w:vAlign w:val="center"/>
          </w:tcPr>
          <w:p w:rsidR="00222FCC" w:rsidRDefault="00FD122A">
            <w:pPr>
              <w:spacing w:before="20" w:after="20"/>
              <w:jc w:val="right"/>
              <w:rPr>
                <w:b/>
                <w:noProof/>
                <w:sz w:val="20"/>
              </w:rPr>
            </w:pPr>
            <w:r>
              <w:rPr>
                <w:b/>
                <w:noProof/>
                <w:sz w:val="20"/>
              </w:rPr>
              <w:t>6,000</w:t>
            </w:r>
          </w:p>
        </w:tc>
      </w:tr>
      <w:tr w:rsidR="00222FCC">
        <w:trPr>
          <w:trHeight w:val="533"/>
        </w:trPr>
        <w:tc>
          <w:tcPr>
            <w:tcW w:w="2390" w:type="pct"/>
            <w:gridSpan w:val="2"/>
            <w:vAlign w:val="center"/>
          </w:tcPr>
          <w:p w:rsidR="00222FCC" w:rsidRDefault="00FD122A">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289" w:type="pct"/>
            <w:vAlign w:val="center"/>
          </w:tcPr>
          <w:p w:rsidR="00222FCC" w:rsidRDefault="00FD122A">
            <w:pPr>
              <w:spacing w:beforeLines="20" w:before="48" w:afterLines="20" w:after="48"/>
              <w:jc w:val="center"/>
              <w:rPr>
                <w:noProof/>
                <w:sz w:val="14"/>
              </w:rPr>
            </w:pPr>
            <w:r>
              <w:rPr>
                <w:noProof/>
                <w:sz w:val="14"/>
              </w:rPr>
              <w:t>(6)</w:t>
            </w:r>
          </w:p>
        </w:tc>
        <w:tc>
          <w:tcPr>
            <w:tcW w:w="384" w:type="pct"/>
            <w:vAlign w:val="center"/>
          </w:tcPr>
          <w:p w:rsidR="00222FCC" w:rsidRDefault="00222FCC">
            <w:pPr>
              <w:spacing w:before="20" w:after="20"/>
              <w:jc w:val="right"/>
              <w:rPr>
                <w:b/>
                <w:noProof/>
                <w:sz w:val="20"/>
              </w:rPr>
            </w:pPr>
          </w:p>
        </w:tc>
        <w:tc>
          <w:tcPr>
            <w:tcW w:w="384" w:type="pct"/>
            <w:vAlign w:val="center"/>
          </w:tcPr>
          <w:p w:rsidR="00222FCC" w:rsidRDefault="00222FCC">
            <w:pPr>
              <w:spacing w:before="20" w:after="20"/>
              <w:jc w:val="right"/>
              <w:rPr>
                <w:b/>
                <w:noProof/>
                <w:sz w:val="20"/>
              </w:rPr>
            </w:pPr>
          </w:p>
        </w:tc>
        <w:tc>
          <w:tcPr>
            <w:tcW w:w="384" w:type="pct"/>
            <w:vAlign w:val="center"/>
          </w:tcPr>
          <w:p w:rsidR="00222FCC" w:rsidRDefault="00222FCC">
            <w:pPr>
              <w:spacing w:before="20" w:after="20"/>
              <w:jc w:val="right"/>
              <w:rPr>
                <w:b/>
                <w:noProof/>
                <w:sz w:val="20"/>
              </w:rPr>
            </w:pPr>
          </w:p>
        </w:tc>
        <w:tc>
          <w:tcPr>
            <w:tcW w:w="384" w:type="pct"/>
            <w:vAlign w:val="center"/>
          </w:tcPr>
          <w:p w:rsidR="00222FCC" w:rsidRDefault="00222FCC">
            <w:pPr>
              <w:spacing w:before="20" w:after="20"/>
              <w:jc w:val="right"/>
              <w:rPr>
                <w:b/>
                <w:noProof/>
                <w:sz w:val="20"/>
              </w:rPr>
            </w:pPr>
          </w:p>
        </w:tc>
        <w:tc>
          <w:tcPr>
            <w:tcW w:w="786" w:type="pct"/>
            <w:vAlign w:val="center"/>
          </w:tcPr>
          <w:p w:rsidR="00222FCC" w:rsidRDefault="00222FCC">
            <w:pPr>
              <w:spacing w:before="20" w:after="20"/>
              <w:jc w:val="right"/>
              <w:rPr>
                <w:b/>
                <w:noProof/>
                <w:sz w:val="20"/>
              </w:rPr>
            </w:pPr>
          </w:p>
        </w:tc>
      </w:tr>
      <w:tr w:rsidR="00222FCC">
        <w:tc>
          <w:tcPr>
            <w:tcW w:w="1752" w:type="pct"/>
            <w:vMerge w:val="restart"/>
            <w:shd w:val="thinDiagStripe" w:color="C0C0C0" w:fill="auto"/>
            <w:vAlign w:val="center"/>
          </w:tcPr>
          <w:p w:rsidR="00222FCC" w:rsidRDefault="00FD122A">
            <w:pPr>
              <w:jc w:val="center"/>
              <w:rPr>
                <w:b/>
                <w:noProof/>
                <w:sz w:val="22"/>
              </w:rPr>
            </w:pPr>
            <w:r>
              <w:rPr>
                <w:b/>
                <w:noProof/>
                <w:sz w:val="22"/>
              </w:rPr>
              <w:t xml:space="preserve">ОБЩО бюджетни кредити </w:t>
            </w:r>
            <w:r>
              <w:rPr>
                <w:noProof/>
                <w:sz w:val="22"/>
              </w:rPr>
              <w:br/>
            </w:r>
            <w:r>
              <w:rPr>
                <w:b/>
                <w:noProof/>
                <w:sz w:val="22"/>
              </w:rPr>
              <w:t>за ФУНКЦИЯ 3</w:t>
            </w:r>
          </w:p>
          <w:p w:rsidR="00222FCC" w:rsidRDefault="00FD122A">
            <w:pPr>
              <w:jc w:val="center"/>
              <w:rPr>
                <w:b/>
                <w:noProof/>
              </w:rPr>
            </w:pPr>
            <w:r>
              <w:rPr>
                <w:noProof/>
                <w:sz w:val="22"/>
              </w:rPr>
              <w:t>от многогодишната финансова рамка</w:t>
            </w:r>
          </w:p>
        </w:tc>
        <w:tc>
          <w:tcPr>
            <w:tcW w:w="637" w:type="pct"/>
            <w:vAlign w:val="center"/>
          </w:tcPr>
          <w:p w:rsidR="00222FCC" w:rsidRDefault="00FD122A">
            <w:pPr>
              <w:rPr>
                <w:noProof/>
                <w:sz w:val="18"/>
              </w:rPr>
            </w:pPr>
            <w:r>
              <w:rPr>
                <w:noProof/>
                <w:sz w:val="18"/>
              </w:rPr>
              <w:t>Поети задължения</w:t>
            </w:r>
          </w:p>
        </w:tc>
        <w:tc>
          <w:tcPr>
            <w:tcW w:w="289" w:type="pct"/>
            <w:vAlign w:val="center"/>
          </w:tcPr>
          <w:p w:rsidR="00222FCC" w:rsidRDefault="00FD122A">
            <w:pPr>
              <w:jc w:val="center"/>
              <w:rPr>
                <w:noProof/>
                <w:sz w:val="14"/>
              </w:rPr>
            </w:pPr>
            <w:r>
              <w:rPr>
                <w:noProof/>
                <w:sz w:val="14"/>
              </w:rPr>
              <w:t>=4+ 6</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0,000</w:t>
            </w:r>
          </w:p>
        </w:tc>
        <w:tc>
          <w:tcPr>
            <w:tcW w:w="786" w:type="pct"/>
            <w:vAlign w:val="center"/>
          </w:tcPr>
          <w:p w:rsidR="00222FCC" w:rsidRDefault="00FD122A">
            <w:pPr>
              <w:spacing w:before="20" w:after="20"/>
              <w:jc w:val="right"/>
              <w:rPr>
                <w:b/>
                <w:noProof/>
                <w:sz w:val="20"/>
              </w:rPr>
            </w:pPr>
            <w:r>
              <w:rPr>
                <w:b/>
                <w:noProof/>
                <w:sz w:val="20"/>
              </w:rPr>
              <w:t>6,000</w:t>
            </w:r>
          </w:p>
        </w:tc>
      </w:tr>
      <w:tr w:rsidR="00222FCC">
        <w:tc>
          <w:tcPr>
            <w:tcW w:w="1752" w:type="pct"/>
            <w:vMerge/>
            <w:shd w:val="thinDiagStripe" w:color="C0C0C0" w:fill="auto"/>
          </w:tcPr>
          <w:p w:rsidR="00222FCC" w:rsidRDefault="00222FCC">
            <w:pPr>
              <w:rPr>
                <w:noProof/>
                <w:sz w:val="20"/>
              </w:rPr>
            </w:pPr>
          </w:p>
        </w:tc>
        <w:tc>
          <w:tcPr>
            <w:tcW w:w="637" w:type="pct"/>
            <w:vAlign w:val="center"/>
          </w:tcPr>
          <w:p w:rsidR="00222FCC" w:rsidRDefault="00FD122A">
            <w:pPr>
              <w:rPr>
                <w:noProof/>
                <w:sz w:val="18"/>
              </w:rPr>
            </w:pPr>
            <w:r>
              <w:rPr>
                <w:noProof/>
                <w:sz w:val="18"/>
              </w:rPr>
              <w:t>Плащания</w:t>
            </w:r>
          </w:p>
        </w:tc>
        <w:tc>
          <w:tcPr>
            <w:tcW w:w="289" w:type="pct"/>
            <w:vAlign w:val="center"/>
          </w:tcPr>
          <w:p w:rsidR="00222FCC" w:rsidRDefault="00FD122A">
            <w:pPr>
              <w:jc w:val="center"/>
              <w:rPr>
                <w:noProof/>
                <w:sz w:val="14"/>
              </w:rPr>
            </w:pPr>
            <w:r>
              <w:rPr>
                <w:noProof/>
                <w:sz w:val="14"/>
              </w:rPr>
              <w:t>=5+ 6</w:t>
            </w:r>
          </w:p>
        </w:tc>
        <w:tc>
          <w:tcPr>
            <w:tcW w:w="384" w:type="pct"/>
            <w:vAlign w:val="center"/>
          </w:tcPr>
          <w:p w:rsidR="00222FCC" w:rsidRDefault="00FD122A">
            <w:pPr>
              <w:spacing w:before="20" w:after="20"/>
              <w:jc w:val="right"/>
              <w:rPr>
                <w:noProof/>
                <w:sz w:val="20"/>
              </w:rPr>
            </w:pPr>
            <w:r>
              <w:rPr>
                <w:noProof/>
                <w:sz w:val="20"/>
              </w:rPr>
              <w:t>1,500</w:t>
            </w:r>
          </w:p>
        </w:tc>
        <w:tc>
          <w:tcPr>
            <w:tcW w:w="384" w:type="pct"/>
            <w:vAlign w:val="center"/>
          </w:tcPr>
          <w:p w:rsidR="00222FCC" w:rsidRDefault="00FD122A">
            <w:pPr>
              <w:spacing w:before="20" w:after="20"/>
              <w:jc w:val="right"/>
              <w:rPr>
                <w:noProof/>
                <w:sz w:val="20"/>
              </w:rPr>
            </w:pPr>
            <w:r>
              <w:rPr>
                <w:noProof/>
                <w:sz w:val="20"/>
              </w:rPr>
              <w:t>2,100</w:t>
            </w:r>
          </w:p>
        </w:tc>
        <w:tc>
          <w:tcPr>
            <w:tcW w:w="384" w:type="pct"/>
            <w:vAlign w:val="center"/>
          </w:tcPr>
          <w:p w:rsidR="00222FCC" w:rsidRDefault="00FD122A">
            <w:pPr>
              <w:spacing w:before="20" w:after="20"/>
              <w:jc w:val="right"/>
              <w:rPr>
                <w:noProof/>
                <w:sz w:val="20"/>
              </w:rPr>
            </w:pPr>
            <w:r>
              <w:rPr>
                <w:noProof/>
                <w:sz w:val="20"/>
              </w:rPr>
              <w:t>2,000</w:t>
            </w:r>
          </w:p>
        </w:tc>
        <w:tc>
          <w:tcPr>
            <w:tcW w:w="384" w:type="pct"/>
            <w:vAlign w:val="center"/>
          </w:tcPr>
          <w:p w:rsidR="00222FCC" w:rsidRDefault="00FD122A">
            <w:pPr>
              <w:spacing w:before="20" w:after="20"/>
              <w:jc w:val="right"/>
              <w:rPr>
                <w:noProof/>
                <w:sz w:val="20"/>
              </w:rPr>
            </w:pPr>
            <w:r>
              <w:rPr>
                <w:noProof/>
                <w:sz w:val="20"/>
              </w:rPr>
              <w:t>0,400</w:t>
            </w:r>
          </w:p>
        </w:tc>
        <w:tc>
          <w:tcPr>
            <w:tcW w:w="786" w:type="pct"/>
            <w:vAlign w:val="center"/>
          </w:tcPr>
          <w:p w:rsidR="00222FCC" w:rsidRDefault="00FD122A">
            <w:pPr>
              <w:spacing w:before="20" w:after="20"/>
              <w:jc w:val="right"/>
              <w:rPr>
                <w:b/>
                <w:noProof/>
                <w:sz w:val="20"/>
              </w:rPr>
            </w:pPr>
            <w:r>
              <w:rPr>
                <w:b/>
                <w:noProof/>
                <w:sz w:val="20"/>
              </w:rPr>
              <w:t>6,000</w:t>
            </w:r>
          </w:p>
        </w:tc>
      </w:tr>
    </w:tbl>
    <w:p w:rsidR="00222FCC" w:rsidRDefault="00222FCC">
      <w:pPr>
        <w:spacing w:after="40"/>
        <w:rPr>
          <w:b/>
          <w:noProof/>
          <w:sz w:val="22"/>
          <w:u w:val="single"/>
        </w:rPr>
      </w:pPr>
    </w:p>
    <w:p w:rsidR="00222FCC" w:rsidRDefault="00222FCC">
      <w:pPr>
        <w:spacing w:after="40"/>
        <w:rPr>
          <w:b/>
          <w:noProof/>
          <w:sz w:val="22"/>
          <w:u w:val="single"/>
        </w:rPr>
      </w:pPr>
    </w:p>
    <w:p w:rsidR="00222FCC" w:rsidRDefault="00FD122A">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5000" w:type="pct"/>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rsidR="00222FCC">
        <w:trPr>
          <w:trHeight w:val="277"/>
        </w:trPr>
        <w:tc>
          <w:tcPr>
            <w:tcW w:w="1752" w:type="pct"/>
            <w:vMerge w:val="restart"/>
            <w:tcBorders>
              <w:top w:val="single" w:sz="4" w:space="0" w:color="auto"/>
              <w:left w:val="single" w:sz="4" w:space="0" w:color="auto"/>
              <w:bottom w:val="single" w:sz="4" w:space="0" w:color="FF0000"/>
            </w:tcBorders>
            <w:shd w:val="clear" w:color="auto" w:fill="auto"/>
            <w:vAlign w:val="center"/>
          </w:tcPr>
          <w:p w:rsidR="00222FCC" w:rsidRDefault="00FD122A">
            <w:pPr>
              <w:spacing w:before="20" w:after="20"/>
              <w:rPr>
                <w:noProof/>
              </w:rPr>
            </w:pPr>
            <w:r>
              <w:rPr>
                <w:noProof/>
                <w:sz w:val="21"/>
              </w:rPr>
              <w:sym w:font="Wingdings" w:char="F09F"/>
            </w:r>
            <w:r>
              <w:rPr>
                <w:noProof/>
                <w:sz w:val="21"/>
              </w:rPr>
              <w:t xml:space="preserve"> ОБЩО бюджетни кредити за оперативни разходи </w:t>
            </w:r>
          </w:p>
        </w:tc>
        <w:tc>
          <w:tcPr>
            <w:tcW w:w="637" w:type="pct"/>
            <w:tcBorders>
              <w:top w:val="single" w:sz="4" w:space="0" w:color="auto"/>
            </w:tcBorders>
            <w:shd w:val="clear" w:color="auto" w:fill="auto"/>
            <w:vAlign w:val="center"/>
          </w:tcPr>
          <w:p w:rsidR="00222FCC" w:rsidRDefault="00FD122A">
            <w:pPr>
              <w:spacing w:beforeLines="20" w:before="48" w:afterLines="20" w:after="48"/>
              <w:rPr>
                <w:noProof/>
                <w:sz w:val="18"/>
              </w:rPr>
            </w:pPr>
            <w:r>
              <w:rPr>
                <w:noProof/>
                <w:sz w:val="18"/>
              </w:rPr>
              <w:t>Поети задължения</w:t>
            </w:r>
          </w:p>
        </w:tc>
        <w:tc>
          <w:tcPr>
            <w:tcW w:w="289" w:type="pct"/>
            <w:tcBorders>
              <w:top w:val="single" w:sz="4" w:space="0" w:color="auto"/>
            </w:tcBorders>
            <w:shd w:val="clear" w:color="auto" w:fill="auto"/>
            <w:vAlign w:val="center"/>
          </w:tcPr>
          <w:p w:rsidR="00222FCC" w:rsidRDefault="00FD122A">
            <w:pPr>
              <w:spacing w:beforeLines="20" w:before="48" w:afterLines="20" w:after="48"/>
              <w:jc w:val="center"/>
              <w:rPr>
                <w:noProof/>
                <w:sz w:val="14"/>
              </w:rPr>
            </w:pPr>
            <w:r>
              <w:rPr>
                <w:noProof/>
                <w:sz w:val="14"/>
              </w:rPr>
              <w:t>(4)</w:t>
            </w:r>
          </w:p>
        </w:tc>
        <w:tc>
          <w:tcPr>
            <w:tcW w:w="384" w:type="pct"/>
            <w:tcBorders>
              <w:top w:val="single" w:sz="4" w:space="0" w:color="auto"/>
            </w:tcBorders>
            <w:shd w:val="clear" w:color="auto" w:fill="auto"/>
            <w:vAlign w:val="center"/>
          </w:tcPr>
          <w:p w:rsidR="00222FCC" w:rsidRDefault="00FD122A">
            <w:pPr>
              <w:spacing w:before="20" w:after="20"/>
              <w:jc w:val="right"/>
              <w:rPr>
                <w:noProof/>
                <w:sz w:val="20"/>
              </w:rPr>
            </w:pPr>
            <w:r>
              <w:rPr>
                <w:noProof/>
                <w:sz w:val="20"/>
              </w:rPr>
              <w:t>84,638</w:t>
            </w:r>
          </w:p>
        </w:tc>
        <w:tc>
          <w:tcPr>
            <w:tcW w:w="384" w:type="pct"/>
            <w:tcBorders>
              <w:top w:val="single" w:sz="4" w:space="0" w:color="auto"/>
            </w:tcBorders>
            <w:shd w:val="clear" w:color="auto" w:fill="auto"/>
            <w:vAlign w:val="center"/>
          </w:tcPr>
          <w:p w:rsidR="00222FCC" w:rsidRDefault="00FD122A">
            <w:pPr>
              <w:spacing w:before="20" w:after="20"/>
              <w:jc w:val="right"/>
              <w:rPr>
                <w:noProof/>
                <w:sz w:val="20"/>
              </w:rPr>
            </w:pPr>
            <w:r>
              <w:rPr>
                <w:noProof/>
                <w:sz w:val="20"/>
              </w:rPr>
              <w:t>114,174</w:t>
            </w:r>
          </w:p>
        </w:tc>
        <w:tc>
          <w:tcPr>
            <w:tcW w:w="384" w:type="pct"/>
            <w:tcBorders>
              <w:top w:val="single" w:sz="4" w:space="0" w:color="auto"/>
            </w:tcBorders>
            <w:shd w:val="clear" w:color="auto" w:fill="auto"/>
            <w:vAlign w:val="center"/>
          </w:tcPr>
          <w:p w:rsidR="00222FCC" w:rsidRDefault="00FD122A">
            <w:pPr>
              <w:spacing w:before="20" w:after="20"/>
              <w:jc w:val="right"/>
              <w:rPr>
                <w:noProof/>
                <w:sz w:val="20"/>
              </w:rPr>
            </w:pPr>
            <w:r>
              <w:rPr>
                <w:noProof/>
                <w:sz w:val="20"/>
              </w:rPr>
              <w:t>129,688</w:t>
            </w:r>
          </w:p>
        </w:tc>
        <w:tc>
          <w:tcPr>
            <w:tcW w:w="384" w:type="pct"/>
            <w:tcBorders>
              <w:top w:val="single" w:sz="4" w:space="0" w:color="auto"/>
            </w:tcBorders>
            <w:shd w:val="clear" w:color="auto" w:fill="auto"/>
            <w:vAlign w:val="center"/>
          </w:tcPr>
          <w:p w:rsidR="00222FCC" w:rsidRDefault="00FD122A">
            <w:pPr>
              <w:spacing w:before="20" w:after="20"/>
              <w:jc w:val="right"/>
              <w:rPr>
                <w:noProof/>
                <w:sz w:val="20"/>
              </w:rPr>
            </w:pPr>
            <w:r>
              <w:rPr>
                <w:noProof/>
                <w:sz w:val="20"/>
              </w:rPr>
              <w:t>0,000</w:t>
            </w:r>
          </w:p>
        </w:tc>
        <w:tc>
          <w:tcPr>
            <w:tcW w:w="786" w:type="pct"/>
            <w:tcBorders>
              <w:top w:val="single" w:sz="4" w:space="0" w:color="auto"/>
              <w:right w:val="single" w:sz="4" w:space="0" w:color="auto"/>
            </w:tcBorders>
            <w:shd w:val="clear" w:color="auto" w:fill="auto"/>
            <w:vAlign w:val="center"/>
          </w:tcPr>
          <w:p w:rsidR="00222FCC" w:rsidRDefault="00FD122A">
            <w:pPr>
              <w:spacing w:before="20" w:after="20"/>
              <w:jc w:val="right"/>
              <w:rPr>
                <w:b/>
                <w:noProof/>
                <w:sz w:val="20"/>
              </w:rPr>
            </w:pPr>
            <w:r>
              <w:rPr>
                <w:b/>
                <w:noProof/>
                <w:sz w:val="20"/>
              </w:rPr>
              <w:t>328,500</w:t>
            </w:r>
          </w:p>
        </w:tc>
      </w:tr>
      <w:tr w:rsidR="00222FCC">
        <w:tc>
          <w:tcPr>
            <w:tcW w:w="1752" w:type="pct"/>
            <w:vMerge/>
            <w:tcBorders>
              <w:top w:val="single" w:sz="4" w:space="0" w:color="FF0000"/>
              <w:left w:val="single" w:sz="4" w:space="0" w:color="auto"/>
              <w:bottom w:val="single" w:sz="4" w:space="0" w:color="FF0000"/>
            </w:tcBorders>
            <w:shd w:val="clear" w:color="auto" w:fill="auto"/>
          </w:tcPr>
          <w:p w:rsidR="00222FCC" w:rsidRDefault="00222FCC">
            <w:pPr>
              <w:jc w:val="center"/>
              <w:rPr>
                <w:noProof/>
                <w:sz w:val="20"/>
              </w:rPr>
            </w:pPr>
          </w:p>
        </w:tc>
        <w:tc>
          <w:tcPr>
            <w:tcW w:w="637" w:type="pct"/>
            <w:shd w:val="clear" w:color="auto" w:fill="auto"/>
            <w:vAlign w:val="center"/>
          </w:tcPr>
          <w:p w:rsidR="00222FCC" w:rsidRDefault="00FD122A">
            <w:pPr>
              <w:spacing w:beforeLines="20" w:before="48" w:afterLines="20" w:after="48"/>
              <w:rPr>
                <w:noProof/>
                <w:sz w:val="18"/>
              </w:rPr>
            </w:pPr>
            <w:r>
              <w:rPr>
                <w:noProof/>
                <w:sz w:val="18"/>
              </w:rPr>
              <w:t>Плащания</w:t>
            </w:r>
          </w:p>
        </w:tc>
        <w:tc>
          <w:tcPr>
            <w:tcW w:w="289" w:type="pct"/>
            <w:shd w:val="clear" w:color="auto" w:fill="auto"/>
            <w:vAlign w:val="center"/>
          </w:tcPr>
          <w:p w:rsidR="00222FCC" w:rsidRDefault="00FD122A">
            <w:pPr>
              <w:spacing w:beforeLines="20" w:before="48" w:afterLines="20" w:after="48"/>
              <w:jc w:val="center"/>
              <w:rPr>
                <w:noProof/>
                <w:sz w:val="14"/>
              </w:rPr>
            </w:pPr>
            <w:r>
              <w:rPr>
                <w:noProof/>
                <w:sz w:val="14"/>
              </w:rPr>
              <w:t>(5)</w:t>
            </w:r>
          </w:p>
        </w:tc>
        <w:tc>
          <w:tcPr>
            <w:tcW w:w="384" w:type="pct"/>
            <w:shd w:val="clear" w:color="auto" w:fill="auto"/>
            <w:vAlign w:val="center"/>
          </w:tcPr>
          <w:p w:rsidR="00222FCC" w:rsidRDefault="00FD122A">
            <w:pPr>
              <w:spacing w:before="20" w:after="20"/>
              <w:jc w:val="right"/>
              <w:rPr>
                <w:noProof/>
                <w:sz w:val="20"/>
              </w:rPr>
            </w:pPr>
            <w:r>
              <w:rPr>
                <w:noProof/>
                <w:sz w:val="20"/>
              </w:rPr>
              <w:t>63,479</w:t>
            </w:r>
          </w:p>
        </w:tc>
        <w:tc>
          <w:tcPr>
            <w:tcW w:w="384" w:type="pct"/>
            <w:shd w:val="clear" w:color="auto" w:fill="auto"/>
            <w:vAlign w:val="center"/>
          </w:tcPr>
          <w:p w:rsidR="00222FCC" w:rsidRDefault="00FD122A">
            <w:pPr>
              <w:spacing w:before="20" w:after="20"/>
              <w:jc w:val="right"/>
              <w:rPr>
                <w:noProof/>
                <w:sz w:val="20"/>
              </w:rPr>
            </w:pPr>
            <w:r>
              <w:rPr>
                <w:noProof/>
                <w:sz w:val="20"/>
              </w:rPr>
              <w:t>113,976</w:t>
            </w:r>
          </w:p>
        </w:tc>
        <w:tc>
          <w:tcPr>
            <w:tcW w:w="384" w:type="pct"/>
            <w:shd w:val="clear" w:color="auto" w:fill="auto"/>
            <w:vAlign w:val="center"/>
          </w:tcPr>
          <w:p w:rsidR="00222FCC" w:rsidRDefault="00FD122A">
            <w:pPr>
              <w:spacing w:before="20" w:after="20"/>
              <w:jc w:val="right"/>
              <w:rPr>
                <w:noProof/>
                <w:sz w:val="20"/>
              </w:rPr>
            </w:pPr>
            <w:r>
              <w:rPr>
                <w:noProof/>
                <w:sz w:val="20"/>
              </w:rPr>
              <w:t>125,884</w:t>
            </w:r>
          </w:p>
        </w:tc>
        <w:tc>
          <w:tcPr>
            <w:tcW w:w="384" w:type="pct"/>
            <w:shd w:val="clear" w:color="auto" w:fill="auto"/>
            <w:vAlign w:val="center"/>
          </w:tcPr>
          <w:p w:rsidR="00222FCC" w:rsidRDefault="00FD122A">
            <w:pPr>
              <w:spacing w:before="20" w:after="20"/>
              <w:jc w:val="right"/>
              <w:rPr>
                <w:noProof/>
                <w:sz w:val="20"/>
              </w:rPr>
            </w:pPr>
            <w:r>
              <w:rPr>
                <w:noProof/>
                <w:sz w:val="20"/>
              </w:rPr>
              <w:t>25,162</w:t>
            </w:r>
          </w:p>
        </w:tc>
        <w:tc>
          <w:tcPr>
            <w:tcW w:w="786" w:type="pct"/>
            <w:tcBorders>
              <w:right w:val="single" w:sz="4" w:space="0" w:color="auto"/>
            </w:tcBorders>
            <w:shd w:val="clear" w:color="auto" w:fill="auto"/>
            <w:vAlign w:val="center"/>
          </w:tcPr>
          <w:p w:rsidR="00222FCC" w:rsidRDefault="00FD122A">
            <w:pPr>
              <w:spacing w:before="20" w:after="20"/>
              <w:jc w:val="right"/>
              <w:rPr>
                <w:b/>
                <w:noProof/>
                <w:sz w:val="20"/>
              </w:rPr>
            </w:pPr>
            <w:r>
              <w:rPr>
                <w:b/>
                <w:noProof/>
                <w:sz w:val="20"/>
              </w:rPr>
              <w:t>328,500</w:t>
            </w:r>
          </w:p>
        </w:tc>
      </w:tr>
      <w:tr w:rsidR="00222FCC">
        <w:tblPrEx>
          <w:tblBorders>
            <w:top w:val="single" w:sz="4" w:space="0" w:color="auto"/>
            <w:left w:val="single" w:sz="4" w:space="0" w:color="auto"/>
            <w:bottom w:val="single" w:sz="4" w:space="0" w:color="auto"/>
            <w:right w:val="single" w:sz="4" w:space="0" w:color="auto"/>
          </w:tblBorders>
        </w:tblPrEx>
        <w:trPr>
          <w:trHeight w:val="533"/>
        </w:trPr>
        <w:tc>
          <w:tcPr>
            <w:tcW w:w="2390" w:type="pct"/>
            <w:gridSpan w:val="2"/>
            <w:tcBorders>
              <w:bottom w:val="single" w:sz="4" w:space="0" w:color="auto"/>
            </w:tcBorders>
            <w:shd w:val="clear" w:color="auto" w:fill="auto"/>
            <w:vAlign w:val="center"/>
          </w:tcPr>
          <w:p w:rsidR="00222FCC" w:rsidRDefault="00FD122A">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289" w:type="pct"/>
            <w:tcBorders>
              <w:bottom w:val="single" w:sz="4" w:space="0" w:color="auto"/>
            </w:tcBorders>
            <w:shd w:val="clear" w:color="auto" w:fill="auto"/>
            <w:vAlign w:val="center"/>
          </w:tcPr>
          <w:p w:rsidR="00222FCC" w:rsidRDefault="00FD122A">
            <w:pPr>
              <w:spacing w:beforeLines="20" w:before="48" w:afterLines="20" w:after="48"/>
              <w:jc w:val="center"/>
              <w:rPr>
                <w:noProof/>
                <w:sz w:val="14"/>
              </w:rPr>
            </w:pPr>
            <w:r>
              <w:rPr>
                <w:noProof/>
                <w:sz w:val="14"/>
              </w:rPr>
              <w:t>(6)</w:t>
            </w:r>
          </w:p>
        </w:tc>
        <w:tc>
          <w:tcPr>
            <w:tcW w:w="384" w:type="pct"/>
            <w:tcBorders>
              <w:bottom w:val="single" w:sz="4" w:space="0" w:color="auto"/>
            </w:tcBorders>
            <w:shd w:val="clear" w:color="auto" w:fill="auto"/>
            <w:vAlign w:val="center"/>
          </w:tcPr>
          <w:p w:rsidR="00222FCC" w:rsidRDefault="00FD122A">
            <w:pPr>
              <w:spacing w:before="20" w:after="20"/>
              <w:jc w:val="right"/>
              <w:rPr>
                <w:noProof/>
                <w:sz w:val="20"/>
              </w:rPr>
            </w:pPr>
            <w:r>
              <w:rPr>
                <w:noProof/>
                <w:sz w:val="20"/>
              </w:rPr>
              <w:t>4,550</w:t>
            </w:r>
          </w:p>
        </w:tc>
        <w:tc>
          <w:tcPr>
            <w:tcW w:w="384" w:type="pct"/>
            <w:tcBorders>
              <w:bottom w:val="single" w:sz="4" w:space="0" w:color="auto"/>
            </w:tcBorders>
            <w:shd w:val="clear" w:color="auto" w:fill="auto"/>
            <w:vAlign w:val="center"/>
          </w:tcPr>
          <w:p w:rsidR="00222FCC" w:rsidRDefault="00FD122A">
            <w:pPr>
              <w:spacing w:before="20" w:after="20"/>
              <w:jc w:val="right"/>
              <w:rPr>
                <w:noProof/>
                <w:sz w:val="20"/>
              </w:rPr>
            </w:pPr>
            <w:r>
              <w:rPr>
                <w:noProof/>
                <w:sz w:val="20"/>
              </w:rPr>
              <w:t>4,550</w:t>
            </w:r>
          </w:p>
        </w:tc>
        <w:tc>
          <w:tcPr>
            <w:tcW w:w="384" w:type="pct"/>
            <w:tcBorders>
              <w:bottom w:val="single" w:sz="4" w:space="0" w:color="auto"/>
            </w:tcBorders>
            <w:shd w:val="clear" w:color="auto" w:fill="auto"/>
            <w:vAlign w:val="center"/>
          </w:tcPr>
          <w:p w:rsidR="00222FCC" w:rsidRDefault="00FD122A">
            <w:pPr>
              <w:spacing w:before="20" w:after="20"/>
              <w:jc w:val="right"/>
              <w:rPr>
                <w:noProof/>
                <w:sz w:val="20"/>
              </w:rPr>
            </w:pPr>
            <w:r>
              <w:rPr>
                <w:noProof/>
                <w:sz w:val="20"/>
              </w:rPr>
              <w:t>3,900</w:t>
            </w:r>
          </w:p>
        </w:tc>
        <w:tc>
          <w:tcPr>
            <w:tcW w:w="384" w:type="pct"/>
            <w:tcBorders>
              <w:bottom w:val="single" w:sz="4" w:space="0" w:color="auto"/>
            </w:tcBorders>
            <w:shd w:val="clear" w:color="auto" w:fill="auto"/>
            <w:vAlign w:val="center"/>
          </w:tcPr>
          <w:p w:rsidR="00222FCC" w:rsidRDefault="00FD122A">
            <w:pPr>
              <w:spacing w:before="20" w:after="20"/>
              <w:jc w:val="right"/>
              <w:rPr>
                <w:noProof/>
                <w:sz w:val="20"/>
              </w:rPr>
            </w:pPr>
            <w:r>
              <w:rPr>
                <w:noProof/>
                <w:sz w:val="20"/>
              </w:rPr>
              <w:t>0,000</w:t>
            </w:r>
          </w:p>
        </w:tc>
        <w:tc>
          <w:tcPr>
            <w:tcW w:w="786" w:type="pct"/>
            <w:tcBorders>
              <w:bottom w:val="single" w:sz="4" w:space="0" w:color="auto"/>
            </w:tcBorders>
            <w:shd w:val="clear" w:color="auto" w:fill="auto"/>
            <w:vAlign w:val="center"/>
          </w:tcPr>
          <w:p w:rsidR="00222FCC" w:rsidRDefault="00FD122A">
            <w:pPr>
              <w:spacing w:before="20" w:after="20"/>
              <w:jc w:val="right"/>
              <w:rPr>
                <w:b/>
                <w:noProof/>
                <w:sz w:val="20"/>
              </w:rPr>
            </w:pPr>
            <w:r>
              <w:rPr>
                <w:b/>
                <w:noProof/>
                <w:sz w:val="20"/>
              </w:rPr>
              <w:t>13,000</w:t>
            </w:r>
          </w:p>
        </w:tc>
      </w:tr>
      <w:tr w:rsidR="00222FCC">
        <w:tc>
          <w:tcPr>
            <w:tcW w:w="1752" w:type="pct"/>
            <w:vMerge w:val="restart"/>
            <w:tcBorders>
              <w:top w:val="single" w:sz="4" w:space="0" w:color="auto"/>
              <w:left w:val="single" w:sz="4" w:space="0" w:color="auto"/>
              <w:bottom w:val="single" w:sz="4" w:space="0" w:color="auto"/>
            </w:tcBorders>
            <w:shd w:val="clear" w:color="auto" w:fill="auto"/>
            <w:vAlign w:val="center"/>
          </w:tcPr>
          <w:p w:rsidR="00222FCC" w:rsidRDefault="00FD122A">
            <w:pPr>
              <w:jc w:val="center"/>
              <w:rPr>
                <w:b/>
                <w:noProof/>
              </w:rPr>
            </w:pPr>
            <w:r>
              <w:rPr>
                <w:b/>
                <w:noProof/>
                <w:sz w:val="22"/>
              </w:rPr>
              <w:t xml:space="preserve">ОБЩО бюджетни кредити </w:t>
            </w:r>
            <w:r>
              <w:rPr>
                <w:noProof/>
                <w:sz w:val="22"/>
              </w:rPr>
              <w:br/>
            </w:r>
            <w:r>
              <w:rPr>
                <w:b/>
                <w:noProof/>
                <w:sz w:val="22"/>
              </w:rPr>
              <w:t>по ФУНКЦИИ 1 до 4</w:t>
            </w:r>
            <w:r>
              <w:rPr>
                <w:noProof/>
                <w:sz w:val="22"/>
              </w:rPr>
              <w:br/>
              <w:t>от многогодишната финансова рамка</w:t>
            </w:r>
            <w:r>
              <w:rPr>
                <w:noProof/>
                <w:sz w:val="22"/>
              </w:rPr>
              <w:br/>
            </w:r>
            <w:r>
              <w:rPr>
                <w:noProof/>
                <w:sz w:val="20"/>
              </w:rPr>
              <w:t xml:space="preserve">(Основна референтна сума плюс вноски </w:t>
            </w:r>
            <w:r>
              <w:rPr>
                <w:noProof/>
                <w:sz w:val="20"/>
              </w:rPr>
              <w:t>от други програми)</w:t>
            </w:r>
          </w:p>
        </w:tc>
        <w:tc>
          <w:tcPr>
            <w:tcW w:w="637" w:type="pct"/>
            <w:tcBorders>
              <w:top w:val="single" w:sz="4" w:space="0" w:color="auto"/>
              <w:bottom w:val="single" w:sz="4" w:space="0" w:color="auto"/>
            </w:tcBorders>
            <w:shd w:val="clear" w:color="auto" w:fill="auto"/>
            <w:vAlign w:val="center"/>
          </w:tcPr>
          <w:p w:rsidR="00222FCC" w:rsidRDefault="00FD122A">
            <w:pPr>
              <w:rPr>
                <w:noProof/>
                <w:sz w:val="18"/>
              </w:rPr>
            </w:pPr>
            <w:r>
              <w:rPr>
                <w:noProof/>
                <w:sz w:val="18"/>
              </w:rPr>
              <w:t>Поети задължения</w:t>
            </w:r>
          </w:p>
        </w:tc>
        <w:tc>
          <w:tcPr>
            <w:tcW w:w="289" w:type="pct"/>
            <w:tcBorders>
              <w:top w:val="single" w:sz="4" w:space="0" w:color="auto"/>
              <w:bottom w:val="single" w:sz="4" w:space="0" w:color="auto"/>
            </w:tcBorders>
            <w:shd w:val="clear" w:color="auto" w:fill="auto"/>
            <w:vAlign w:val="center"/>
          </w:tcPr>
          <w:p w:rsidR="00222FCC" w:rsidRDefault="00FD122A">
            <w:pPr>
              <w:jc w:val="center"/>
              <w:rPr>
                <w:noProof/>
                <w:sz w:val="14"/>
              </w:rPr>
            </w:pPr>
            <w:r>
              <w:rPr>
                <w:noProof/>
                <w:sz w:val="14"/>
              </w:rPr>
              <w:t>=4+ 6</w:t>
            </w:r>
          </w:p>
        </w:tc>
        <w:tc>
          <w:tcPr>
            <w:tcW w:w="384" w:type="pct"/>
            <w:tcBorders>
              <w:top w:val="single" w:sz="4" w:space="0" w:color="auto"/>
              <w:bottom w:val="single" w:sz="4" w:space="0" w:color="auto"/>
            </w:tcBorders>
            <w:shd w:val="clear" w:color="auto" w:fill="auto"/>
            <w:vAlign w:val="center"/>
          </w:tcPr>
          <w:p w:rsidR="00222FCC" w:rsidRDefault="00FD122A">
            <w:pPr>
              <w:spacing w:before="20" w:after="20"/>
              <w:jc w:val="right"/>
              <w:rPr>
                <w:noProof/>
                <w:sz w:val="20"/>
              </w:rPr>
            </w:pPr>
            <w:r>
              <w:rPr>
                <w:noProof/>
                <w:sz w:val="20"/>
              </w:rPr>
              <w:t>89,188</w:t>
            </w:r>
          </w:p>
        </w:tc>
        <w:tc>
          <w:tcPr>
            <w:tcW w:w="384" w:type="pct"/>
            <w:tcBorders>
              <w:top w:val="single" w:sz="4" w:space="0" w:color="auto"/>
              <w:bottom w:val="single" w:sz="4" w:space="0" w:color="auto"/>
            </w:tcBorders>
            <w:shd w:val="clear" w:color="auto" w:fill="auto"/>
            <w:vAlign w:val="center"/>
          </w:tcPr>
          <w:p w:rsidR="00222FCC" w:rsidRDefault="00FD122A">
            <w:pPr>
              <w:spacing w:before="20" w:after="20"/>
              <w:jc w:val="right"/>
              <w:rPr>
                <w:noProof/>
                <w:sz w:val="20"/>
              </w:rPr>
            </w:pPr>
            <w:r>
              <w:rPr>
                <w:noProof/>
                <w:sz w:val="20"/>
              </w:rPr>
              <w:t>118,724</w:t>
            </w:r>
          </w:p>
        </w:tc>
        <w:tc>
          <w:tcPr>
            <w:tcW w:w="384" w:type="pct"/>
            <w:tcBorders>
              <w:top w:val="single" w:sz="4" w:space="0" w:color="auto"/>
              <w:bottom w:val="single" w:sz="4" w:space="0" w:color="auto"/>
            </w:tcBorders>
            <w:shd w:val="clear" w:color="auto" w:fill="auto"/>
            <w:vAlign w:val="center"/>
          </w:tcPr>
          <w:p w:rsidR="00222FCC" w:rsidRDefault="00FD122A">
            <w:pPr>
              <w:spacing w:before="20" w:after="20"/>
              <w:jc w:val="right"/>
              <w:rPr>
                <w:noProof/>
                <w:sz w:val="20"/>
              </w:rPr>
            </w:pPr>
            <w:r>
              <w:rPr>
                <w:noProof/>
                <w:sz w:val="20"/>
              </w:rPr>
              <w:t>133,588</w:t>
            </w:r>
          </w:p>
        </w:tc>
        <w:tc>
          <w:tcPr>
            <w:tcW w:w="384" w:type="pct"/>
            <w:tcBorders>
              <w:top w:val="single" w:sz="4" w:space="0" w:color="auto"/>
              <w:bottom w:val="single" w:sz="4" w:space="0" w:color="auto"/>
            </w:tcBorders>
            <w:shd w:val="clear" w:color="auto" w:fill="auto"/>
            <w:vAlign w:val="center"/>
          </w:tcPr>
          <w:p w:rsidR="00222FCC" w:rsidRDefault="00FD122A">
            <w:pPr>
              <w:spacing w:before="20" w:after="20"/>
              <w:jc w:val="right"/>
              <w:rPr>
                <w:noProof/>
                <w:sz w:val="20"/>
              </w:rPr>
            </w:pPr>
            <w:r>
              <w:rPr>
                <w:noProof/>
                <w:sz w:val="20"/>
              </w:rPr>
              <w:t>0,000</w:t>
            </w:r>
          </w:p>
        </w:tc>
        <w:tc>
          <w:tcPr>
            <w:tcW w:w="786" w:type="pct"/>
            <w:tcBorders>
              <w:top w:val="single" w:sz="4" w:space="0" w:color="auto"/>
              <w:bottom w:val="single" w:sz="4" w:space="0" w:color="auto"/>
              <w:right w:val="single" w:sz="4" w:space="0" w:color="auto"/>
            </w:tcBorders>
            <w:shd w:val="clear" w:color="auto" w:fill="auto"/>
            <w:vAlign w:val="center"/>
          </w:tcPr>
          <w:p w:rsidR="00222FCC" w:rsidRDefault="00FD122A">
            <w:pPr>
              <w:spacing w:before="20" w:after="20"/>
              <w:jc w:val="right"/>
              <w:rPr>
                <w:b/>
                <w:noProof/>
                <w:sz w:val="20"/>
              </w:rPr>
            </w:pPr>
            <w:r>
              <w:rPr>
                <w:b/>
                <w:noProof/>
                <w:sz w:val="20"/>
              </w:rPr>
              <w:t>341,500</w:t>
            </w:r>
          </w:p>
        </w:tc>
      </w:tr>
      <w:tr w:rsidR="00222FCC">
        <w:tc>
          <w:tcPr>
            <w:tcW w:w="1752" w:type="pct"/>
            <w:vMerge/>
            <w:tcBorders>
              <w:top w:val="single" w:sz="4" w:space="0" w:color="auto"/>
              <w:left w:val="single" w:sz="4" w:space="0" w:color="auto"/>
              <w:bottom w:val="single" w:sz="4" w:space="0" w:color="auto"/>
            </w:tcBorders>
            <w:shd w:val="clear" w:color="auto" w:fill="auto"/>
          </w:tcPr>
          <w:p w:rsidR="00222FCC" w:rsidRDefault="00222FCC">
            <w:pPr>
              <w:rPr>
                <w:noProof/>
                <w:sz w:val="20"/>
              </w:rPr>
            </w:pPr>
          </w:p>
        </w:tc>
        <w:tc>
          <w:tcPr>
            <w:tcW w:w="637" w:type="pct"/>
            <w:tcBorders>
              <w:top w:val="single" w:sz="4" w:space="0" w:color="auto"/>
              <w:bottom w:val="single" w:sz="4" w:space="0" w:color="auto"/>
            </w:tcBorders>
            <w:shd w:val="clear" w:color="auto" w:fill="auto"/>
            <w:vAlign w:val="center"/>
          </w:tcPr>
          <w:p w:rsidR="00222FCC" w:rsidRDefault="00FD122A">
            <w:pPr>
              <w:rPr>
                <w:noProof/>
                <w:sz w:val="18"/>
              </w:rPr>
            </w:pPr>
            <w:r>
              <w:rPr>
                <w:noProof/>
                <w:sz w:val="18"/>
              </w:rPr>
              <w:t>Плащания</w:t>
            </w:r>
          </w:p>
        </w:tc>
        <w:tc>
          <w:tcPr>
            <w:tcW w:w="289" w:type="pct"/>
            <w:tcBorders>
              <w:top w:val="single" w:sz="4" w:space="0" w:color="auto"/>
              <w:bottom w:val="single" w:sz="4" w:space="0" w:color="auto"/>
            </w:tcBorders>
            <w:shd w:val="clear" w:color="auto" w:fill="auto"/>
            <w:vAlign w:val="center"/>
          </w:tcPr>
          <w:p w:rsidR="00222FCC" w:rsidRDefault="00FD122A">
            <w:pPr>
              <w:jc w:val="center"/>
              <w:rPr>
                <w:noProof/>
                <w:sz w:val="14"/>
              </w:rPr>
            </w:pPr>
            <w:r>
              <w:rPr>
                <w:noProof/>
                <w:sz w:val="14"/>
              </w:rPr>
              <w:t>=5+ 6</w:t>
            </w:r>
          </w:p>
        </w:tc>
        <w:tc>
          <w:tcPr>
            <w:tcW w:w="384" w:type="pct"/>
            <w:tcBorders>
              <w:top w:val="single" w:sz="4" w:space="0" w:color="auto"/>
              <w:bottom w:val="single" w:sz="4" w:space="0" w:color="auto"/>
            </w:tcBorders>
            <w:shd w:val="clear" w:color="auto" w:fill="auto"/>
            <w:vAlign w:val="center"/>
          </w:tcPr>
          <w:p w:rsidR="00222FCC" w:rsidRDefault="00FD122A">
            <w:pPr>
              <w:spacing w:before="20" w:after="20"/>
              <w:jc w:val="right"/>
              <w:rPr>
                <w:noProof/>
                <w:sz w:val="20"/>
              </w:rPr>
            </w:pPr>
            <w:r>
              <w:rPr>
                <w:noProof/>
                <w:sz w:val="20"/>
              </w:rPr>
              <w:t>68,029</w:t>
            </w:r>
          </w:p>
        </w:tc>
        <w:tc>
          <w:tcPr>
            <w:tcW w:w="384" w:type="pct"/>
            <w:tcBorders>
              <w:top w:val="single" w:sz="4" w:space="0" w:color="auto"/>
              <w:bottom w:val="single" w:sz="4" w:space="0" w:color="auto"/>
            </w:tcBorders>
            <w:shd w:val="clear" w:color="auto" w:fill="auto"/>
            <w:vAlign w:val="center"/>
          </w:tcPr>
          <w:p w:rsidR="00222FCC" w:rsidRDefault="00FD122A">
            <w:pPr>
              <w:spacing w:before="20" w:after="20"/>
              <w:jc w:val="right"/>
              <w:rPr>
                <w:noProof/>
                <w:sz w:val="20"/>
              </w:rPr>
            </w:pPr>
            <w:r>
              <w:rPr>
                <w:noProof/>
                <w:sz w:val="20"/>
              </w:rPr>
              <w:t>118,526</w:t>
            </w:r>
          </w:p>
        </w:tc>
        <w:tc>
          <w:tcPr>
            <w:tcW w:w="384" w:type="pct"/>
            <w:tcBorders>
              <w:top w:val="single" w:sz="4" w:space="0" w:color="auto"/>
              <w:bottom w:val="single" w:sz="4" w:space="0" w:color="auto"/>
            </w:tcBorders>
            <w:shd w:val="clear" w:color="auto" w:fill="auto"/>
            <w:vAlign w:val="center"/>
          </w:tcPr>
          <w:p w:rsidR="00222FCC" w:rsidRDefault="00FD122A">
            <w:pPr>
              <w:spacing w:before="20" w:after="20"/>
              <w:jc w:val="right"/>
              <w:rPr>
                <w:noProof/>
                <w:sz w:val="20"/>
              </w:rPr>
            </w:pPr>
            <w:r>
              <w:rPr>
                <w:noProof/>
                <w:sz w:val="20"/>
              </w:rPr>
              <w:t>129,784</w:t>
            </w:r>
          </w:p>
        </w:tc>
        <w:tc>
          <w:tcPr>
            <w:tcW w:w="384" w:type="pct"/>
            <w:tcBorders>
              <w:top w:val="single" w:sz="4" w:space="0" w:color="auto"/>
              <w:bottom w:val="single" w:sz="4" w:space="0" w:color="auto"/>
            </w:tcBorders>
            <w:shd w:val="clear" w:color="auto" w:fill="auto"/>
            <w:vAlign w:val="center"/>
          </w:tcPr>
          <w:p w:rsidR="00222FCC" w:rsidRDefault="00FD122A">
            <w:pPr>
              <w:spacing w:before="20" w:after="20"/>
              <w:jc w:val="right"/>
              <w:rPr>
                <w:noProof/>
                <w:sz w:val="20"/>
              </w:rPr>
            </w:pPr>
            <w:r>
              <w:rPr>
                <w:noProof/>
                <w:sz w:val="20"/>
              </w:rPr>
              <w:t>25,162</w:t>
            </w:r>
          </w:p>
        </w:tc>
        <w:tc>
          <w:tcPr>
            <w:tcW w:w="786" w:type="pct"/>
            <w:tcBorders>
              <w:top w:val="single" w:sz="4" w:space="0" w:color="auto"/>
              <w:bottom w:val="single" w:sz="4" w:space="0" w:color="auto"/>
              <w:right w:val="single" w:sz="4" w:space="0" w:color="auto"/>
            </w:tcBorders>
            <w:shd w:val="clear" w:color="auto" w:fill="auto"/>
            <w:vAlign w:val="center"/>
          </w:tcPr>
          <w:p w:rsidR="00222FCC" w:rsidRDefault="00FD122A">
            <w:pPr>
              <w:spacing w:before="20" w:after="20"/>
              <w:jc w:val="right"/>
              <w:rPr>
                <w:b/>
                <w:noProof/>
                <w:sz w:val="20"/>
              </w:rPr>
            </w:pPr>
            <w:r>
              <w:rPr>
                <w:b/>
                <w:noProof/>
                <w:sz w:val="20"/>
              </w:rPr>
              <w:t>341,500</w:t>
            </w:r>
          </w:p>
        </w:tc>
      </w:tr>
    </w:tbl>
    <w:p w:rsidR="00222FCC" w:rsidRDefault="00222FC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rsidR="00222FCC">
        <w:trPr>
          <w:jc w:val="center"/>
        </w:trPr>
        <w:tc>
          <w:tcPr>
            <w:tcW w:w="1739" w:type="pct"/>
            <w:shd w:val="thinDiagStripe" w:color="C0C0C0" w:fill="auto"/>
            <w:vAlign w:val="center"/>
          </w:tcPr>
          <w:p w:rsidR="00222FCC" w:rsidRDefault="00FD122A">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396" w:type="pct"/>
            <w:shd w:val="thinDiagStripe" w:color="C0C0C0" w:fill="auto"/>
            <w:vAlign w:val="center"/>
          </w:tcPr>
          <w:p w:rsidR="00222FCC" w:rsidRDefault="00FD122A">
            <w:pPr>
              <w:spacing w:before="60" w:after="60"/>
              <w:jc w:val="center"/>
              <w:rPr>
                <w:noProof/>
              </w:rPr>
            </w:pPr>
            <w:r>
              <w:rPr>
                <w:b/>
                <w:noProof/>
                <w:sz w:val="22"/>
              </w:rPr>
              <w:t>5</w:t>
            </w:r>
          </w:p>
        </w:tc>
        <w:tc>
          <w:tcPr>
            <w:tcW w:w="2865" w:type="pct"/>
            <w:vAlign w:val="center"/>
          </w:tcPr>
          <w:p w:rsidR="00222FCC" w:rsidRDefault="00FD122A">
            <w:pPr>
              <w:spacing w:before="60" w:after="60"/>
              <w:rPr>
                <w:noProof/>
              </w:rPr>
            </w:pPr>
            <w:r>
              <w:rPr>
                <w:noProof/>
                <w:sz w:val="22"/>
              </w:rPr>
              <w:t>„Административни разходи“</w:t>
            </w:r>
          </w:p>
        </w:tc>
      </w:tr>
    </w:tbl>
    <w:p w:rsidR="00222FCC" w:rsidRDefault="00FD122A">
      <w:pPr>
        <w:jc w:val="right"/>
        <w:rPr>
          <w:noProof/>
          <w:sz w:val="20"/>
        </w:rPr>
      </w:pPr>
      <w:r>
        <w:rPr>
          <w:noProof/>
          <w:sz w:val="20"/>
        </w:rPr>
        <w:t xml:space="preserve">млн. EUR (до третия знак след десетичната </w:t>
      </w:r>
      <w:r>
        <w:rPr>
          <w:noProof/>
          <w:sz w:val="20"/>
        </w:rPr>
        <w:t>запетая)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2040"/>
        <w:gridCol w:w="701"/>
        <w:gridCol w:w="1136"/>
        <w:gridCol w:w="1136"/>
        <w:gridCol w:w="1136"/>
        <w:gridCol w:w="1136"/>
        <w:gridCol w:w="2322"/>
      </w:tblGrid>
      <w:tr w:rsidR="00222FCC">
        <w:tc>
          <w:tcPr>
            <w:tcW w:w="1752" w:type="pct"/>
            <w:tcBorders>
              <w:top w:val="nil"/>
              <w:left w:val="nil"/>
              <w:right w:val="nil"/>
            </w:tcBorders>
            <w:vAlign w:val="center"/>
          </w:tcPr>
          <w:p w:rsidR="00222FCC" w:rsidRDefault="00222FCC">
            <w:pPr>
              <w:jc w:val="center"/>
              <w:rPr>
                <w:noProof/>
              </w:rPr>
            </w:pPr>
          </w:p>
        </w:tc>
        <w:tc>
          <w:tcPr>
            <w:tcW w:w="690" w:type="pct"/>
            <w:tcBorders>
              <w:top w:val="nil"/>
              <w:left w:val="nil"/>
              <w:right w:val="nil"/>
            </w:tcBorders>
          </w:tcPr>
          <w:p w:rsidR="00222FCC" w:rsidRDefault="00222FCC">
            <w:pPr>
              <w:rPr>
                <w:noProof/>
                <w:sz w:val="20"/>
              </w:rPr>
            </w:pPr>
          </w:p>
        </w:tc>
        <w:tc>
          <w:tcPr>
            <w:tcW w:w="236" w:type="pct"/>
            <w:tcBorders>
              <w:top w:val="nil"/>
              <w:left w:val="nil"/>
            </w:tcBorders>
          </w:tcPr>
          <w:p w:rsidR="00222FCC" w:rsidRDefault="00222FCC">
            <w:pPr>
              <w:jc w:val="center"/>
              <w:rPr>
                <w:noProof/>
                <w:sz w:val="20"/>
              </w:rPr>
            </w:pPr>
          </w:p>
        </w:tc>
        <w:tc>
          <w:tcPr>
            <w:tcW w:w="384" w:type="pct"/>
            <w:vAlign w:val="center"/>
          </w:tcPr>
          <w:p w:rsidR="00222FCC" w:rsidRDefault="00FD122A">
            <w:pPr>
              <w:jc w:val="center"/>
              <w:rPr>
                <w:noProof/>
                <w:sz w:val="20"/>
              </w:rPr>
            </w:pPr>
            <w:r>
              <w:rPr>
                <w:noProof/>
                <w:sz w:val="20"/>
              </w:rPr>
              <w:t>ГОДИНА</w:t>
            </w:r>
          </w:p>
          <w:p w:rsidR="00222FCC" w:rsidRDefault="00FD122A">
            <w:pPr>
              <w:jc w:val="center"/>
              <w:rPr>
                <w:noProof/>
                <w:sz w:val="20"/>
              </w:rPr>
            </w:pPr>
            <w:r>
              <w:rPr>
                <w:b/>
                <w:noProof/>
              </w:rPr>
              <w:t>2018</w:t>
            </w:r>
          </w:p>
        </w:tc>
        <w:tc>
          <w:tcPr>
            <w:tcW w:w="384" w:type="pct"/>
            <w:vAlign w:val="center"/>
          </w:tcPr>
          <w:p w:rsidR="00222FCC" w:rsidRDefault="00FD122A">
            <w:pPr>
              <w:jc w:val="center"/>
              <w:rPr>
                <w:noProof/>
                <w:sz w:val="20"/>
              </w:rPr>
            </w:pPr>
            <w:r>
              <w:rPr>
                <w:noProof/>
                <w:sz w:val="20"/>
              </w:rPr>
              <w:t>ГОДИНА</w:t>
            </w:r>
          </w:p>
          <w:p w:rsidR="00222FCC" w:rsidRDefault="00FD122A">
            <w:pPr>
              <w:jc w:val="center"/>
              <w:rPr>
                <w:noProof/>
                <w:sz w:val="20"/>
              </w:rPr>
            </w:pPr>
            <w:r>
              <w:rPr>
                <w:b/>
                <w:noProof/>
              </w:rPr>
              <w:t>2019</w:t>
            </w:r>
          </w:p>
        </w:tc>
        <w:tc>
          <w:tcPr>
            <w:tcW w:w="384" w:type="pct"/>
            <w:vAlign w:val="center"/>
          </w:tcPr>
          <w:p w:rsidR="00222FCC" w:rsidRDefault="00FD122A">
            <w:pPr>
              <w:jc w:val="center"/>
              <w:rPr>
                <w:noProof/>
                <w:sz w:val="20"/>
              </w:rPr>
            </w:pPr>
            <w:r>
              <w:rPr>
                <w:noProof/>
                <w:sz w:val="20"/>
              </w:rPr>
              <w:t>ГОДИНА</w:t>
            </w:r>
          </w:p>
          <w:p w:rsidR="00222FCC" w:rsidRDefault="00FD122A">
            <w:pPr>
              <w:jc w:val="center"/>
              <w:rPr>
                <w:noProof/>
                <w:sz w:val="20"/>
              </w:rPr>
            </w:pPr>
            <w:r>
              <w:rPr>
                <w:b/>
                <w:noProof/>
              </w:rPr>
              <w:t>2020</w:t>
            </w:r>
          </w:p>
        </w:tc>
        <w:tc>
          <w:tcPr>
            <w:tcW w:w="384" w:type="pct"/>
            <w:vAlign w:val="center"/>
          </w:tcPr>
          <w:p w:rsidR="00222FCC" w:rsidRDefault="00222FCC">
            <w:pPr>
              <w:jc w:val="center"/>
              <w:rPr>
                <w:noProof/>
                <w:sz w:val="20"/>
              </w:rPr>
            </w:pPr>
          </w:p>
        </w:tc>
        <w:tc>
          <w:tcPr>
            <w:tcW w:w="786" w:type="pct"/>
            <w:vAlign w:val="center"/>
          </w:tcPr>
          <w:p w:rsidR="00222FCC" w:rsidRDefault="00FD122A">
            <w:pPr>
              <w:jc w:val="center"/>
              <w:rPr>
                <w:b/>
                <w:noProof/>
                <w:sz w:val="20"/>
              </w:rPr>
            </w:pPr>
            <w:r>
              <w:rPr>
                <w:b/>
                <w:noProof/>
                <w:sz w:val="20"/>
              </w:rPr>
              <w:t>ОБЩО</w:t>
            </w:r>
          </w:p>
        </w:tc>
      </w:tr>
      <w:tr w:rsidR="00222FCC">
        <w:trPr>
          <w:gridAfter w:val="7"/>
          <w:wAfter w:w="3248" w:type="pct"/>
        </w:trPr>
        <w:tc>
          <w:tcPr>
            <w:tcW w:w="1752" w:type="pct"/>
            <w:vAlign w:val="center"/>
          </w:tcPr>
          <w:p w:rsidR="00222FCC" w:rsidRDefault="00FD122A">
            <w:pPr>
              <w:spacing w:before="60" w:after="60"/>
              <w:jc w:val="center"/>
              <w:rPr>
                <w:noProof/>
              </w:rPr>
            </w:pPr>
            <w:r>
              <w:rPr>
                <w:noProof/>
                <w:sz w:val="22"/>
              </w:rPr>
              <w:t>ГД: „Образование и култура“</w:t>
            </w:r>
          </w:p>
        </w:tc>
      </w:tr>
      <w:tr w:rsidR="00222FCC">
        <w:trPr>
          <w:trHeight w:val="313"/>
        </w:trPr>
        <w:tc>
          <w:tcPr>
            <w:tcW w:w="2679" w:type="pct"/>
            <w:gridSpan w:val="3"/>
            <w:vAlign w:val="center"/>
          </w:tcPr>
          <w:p w:rsidR="00222FCC" w:rsidRDefault="00FD122A">
            <w:pPr>
              <w:spacing w:before="20" w:after="20"/>
              <w:rPr>
                <w:noProof/>
              </w:rPr>
            </w:pPr>
            <w:r>
              <w:rPr>
                <w:noProof/>
                <w:sz w:val="22"/>
              </w:rPr>
              <w:sym w:font="Wingdings" w:char="F09F"/>
            </w:r>
            <w:r>
              <w:rPr>
                <w:noProof/>
                <w:sz w:val="22"/>
              </w:rPr>
              <w:t xml:space="preserve"> Човешки ресурси (</w:t>
            </w:r>
            <w:r>
              <w:rPr>
                <w:b/>
                <w:i/>
                <w:noProof/>
                <w:sz w:val="22"/>
              </w:rPr>
              <w:t>договорно наети служители</w:t>
            </w:r>
            <w:r>
              <w:rPr>
                <w:noProof/>
                <w:sz w:val="22"/>
              </w:rPr>
              <w:t>)</w:t>
            </w:r>
          </w:p>
        </w:tc>
        <w:tc>
          <w:tcPr>
            <w:tcW w:w="384" w:type="pct"/>
            <w:vAlign w:val="center"/>
          </w:tcPr>
          <w:p w:rsidR="00222FCC" w:rsidRDefault="00FD122A">
            <w:pPr>
              <w:spacing w:before="20" w:after="20"/>
              <w:jc w:val="right"/>
              <w:rPr>
                <w:noProof/>
                <w:sz w:val="20"/>
              </w:rPr>
            </w:pPr>
            <w:r>
              <w:rPr>
                <w:noProof/>
                <w:sz w:val="20"/>
              </w:rPr>
              <w:t xml:space="preserve">0,525 </w:t>
            </w:r>
          </w:p>
        </w:tc>
        <w:tc>
          <w:tcPr>
            <w:tcW w:w="384" w:type="pct"/>
            <w:vAlign w:val="center"/>
          </w:tcPr>
          <w:p w:rsidR="00222FCC" w:rsidRDefault="00FD122A">
            <w:pPr>
              <w:spacing w:before="20" w:after="20"/>
              <w:jc w:val="right"/>
              <w:rPr>
                <w:noProof/>
                <w:sz w:val="20"/>
              </w:rPr>
            </w:pPr>
            <w:r>
              <w:rPr>
                <w:noProof/>
                <w:sz w:val="20"/>
              </w:rPr>
              <w:t xml:space="preserve">0,385 </w:t>
            </w:r>
          </w:p>
          <w:p w:rsidR="00222FCC" w:rsidRDefault="00222FCC">
            <w:pPr>
              <w:spacing w:before="20" w:after="20"/>
              <w:jc w:val="right"/>
              <w:rPr>
                <w:noProof/>
                <w:sz w:val="20"/>
              </w:rPr>
            </w:pPr>
          </w:p>
        </w:tc>
        <w:tc>
          <w:tcPr>
            <w:tcW w:w="384" w:type="pct"/>
            <w:vAlign w:val="center"/>
          </w:tcPr>
          <w:p w:rsidR="00222FCC" w:rsidRDefault="00FD122A">
            <w:pPr>
              <w:spacing w:before="20" w:after="20"/>
              <w:jc w:val="right"/>
              <w:rPr>
                <w:noProof/>
                <w:sz w:val="20"/>
              </w:rPr>
            </w:pPr>
            <w:r>
              <w:rPr>
                <w:noProof/>
                <w:sz w:val="20"/>
              </w:rPr>
              <w:t xml:space="preserve">0,350  </w:t>
            </w:r>
          </w:p>
          <w:p w:rsidR="00222FCC" w:rsidRDefault="00222FCC">
            <w:pPr>
              <w:spacing w:before="20" w:after="20"/>
              <w:jc w:val="right"/>
              <w:rPr>
                <w:noProof/>
                <w:sz w:val="20"/>
              </w:rPr>
            </w:pPr>
          </w:p>
        </w:tc>
        <w:tc>
          <w:tcPr>
            <w:tcW w:w="384" w:type="pct"/>
            <w:vAlign w:val="center"/>
          </w:tcPr>
          <w:p w:rsidR="00222FCC" w:rsidRDefault="00FD122A">
            <w:pPr>
              <w:spacing w:before="20" w:after="20"/>
              <w:jc w:val="center"/>
              <w:rPr>
                <w:noProof/>
                <w:sz w:val="20"/>
              </w:rPr>
            </w:pPr>
            <w:r>
              <w:rPr>
                <w:noProof/>
                <w:sz w:val="20"/>
              </w:rPr>
              <w:t>.</w:t>
            </w:r>
          </w:p>
        </w:tc>
        <w:tc>
          <w:tcPr>
            <w:tcW w:w="786" w:type="pct"/>
            <w:vAlign w:val="center"/>
          </w:tcPr>
          <w:p w:rsidR="00222FCC" w:rsidRDefault="00FD122A">
            <w:pPr>
              <w:spacing w:before="20" w:after="20"/>
              <w:jc w:val="right"/>
              <w:rPr>
                <w:b/>
                <w:noProof/>
                <w:sz w:val="20"/>
              </w:rPr>
            </w:pPr>
            <w:r>
              <w:rPr>
                <w:b/>
                <w:noProof/>
                <w:sz w:val="20"/>
              </w:rPr>
              <w:t>1,260</w:t>
            </w:r>
          </w:p>
        </w:tc>
      </w:tr>
      <w:tr w:rsidR="00222FCC">
        <w:trPr>
          <w:trHeight w:val="351"/>
        </w:trPr>
        <w:tc>
          <w:tcPr>
            <w:tcW w:w="2679" w:type="pct"/>
            <w:gridSpan w:val="3"/>
            <w:vAlign w:val="center"/>
          </w:tcPr>
          <w:p w:rsidR="00222FCC" w:rsidRDefault="00FD122A">
            <w:pPr>
              <w:spacing w:before="20" w:after="20"/>
              <w:rPr>
                <w:noProof/>
              </w:rPr>
            </w:pPr>
            <w:r>
              <w:rPr>
                <w:noProof/>
                <w:sz w:val="22"/>
              </w:rPr>
              <w:sym w:font="Wingdings" w:char="F09F"/>
            </w:r>
            <w:r>
              <w:rPr>
                <w:noProof/>
                <w:sz w:val="22"/>
              </w:rPr>
              <w:t xml:space="preserve"> Други административни разходи </w:t>
            </w:r>
          </w:p>
        </w:tc>
        <w:tc>
          <w:tcPr>
            <w:tcW w:w="384" w:type="pct"/>
            <w:vAlign w:val="center"/>
          </w:tcPr>
          <w:p w:rsidR="00222FCC" w:rsidRDefault="00222FCC">
            <w:pPr>
              <w:spacing w:before="20" w:after="20"/>
              <w:jc w:val="right"/>
              <w:rPr>
                <w:b/>
                <w:noProof/>
                <w:sz w:val="20"/>
              </w:rPr>
            </w:pPr>
          </w:p>
        </w:tc>
        <w:tc>
          <w:tcPr>
            <w:tcW w:w="384" w:type="pct"/>
            <w:vAlign w:val="center"/>
          </w:tcPr>
          <w:p w:rsidR="00222FCC" w:rsidRDefault="00222FCC">
            <w:pPr>
              <w:spacing w:before="20" w:after="20"/>
              <w:jc w:val="right"/>
              <w:rPr>
                <w:b/>
                <w:noProof/>
                <w:sz w:val="20"/>
              </w:rPr>
            </w:pPr>
          </w:p>
        </w:tc>
        <w:tc>
          <w:tcPr>
            <w:tcW w:w="384" w:type="pct"/>
            <w:vAlign w:val="center"/>
          </w:tcPr>
          <w:p w:rsidR="00222FCC" w:rsidRDefault="00222FCC">
            <w:pPr>
              <w:spacing w:before="20" w:after="20"/>
              <w:jc w:val="right"/>
              <w:rPr>
                <w:b/>
                <w:noProof/>
                <w:sz w:val="20"/>
              </w:rPr>
            </w:pPr>
          </w:p>
        </w:tc>
        <w:tc>
          <w:tcPr>
            <w:tcW w:w="384" w:type="pct"/>
            <w:vAlign w:val="center"/>
          </w:tcPr>
          <w:p w:rsidR="00222FCC" w:rsidRDefault="00222FCC">
            <w:pPr>
              <w:spacing w:before="20" w:after="20"/>
              <w:jc w:val="right"/>
              <w:rPr>
                <w:b/>
                <w:noProof/>
                <w:sz w:val="20"/>
              </w:rPr>
            </w:pPr>
          </w:p>
        </w:tc>
        <w:tc>
          <w:tcPr>
            <w:tcW w:w="786" w:type="pct"/>
            <w:vAlign w:val="center"/>
          </w:tcPr>
          <w:p w:rsidR="00222FCC" w:rsidRDefault="00222FCC">
            <w:pPr>
              <w:spacing w:before="20" w:after="20"/>
              <w:jc w:val="right"/>
              <w:rPr>
                <w:b/>
                <w:noProof/>
                <w:sz w:val="20"/>
              </w:rPr>
            </w:pPr>
          </w:p>
        </w:tc>
      </w:tr>
      <w:tr w:rsidR="00222FCC">
        <w:tc>
          <w:tcPr>
            <w:tcW w:w="1752" w:type="pct"/>
            <w:vAlign w:val="center"/>
          </w:tcPr>
          <w:p w:rsidR="00222FCC" w:rsidRDefault="00FD122A">
            <w:pPr>
              <w:jc w:val="center"/>
              <w:rPr>
                <w:b/>
                <w:noProof/>
              </w:rPr>
            </w:pPr>
            <w:r>
              <w:rPr>
                <w:b/>
                <w:noProof/>
                <w:sz w:val="22"/>
              </w:rPr>
              <w:t xml:space="preserve">ОБЩО ГД </w:t>
            </w:r>
            <w:r>
              <w:rPr>
                <w:noProof/>
                <w:sz w:val="22"/>
              </w:rPr>
              <w:t>„Образование и култура“</w:t>
            </w:r>
          </w:p>
        </w:tc>
        <w:tc>
          <w:tcPr>
            <w:tcW w:w="926" w:type="pct"/>
            <w:gridSpan w:val="2"/>
            <w:vAlign w:val="center"/>
          </w:tcPr>
          <w:p w:rsidR="00222FCC" w:rsidRDefault="00FD122A">
            <w:pPr>
              <w:rPr>
                <w:noProof/>
                <w:sz w:val="14"/>
              </w:rPr>
            </w:pPr>
            <w:r>
              <w:rPr>
                <w:noProof/>
                <w:sz w:val="18"/>
              </w:rPr>
              <w:t xml:space="preserve">Бюджетни кредити </w:t>
            </w:r>
          </w:p>
        </w:tc>
        <w:tc>
          <w:tcPr>
            <w:tcW w:w="384" w:type="pct"/>
            <w:vAlign w:val="center"/>
          </w:tcPr>
          <w:p w:rsidR="00222FCC" w:rsidRDefault="00FD122A">
            <w:pPr>
              <w:spacing w:before="60" w:after="60"/>
              <w:jc w:val="right"/>
              <w:rPr>
                <w:noProof/>
                <w:sz w:val="20"/>
              </w:rPr>
            </w:pPr>
            <w:r>
              <w:rPr>
                <w:noProof/>
                <w:sz w:val="20"/>
              </w:rPr>
              <w:t>0,525</w:t>
            </w:r>
          </w:p>
        </w:tc>
        <w:tc>
          <w:tcPr>
            <w:tcW w:w="384" w:type="pct"/>
            <w:vAlign w:val="center"/>
          </w:tcPr>
          <w:p w:rsidR="00222FCC" w:rsidRDefault="00FD122A">
            <w:pPr>
              <w:spacing w:before="20" w:after="20"/>
              <w:jc w:val="right"/>
              <w:rPr>
                <w:noProof/>
                <w:sz w:val="20"/>
              </w:rPr>
            </w:pPr>
            <w:r>
              <w:rPr>
                <w:noProof/>
                <w:sz w:val="20"/>
              </w:rPr>
              <w:t>0,385</w:t>
            </w:r>
          </w:p>
        </w:tc>
        <w:tc>
          <w:tcPr>
            <w:tcW w:w="384" w:type="pct"/>
            <w:vAlign w:val="center"/>
          </w:tcPr>
          <w:p w:rsidR="00222FCC" w:rsidRDefault="00FD122A">
            <w:pPr>
              <w:spacing w:before="20" w:after="20"/>
              <w:jc w:val="right"/>
              <w:rPr>
                <w:noProof/>
                <w:sz w:val="20"/>
              </w:rPr>
            </w:pPr>
            <w:r>
              <w:rPr>
                <w:noProof/>
                <w:sz w:val="20"/>
              </w:rPr>
              <w:t>0,350</w:t>
            </w:r>
          </w:p>
        </w:tc>
        <w:tc>
          <w:tcPr>
            <w:tcW w:w="384" w:type="pct"/>
            <w:vAlign w:val="center"/>
          </w:tcPr>
          <w:p w:rsidR="00222FCC" w:rsidRDefault="00222FCC">
            <w:pPr>
              <w:spacing w:before="20" w:after="20"/>
              <w:jc w:val="right"/>
              <w:rPr>
                <w:noProof/>
                <w:sz w:val="20"/>
              </w:rPr>
            </w:pPr>
          </w:p>
        </w:tc>
        <w:tc>
          <w:tcPr>
            <w:tcW w:w="786" w:type="pct"/>
            <w:vAlign w:val="center"/>
          </w:tcPr>
          <w:p w:rsidR="00222FCC" w:rsidRDefault="00FD122A">
            <w:pPr>
              <w:spacing w:before="20" w:after="20"/>
              <w:jc w:val="right"/>
              <w:rPr>
                <w:b/>
                <w:noProof/>
                <w:sz w:val="20"/>
              </w:rPr>
            </w:pPr>
            <w:r>
              <w:rPr>
                <w:b/>
                <w:noProof/>
                <w:sz w:val="20"/>
              </w:rPr>
              <w:t>1,260</w:t>
            </w:r>
          </w:p>
        </w:tc>
      </w:tr>
    </w:tbl>
    <w:p w:rsidR="00222FCC" w:rsidRDefault="00222FC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2738"/>
        <w:gridCol w:w="1136"/>
        <w:gridCol w:w="1136"/>
        <w:gridCol w:w="1136"/>
        <w:gridCol w:w="1136"/>
        <w:gridCol w:w="2325"/>
      </w:tblGrid>
      <w:tr w:rsidR="00222FCC">
        <w:tc>
          <w:tcPr>
            <w:tcW w:w="1752" w:type="pct"/>
            <w:shd w:val="thinDiagStripe" w:color="C0C0C0" w:fill="auto"/>
            <w:vAlign w:val="center"/>
          </w:tcPr>
          <w:p w:rsidR="00222FCC" w:rsidRDefault="00FD122A">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926" w:type="pct"/>
            <w:vAlign w:val="center"/>
          </w:tcPr>
          <w:p w:rsidR="00222FCC" w:rsidRDefault="00FD122A">
            <w:pPr>
              <w:spacing w:before="40" w:after="40"/>
              <w:rPr>
                <w:noProof/>
              </w:rPr>
            </w:pPr>
            <w:r>
              <w:rPr>
                <w:noProof/>
                <w:sz w:val="18"/>
              </w:rPr>
              <w:t>(Общо поети задължения = Общо плащания)</w:t>
            </w:r>
          </w:p>
        </w:tc>
        <w:tc>
          <w:tcPr>
            <w:tcW w:w="384" w:type="pct"/>
            <w:vAlign w:val="center"/>
          </w:tcPr>
          <w:p w:rsidR="00222FCC" w:rsidRDefault="00FD122A">
            <w:pPr>
              <w:spacing w:before="20" w:after="20"/>
              <w:jc w:val="right"/>
              <w:rPr>
                <w:noProof/>
                <w:sz w:val="20"/>
              </w:rPr>
            </w:pPr>
            <w:r>
              <w:rPr>
                <w:noProof/>
                <w:sz w:val="20"/>
              </w:rPr>
              <w:t>0,525</w:t>
            </w:r>
          </w:p>
        </w:tc>
        <w:tc>
          <w:tcPr>
            <w:tcW w:w="384" w:type="pct"/>
            <w:vAlign w:val="center"/>
          </w:tcPr>
          <w:p w:rsidR="00222FCC" w:rsidRDefault="00FD122A">
            <w:pPr>
              <w:spacing w:before="20" w:after="20"/>
              <w:jc w:val="right"/>
              <w:rPr>
                <w:noProof/>
                <w:sz w:val="20"/>
              </w:rPr>
            </w:pPr>
            <w:r>
              <w:rPr>
                <w:noProof/>
                <w:sz w:val="20"/>
              </w:rPr>
              <w:t>0,385</w:t>
            </w:r>
          </w:p>
        </w:tc>
        <w:tc>
          <w:tcPr>
            <w:tcW w:w="384" w:type="pct"/>
            <w:vAlign w:val="center"/>
          </w:tcPr>
          <w:p w:rsidR="00222FCC" w:rsidRDefault="00FD122A">
            <w:pPr>
              <w:spacing w:before="20" w:after="20"/>
              <w:jc w:val="right"/>
              <w:rPr>
                <w:noProof/>
                <w:sz w:val="20"/>
              </w:rPr>
            </w:pPr>
            <w:r>
              <w:rPr>
                <w:noProof/>
                <w:sz w:val="20"/>
              </w:rPr>
              <w:t>0,350</w:t>
            </w:r>
          </w:p>
        </w:tc>
        <w:tc>
          <w:tcPr>
            <w:tcW w:w="384" w:type="pct"/>
            <w:vAlign w:val="center"/>
          </w:tcPr>
          <w:p w:rsidR="00222FCC" w:rsidRDefault="00222FCC">
            <w:pPr>
              <w:spacing w:before="20" w:after="20"/>
              <w:jc w:val="right"/>
              <w:rPr>
                <w:noProof/>
                <w:sz w:val="20"/>
              </w:rPr>
            </w:pPr>
          </w:p>
        </w:tc>
        <w:tc>
          <w:tcPr>
            <w:tcW w:w="786" w:type="pct"/>
            <w:vAlign w:val="center"/>
          </w:tcPr>
          <w:p w:rsidR="00222FCC" w:rsidRDefault="00FD122A">
            <w:pPr>
              <w:spacing w:before="20" w:after="20"/>
              <w:jc w:val="right"/>
              <w:rPr>
                <w:b/>
                <w:noProof/>
                <w:sz w:val="20"/>
              </w:rPr>
            </w:pPr>
            <w:r>
              <w:rPr>
                <w:b/>
                <w:noProof/>
                <w:sz w:val="20"/>
              </w:rPr>
              <w:t>1,260</w:t>
            </w:r>
          </w:p>
        </w:tc>
      </w:tr>
    </w:tbl>
    <w:p w:rsidR="00222FCC" w:rsidRDefault="00FD122A">
      <w:pPr>
        <w:jc w:val="right"/>
        <w:rPr>
          <w:noProof/>
          <w:sz w:val="20"/>
        </w:rPr>
      </w:pPr>
      <w:r>
        <w:rPr>
          <w:noProof/>
          <w:sz w:val="20"/>
        </w:rPr>
        <w:t>млн. EUR (до третия знак след десетичната запетая)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2040"/>
        <w:gridCol w:w="698"/>
        <w:gridCol w:w="1136"/>
        <w:gridCol w:w="1136"/>
        <w:gridCol w:w="1136"/>
        <w:gridCol w:w="1136"/>
        <w:gridCol w:w="2325"/>
      </w:tblGrid>
      <w:tr w:rsidR="00222FCC">
        <w:tc>
          <w:tcPr>
            <w:tcW w:w="1752" w:type="pct"/>
            <w:tcBorders>
              <w:top w:val="nil"/>
              <w:left w:val="nil"/>
              <w:right w:val="nil"/>
            </w:tcBorders>
            <w:vAlign w:val="center"/>
          </w:tcPr>
          <w:p w:rsidR="00222FCC" w:rsidRDefault="00222FCC">
            <w:pPr>
              <w:jc w:val="center"/>
              <w:rPr>
                <w:noProof/>
              </w:rPr>
            </w:pPr>
          </w:p>
        </w:tc>
        <w:tc>
          <w:tcPr>
            <w:tcW w:w="690" w:type="pct"/>
            <w:tcBorders>
              <w:top w:val="nil"/>
              <w:left w:val="nil"/>
              <w:right w:val="nil"/>
            </w:tcBorders>
          </w:tcPr>
          <w:p w:rsidR="00222FCC" w:rsidRDefault="00222FCC">
            <w:pPr>
              <w:rPr>
                <w:noProof/>
                <w:sz w:val="20"/>
              </w:rPr>
            </w:pPr>
          </w:p>
        </w:tc>
        <w:tc>
          <w:tcPr>
            <w:tcW w:w="236" w:type="pct"/>
            <w:tcBorders>
              <w:top w:val="nil"/>
              <w:left w:val="nil"/>
            </w:tcBorders>
          </w:tcPr>
          <w:p w:rsidR="00222FCC" w:rsidRDefault="00222FCC">
            <w:pPr>
              <w:jc w:val="center"/>
              <w:rPr>
                <w:noProof/>
                <w:sz w:val="20"/>
              </w:rPr>
            </w:pPr>
          </w:p>
        </w:tc>
        <w:tc>
          <w:tcPr>
            <w:tcW w:w="384" w:type="pct"/>
            <w:vAlign w:val="center"/>
          </w:tcPr>
          <w:p w:rsidR="00222FCC" w:rsidRDefault="00FD122A">
            <w:pPr>
              <w:jc w:val="center"/>
              <w:rPr>
                <w:noProof/>
                <w:sz w:val="20"/>
              </w:rPr>
            </w:pPr>
            <w:r>
              <w:rPr>
                <w:noProof/>
                <w:sz w:val="20"/>
              </w:rPr>
              <w:t>ГОДИНА</w:t>
            </w:r>
          </w:p>
          <w:p w:rsidR="00222FCC" w:rsidRDefault="00FD122A">
            <w:pPr>
              <w:jc w:val="center"/>
              <w:rPr>
                <w:noProof/>
                <w:sz w:val="20"/>
              </w:rPr>
            </w:pPr>
            <w:r>
              <w:rPr>
                <w:b/>
                <w:noProof/>
              </w:rPr>
              <w:t>2018</w:t>
            </w:r>
          </w:p>
        </w:tc>
        <w:tc>
          <w:tcPr>
            <w:tcW w:w="384" w:type="pct"/>
            <w:vAlign w:val="center"/>
          </w:tcPr>
          <w:p w:rsidR="00222FCC" w:rsidRDefault="00FD122A">
            <w:pPr>
              <w:jc w:val="center"/>
              <w:rPr>
                <w:noProof/>
                <w:sz w:val="20"/>
              </w:rPr>
            </w:pPr>
            <w:r>
              <w:rPr>
                <w:noProof/>
                <w:sz w:val="20"/>
              </w:rPr>
              <w:t>ГОДИНА</w:t>
            </w:r>
          </w:p>
          <w:p w:rsidR="00222FCC" w:rsidRDefault="00FD122A">
            <w:pPr>
              <w:jc w:val="center"/>
              <w:rPr>
                <w:noProof/>
                <w:sz w:val="20"/>
              </w:rPr>
            </w:pPr>
            <w:r>
              <w:rPr>
                <w:b/>
                <w:noProof/>
              </w:rPr>
              <w:t>2019</w:t>
            </w:r>
          </w:p>
        </w:tc>
        <w:tc>
          <w:tcPr>
            <w:tcW w:w="384" w:type="pct"/>
            <w:vAlign w:val="center"/>
          </w:tcPr>
          <w:p w:rsidR="00222FCC" w:rsidRDefault="00FD122A">
            <w:pPr>
              <w:jc w:val="center"/>
              <w:rPr>
                <w:noProof/>
                <w:sz w:val="20"/>
              </w:rPr>
            </w:pPr>
            <w:r>
              <w:rPr>
                <w:noProof/>
                <w:sz w:val="20"/>
              </w:rPr>
              <w:t>ГОДИНА</w:t>
            </w:r>
          </w:p>
          <w:p w:rsidR="00222FCC" w:rsidRDefault="00FD122A">
            <w:pPr>
              <w:jc w:val="center"/>
              <w:rPr>
                <w:noProof/>
                <w:sz w:val="20"/>
              </w:rPr>
            </w:pPr>
            <w:r>
              <w:rPr>
                <w:b/>
                <w:noProof/>
              </w:rPr>
              <w:t>2020</w:t>
            </w:r>
          </w:p>
        </w:tc>
        <w:tc>
          <w:tcPr>
            <w:tcW w:w="384" w:type="pct"/>
            <w:vAlign w:val="center"/>
          </w:tcPr>
          <w:p w:rsidR="00222FCC" w:rsidRDefault="00FD122A">
            <w:pPr>
              <w:jc w:val="center"/>
              <w:rPr>
                <w:noProof/>
                <w:sz w:val="20"/>
              </w:rPr>
            </w:pPr>
            <w:r>
              <w:rPr>
                <w:noProof/>
                <w:sz w:val="16"/>
              </w:rPr>
              <w:t>Следващи години</w:t>
            </w:r>
          </w:p>
        </w:tc>
        <w:tc>
          <w:tcPr>
            <w:tcW w:w="786" w:type="pct"/>
            <w:vAlign w:val="center"/>
          </w:tcPr>
          <w:p w:rsidR="00222FCC" w:rsidRDefault="00FD122A">
            <w:pPr>
              <w:jc w:val="center"/>
              <w:rPr>
                <w:b/>
                <w:noProof/>
                <w:sz w:val="20"/>
              </w:rPr>
            </w:pPr>
            <w:r>
              <w:rPr>
                <w:b/>
                <w:noProof/>
                <w:sz w:val="20"/>
              </w:rPr>
              <w:t>ОБЩО</w:t>
            </w:r>
          </w:p>
        </w:tc>
      </w:tr>
      <w:tr w:rsidR="00222FCC">
        <w:tc>
          <w:tcPr>
            <w:tcW w:w="1752" w:type="pct"/>
            <w:vMerge w:val="restart"/>
            <w:shd w:val="clear" w:color="auto" w:fill="C0C0C0"/>
            <w:vAlign w:val="center"/>
          </w:tcPr>
          <w:p w:rsidR="00222FCC" w:rsidRDefault="00FD122A">
            <w:pPr>
              <w:jc w:val="center"/>
              <w:rPr>
                <w:b/>
                <w:noProof/>
              </w:rPr>
            </w:pPr>
            <w:r>
              <w:rPr>
                <w:b/>
                <w:noProof/>
                <w:sz w:val="22"/>
              </w:rPr>
              <w:t xml:space="preserve">ОБЩО бюджетни кредити </w:t>
            </w:r>
            <w:r>
              <w:rPr>
                <w:noProof/>
                <w:sz w:val="22"/>
              </w:rPr>
              <w:br/>
            </w:r>
            <w:r>
              <w:rPr>
                <w:b/>
                <w:noProof/>
                <w:sz w:val="22"/>
              </w:rPr>
              <w:t>по ФУНКЦИИ 1 до 5</w:t>
            </w:r>
            <w:r>
              <w:rPr>
                <w:noProof/>
                <w:sz w:val="22"/>
              </w:rPr>
              <w:br/>
              <w:t>от многогодишната финансова рамка</w:t>
            </w:r>
            <w:r>
              <w:rPr>
                <w:b/>
                <w:noProof/>
                <w:sz w:val="22"/>
              </w:rPr>
              <w:t xml:space="preserve"> </w:t>
            </w:r>
          </w:p>
        </w:tc>
        <w:tc>
          <w:tcPr>
            <w:tcW w:w="926" w:type="pct"/>
            <w:gridSpan w:val="2"/>
            <w:vAlign w:val="center"/>
          </w:tcPr>
          <w:p w:rsidR="00222FCC" w:rsidRDefault="00FD122A">
            <w:pPr>
              <w:rPr>
                <w:noProof/>
                <w:sz w:val="14"/>
              </w:rPr>
            </w:pPr>
            <w:r>
              <w:rPr>
                <w:noProof/>
                <w:sz w:val="18"/>
              </w:rPr>
              <w:t>Поети задължения</w:t>
            </w:r>
          </w:p>
        </w:tc>
        <w:tc>
          <w:tcPr>
            <w:tcW w:w="384" w:type="pct"/>
            <w:vAlign w:val="center"/>
          </w:tcPr>
          <w:p w:rsidR="00222FCC" w:rsidRDefault="00FD122A">
            <w:pPr>
              <w:spacing w:before="60" w:after="60"/>
              <w:jc w:val="right"/>
              <w:rPr>
                <w:noProof/>
                <w:sz w:val="20"/>
              </w:rPr>
            </w:pPr>
            <w:r>
              <w:rPr>
                <w:noProof/>
                <w:sz w:val="20"/>
              </w:rPr>
              <w:t>89,713</w:t>
            </w:r>
          </w:p>
        </w:tc>
        <w:tc>
          <w:tcPr>
            <w:tcW w:w="384" w:type="pct"/>
            <w:vAlign w:val="center"/>
          </w:tcPr>
          <w:p w:rsidR="00222FCC" w:rsidRDefault="00FD122A">
            <w:pPr>
              <w:spacing w:before="60" w:after="60"/>
              <w:jc w:val="right"/>
              <w:rPr>
                <w:noProof/>
                <w:sz w:val="20"/>
              </w:rPr>
            </w:pPr>
            <w:r>
              <w:rPr>
                <w:noProof/>
                <w:sz w:val="20"/>
              </w:rPr>
              <w:t>119,109</w:t>
            </w:r>
          </w:p>
        </w:tc>
        <w:tc>
          <w:tcPr>
            <w:tcW w:w="384" w:type="pct"/>
            <w:vAlign w:val="center"/>
          </w:tcPr>
          <w:p w:rsidR="00222FCC" w:rsidRDefault="00FD122A">
            <w:pPr>
              <w:spacing w:before="60" w:after="60"/>
              <w:jc w:val="right"/>
              <w:rPr>
                <w:noProof/>
                <w:sz w:val="20"/>
              </w:rPr>
            </w:pPr>
            <w:r>
              <w:rPr>
                <w:noProof/>
                <w:sz w:val="20"/>
              </w:rPr>
              <w:t>133,938</w:t>
            </w:r>
          </w:p>
        </w:tc>
        <w:tc>
          <w:tcPr>
            <w:tcW w:w="384" w:type="pct"/>
            <w:vAlign w:val="center"/>
          </w:tcPr>
          <w:p w:rsidR="00222FCC" w:rsidRDefault="00FD122A">
            <w:pPr>
              <w:spacing w:before="60" w:after="60"/>
              <w:jc w:val="right"/>
              <w:rPr>
                <w:noProof/>
                <w:sz w:val="20"/>
              </w:rPr>
            </w:pPr>
            <w:r>
              <w:rPr>
                <w:noProof/>
                <w:sz w:val="20"/>
              </w:rPr>
              <w:t>0,000</w:t>
            </w:r>
          </w:p>
        </w:tc>
        <w:tc>
          <w:tcPr>
            <w:tcW w:w="786" w:type="pct"/>
            <w:vAlign w:val="center"/>
          </w:tcPr>
          <w:p w:rsidR="00222FCC" w:rsidRDefault="00FD122A">
            <w:pPr>
              <w:spacing w:before="60" w:after="60"/>
              <w:jc w:val="right"/>
              <w:rPr>
                <w:b/>
                <w:noProof/>
                <w:sz w:val="20"/>
              </w:rPr>
            </w:pPr>
            <w:r>
              <w:rPr>
                <w:b/>
                <w:noProof/>
                <w:sz w:val="20"/>
              </w:rPr>
              <w:t>342,760</w:t>
            </w:r>
          </w:p>
        </w:tc>
      </w:tr>
      <w:tr w:rsidR="00222FCC">
        <w:tc>
          <w:tcPr>
            <w:tcW w:w="1752" w:type="pct"/>
            <w:vMerge/>
            <w:shd w:val="clear" w:color="auto" w:fill="C0C0C0"/>
          </w:tcPr>
          <w:p w:rsidR="00222FCC" w:rsidRDefault="00222FCC">
            <w:pPr>
              <w:rPr>
                <w:noProof/>
                <w:sz w:val="20"/>
              </w:rPr>
            </w:pPr>
          </w:p>
        </w:tc>
        <w:tc>
          <w:tcPr>
            <w:tcW w:w="926" w:type="pct"/>
            <w:gridSpan w:val="2"/>
            <w:vAlign w:val="center"/>
          </w:tcPr>
          <w:p w:rsidR="00222FCC" w:rsidRDefault="00FD122A">
            <w:pPr>
              <w:rPr>
                <w:noProof/>
                <w:sz w:val="14"/>
              </w:rPr>
            </w:pPr>
            <w:r>
              <w:rPr>
                <w:noProof/>
                <w:sz w:val="18"/>
              </w:rPr>
              <w:t>Плащания</w:t>
            </w:r>
          </w:p>
        </w:tc>
        <w:tc>
          <w:tcPr>
            <w:tcW w:w="384" w:type="pct"/>
            <w:vAlign w:val="center"/>
          </w:tcPr>
          <w:p w:rsidR="00222FCC" w:rsidRDefault="00FD122A">
            <w:pPr>
              <w:spacing w:before="60" w:after="60"/>
              <w:jc w:val="right"/>
              <w:rPr>
                <w:noProof/>
                <w:sz w:val="20"/>
              </w:rPr>
            </w:pPr>
            <w:r>
              <w:rPr>
                <w:noProof/>
                <w:sz w:val="20"/>
              </w:rPr>
              <w:t>68,554</w:t>
            </w:r>
          </w:p>
        </w:tc>
        <w:tc>
          <w:tcPr>
            <w:tcW w:w="384" w:type="pct"/>
            <w:vAlign w:val="center"/>
          </w:tcPr>
          <w:p w:rsidR="00222FCC" w:rsidRDefault="00FD122A">
            <w:pPr>
              <w:spacing w:before="60" w:after="60"/>
              <w:jc w:val="right"/>
              <w:rPr>
                <w:noProof/>
                <w:sz w:val="20"/>
              </w:rPr>
            </w:pPr>
            <w:r>
              <w:rPr>
                <w:noProof/>
                <w:sz w:val="20"/>
              </w:rPr>
              <w:t>118,911</w:t>
            </w:r>
          </w:p>
        </w:tc>
        <w:tc>
          <w:tcPr>
            <w:tcW w:w="384" w:type="pct"/>
            <w:vAlign w:val="center"/>
          </w:tcPr>
          <w:p w:rsidR="00222FCC" w:rsidRDefault="00FD122A">
            <w:pPr>
              <w:spacing w:before="60" w:after="60"/>
              <w:jc w:val="right"/>
              <w:rPr>
                <w:noProof/>
                <w:sz w:val="20"/>
              </w:rPr>
            </w:pPr>
            <w:r>
              <w:rPr>
                <w:noProof/>
                <w:sz w:val="20"/>
              </w:rPr>
              <w:t>130,134</w:t>
            </w:r>
          </w:p>
        </w:tc>
        <w:tc>
          <w:tcPr>
            <w:tcW w:w="384" w:type="pct"/>
            <w:vAlign w:val="center"/>
          </w:tcPr>
          <w:p w:rsidR="00222FCC" w:rsidRDefault="00FD122A">
            <w:pPr>
              <w:spacing w:before="60" w:after="60"/>
              <w:jc w:val="right"/>
              <w:rPr>
                <w:noProof/>
                <w:sz w:val="20"/>
              </w:rPr>
            </w:pPr>
            <w:r>
              <w:rPr>
                <w:noProof/>
                <w:sz w:val="20"/>
              </w:rPr>
              <w:t>25,162</w:t>
            </w:r>
          </w:p>
        </w:tc>
        <w:tc>
          <w:tcPr>
            <w:tcW w:w="786" w:type="pct"/>
            <w:vAlign w:val="center"/>
          </w:tcPr>
          <w:p w:rsidR="00222FCC" w:rsidRDefault="00FD122A">
            <w:pPr>
              <w:spacing w:before="60" w:after="60"/>
              <w:jc w:val="right"/>
              <w:rPr>
                <w:b/>
                <w:noProof/>
                <w:sz w:val="20"/>
              </w:rPr>
            </w:pPr>
            <w:r>
              <w:rPr>
                <w:b/>
                <w:noProof/>
                <w:sz w:val="20"/>
              </w:rPr>
              <w:t>342,760</w:t>
            </w:r>
          </w:p>
        </w:tc>
      </w:tr>
    </w:tbl>
    <w:p w:rsidR="00222FCC" w:rsidRDefault="00222FCC">
      <w:pPr>
        <w:rPr>
          <w:noProof/>
          <w:szCs w:val="24"/>
        </w:rPr>
      </w:pPr>
    </w:p>
    <w:p w:rsidR="00222FCC" w:rsidRDefault="00FD122A">
      <w:pPr>
        <w:pStyle w:val="ManualHeading3"/>
        <w:rPr>
          <w:bCs/>
          <w:noProof/>
          <w:szCs w:val="24"/>
        </w:rPr>
      </w:pPr>
      <w:r>
        <w:t>3.2.</w:t>
      </w:r>
      <w:proofErr w:type="spellStart"/>
      <w:r>
        <w:t>2</w:t>
      </w:r>
      <w:proofErr w:type="spellEnd"/>
      <w:r>
        <w:t>.</w:t>
      </w:r>
      <w:r>
        <w:tab/>
      </w:r>
      <w:r>
        <w:rPr>
          <w:noProof/>
        </w:rPr>
        <w:t xml:space="preserve">Очаквано отражение върху бюджетните кредити за оперативни разходи </w:t>
      </w:r>
    </w:p>
    <w:p w:rsidR="00222FCC" w:rsidRDefault="00FD122A">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rsidR="00222FCC" w:rsidRDefault="00FD122A">
      <w:pPr>
        <w:pStyle w:val="ListDash1"/>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w:t>
      </w:r>
      <w:r>
        <w:rPr>
          <w:noProof/>
        </w:rPr>
        <w:t>о обяснението по-долу:</w:t>
      </w:r>
    </w:p>
    <w:p w:rsidR="00222FCC" w:rsidRDefault="00FD122A">
      <w:pPr>
        <w:jc w:val="right"/>
        <w:rPr>
          <w:noProof/>
          <w:sz w:val="20"/>
        </w:rPr>
      </w:pPr>
      <w:r>
        <w:rPr>
          <w:noProof/>
          <w:sz w:val="20"/>
        </w:rPr>
        <w:t>Бюджетни кредити за поети задължения в млн. EUR (до третия знак след десетичната запетая)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2109"/>
        <w:gridCol w:w="1047"/>
        <w:gridCol w:w="964"/>
        <w:gridCol w:w="1159"/>
        <w:gridCol w:w="976"/>
        <w:gridCol w:w="1248"/>
        <w:gridCol w:w="1085"/>
        <w:gridCol w:w="1251"/>
        <w:gridCol w:w="982"/>
        <w:gridCol w:w="1772"/>
      </w:tblGrid>
      <w:tr w:rsidR="00222FCC">
        <w:trPr>
          <w:jc w:val="center"/>
        </w:trPr>
        <w:tc>
          <w:tcPr>
            <w:tcW w:w="742" w:type="pct"/>
            <w:vMerge w:val="restart"/>
            <w:vAlign w:val="center"/>
          </w:tcPr>
          <w:p w:rsidR="00222FCC" w:rsidRDefault="00FD122A">
            <w:pPr>
              <w:ind w:right="-29"/>
              <w:jc w:val="center"/>
              <w:rPr>
                <w:b/>
                <w:noProof/>
                <w:sz w:val="18"/>
                <w:szCs w:val="18"/>
              </w:rPr>
            </w:pPr>
            <w:r>
              <w:rPr>
                <w:b/>
                <w:noProof/>
                <w:sz w:val="18"/>
              </w:rPr>
              <w:t xml:space="preserve">Да се посочат целите и крайните продукти </w:t>
            </w:r>
          </w:p>
          <w:p w:rsidR="00222FCC" w:rsidRDefault="00222FCC">
            <w:pPr>
              <w:ind w:right="-29"/>
              <w:jc w:val="center"/>
              <w:rPr>
                <w:b/>
                <w:noProof/>
                <w:sz w:val="18"/>
                <w:szCs w:val="18"/>
              </w:rPr>
            </w:pPr>
          </w:p>
          <w:p w:rsidR="00222FCC" w:rsidRDefault="00FD122A">
            <w:pPr>
              <w:ind w:right="-29"/>
              <w:jc w:val="center"/>
              <w:rPr>
                <w:noProof/>
                <w:sz w:val="18"/>
                <w:szCs w:val="18"/>
              </w:rPr>
            </w:pPr>
            <w:r>
              <w:rPr>
                <w:noProof/>
                <w:sz w:val="18"/>
              </w:rPr>
              <w:sym w:font="Wingdings" w:char="F0F2"/>
            </w:r>
          </w:p>
        </w:tc>
        <w:tc>
          <w:tcPr>
            <w:tcW w:w="713" w:type="pct"/>
            <w:vAlign w:val="center"/>
          </w:tcPr>
          <w:p w:rsidR="00222FCC" w:rsidRDefault="00222FCC">
            <w:pPr>
              <w:ind w:right="-29"/>
              <w:jc w:val="center"/>
              <w:rPr>
                <w:noProof/>
                <w:sz w:val="18"/>
                <w:szCs w:val="18"/>
              </w:rPr>
            </w:pPr>
          </w:p>
        </w:tc>
        <w:tc>
          <w:tcPr>
            <w:tcW w:w="354" w:type="pct"/>
            <w:vAlign w:val="center"/>
          </w:tcPr>
          <w:p w:rsidR="00222FCC" w:rsidRDefault="00222FCC">
            <w:pPr>
              <w:ind w:right="-29"/>
              <w:jc w:val="center"/>
              <w:rPr>
                <w:noProof/>
                <w:sz w:val="18"/>
                <w:szCs w:val="18"/>
              </w:rPr>
            </w:pPr>
          </w:p>
        </w:tc>
        <w:tc>
          <w:tcPr>
            <w:tcW w:w="717" w:type="pct"/>
            <w:gridSpan w:val="2"/>
            <w:tcBorders>
              <w:left w:val="nil"/>
            </w:tcBorders>
            <w:vAlign w:val="center"/>
          </w:tcPr>
          <w:p w:rsidR="00222FCC" w:rsidRDefault="00FD122A">
            <w:pPr>
              <w:jc w:val="center"/>
              <w:rPr>
                <w:noProof/>
                <w:sz w:val="20"/>
              </w:rPr>
            </w:pPr>
            <w:r>
              <w:rPr>
                <w:noProof/>
                <w:sz w:val="20"/>
              </w:rPr>
              <w:t>ГОДИНА</w:t>
            </w:r>
          </w:p>
          <w:p w:rsidR="00222FCC" w:rsidRDefault="00FD122A">
            <w:pPr>
              <w:ind w:right="-29"/>
              <w:jc w:val="center"/>
              <w:rPr>
                <w:noProof/>
                <w:sz w:val="18"/>
                <w:szCs w:val="18"/>
              </w:rPr>
            </w:pPr>
            <w:r>
              <w:rPr>
                <w:b/>
                <w:noProof/>
              </w:rPr>
              <w:t>2018</w:t>
            </w:r>
          </w:p>
        </w:tc>
        <w:tc>
          <w:tcPr>
            <w:tcW w:w="752" w:type="pct"/>
            <w:gridSpan w:val="2"/>
            <w:vAlign w:val="center"/>
          </w:tcPr>
          <w:p w:rsidR="00222FCC" w:rsidRDefault="00FD122A">
            <w:pPr>
              <w:jc w:val="center"/>
              <w:rPr>
                <w:noProof/>
                <w:sz w:val="20"/>
              </w:rPr>
            </w:pPr>
            <w:r>
              <w:rPr>
                <w:noProof/>
                <w:sz w:val="20"/>
              </w:rPr>
              <w:t>ГОДИНА</w:t>
            </w:r>
          </w:p>
          <w:p w:rsidR="00222FCC" w:rsidRDefault="00FD122A">
            <w:pPr>
              <w:ind w:right="-29"/>
              <w:jc w:val="center"/>
              <w:rPr>
                <w:noProof/>
                <w:sz w:val="18"/>
                <w:szCs w:val="18"/>
              </w:rPr>
            </w:pPr>
            <w:r>
              <w:rPr>
                <w:b/>
                <w:noProof/>
              </w:rPr>
              <w:t>2019</w:t>
            </w:r>
          </w:p>
        </w:tc>
        <w:tc>
          <w:tcPr>
            <w:tcW w:w="790" w:type="pct"/>
            <w:gridSpan w:val="2"/>
            <w:vAlign w:val="center"/>
          </w:tcPr>
          <w:p w:rsidR="00222FCC" w:rsidRDefault="00FD122A">
            <w:pPr>
              <w:jc w:val="center"/>
              <w:rPr>
                <w:noProof/>
                <w:sz w:val="20"/>
              </w:rPr>
            </w:pPr>
            <w:r>
              <w:rPr>
                <w:noProof/>
                <w:sz w:val="20"/>
              </w:rPr>
              <w:t>ГОДИНА</w:t>
            </w:r>
          </w:p>
          <w:p w:rsidR="00222FCC" w:rsidRDefault="00FD122A">
            <w:pPr>
              <w:ind w:right="-29"/>
              <w:jc w:val="center"/>
              <w:rPr>
                <w:noProof/>
                <w:sz w:val="18"/>
                <w:szCs w:val="18"/>
              </w:rPr>
            </w:pPr>
            <w:r>
              <w:rPr>
                <w:b/>
                <w:noProof/>
              </w:rPr>
              <w:t>2020</w:t>
            </w:r>
          </w:p>
        </w:tc>
        <w:tc>
          <w:tcPr>
            <w:tcW w:w="932" w:type="pct"/>
            <w:gridSpan w:val="2"/>
            <w:tcBorders>
              <w:left w:val="nil"/>
              <w:bottom w:val="nil"/>
            </w:tcBorders>
            <w:vAlign w:val="center"/>
          </w:tcPr>
          <w:p w:rsidR="00222FCC" w:rsidRDefault="00FD122A">
            <w:pPr>
              <w:ind w:right="-29"/>
              <w:jc w:val="center"/>
              <w:rPr>
                <w:noProof/>
                <w:sz w:val="18"/>
                <w:szCs w:val="18"/>
              </w:rPr>
            </w:pPr>
            <w:r>
              <w:rPr>
                <w:b/>
                <w:noProof/>
                <w:sz w:val="18"/>
              </w:rPr>
              <w:t>ОБЩО</w:t>
            </w:r>
          </w:p>
        </w:tc>
      </w:tr>
      <w:tr w:rsidR="00222FCC">
        <w:trPr>
          <w:jc w:val="center"/>
        </w:trPr>
        <w:tc>
          <w:tcPr>
            <w:tcW w:w="742" w:type="pct"/>
            <w:vMerge/>
            <w:vAlign w:val="center"/>
          </w:tcPr>
          <w:p w:rsidR="00222FCC" w:rsidRDefault="00222FCC">
            <w:pPr>
              <w:ind w:right="-29"/>
              <w:jc w:val="center"/>
              <w:rPr>
                <w:noProof/>
                <w:sz w:val="18"/>
                <w:szCs w:val="18"/>
              </w:rPr>
            </w:pPr>
          </w:p>
        </w:tc>
        <w:tc>
          <w:tcPr>
            <w:tcW w:w="713" w:type="pct"/>
            <w:vAlign w:val="center"/>
          </w:tcPr>
          <w:p w:rsidR="00222FCC" w:rsidRDefault="00FD122A">
            <w:pPr>
              <w:spacing w:before="60" w:after="60"/>
              <w:ind w:right="-29"/>
              <w:jc w:val="center"/>
              <w:rPr>
                <w:noProof/>
                <w:sz w:val="18"/>
                <w:szCs w:val="18"/>
              </w:rPr>
            </w:pPr>
            <w:r>
              <w:rPr>
                <w:b/>
                <w:noProof/>
                <w:sz w:val="18"/>
              </w:rPr>
              <w:t>КРАЙНИ ПРОДУКТИ</w:t>
            </w:r>
          </w:p>
        </w:tc>
        <w:tc>
          <w:tcPr>
            <w:tcW w:w="354" w:type="pct"/>
            <w:vAlign w:val="center"/>
          </w:tcPr>
          <w:p w:rsidR="00222FCC" w:rsidRDefault="00222FCC">
            <w:pPr>
              <w:spacing w:before="60" w:after="60"/>
              <w:ind w:right="-29"/>
              <w:jc w:val="center"/>
              <w:rPr>
                <w:noProof/>
                <w:sz w:val="18"/>
                <w:szCs w:val="18"/>
              </w:rPr>
            </w:pPr>
          </w:p>
        </w:tc>
        <w:tc>
          <w:tcPr>
            <w:tcW w:w="717" w:type="pct"/>
            <w:gridSpan w:val="2"/>
            <w:vAlign w:val="center"/>
          </w:tcPr>
          <w:p w:rsidR="00222FCC" w:rsidRDefault="00222FCC">
            <w:pPr>
              <w:spacing w:before="60" w:after="60"/>
              <w:ind w:right="-29"/>
              <w:jc w:val="center"/>
              <w:rPr>
                <w:noProof/>
                <w:sz w:val="18"/>
                <w:szCs w:val="18"/>
              </w:rPr>
            </w:pPr>
          </w:p>
        </w:tc>
        <w:tc>
          <w:tcPr>
            <w:tcW w:w="752" w:type="pct"/>
            <w:gridSpan w:val="2"/>
            <w:vAlign w:val="center"/>
          </w:tcPr>
          <w:p w:rsidR="00222FCC" w:rsidRDefault="00222FCC">
            <w:pPr>
              <w:spacing w:before="60" w:after="60"/>
              <w:ind w:right="-29"/>
              <w:jc w:val="center"/>
              <w:rPr>
                <w:noProof/>
                <w:sz w:val="18"/>
                <w:szCs w:val="18"/>
              </w:rPr>
            </w:pPr>
          </w:p>
        </w:tc>
        <w:tc>
          <w:tcPr>
            <w:tcW w:w="790" w:type="pct"/>
            <w:gridSpan w:val="2"/>
            <w:vAlign w:val="center"/>
          </w:tcPr>
          <w:p w:rsidR="00222FCC" w:rsidRDefault="00222FCC">
            <w:pPr>
              <w:spacing w:before="60" w:after="60"/>
              <w:ind w:right="-29"/>
              <w:jc w:val="center"/>
              <w:rPr>
                <w:noProof/>
                <w:sz w:val="18"/>
                <w:szCs w:val="18"/>
              </w:rPr>
            </w:pPr>
          </w:p>
        </w:tc>
        <w:tc>
          <w:tcPr>
            <w:tcW w:w="932" w:type="pct"/>
            <w:gridSpan w:val="2"/>
            <w:vAlign w:val="center"/>
          </w:tcPr>
          <w:p w:rsidR="00222FCC" w:rsidRDefault="00222FCC">
            <w:pPr>
              <w:spacing w:before="60" w:after="60"/>
              <w:ind w:right="-29"/>
              <w:jc w:val="center"/>
              <w:rPr>
                <w:noProof/>
                <w:sz w:val="18"/>
                <w:szCs w:val="18"/>
              </w:rPr>
            </w:pPr>
          </w:p>
        </w:tc>
      </w:tr>
      <w:tr w:rsidR="00222FCC">
        <w:trPr>
          <w:cantSplit/>
          <w:trHeight w:val="1134"/>
          <w:jc w:val="center"/>
        </w:trPr>
        <w:tc>
          <w:tcPr>
            <w:tcW w:w="742" w:type="pct"/>
            <w:vMerge/>
            <w:vAlign w:val="center"/>
          </w:tcPr>
          <w:p w:rsidR="00222FCC" w:rsidRDefault="00222FCC">
            <w:pPr>
              <w:rPr>
                <w:noProof/>
                <w:sz w:val="18"/>
                <w:szCs w:val="18"/>
              </w:rPr>
            </w:pPr>
          </w:p>
        </w:tc>
        <w:tc>
          <w:tcPr>
            <w:tcW w:w="713" w:type="pct"/>
            <w:vAlign w:val="center"/>
          </w:tcPr>
          <w:p w:rsidR="00222FCC" w:rsidRDefault="00FD122A">
            <w:pPr>
              <w:jc w:val="center"/>
              <w:rPr>
                <w:noProof/>
                <w:sz w:val="18"/>
                <w:szCs w:val="18"/>
              </w:rPr>
            </w:pPr>
            <w:r>
              <w:rPr>
                <w:noProof/>
                <w:sz w:val="18"/>
              </w:rPr>
              <w:t>Вид</w:t>
            </w:r>
          </w:p>
          <w:p w:rsidR="00222FCC" w:rsidRDefault="00222FCC">
            <w:pPr>
              <w:spacing w:before="0" w:after="0"/>
              <w:jc w:val="center"/>
              <w:rPr>
                <w:noProof/>
                <w:sz w:val="18"/>
                <w:szCs w:val="18"/>
              </w:rPr>
            </w:pPr>
          </w:p>
        </w:tc>
        <w:tc>
          <w:tcPr>
            <w:tcW w:w="354" w:type="pct"/>
            <w:vAlign w:val="center"/>
          </w:tcPr>
          <w:p w:rsidR="00222FCC" w:rsidRDefault="00FD122A">
            <w:pPr>
              <w:spacing w:before="0" w:after="0"/>
              <w:jc w:val="center"/>
              <w:rPr>
                <w:noProof/>
                <w:sz w:val="18"/>
                <w:szCs w:val="18"/>
              </w:rPr>
            </w:pPr>
            <w:r>
              <w:rPr>
                <w:noProof/>
                <w:sz w:val="18"/>
              </w:rPr>
              <w:t xml:space="preserve">Среден разход </w:t>
            </w:r>
          </w:p>
        </w:tc>
        <w:tc>
          <w:tcPr>
            <w:tcW w:w="326" w:type="pct"/>
            <w:tcBorders>
              <w:left w:val="nil"/>
              <w:right w:val="dashSmallGap" w:sz="4" w:space="0" w:color="auto"/>
            </w:tcBorders>
            <w:shd w:val="pct10" w:color="auto" w:fill="auto"/>
            <w:textDirection w:val="btLr"/>
            <w:vAlign w:val="center"/>
          </w:tcPr>
          <w:p w:rsidR="00222FCC" w:rsidRDefault="00FD122A">
            <w:pPr>
              <w:ind w:left="113" w:right="113"/>
              <w:jc w:val="center"/>
              <w:rPr>
                <w:noProof/>
                <w:sz w:val="18"/>
                <w:szCs w:val="18"/>
              </w:rPr>
            </w:pPr>
            <w:r>
              <w:rPr>
                <w:noProof/>
                <w:sz w:val="18"/>
              </w:rPr>
              <w:t xml:space="preserve">Брой </w:t>
            </w:r>
          </w:p>
        </w:tc>
        <w:tc>
          <w:tcPr>
            <w:tcW w:w="392" w:type="pct"/>
            <w:tcBorders>
              <w:left w:val="dashSmallGap" w:sz="4" w:space="0" w:color="auto"/>
            </w:tcBorders>
            <w:shd w:val="pct10" w:color="auto" w:fill="auto"/>
            <w:vAlign w:val="center"/>
          </w:tcPr>
          <w:p w:rsidR="00222FCC" w:rsidRDefault="00FD122A">
            <w:pPr>
              <w:jc w:val="center"/>
              <w:rPr>
                <w:noProof/>
                <w:sz w:val="18"/>
                <w:szCs w:val="18"/>
              </w:rPr>
            </w:pPr>
            <w:r>
              <w:rPr>
                <w:noProof/>
                <w:sz w:val="18"/>
              </w:rPr>
              <w:t>Разходи</w:t>
            </w:r>
          </w:p>
        </w:tc>
        <w:tc>
          <w:tcPr>
            <w:tcW w:w="330" w:type="pct"/>
            <w:tcBorders>
              <w:right w:val="dashSmallGap" w:sz="4" w:space="0" w:color="auto"/>
            </w:tcBorders>
            <w:shd w:val="pct10" w:color="auto" w:fill="auto"/>
            <w:textDirection w:val="btLr"/>
            <w:vAlign w:val="center"/>
          </w:tcPr>
          <w:p w:rsidR="00222FCC" w:rsidRDefault="00FD122A">
            <w:pPr>
              <w:ind w:left="113" w:right="113"/>
              <w:jc w:val="center"/>
              <w:rPr>
                <w:noProof/>
                <w:sz w:val="18"/>
                <w:szCs w:val="18"/>
              </w:rPr>
            </w:pPr>
            <w:r>
              <w:rPr>
                <w:noProof/>
                <w:sz w:val="18"/>
              </w:rPr>
              <w:t xml:space="preserve">Брой </w:t>
            </w:r>
          </w:p>
        </w:tc>
        <w:tc>
          <w:tcPr>
            <w:tcW w:w="422" w:type="pct"/>
            <w:tcBorders>
              <w:left w:val="dashSmallGap" w:sz="4" w:space="0" w:color="auto"/>
            </w:tcBorders>
            <w:shd w:val="pct10" w:color="auto" w:fill="auto"/>
            <w:vAlign w:val="center"/>
          </w:tcPr>
          <w:p w:rsidR="00222FCC" w:rsidRDefault="00FD122A">
            <w:pPr>
              <w:jc w:val="center"/>
              <w:rPr>
                <w:noProof/>
                <w:sz w:val="18"/>
                <w:szCs w:val="18"/>
              </w:rPr>
            </w:pPr>
            <w:r>
              <w:rPr>
                <w:noProof/>
                <w:sz w:val="18"/>
              </w:rPr>
              <w:t>Разходи</w:t>
            </w:r>
          </w:p>
        </w:tc>
        <w:tc>
          <w:tcPr>
            <w:tcW w:w="367" w:type="pct"/>
            <w:tcBorders>
              <w:right w:val="dashSmallGap" w:sz="4" w:space="0" w:color="auto"/>
            </w:tcBorders>
            <w:shd w:val="pct10" w:color="auto" w:fill="auto"/>
            <w:textDirection w:val="btLr"/>
            <w:vAlign w:val="center"/>
          </w:tcPr>
          <w:p w:rsidR="00222FCC" w:rsidRDefault="00FD122A">
            <w:pPr>
              <w:ind w:left="113" w:right="113"/>
              <w:jc w:val="center"/>
              <w:rPr>
                <w:noProof/>
                <w:sz w:val="18"/>
                <w:szCs w:val="18"/>
              </w:rPr>
            </w:pPr>
            <w:r>
              <w:rPr>
                <w:noProof/>
                <w:sz w:val="18"/>
              </w:rPr>
              <w:t xml:space="preserve">Брой </w:t>
            </w:r>
          </w:p>
        </w:tc>
        <w:tc>
          <w:tcPr>
            <w:tcW w:w="423" w:type="pct"/>
            <w:tcBorders>
              <w:left w:val="dashSmallGap" w:sz="4" w:space="0" w:color="auto"/>
            </w:tcBorders>
            <w:shd w:val="pct10" w:color="auto" w:fill="auto"/>
            <w:vAlign w:val="center"/>
          </w:tcPr>
          <w:p w:rsidR="00222FCC" w:rsidRDefault="00FD122A">
            <w:pPr>
              <w:jc w:val="center"/>
              <w:rPr>
                <w:noProof/>
                <w:sz w:val="18"/>
                <w:szCs w:val="18"/>
              </w:rPr>
            </w:pPr>
            <w:r>
              <w:rPr>
                <w:noProof/>
                <w:sz w:val="18"/>
              </w:rPr>
              <w:t>Разходи</w:t>
            </w:r>
          </w:p>
        </w:tc>
        <w:tc>
          <w:tcPr>
            <w:tcW w:w="332" w:type="pct"/>
            <w:tcBorders>
              <w:right w:val="dashSmallGap" w:sz="4" w:space="0" w:color="auto"/>
            </w:tcBorders>
            <w:shd w:val="pct10" w:color="auto" w:fill="auto"/>
            <w:vAlign w:val="center"/>
          </w:tcPr>
          <w:p w:rsidR="00222FCC" w:rsidRDefault="00FD122A">
            <w:pPr>
              <w:jc w:val="center"/>
              <w:rPr>
                <w:noProof/>
                <w:sz w:val="18"/>
                <w:szCs w:val="18"/>
              </w:rPr>
            </w:pPr>
            <w:r>
              <w:rPr>
                <w:noProof/>
                <w:sz w:val="18"/>
              </w:rPr>
              <w:t xml:space="preserve">Общ брой </w:t>
            </w:r>
          </w:p>
        </w:tc>
        <w:tc>
          <w:tcPr>
            <w:tcW w:w="600" w:type="pct"/>
            <w:tcBorders>
              <w:left w:val="dashSmallGap" w:sz="4" w:space="0" w:color="auto"/>
            </w:tcBorders>
            <w:shd w:val="pct10" w:color="auto" w:fill="auto"/>
            <w:vAlign w:val="center"/>
          </w:tcPr>
          <w:p w:rsidR="00222FCC" w:rsidRDefault="00FD122A">
            <w:pPr>
              <w:jc w:val="center"/>
              <w:rPr>
                <w:noProof/>
                <w:sz w:val="18"/>
                <w:szCs w:val="18"/>
              </w:rPr>
            </w:pPr>
            <w:r>
              <w:rPr>
                <w:noProof/>
                <w:sz w:val="18"/>
              </w:rPr>
              <w:t>Общо разходи</w:t>
            </w:r>
          </w:p>
        </w:tc>
      </w:tr>
      <w:tr w:rsidR="00222FCC">
        <w:trPr>
          <w:trHeight w:hRule="exact" w:val="661"/>
          <w:jc w:val="center"/>
        </w:trPr>
        <w:tc>
          <w:tcPr>
            <w:tcW w:w="742" w:type="pct"/>
          </w:tcPr>
          <w:p w:rsidR="00222FCC" w:rsidRDefault="00FD122A">
            <w:pPr>
              <w:ind w:right="-29"/>
              <w:jc w:val="center"/>
              <w:rPr>
                <w:noProof/>
                <w:sz w:val="18"/>
                <w:szCs w:val="18"/>
              </w:rPr>
            </w:pPr>
            <w:r>
              <w:rPr>
                <w:noProof/>
                <w:sz w:val="18"/>
              </w:rPr>
              <w:t>— Резултат</w:t>
            </w:r>
          </w:p>
        </w:tc>
        <w:tc>
          <w:tcPr>
            <w:tcW w:w="713" w:type="pct"/>
          </w:tcPr>
          <w:p w:rsidR="00222FCC" w:rsidRDefault="00FD122A">
            <w:pPr>
              <w:ind w:right="-29"/>
              <w:jc w:val="center"/>
              <w:rPr>
                <w:noProof/>
                <w:sz w:val="18"/>
                <w:szCs w:val="18"/>
              </w:rPr>
            </w:pPr>
            <w:r>
              <w:rPr>
                <w:noProof/>
                <w:sz w:val="18"/>
              </w:rPr>
              <w:t>Участници в доброволчески назначения</w:t>
            </w:r>
          </w:p>
        </w:tc>
        <w:tc>
          <w:tcPr>
            <w:tcW w:w="354" w:type="pct"/>
          </w:tcPr>
          <w:p w:rsidR="00222FCC" w:rsidRDefault="00FD122A">
            <w:pPr>
              <w:jc w:val="center"/>
              <w:rPr>
                <w:noProof/>
                <w:sz w:val="18"/>
                <w:szCs w:val="18"/>
              </w:rPr>
            </w:pPr>
            <w:r>
              <w:rPr>
                <w:noProof/>
                <w:sz w:val="18"/>
              </w:rPr>
              <w:t>3 264</w:t>
            </w:r>
          </w:p>
        </w:tc>
        <w:tc>
          <w:tcPr>
            <w:tcW w:w="326" w:type="pct"/>
            <w:tcBorders>
              <w:right w:val="dashSmallGap" w:sz="4" w:space="0" w:color="auto"/>
            </w:tcBorders>
          </w:tcPr>
          <w:p w:rsidR="00222FCC" w:rsidRDefault="00FD122A">
            <w:pPr>
              <w:ind w:right="-29"/>
              <w:jc w:val="center"/>
              <w:rPr>
                <w:noProof/>
                <w:sz w:val="18"/>
                <w:szCs w:val="18"/>
              </w:rPr>
            </w:pPr>
            <w:r>
              <w:rPr>
                <w:noProof/>
                <w:sz w:val="18"/>
              </w:rPr>
              <w:t>12 500</w:t>
            </w:r>
          </w:p>
        </w:tc>
        <w:tc>
          <w:tcPr>
            <w:tcW w:w="392" w:type="pct"/>
            <w:tcBorders>
              <w:left w:val="dashSmallGap" w:sz="4" w:space="0" w:color="auto"/>
            </w:tcBorders>
          </w:tcPr>
          <w:p w:rsidR="00222FCC" w:rsidRDefault="00FD122A">
            <w:pPr>
              <w:ind w:right="-29"/>
              <w:jc w:val="center"/>
              <w:rPr>
                <w:noProof/>
                <w:sz w:val="18"/>
                <w:szCs w:val="18"/>
              </w:rPr>
            </w:pPr>
            <w:r>
              <w:rPr>
                <w:noProof/>
                <w:sz w:val="18"/>
              </w:rPr>
              <w:t>40,790</w:t>
            </w:r>
          </w:p>
        </w:tc>
        <w:tc>
          <w:tcPr>
            <w:tcW w:w="330" w:type="pct"/>
            <w:tcBorders>
              <w:right w:val="dashSmallGap" w:sz="4" w:space="0" w:color="auto"/>
            </w:tcBorders>
          </w:tcPr>
          <w:p w:rsidR="00222FCC" w:rsidRDefault="00FD122A">
            <w:pPr>
              <w:ind w:right="-29"/>
              <w:jc w:val="center"/>
              <w:rPr>
                <w:noProof/>
                <w:sz w:val="18"/>
                <w:szCs w:val="18"/>
              </w:rPr>
            </w:pPr>
            <w:r>
              <w:rPr>
                <w:noProof/>
                <w:sz w:val="18"/>
              </w:rPr>
              <w:t>17 500</w:t>
            </w:r>
          </w:p>
        </w:tc>
        <w:tc>
          <w:tcPr>
            <w:tcW w:w="422" w:type="pct"/>
            <w:tcBorders>
              <w:left w:val="dashSmallGap" w:sz="4" w:space="0" w:color="auto"/>
            </w:tcBorders>
          </w:tcPr>
          <w:p w:rsidR="00222FCC" w:rsidRDefault="00FD122A">
            <w:pPr>
              <w:ind w:right="-29"/>
              <w:jc w:val="center"/>
              <w:rPr>
                <w:noProof/>
                <w:sz w:val="18"/>
                <w:szCs w:val="18"/>
              </w:rPr>
            </w:pPr>
            <w:r>
              <w:rPr>
                <w:noProof/>
                <w:sz w:val="18"/>
              </w:rPr>
              <w:t>57,105</w:t>
            </w:r>
          </w:p>
        </w:tc>
        <w:tc>
          <w:tcPr>
            <w:tcW w:w="367" w:type="pct"/>
            <w:tcBorders>
              <w:right w:val="dashSmallGap" w:sz="4" w:space="0" w:color="auto"/>
            </w:tcBorders>
          </w:tcPr>
          <w:p w:rsidR="00222FCC" w:rsidRDefault="00FD122A">
            <w:pPr>
              <w:ind w:right="-29"/>
              <w:jc w:val="center"/>
              <w:rPr>
                <w:noProof/>
                <w:sz w:val="18"/>
                <w:szCs w:val="18"/>
              </w:rPr>
            </w:pPr>
            <w:r>
              <w:rPr>
                <w:noProof/>
                <w:sz w:val="18"/>
              </w:rPr>
              <w:t>20 000</w:t>
            </w:r>
          </w:p>
        </w:tc>
        <w:tc>
          <w:tcPr>
            <w:tcW w:w="423" w:type="pct"/>
            <w:tcBorders>
              <w:left w:val="dashSmallGap" w:sz="4" w:space="0" w:color="auto"/>
            </w:tcBorders>
          </w:tcPr>
          <w:p w:rsidR="00222FCC" w:rsidRDefault="00FD122A">
            <w:pPr>
              <w:ind w:right="-29"/>
              <w:jc w:val="center"/>
              <w:rPr>
                <w:noProof/>
                <w:sz w:val="18"/>
                <w:szCs w:val="18"/>
              </w:rPr>
            </w:pPr>
            <w:r>
              <w:rPr>
                <w:noProof/>
                <w:sz w:val="18"/>
              </w:rPr>
              <w:t>65,295</w:t>
            </w:r>
          </w:p>
        </w:tc>
        <w:tc>
          <w:tcPr>
            <w:tcW w:w="332" w:type="pct"/>
          </w:tcPr>
          <w:p w:rsidR="00222FCC" w:rsidRDefault="00FD122A">
            <w:pPr>
              <w:ind w:right="-29"/>
              <w:jc w:val="center"/>
              <w:rPr>
                <w:noProof/>
                <w:sz w:val="18"/>
                <w:szCs w:val="18"/>
              </w:rPr>
            </w:pPr>
            <w:r>
              <w:rPr>
                <w:noProof/>
                <w:sz w:val="18"/>
              </w:rPr>
              <w:t>50 000</w:t>
            </w:r>
          </w:p>
        </w:tc>
        <w:tc>
          <w:tcPr>
            <w:tcW w:w="600" w:type="pct"/>
          </w:tcPr>
          <w:p w:rsidR="00222FCC" w:rsidRDefault="00FD122A">
            <w:pPr>
              <w:ind w:right="-29"/>
              <w:jc w:val="center"/>
              <w:rPr>
                <w:noProof/>
                <w:sz w:val="18"/>
                <w:szCs w:val="18"/>
              </w:rPr>
            </w:pPr>
            <w:r>
              <w:rPr>
                <w:noProof/>
                <w:sz w:val="18"/>
              </w:rPr>
              <w:t>163,190</w:t>
            </w:r>
          </w:p>
        </w:tc>
      </w:tr>
      <w:tr w:rsidR="00222FCC">
        <w:trPr>
          <w:trHeight w:hRule="exact" w:val="813"/>
          <w:jc w:val="center"/>
        </w:trPr>
        <w:tc>
          <w:tcPr>
            <w:tcW w:w="742" w:type="pct"/>
          </w:tcPr>
          <w:p w:rsidR="00222FCC" w:rsidRDefault="00FD122A">
            <w:pPr>
              <w:ind w:right="-29"/>
              <w:jc w:val="center"/>
              <w:rPr>
                <w:noProof/>
                <w:sz w:val="18"/>
                <w:szCs w:val="18"/>
              </w:rPr>
            </w:pPr>
            <w:r>
              <w:rPr>
                <w:noProof/>
                <w:sz w:val="18"/>
              </w:rPr>
              <w:t>— Резултат</w:t>
            </w:r>
          </w:p>
        </w:tc>
        <w:tc>
          <w:tcPr>
            <w:tcW w:w="713" w:type="pct"/>
          </w:tcPr>
          <w:p w:rsidR="00222FCC" w:rsidRDefault="00FD122A">
            <w:pPr>
              <w:ind w:right="-29"/>
              <w:jc w:val="center"/>
              <w:rPr>
                <w:noProof/>
                <w:sz w:val="18"/>
                <w:szCs w:val="18"/>
              </w:rPr>
            </w:pPr>
            <w:r>
              <w:rPr>
                <w:noProof/>
                <w:sz w:val="18"/>
              </w:rPr>
              <w:t>Участници в стажове и назначения за работа</w:t>
            </w:r>
          </w:p>
        </w:tc>
        <w:tc>
          <w:tcPr>
            <w:tcW w:w="354" w:type="pct"/>
          </w:tcPr>
          <w:p w:rsidR="00222FCC" w:rsidRDefault="00FD122A">
            <w:pPr>
              <w:jc w:val="center"/>
              <w:rPr>
                <w:noProof/>
                <w:sz w:val="18"/>
                <w:szCs w:val="18"/>
              </w:rPr>
            </w:pPr>
            <w:r>
              <w:rPr>
                <w:noProof/>
                <w:sz w:val="18"/>
              </w:rPr>
              <w:t>2 253</w:t>
            </w:r>
          </w:p>
        </w:tc>
        <w:tc>
          <w:tcPr>
            <w:tcW w:w="326" w:type="pct"/>
            <w:tcBorders>
              <w:right w:val="dashSmallGap" w:sz="4" w:space="0" w:color="auto"/>
            </w:tcBorders>
          </w:tcPr>
          <w:p w:rsidR="00222FCC" w:rsidRDefault="00FD122A">
            <w:pPr>
              <w:ind w:right="-29"/>
              <w:jc w:val="center"/>
              <w:rPr>
                <w:noProof/>
                <w:sz w:val="18"/>
                <w:szCs w:val="18"/>
              </w:rPr>
            </w:pPr>
            <w:r>
              <w:rPr>
                <w:noProof/>
                <w:sz w:val="18"/>
              </w:rPr>
              <w:t>4 500</w:t>
            </w:r>
          </w:p>
        </w:tc>
        <w:tc>
          <w:tcPr>
            <w:tcW w:w="392" w:type="pct"/>
            <w:tcBorders>
              <w:left w:val="dashSmallGap" w:sz="4" w:space="0" w:color="auto"/>
            </w:tcBorders>
          </w:tcPr>
          <w:p w:rsidR="00222FCC" w:rsidRDefault="00FD122A">
            <w:pPr>
              <w:ind w:right="-29"/>
              <w:jc w:val="center"/>
              <w:rPr>
                <w:noProof/>
                <w:sz w:val="18"/>
                <w:szCs w:val="18"/>
              </w:rPr>
            </w:pPr>
            <w:r>
              <w:rPr>
                <w:noProof/>
                <w:sz w:val="18"/>
              </w:rPr>
              <w:t>10,364</w:t>
            </w:r>
          </w:p>
        </w:tc>
        <w:tc>
          <w:tcPr>
            <w:tcW w:w="330" w:type="pct"/>
            <w:tcBorders>
              <w:right w:val="dashSmallGap" w:sz="4" w:space="0" w:color="auto"/>
            </w:tcBorders>
          </w:tcPr>
          <w:p w:rsidR="00222FCC" w:rsidRDefault="00FD122A">
            <w:pPr>
              <w:ind w:right="-29"/>
              <w:jc w:val="center"/>
              <w:rPr>
                <w:noProof/>
                <w:sz w:val="18"/>
                <w:szCs w:val="18"/>
              </w:rPr>
            </w:pPr>
            <w:r>
              <w:rPr>
                <w:noProof/>
                <w:sz w:val="18"/>
              </w:rPr>
              <w:t>6 500</w:t>
            </w:r>
          </w:p>
        </w:tc>
        <w:tc>
          <w:tcPr>
            <w:tcW w:w="422" w:type="pct"/>
            <w:tcBorders>
              <w:left w:val="dashSmallGap" w:sz="4" w:space="0" w:color="auto"/>
            </w:tcBorders>
          </w:tcPr>
          <w:p w:rsidR="00222FCC" w:rsidRDefault="00FD122A">
            <w:pPr>
              <w:ind w:right="-29"/>
              <w:jc w:val="center"/>
              <w:rPr>
                <w:noProof/>
                <w:sz w:val="18"/>
                <w:szCs w:val="18"/>
              </w:rPr>
            </w:pPr>
            <w:r>
              <w:rPr>
                <w:noProof/>
                <w:sz w:val="18"/>
              </w:rPr>
              <w:t>14,509</w:t>
            </w:r>
          </w:p>
        </w:tc>
        <w:tc>
          <w:tcPr>
            <w:tcW w:w="367" w:type="pct"/>
            <w:tcBorders>
              <w:right w:val="dashSmallGap" w:sz="4" w:space="0" w:color="auto"/>
            </w:tcBorders>
          </w:tcPr>
          <w:p w:rsidR="00222FCC" w:rsidRDefault="00FD122A">
            <w:pPr>
              <w:ind w:right="-29"/>
              <w:jc w:val="center"/>
              <w:rPr>
                <w:noProof/>
                <w:sz w:val="18"/>
                <w:szCs w:val="18"/>
              </w:rPr>
            </w:pPr>
            <w:r>
              <w:rPr>
                <w:noProof/>
                <w:sz w:val="18"/>
              </w:rPr>
              <w:t>7 400</w:t>
            </w:r>
          </w:p>
        </w:tc>
        <w:tc>
          <w:tcPr>
            <w:tcW w:w="423" w:type="pct"/>
            <w:tcBorders>
              <w:left w:val="dashSmallGap" w:sz="4" w:space="0" w:color="auto"/>
            </w:tcBorders>
          </w:tcPr>
          <w:p w:rsidR="00222FCC" w:rsidRDefault="00FD122A">
            <w:pPr>
              <w:ind w:right="-29"/>
              <w:jc w:val="center"/>
              <w:rPr>
                <w:noProof/>
                <w:sz w:val="18"/>
                <w:szCs w:val="18"/>
              </w:rPr>
            </w:pPr>
            <w:r>
              <w:rPr>
                <w:noProof/>
                <w:sz w:val="18"/>
              </w:rPr>
              <w:t>16,590</w:t>
            </w:r>
          </w:p>
        </w:tc>
        <w:tc>
          <w:tcPr>
            <w:tcW w:w="332" w:type="pct"/>
          </w:tcPr>
          <w:p w:rsidR="00222FCC" w:rsidRDefault="00FD122A">
            <w:pPr>
              <w:ind w:right="-29"/>
              <w:jc w:val="center"/>
              <w:rPr>
                <w:noProof/>
                <w:sz w:val="18"/>
                <w:szCs w:val="18"/>
              </w:rPr>
            </w:pPr>
            <w:r>
              <w:rPr>
                <w:noProof/>
                <w:sz w:val="18"/>
              </w:rPr>
              <w:t>18 400</w:t>
            </w:r>
          </w:p>
        </w:tc>
        <w:tc>
          <w:tcPr>
            <w:tcW w:w="600" w:type="pct"/>
          </w:tcPr>
          <w:p w:rsidR="00222FCC" w:rsidRDefault="00FD122A">
            <w:pPr>
              <w:ind w:right="-29"/>
              <w:jc w:val="center"/>
              <w:rPr>
                <w:noProof/>
                <w:sz w:val="18"/>
                <w:szCs w:val="18"/>
              </w:rPr>
            </w:pPr>
            <w:r>
              <w:rPr>
                <w:noProof/>
                <w:sz w:val="18"/>
              </w:rPr>
              <w:t>41,463</w:t>
            </w:r>
          </w:p>
        </w:tc>
      </w:tr>
      <w:tr w:rsidR="00222FCC">
        <w:trPr>
          <w:trHeight w:hRule="exact" w:val="928"/>
          <w:jc w:val="center"/>
        </w:trPr>
        <w:tc>
          <w:tcPr>
            <w:tcW w:w="742" w:type="pct"/>
          </w:tcPr>
          <w:p w:rsidR="00222FCC" w:rsidRDefault="00FD122A">
            <w:pPr>
              <w:ind w:right="-29"/>
              <w:jc w:val="center"/>
              <w:rPr>
                <w:noProof/>
                <w:sz w:val="18"/>
                <w:szCs w:val="18"/>
              </w:rPr>
            </w:pPr>
            <w:r>
              <w:rPr>
                <w:noProof/>
                <w:sz w:val="18"/>
              </w:rPr>
              <w:t>— Резултат</w:t>
            </w:r>
          </w:p>
        </w:tc>
        <w:tc>
          <w:tcPr>
            <w:tcW w:w="713" w:type="pct"/>
          </w:tcPr>
          <w:p w:rsidR="00222FCC" w:rsidRDefault="00FD122A">
            <w:pPr>
              <w:ind w:right="-29"/>
              <w:jc w:val="center"/>
              <w:rPr>
                <w:noProof/>
                <w:sz w:val="18"/>
                <w:szCs w:val="18"/>
              </w:rPr>
            </w:pPr>
            <w:r>
              <w:rPr>
                <w:noProof/>
                <w:sz w:val="18"/>
              </w:rPr>
              <w:t>Участници в проекти за солидарност</w:t>
            </w:r>
          </w:p>
        </w:tc>
        <w:tc>
          <w:tcPr>
            <w:tcW w:w="354" w:type="pct"/>
          </w:tcPr>
          <w:p w:rsidR="00222FCC" w:rsidRDefault="00FD122A">
            <w:pPr>
              <w:jc w:val="center"/>
              <w:rPr>
                <w:noProof/>
                <w:sz w:val="18"/>
                <w:szCs w:val="18"/>
              </w:rPr>
            </w:pPr>
            <w:r>
              <w:rPr>
                <w:noProof/>
                <w:sz w:val="18"/>
              </w:rPr>
              <w:t>1 203</w:t>
            </w:r>
          </w:p>
        </w:tc>
        <w:tc>
          <w:tcPr>
            <w:tcW w:w="326" w:type="pct"/>
            <w:tcBorders>
              <w:right w:val="dashSmallGap" w:sz="4" w:space="0" w:color="auto"/>
            </w:tcBorders>
          </w:tcPr>
          <w:p w:rsidR="00222FCC" w:rsidRDefault="00FD122A">
            <w:pPr>
              <w:ind w:right="-29"/>
              <w:jc w:val="center"/>
              <w:rPr>
                <w:noProof/>
                <w:sz w:val="18"/>
                <w:szCs w:val="18"/>
              </w:rPr>
            </w:pPr>
            <w:r>
              <w:rPr>
                <w:noProof/>
                <w:sz w:val="18"/>
              </w:rPr>
              <w:t>3 800</w:t>
            </w:r>
          </w:p>
        </w:tc>
        <w:tc>
          <w:tcPr>
            <w:tcW w:w="392" w:type="pct"/>
            <w:tcBorders>
              <w:left w:val="dashSmallGap" w:sz="4" w:space="0" w:color="auto"/>
            </w:tcBorders>
          </w:tcPr>
          <w:p w:rsidR="00222FCC" w:rsidRDefault="00FD122A">
            <w:pPr>
              <w:ind w:right="-29"/>
              <w:jc w:val="center"/>
              <w:rPr>
                <w:noProof/>
                <w:sz w:val="18"/>
                <w:szCs w:val="18"/>
              </w:rPr>
            </w:pPr>
            <w:r>
              <w:rPr>
                <w:noProof/>
                <w:sz w:val="18"/>
              </w:rPr>
              <w:t>4,570</w:t>
            </w:r>
          </w:p>
        </w:tc>
        <w:tc>
          <w:tcPr>
            <w:tcW w:w="330" w:type="pct"/>
            <w:tcBorders>
              <w:right w:val="dashSmallGap" w:sz="4" w:space="0" w:color="auto"/>
            </w:tcBorders>
          </w:tcPr>
          <w:p w:rsidR="00222FCC" w:rsidRDefault="00FD122A">
            <w:pPr>
              <w:ind w:right="-29"/>
              <w:jc w:val="center"/>
              <w:rPr>
                <w:noProof/>
                <w:sz w:val="18"/>
                <w:szCs w:val="18"/>
              </w:rPr>
            </w:pPr>
            <w:r>
              <w:rPr>
                <w:noProof/>
                <w:sz w:val="18"/>
              </w:rPr>
              <w:t>5 400</w:t>
            </w:r>
          </w:p>
        </w:tc>
        <w:tc>
          <w:tcPr>
            <w:tcW w:w="422" w:type="pct"/>
            <w:tcBorders>
              <w:left w:val="dashSmallGap" w:sz="4" w:space="0" w:color="auto"/>
            </w:tcBorders>
          </w:tcPr>
          <w:p w:rsidR="00222FCC" w:rsidRDefault="00FD122A">
            <w:pPr>
              <w:ind w:right="-29"/>
              <w:jc w:val="center"/>
              <w:rPr>
                <w:noProof/>
                <w:sz w:val="18"/>
                <w:szCs w:val="18"/>
              </w:rPr>
            </w:pPr>
            <w:r>
              <w:rPr>
                <w:noProof/>
                <w:sz w:val="18"/>
              </w:rPr>
              <w:t>6,400</w:t>
            </w:r>
          </w:p>
        </w:tc>
        <w:tc>
          <w:tcPr>
            <w:tcW w:w="367" w:type="pct"/>
            <w:tcBorders>
              <w:right w:val="dashSmallGap" w:sz="4" w:space="0" w:color="auto"/>
            </w:tcBorders>
          </w:tcPr>
          <w:p w:rsidR="00222FCC" w:rsidRDefault="00FD122A">
            <w:pPr>
              <w:ind w:right="-29"/>
              <w:jc w:val="center"/>
              <w:rPr>
                <w:noProof/>
                <w:sz w:val="18"/>
                <w:szCs w:val="18"/>
              </w:rPr>
            </w:pPr>
            <w:r>
              <w:rPr>
                <w:noProof/>
                <w:sz w:val="18"/>
              </w:rPr>
              <w:t>6 000</w:t>
            </w:r>
          </w:p>
        </w:tc>
        <w:tc>
          <w:tcPr>
            <w:tcW w:w="423" w:type="pct"/>
            <w:tcBorders>
              <w:left w:val="dashSmallGap" w:sz="4" w:space="0" w:color="auto"/>
            </w:tcBorders>
          </w:tcPr>
          <w:p w:rsidR="00222FCC" w:rsidRDefault="00FD122A">
            <w:pPr>
              <w:ind w:right="-29"/>
              <w:jc w:val="center"/>
              <w:rPr>
                <w:noProof/>
                <w:sz w:val="18"/>
                <w:szCs w:val="18"/>
              </w:rPr>
            </w:pPr>
            <w:r>
              <w:rPr>
                <w:noProof/>
                <w:sz w:val="18"/>
              </w:rPr>
              <w:t>7,312</w:t>
            </w:r>
          </w:p>
        </w:tc>
        <w:tc>
          <w:tcPr>
            <w:tcW w:w="332" w:type="pct"/>
          </w:tcPr>
          <w:p w:rsidR="00222FCC" w:rsidRDefault="00FD122A">
            <w:pPr>
              <w:ind w:right="-29"/>
              <w:jc w:val="center"/>
              <w:rPr>
                <w:noProof/>
                <w:sz w:val="18"/>
                <w:szCs w:val="18"/>
              </w:rPr>
            </w:pPr>
            <w:r>
              <w:rPr>
                <w:noProof/>
                <w:sz w:val="18"/>
              </w:rPr>
              <w:t>15 200</w:t>
            </w:r>
          </w:p>
        </w:tc>
        <w:tc>
          <w:tcPr>
            <w:tcW w:w="600" w:type="pct"/>
          </w:tcPr>
          <w:p w:rsidR="00222FCC" w:rsidRDefault="00FD122A">
            <w:pPr>
              <w:ind w:right="-29"/>
              <w:jc w:val="center"/>
              <w:rPr>
                <w:noProof/>
                <w:sz w:val="18"/>
                <w:szCs w:val="18"/>
              </w:rPr>
            </w:pPr>
            <w:r>
              <w:rPr>
                <w:noProof/>
                <w:sz w:val="18"/>
              </w:rPr>
              <w:t>18,282</w:t>
            </w:r>
          </w:p>
        </w:tc>
      </w:tr>
      <w:tr w:rsidR="00222FCC">
        <w:trPr>
          <w:trHeight w:hRule="exact" w:val="718"/>
          <w:jc w:val="center"/>
        </w:trPr>
        <w:tc>
          <w:tcPr>
            <w:tcW w:w="742" w:type="pct"/>
          </w:tcPr>
          <w:p w:rsidR="00222FCC" w:rsidRDefault="00FD122A">
            <w:pPr>
              <w:ind w:right="-29"/>
              <w:jc w:val="center"/>
              <w:rPr>
                <w:noProof/>
                <w:sz w:val="18"/>
                <w:szCs w:val="18"/>
              </w:rPr>
            </w:pPr>
            <w:r>
              <w:rPr>
                <w:noProof/>
                <w:sz w:val="18"/>
              </w:rPr>
              <w:t>— Резултат</w:t>
            </w:r>
          </w:p>
        </w:tc>
        <w:tc>
          <w:tcPr>
            <w:tcW w:w="713" w:type="pct"/>
          </w:tcPr>
          <w:p w:rsidR="00222FCC" w:rsidRDefault="00FD122A">
            <w:pPr>
              <w:ind w:right="-29"/>
              <w:jc w:val="center"/>
              <w:rPr>
                <w:noProof/>
                <w:sz w:val="18"/>
                <w:szCs w:val="18"/>
              </w:rPr>
            </w:pPr>
            <w:r>
              <w:rPr>
                <w:noProof/>
                <w:sz w:val="18"/>
              </w:rPr>
              <w:t>Участници в работа в мрежи</w:t>
            </w:r>
          </w:p>
        </w:tc>
        <w:tc>
          <w:tcPr>
            <w:tcW w:w="354" w:type="pct"/>
          </w:tcPr>
          <w:p w:rsidR="00222FCC" w:rsidRDefault="00FD122A">
            <w:pPr>
              <w:jc w:val="center"/>
              <w:rPr>
                <w:noProof/>
                <w:sz w:val="18"/>
                <w:szCs w:val="18"/>
              </w:rPr>
            </w:pPr>
            <w:r>
              <w:rPr>
                <w:noProof/>
                <w:sz w:val="18"/>
              </w:rPr>
              <w:t>199</w:t>
            </w:r>
          </w:p>
        </w:tc>
        <w:tc>
          <w:tcPr>
            <w:tcW w:w="326" w:type="pct"/>
          </w:tcPr>
          <w:p w:rsidR="00222FCC" w:rsidRDefault="00FD122A">
            <w:pPr>
              <w:ind w:right="-29"/>
              <w:jc w:val="center"/>
              <w:rPr>
                <w:noProof/>
                <w:sz w:val="18"/>
                <w:szCs w:val="18"/>
              </w:rPr>
            </w:pPr>
            <w:r>
              <w:rPr>
                <w:noProof/>
                <w:sz w:val="18"/>
              </w:rPr>
              <w:t>17 500</w:t>
            </w:r>
          </w:p>
        </w:tc>
        <w:tc>
          <w:tcPr>
            <w:tcW w:w="392" w:type="pct"/>
          </w:tcPr>
          <w:p w:rsidR="00222FCC" w:rsidRDefault="00FD122A">
            <w:pPr>
              <w:ind w:right="-29"/>
              <w:jc w:val="center"/>
              <w:rPr>
                <w:noProof/>
                <w:sz w:val="18"/>
                <w:szCs w:val="18"/>
              </w:rPr>
            </w:pPr>
            <w:r>
              <w:rPr>
                <w:noProof/>
                <w:sz w:val="18"/>
              </w:rPr>
              <w:t>3,484</w:t>
            </w:r>
          </w:p>
        </w:tc>
        <w:tc>
          <w:tcPr>
            <w:tcW w:w="330" w:type="pct"/>
          </w:tcPr>
          <w:p w:rsidR="00222FCC" w:rsidRDefault="00FD122A">
            <w:pPr>
              <w:ind w:right="-29"/>
              <w:jc w:val="center"/>
              <w:rPr>
                <w:noProof/>
                <w:sz w:val="18"/>
                <w:szCs w:val="18"/>
              </w:rPr>
            </w:pPr>
            <w:r>
              <w:rPr>
                <w:noProof/>
                <w:sz w:val="18"/>
              </w:rPr>
              <w:t>24 500</w:t>
            </w:r>
          </w:p>
        </w:tc>
        <w:tc>
          <w:tcPr>
            <w:tcW w:w="422" w:type="pct"/>
          </w:tcPr>
          <w:p w:rsidR="00222FCC" w:rsidRDefault="00FD122A">
            <w:pPr>
              <w:ind w:right="-29"/>
              <w:jc w:val="center"/>
              <w:rPr>
                <w:noProof/>
                <w:sz w:val="18"/>
                <w:szCs w:val="18"/>
              </w:rPr>
            </w:pPr>
            <w:r>
              <w:rPr>
                <w:noProof/>
                <w:sz w:val="18"/>
              </w:rPr>
              <w:t>4,876</w:t>
            </w:r>
          </w:p>
        </w:tc>
        <w:tc>
          <w:tcPr>
            <w:tcW w:w="367" w:type="pct"/>
          </w:tcPr>
          <w:p w:rsidR="00222FCC" w:rsidRDefault="00FD122A">
            <w:pPr>
              <w:ind w:right="-29"/>
              <w:jc w:val="center"/>
              <w:rPr>
                <w:noProof/>
                <w:sz w:val="18"/>
                <w:szCs w:val="18"/>
              </w:rPr>
            </w:pPr>
            <w:r>
              <w:rPr>
                <w:noProof/>
                <w:sz w:val="18"/>
              </w:rPr>
              <w:t>28 000</w:t>
            </w:r>
          </w:p>
        </w:tc>
        <w:tc>
          <w:tcPr>
            <w:tcW w:w="423" w:type="pct"/>
          </w:tcPr>
          <w:p w:rsidR="00222FCC" w:rsidRDefault="00FD122A">
            <w:pPr>
              <w:ind w:right="-29"/>
              <w:jc w:val="center"/>
              <w:rPr>
                <w:noProof/>
                <w:sz w:val="18"/>
                <w:szCs w:val="18"/>
              </w:rPr>
            </w:pPr>
            <w:r>
              <w:rPr>
                <w:noProof/>
                <w:sz w:val="18"/>
              </w:rPr>
              <w:t>5,574</w:t>
            </w:r>
          </w:p>
        </w:tc>
        <w:tc>
          <w:tcPr>
            <w:tcW w:w="332" w:type="pct"/>
          </w:tcPr>
          <w:p w:rsidR="00222FCC" w:rsidRDefault="00FD122A">
            <w:pPr>
              <w:ind w:right="-29"/>
              <w:jc w:val="center"/>
              <w:rPr>
                <w:noProof/>
                <w:sz w:val="18"/>
                <w:szCs w:val="18"/>
              </w:rPr>
            </w:pPr>
            <w:r>
              <w:rPr>
                <w:noProof/>
                <w:sz w:val="18"/>
              </w:rPr>
              <w:t>70 000</w:t>
            </w:r>
          </w:p>
        </w:tc>
        <w:tc>
          <w:tcPr>
            <w:tcW w:w="600" w:type="pct"/>
          </w:tcPr>
          <w:p w:rsidR="00222FCC" w:rsidRDefault="00FD122A">
            <w:pPr>
              <w:ind w:right="-29"/>
              <w:jc w:val="center"/>
              <w:rPr>
                <w:noProof/>
                <w:sz w:val="18"/>
                <w:szCs w:val="18"/>
              </w:rPr>
            </w:pPr>
            <w:r>
              <w:rPr>
                <w:noProof/>
                <w:sz w:val="18"/>
              </w:rPr>
              <w:t>13,934</w:t>
            </w:r>
          </w:p>
        </w:tc>
      </w:tr>
      <w:tr w:rsidR="00222FCC">
        <w:trPr>
          <w:trHeight w:hRule="exact" w:val="860"/>
          <w:jc w:val="center"/>
        </w:trPr>
        <w:tc>
          <w:tcPr>
            <w:tcW w:w="742" w:type="pct"/>
          </w:tcPr>
          <w:p w:rsidR="00222FCC" w:rsidRDefault="00FD122A">
            <w:pPr>
              <w:ind w:right="-29"/>
              <w:jc w:val="center"/>
              <w:rPr>
                <w:noProof/>
                <w:sz w:val="18"/>
              </w:rPr>
            </w:pPr>
            <w:r>
              <w:rPr>
                <w:noProof/>
                <w:sz w:val="18"/>
              </w:rPr>
              <w:t>— Резултат</w:t>
            </w:r>
          </w:p>
        </w:tc>
        <w:tc>
          <w:tcPr>
            <w:tcW w:w="713" w:type="pct"/>
          </w:tcPr>
          <w:p w:rsidR="00222FCC" w:rsidRDefault="00FD122A">
            <w:pPr>
              <w:ind w:right="-29"/>
              <w:jc w:val="center"/>
              <w:rPr>
                <w:noProof/>
                <w:sz w:val="18"/>
                <w:szCs w:val="18"/>
              </w:rPr>
            </w:pPr>
            <w:r>
              <w:rPr>
                <w:noProof/>
                <w:sz w:val="18"/>
              </w:rPr>
              <w:t>Участници, получили общо онлайн обучение</w:t>
            </w:r>
          </w:p>
        </w:tc>
        <w:tc>
          <w:tcPr>
            <w:tcW w:w="354" w:type="pct"/>
          </w:tcPr>
          <w:p w:rsidR="00222FCC" w:rsidRDefault="00FD122A">
            <w:pPr>
              <w:jc w:val="center"/>
              <w:rPr>
                <w:noProof/>
                <w:sz w:val="18"/>
                <w:szCs w:val="18"/>
              </w:rPr>
            </w:pPr>
            <w:r>
              <w:rPr>
                <w:noProof/>
                <w:sz w:val="18"/>
              </w:rPr>
              <w:t>47</w:t>
            </w:r>
          </w:p>
        </w:tc>
        <w:tc>
          <w:tcPr>
            <w:tcW w:w="326" w:type="pct"/>
          </w:tcPr>
          <w:p w:rsidR="00222FCC" w:rsidRDefault="00FD122A">
            <w:pPr>
              <w:ind w:right="-29"/>
              <w:jc w:val="center"/>
              <w:rPr>
                <w:noProof/>
                <w:sz w:val="18"/>
                <w:szCs w:val="18"/>
              </w:rPr>
            </w:pPr>
            <w:r>
              <w:rPr>
                <w:noProof/>
                <w:sz w:val="18"/>
              </w:rPr>
              <w:t>21 500</w:t>
            </w:r>
          </w:p>
        </w:tc>
        <w:tc>
          <w:tcPr>
            <w:tcW w:w="392" w:type="pct"/>
          </w:tcPr>
          <w:p w:rsidR="00222FCC" w:rsidRDefault="00FD122A">
            <w:pPr>
              <w:ind w:right="-29"/>
              <w:jc w:val="center"/>
              <w:rPr>
                <w:noProof/>
                <w:sz w:val="18"/>
                <w:szCs w:val="18"/>
              </w:rPr>
            </w:pPr>
            <w:r>
              <w:rPr>
                <w:noProof/>
                <w:sz w:val="18"/>
              </w:rPr>
              <w:t>2,400</w:t>
            </w:r>
          </w:p>
        </w:tc>
        <w:tc>
          <w:tcPr>
            <w:tcW w:w="330" w:type="pct"/>
          </w:tcPr>
          <w:p w:rsidR="00222FCC" w:rsidRDefault="00FD122A">
            <w:pPr>
              <w:ind w:right="-29"/>
              <w:jc w:val="center"/>
              <w:rPr>
                <w:noProof/>
                <w:sz w:val="18"/>
                <w:szCs w:val="18"/>
              </w:rPr>
            </w:pPr>
            <w:r>
              <w:rPr>
                <w:noProof/>
                <w:sz w:val="18"/>
              </w:rPr>
              <w:t>30 000</w:t>
            </w:r>
          </w:p>
        </w:tc>
        <w:tc>
          <w:tcPr>
            <w:tcW w:w="422" w:type="pct"/>
          </w:tcPr>
          <w:p w:rsidR="00222FCC" w:rsidRDefault="00FD122A">
            <w:pPr>
              <w:ind w:right="-29"/>
              <w:jc w:val="center"/>
              <w:rPr>
                <w:noProof/>
                <w:sz w:val="18"/>
                <w:szCs w:val="18"/>
              </w:rPr>
            </w:pPr>
            <w:r>
              <w:rPr>
                <w:noProof/>
                <w:sz w:val="18"/>
              </w:rPr>
              <w:t>1,000</w:t>
            </w:r>
          </w:p>
        </w:tc>
        <w:tc>
          <w:tcPr>
            <w:tcW w:w="367" w:type="pct"/>
          </w:tcPr>
          <w:p w:rsidR="00222FCC" w:rsidRDefault="00FD122A">
            <w:pPr>
              <w:ind w:right="-29"/>
              <w:jc w:val="center"/>
              <w:rPr>
                <w:noProof/>
                <w:sz w:val="18"/>
                <w:szCs w:val="18"/>
              </w:rPr>
            </w:pPr>
            <w:r>
              <w:rPr>
                <w:noProof/>
                <w:sz w:val="18"/>
              </w:rPr>
              <w:t>34 500</w:t>
            </w:r>
          </w:p>
        </w:tc>
        <w:tc>
          <w:tcPr>
            <w:tcW w:w="423" w:type="pct"/>
          </w:tcPr>
          <w:p w:rsidR="00222FCC" w:rsidRDefault="00FD122A">
            <w:pPr>
              <w:ind w:right="-29"/>
              <w:jc w:val="center"/>
              <w:rPr>
                <w:noProof/>
                <w:sz w:val="18"/>
                <w:szCs w:val="18"/>
              </w:rPr>
            </w:pPr>
            <w:r>
              <w:rPr>
                <w:noProof/>
                <w:sz w:val="18"/>
              </w:rPr>
              <w:t>0,600</w:t>
            </w:r>
          </w:p>
        </w:tc>
        <w:tc>
          <w:tcPr>
            <w:tcW w:w="332" w:type="pct"/>
          </w:tcPr>
          <w:p w:rsidR="00222FCC" w:rsidRDefault="00FD122A">
            <w:pPr>
              <w:ind w:right="-29"/>
              <w:jc w:val="center"/>
              <w:rPr>
                <w:noProof/>
                <w:sz w:val="18"/>
                <w:szCs w:val="18"/>
              </w:rPr>
            </w:pPr>
            <w:r>
              <w:rPr>
                <w:noProof/>
                <w:sz w:val="18"/>
              </w:rPr>
              <w:t>86 000</w:t>
            </w:r>
          </w:p>
        </w:tc>
        <w:tc>
          <w:tcPr>
            <w:tcW w:w="600" w:type="pct"/>
          </w:tcPr>
          <w:p w:rsidR="00222FCC" w:rsidRDefault="00FD122A">
            <w:pPr>
              <w:ind w:right="-29"/>
              <w:jc w:val="center"/>
              <w:rPr>
                <w:noProof/>
                <w:sz w:val="18"/>
                <w:szCs w:val="18"/>
              </w:rPr>
            </w:pPr>
            <w:r>
              <w:rPr>
                <w:noProof/>
                <w:sz w:val="18"/>
              </w:rPr>
              <w:t>4,000</w:t>
            </w:r>
          </w:p>
        </w:tc>
      </w:tr>
      <w:tr w:rsidR="00222FCC">
        <w:trPr>
          <w:trHeight w:hRule="exact" w:val="865"/>
          <w:jc w:val="center"/>
        </w:trPr>
        <w:tc>
          <w:tcPr>
            <w:tcW w:w="742" w:type="pct"/>
          </w:tcPr>
          <w:p w:rsidR="00222FCC" w:rsidRDefault="00FD122A">
            <w:pPr>
              <w:ind w:right="-29"/>
              <w:jc w:val="center"/>
              <w:rPr>
                <w:noProof/>
                <w:sz w:val="18"/>
                <w:szCs w:val="18"/>
              </w:rPr>
            </w:pPr>
            <w:r>
              <w:rPr>
                <w:noProof/>
                <w:sz w:val="18"/>
              </w:rPr>
              <w:t>— Резултат</w:t>
            </w:r>
          </w:p>
        </w:tc>
        <w:tc>
          <w:tcPr>
            <w:tcW w:w="713" w:type="pct"/>
          </w:tcPr>
          <w:p w:rsidR="00222FCC" w:rsidRDefault="00FD122A">
            <w:pPr>
              <w:ind w:right="-29"/>
              <w:jc w:val="center"/>
              <w:rPr>
                <w:noProof/>
                <w:sz w:val="18"/>
                <w:szCs w:val="18"/>
              </w:rPr>
            </w:pPr>
            <w:r>
              <w:rPr>
                <w:noProof/>
                <w:sz w:val="18"/>
              </w:rPr>
              <w:t>Участници в назначения в чужбина, получили специфично обучение</w:t>
            </w:r>
          </w:p>
        </w:tc>
        <w:tc>
          <w:tcPr>
            <w:tcW w:w="354" w:type="pct"/>
          </w:tcPr>
          <w:p w:rsidR="00222FCC" w:rsidRDefault="00FD122A">
            <w:pPr>
              <w:jc w:val="center"/>
              <w:rPr>
                <w:noProof/>
                <w:sz w:val="18"/>
                <w:szCs w:val="18"/>
              </w:rPr>
            </w:pPr>
            <w:r>
              <w:rPr>
                <w:noProof/>
                <w:sz w:val="18"/>
              </w:rPr>
              <w:t>1 000</w:t>
            </w:r>
          </w:p>
        </w:tc>
        <w:tc>
          <w:tcPr>
            <w:tcW w:w="326" w:type="pct"/>
            <w:tcBorders>
              <w:right w:val="dashSmallGap" w:sz="4" w:space="0" w:color="auto"/>
            </w:tcBorders>
          </w:tcPr>
          <w:p w:rsidR="00222FCC" w:rsidRDefault="00FD122A">
            <w:pPr>
              <w:ind w:right="-29"/>
              <w:jc w:val="center"/>
              <w:rPr>
                <w:noProof/>
                <w:sz w:val="18"/>
                <w:szCs w:val="18"/>
              </w:rPr>
            </w:pPr>
            <w:r>
              <w:rPr>
                <w:noProof/>
                <w:sz w:val="18"/>
              </w:rPr>
              <w:t>8 934</w:t>
            </w:r>
          </w:p>
        </w:tc>
        <w:tc>
          <w:tcPr>
            <w:tcW w:w="392" w:type="pct"/>
            <w:tcBorders>
              <w:left w:val="dashSmallGap" w:sz="4" w:space="0" w:color="auto"/>
            </w:tcBorders>
          </w:tcPr>
          <w:p w:rsidR="00222FCC" w:rsidRDefault="00FD122A">
            <w:pPr>
              <w:ind w:right="-29"/>
              <w:jc w:val="center"/>
              <w:rPr>
                <w:noProof/>
                <w:sz w:val="18"/>
                <w:szCs w:val="18"/>
              </w:rPr>
            </w:pPr>
            <w:r>
              <w:rPr>
                <w:noProof/>
                <w:sz w:val="18"/>
              </w:rPr>
              <w:t>8,934</w:t>
            </w:r>
          </w:p>
        </w:tc>
        <w:tc>
          <w:tcPr>
            <w:tcW w:w="330" w:type="pct"/>
            <w:tcBorders>
              <w:right w:val="dashSmallGap" w:sz="4" w:space="0" w:color="auto"/>
            </w:tcBorders>
          </w:tcPr>
          <w:p w:rsidR="00222FCC" w:rsidRDefault="00FD122A">
            <w:pPr>
              <w:ind w:right="-29"/>
              <w:jc w:val="center"/>
              <w:rPr>
                <w:noProof/>
                <w:sz w:val="18"/>
                <w:szCs w:val="18"/>
              </w:rPr>
            </w:pPr>
            <w:r>
              <w:rPr>
                <w:noProof/>
                <w:sz w:val="18"/>
              </w:rPr>
              <w:t>15 635</w:t>
            </w:r>
          </w:p>
        </w:tc>
        <w:tc>
          <w:tcPr>
            <w:tcW w:w="422" w:type="pct"/>
            <w:tcBorders>
              <w:left w:val="dashSmallGap" w:sz="4" w:space="0" w:color="auto"/>
            </w:tcBorders>
          </w:tcPr>
          <w:p w:rsidR="00222FCC" w:rsidRDefault="00FD122A">
            <w:pPr>
              <w:ind w:right="-29"/>
              <w:jc w:val="center"/>
              <w:rPr>
                <w:noProof/>
                <w:sz w:val="18"/>
                <w:szCs w:val="18"/>
              </w:rPr>
            </w:pPr>
            <w:r>
              <w:rPr>
                <w:noProof/>
                <w:sz w:val="18"/>
              </w:rPr>
              <w:t>15,635</w:t>
            </w:r>
          </w:p>
        </w:tc>
        <w:tc>
          <w:tcPr>
            <w:tcW w:w="367" w:type="pct"/>
            <w:tcBorders>
              <w:right w:val="dashSmallGap" w:sz="4" w:space="0" w:color="auto"/>
            </w:tcBorders>
          </w:tcPr>
          <w:p w:rsidR="00222FCC" w:rsidRDefault="00FD122A">
            <w:pPr>
              <w:ind w:right="-29"/>
              <w:jc w:val="center"/>
              <w:rPr>
                <w:noProof/>
                <w:sz w:val="18"/>
                <w:szCs w:val="18"/>
              </w:rPr>
            </w:pPr>
            <w:r>
              <w:rPr>
                <w:noProof/>
                <w:sz w:val="18"/>
              </w:rPr>
              <w:t>20 101</w:t>
            </w:r>
          </w:p>
        </w:tc>
        <w:tc>
          <w:tcPr>
            <w:tcW w:w="423" w:type="pct"/>
            <w:tcBorders>
              <w:left w:val="dashSmallGap" w:sz="4" w:space="0" w:color="auto"/>
            </w:tcBorders>
          </w:tcPr>
          <w:p w:rsidR="00222FCC" w:rsidRDefault="00FD122A">
            <w:pPr>
              <w:ind w:right="-29"/>
              <w:jc w:val="center"/>
              <w:rPr>
                <w:noProof/>
                <w:sz w:val="18"/>
                <w:szCs w:val="18"/>
              </w:rPr>
            </w:pPr>
            <w:r>
              <w:rPr>
                <w:noProof/>
                <w:sz w:val="18"/>
              </w:rPr>
              <w:t>20,101</w:t>
            </w:r>
          </w:p>
        </w:tc>
        <w:tc>
          <w:tcPr>
            <w:tcW w:w="332" w:type="pct"/>
          </w:tcPr>
          <w:p w:rsidR="00222FCC" w:rsidRDefault="00FD122A">
            <w:pPr>
              <w:ind w:right="-29"/>
              <w:jc w:val="center"/>
              <w:rPr>
                <w:noProof/>
                <w:sz w:val="18"/>
                <w:szCs w:val="18"/>
              </w:rPr>
            </w:pPr>
            <w:r>
              <w:rPr>
                <w:noProof/>
                <w:sz w:val="18"/>
              </w:rPr>
              <w:t>44 670</w:t>
            </w:r>
          </w:p>
        </w:tc>
        <w:tc>
          <w:tcPr>
            <w:tcW w:w="600" w:type="pct"/>
          </w:tcPr>
          <w:p w:rsidR="00222FCC" w:rsidRDefault="00FD122A">
            <w:pPr>
              <w:ind w:right="-29"/>
              <w:jc w:val="center"/>
              <w:rPr>
                <w:noProof/>
                <w:sz w:val="18"/>
                <w:szCs w:val="18"/>
              </w:rPr>
            </w:pPr>
            <w:r>
              <w:rPr>
                <w:noProof/>
                <w:sz w:val="18"/>
              </w:rPr>
              <w:t>44,670</w:t>
            </w:r>
          </w:p>
        </w:tc>
      </w:tr>
      <w:tr w:rsidR="00222FCC">
        <w:trPr>
          <w:trHeight w:hRule="exact" w:val="985"/>
          <w:jc w:val="center"/>
        </w:trPr>
        <w:tc>
          <w:tcPr>
            <w:tcW w:w="742" w:type="pct"/>
          </w:tcPr>
          <w:p w:rsidR="00222FCC" w:rsidRDefault="00FD122A">
            <w:pPr>
              <w:ind w:right="-29"/>
              <w:jc w:val="center"/>
              <w:rPr>
                <w:noProof/>
                <w:sz w:val="18"/>
              </w:rPr>
            </w:pPr>
            <w:r>
              <w:rPr>
                <w:noProof/>
                <w:sz w:val="18"/>
              </w:rPr>
              <w:t>— Резултат</w:t>
            </w:r>
          </w:p>
        </w:tc>
        <w:tc>
          <w:tcPr>
            <w:tcW w:w="713" w:type="pct"/>
          </w:tcPr>
          <w:p w:rsidR="00222FCC" w:rsidRDefault="00FD122A">
            <w:pPr>
              <w:ind w:right="-29"/>
              <w:jc w:val="center"/>
              <w:rPr>
                <w:noProof/>
                <w:sz w:val="18"/>
                <w:szCs w:val="18"/>
              </w:rPr>
            </w:pPr>
            <w:r>
              <w:rPr>
                <w:noProof/>
                <w:sz w:val="18"/>
              </w:rPr>
              <w:t xml:space="preserve">Участници в </w:t>
            </w:r>
            <w:r>
              <w:rPr>
                <w:noProof/>
                <w:sz w:val="18"/>
              </w:rPr>
              <w:t>назначения в чужбина, получили езикова помощ онлайн</w:t>
            </w:r>
          </w:p>
        </w:tc>
        <w:tc>
          <w:tcPr>
            <w:tcW w:w="354" w:type="pct"/>
          </w:tcPr>
          <w:p w:rsidR="00222FCC" w:rsidRDefault="00FD122A">
            <w:pPr>
              <w:jc w:val="center"/>
              <w:rPr>
                <w:noProof/>
                <w:sz w:val="18"/>
                <w:szCs w:val="18"/>
              </w:rPr>
            </w:pPr>
            <w:r>
              <w:rPr>
                <w:noProof/>
                <w:sz w:val="18"/>
              </w:rPr>
              <w:t>45</w:t>
            </w:r>
          </w:p>
        </w:tc>
        <w:tc>
          <w:tcPr>
            <w:tcW w:w="326" w:type="pct"/>
          </w:tcPr>
          <w:p w:rsidR="00222FCC" w:rsidRDefault="00FD122A">
            <w:pPr>
              <w:ind w:right="-29"/>
              <w:jc w:val="center"/>
              <w:rPr>
                <w:noProof/>
                <w:sz w:val="18"/>
                <w:szCs w:val="18"/>
              </w:rPr>
            </w:pPr>
            <w:r>
              <w:rPr>
                <w:noProof/>
                <w:sz w:val="18"/>
              </w:rPr>
              <w:t>13 880</w:t>
            </w:r>
          </w:p>
        </w:tc>
        <w:tc>
          <w:tcPr>
            <w:tcW w:w="392" w:type="pct"/>
          </w:tcPr>
          <w:p w:rsidR="00222FCC" w:rsidRDefault="00FD122A">
            <w:pPr>
              <w:ind w:right="-29"/>
              <w:jc w:val="center"/>
              <w:rPr>
                <w:noProof/>
                <w:sz w:val="18"/>
                <w:szCs w:val="18"/>
              </w:rPr>
            </w:pPr>
            <w:r>
              <w:rPr>
                <w:noProof/>
                <w:sz w:val="18"/>
              </w:rPr>
              <w:t>0,625</w:t>
            </w:r>
          </w:p>
        </w:tc>
        <w:tc>
          <w:tcPr>
            <w:tcW w:w="330" w:type="pct"/>
          </w:tcPr>
          <w:p w:rsidR="00222FCC" w:rsidRDefault="00FD122A">
            <w:pPr>
              <w:ind w:right="-29"/>
              <w:jc w:val="center"/>
              <w:rPr>
                <w:noProof/>
                <w:sz w:val="18"/>
                <w:szCs w:val="18"/>
              </w:rPr>
            </w:pPr>
            <w:r>
              <w:rPr>
                <w:noProof/>
                <w:sz w:val="18"/>
              </w:rPr>
              <w:t>19 435</w:t>
            </w:r>
          </w:p>
        </w:tc>
        <w:tc>
          <w:tcPr>
            <w:tcW w:w="422" w:type="pct"/>
          </w:tcPr>
          <w:p w:rsidR="00222FCC" w:rsidRDefault="00FD122A">
            <w:pPr>
              <w:ind w:right="-29"/>
              <w:jc w:val="center"/>
              <w:rPr>
                <w:noProof/>
                <w:sz w:val="18"/>
                <w:szCs w:val="18"/>
              </w:rPr>
            </w:pPr>
            <w:r>
              <w:rPr>
                <w:noProof/>
                <w:sz w:val="18"/>
              </w:rPr>
              <w:t>0,875</w:t>
            </w:r>
          </w:p>
        </w:tc>
        <w:tc>
          <w:tcPr>
            <w:tcW w:w="367" w:type="pct"/>
          </w:tcPr>
          <w:p w:rsidR="00222FCC" w:rsidRDefault="00FD122A">
            <w:pPr>
              <w:ind w:right="-29"/>
              <w:jc w:val="center"/>
              <w:rPr>
                <w:noProof/>
                <w:sz w:val="18"/>
                <w:szCs w:val="18"/>
              </w:rPr>
            </w:pPr>
            <w:r>
              <w:rPr>
                <w:noProof/>
                <w:sz w:val="18"/>
              </w:rPr>
              <w:t>22 215</w:t>
            </w:r>
          </w:p>
        </w:tc>
        <w:tc>
          <w:tcPr>
            <w:tcW w:w="423" w:type="pct"/>
          </w:tcPr>
          <w:p w:rsidR="00222FCC" w:rsidRDefault="00FD122A">
            <w:pPr>
              <w:ind w:right="-29"/>
              <w:jc w:val="center"/>
              <w:rPr>
                <w:noProof/>
                <w:sz w:val="18"/>
                <w:szCs w:val="18"/>
              </w:rPr>
            </w:pPr>
            <w:r>
              <w:rPr>
                <w:noProof/>
                <w:sz w:val="18"/>
              </w:rPr>
              <w:t>0,999</w:t>
            </w:r>
          </w:p>
        </w:tc>
        <w:tc>
          <w:tcPr>
            <w:tcW w:w="332" w:type="pct"/>
          </w:tcPr>
          <w:p w:rsidR="00222FCC" w:rsidRDefault="00FD122A">
            <w:pPr>
              <w:ind w:right="-29"/>
              <w:jc w:val="center"/>
              <w:rPr>
                <w:noProof/>
                <w:sz w:val="18"/>
                <w:szCs w:val="18"/>
              </w:rPr>
            </w:pPr>
            <w:r>
              <w:rPr>
                <w:noProof/>
                <w:sz w:val="18"/>
              </w:rPr>
              <w:t>55 530</w:t>
            </w:r>
          </w:p>
        </w:tc>
        <w:tc>
          <w:tcPr>
            <w:tcW w:w="600" w:type="pct"/>
          </w:tcPr>
          <w:p w:rsidR="00222FCC" w:rsidRDefault="00FD122A">
            <w:pPr>
              <w:ind w:right="-29"/>
              <w:jc w:val="center"/>
              <w:rPr>
                <w:noProof/>
                <w:sz w:val="18"/>
                <w:szCs w:val="18"/>
              </w:rPr>
            </w:pPr>
            <w:r>
              <w:rPr>
                <w:noProof/>
                <w:sz w:val="18"/>
              </w:rPr>
              <w:t>2,499</w:t>
            </w:r>
          </w:p>
        </w:tc>
      </w:tr>
      <w:tr w:rsidR="00222FCC">
        <w:trPr>
          <w:trHeight w:hRule="exact" w:val="985"/>
          <w:jc w:val="center"/>
        </w:trPr>
        <w:tc>
          <w:tcPr>
            <w:tcW w:w="742" w:type="pct"/>
          </w:tcPr>
          <w:p w:rsidR="00222FCC" w:rsidRDefault="00FD122A">
            <w:pPr>
              <w:ind w:right="-29"/>
              <w:jc w:val="center"/>
              <w:rPr>
                <w:noProof/>
                <w:sz w:val="18"/>
              </w:rPr>
            </w:pPr>
            <w:r>
              <w:rPr>
                <w:noProof/>
                <w:sz w:val="18"/>
              </w:rPr>
              <w:t>— Резултат</w:t>
            </w:r>
          </w:p>
        </w:tc>
        <w:tc>
          <w:tcPr>
            <w:tcW w:w="713" w:type="pct"/>
          </w:tcPr>
          <w:p w:rsidR="00222FCC" w:rsidRDefault="00FD122A">
            <w:pPr>
              <w:ind w:right="-29"/>
              <w:jc w:val="center"/>
              <w:rPr>
                <w:noProof/>
                <w:sz w:val="18"/>
                <w:szCs w:val="18"/>
              </w:rPr>
            </w:pPr>
            <w:r>
              <w:rPr>
                <w:noProof/>
                <w:sz w:val="18"/>
              </w:rPr>
              <w:t xml:space="preserve">Участници, вписани в застраховката на Европейския корпус за солидарност  </w:t>
            </w:r>
          </w:p>
        </w:tc>
        <w:tc>
          <w:tcPr>
            <w:tcW w:w="354" w:type="pct"/>
          </w:tcPr>
          <w:p w:rsidR="00222FCC" w:rsidRDefault="00FD122A">
            <w:pPr>
              <w:jc w:val="center"/>
              <w:rPr>
                <w:noProof/>
                <w:sz w:val="18"/>
                <w:szCs w:val="18"/>
              </w:rPr>
            </w:pPr>
            <w:r>
              <w:rPr>
                <w:noProof/>
                <w:sz w:val="18"/>
              </w:rPr>
              <w:t>250</w:t>
            </w:r>
          </w:p>
        </w:tc>
        <w:tc>
          <w:tcPr>
            <w:tcW w:w="326" w:type="pct"/>
          </w:tcPr>
          <w:p w:rsidR="00222FCC" w:rsidRDefault="00FD122A">
            <w:pPr>
              <w:ind w:right="-29"/>
              <w:jc w:val="center"/>
              <w:rPr>
                <w:noProof/>
                <w:sz w:val="18"/>
                <w:szCs w:val="18"/>
              </w:rPr>
            </w:pPr>
            <w:r>
              <w:rPr>
                <w:noProof/>
                <w:sz w:val="18"/>
              </w:rPr>
              <w:t>16 143</w:t>
            </w:r>
          </w:p>
        </w:tc>
        <w:tc>
          <w:tcPr>
            <w:tcW w:w="392" w:type="pct"/>
          </w:tcPr>
          <w:p w:rsidR="00222FCC" w:rsidRDefault="00FD122A">
            <w:pPr>
              <w:ind w:right="-29"/>
              <w:jc w:val="center"/>
              <w:rPr>
                <w:noProof/>
                <w:sz w:val="18"/>
                <w:szCs w:val="18"/>
              </w:rPr>
            </w:pPr>
            <w:r>
              <w:rPr>
                <w:noProof/>
                <w:sz w:val="18"/>
              </w:rPr>
              <w:t>4,035</w:t>
            </w:r>
          </w:p>
        </w:tc>
        <w:tc>
          <w:tcPr>
            <w:tcW w:w="330" w:type="pct"/>
          </w:tcPr>
          <w:p w:rsidR="00222FCC" w:rsidRDefault="00FD122A">
            <w:pPr>
              <w:ind w:right="-29"/>
              <w:jc w:val="center"/>
              <w:rPr>
                <w:noProof/>
                <w:sz w:val="18"/>
                <w:szCs w:val="18"/>
              </w:rPr>
            </w:pPr>
            <w:r>
              <w:rPr>
                <w:noProof/>
                <w:sz w:val="18"/>
              </w:rPr>
              <w:t>22 600</w:t>
            </w:r>
          </w:p>
        </w:tc>
        <w:tc>
          <w:tcPr>
            <w:tcW w:w="422" w:type="pct"/>
          </w:tcPr>
          <w:p w:rsidR="00222FCC" w:rsidRDefault="00FD122A">
            <w:pPr>
              <w:ind w:right="-29"/>
              <w:jc w:val="center"/>
              <w:rPr>
                <w:noProof/>
                <w:sz w:val="18"/>
                <w:szCs w:val="18"/>
              </w:rPr>
            </w:pPr>
            <w:r>
              <w:rPr>
                <w:noProof/>
                <w:sz w:val="18"/>
              </w:rPr>
              <w:t>5,650</w:t>
            </w:r>
          </w:p>
        </w:tc>
        <w:tc>
          <w:tcPr>
            <w:tcW w:w="367" w:type="pct"/>
          </w:tcPr>
          <w:p w:rsidR="00222FCC" w:rsidRDefault="00FD122A">
            <w:pPr>
              <w:ind w:right="-29"/>
              <w:jc w:val="center"/>
              <w:rPr>
                <w:noProof/>
                <w:sz w:val="18"/>
                <w:szCs w:val="18"/>
              </w:rPr>
            </w:pPr>
            <w:r>
              <w:rPr>
                <w:noProof/>
                <w:sz w:val="18"/>
              </w:rPr>
              <w:t>25 827</w:t>
            </w:r>
          </w:p>
        </w:tc>
        <w:tc>
          <w:tcPr>
            <w:tcW w:w="423" w:type="pct"/>
          </w:tcPr>
          <w:p w:rsidR="00222FCC" w:rsidRDefault="00FD122A">
            <w:pPr>
              <w:ind w:right="-29"/>
              <w:jc w:val="center"/>
              <w:rPr>
                <w:noProof/>
                <w:sz w:val="18"/>
                <w:szCs w:val="18"/>
              </w:rPr>
            </w:pPr>
            <w:r>
              <w:rPr>
                <w:noProof/>
                <w:sz w:val="18"/>
              </w:rPr>
              <w:t>6,458</w:t>
            </w:r>
          </w:p>
        </w:tc>
        <w:tc>
          <w:tcPr>
            <w:tcW w:w="332" w:type="pct"/>
          </w:tcPr>
          <w:p w:rsidR="00222FCC" w:rsidRDefault="00FD122A">
            <w:pPr>
              <w:ind w:right="-29"/>
              <w:jc w:val="center"/>
              <w:rPr>
                <w:noProof/>
                <w:sz w:val="18"/>
                <w:szCs w:val="18"/>
              </w:rPr>
            </w:pPr>
            <w:r>
              <w:rPr>
                <w:noProof/>
                <w:sz w:val="18"/>
              </w:rPr>
              <w:t>64 570</w:t>
            </w:r>
          </w:p>
        </w:tc>
        <w:tc>
          <w:tcPr>
            <w:tcW w:w="600" w:type="pct"/>
          </w:tcPr>
          <w:p w:rsidR="00222FCC" w:rsidRDefault="00FD122A">
            <w:pPr>
              <w:ind w:right="-29"/>
              <w:jc w:val="center"/>
              <w:rPr>
                <w:noProof/>
                <w:sz w:val="18"/>
                <w:szCs w:val="18"/>
              </w:rPr>
            </w:pPr>
            <w:r>
              <w:rPr>
                <w:noProof/>
                <w:sz w:val="18"/>
              </w:rPr>
              <w:t>16,143</w:t>
            </w:r>
          </w:p>
        </w:tc>
      </w:tr>
      <w:tr w:rsidR="00222FCC">
        <w:trPr>
          <w:trHeight w:hRule="exact" w:val="985"/>
          <w:jc w:val="center"/>
        </w:trPr>
        <w:tc>
          <w:tcPr>
            <w:tcW w:w="742" w:type="pct"/>
          </w:tcPr>
          <w:p w:rsidR="00222FCC" w:rsidRDefault="00FD122A">
            <w:pPr>
              <w:ind w:right="-29"/>
              <w:jc w:val="center"/>
              <w:rPr>
                <w:noProof/>
                <w:sz w:val="18"/>
              </w:rPr>
            </w:pPr>
            <w:r>
              <w:rPr>
                <w:noProof/>
                <w:sz w:val="18"/>
              </w:rPr>
              <w:t xml:space="preserve">— </w:t>
            </w:r>
            <w:r>
              <w:rPr>
                <w:noProof/>
                <w:sz w:val="18"/>
              </w:rPr>
              <w:t>Резултат</w:t>
            </w:r>
          </w:p>
        </w:tc>
        <w:tc>
          <w:tcPr>
            <w:tcW w:w="713" w:type="pct"/>
          </w:tcPr>
          <w:p w:rsidR="00222FCC" w:rsidRDefault="00FD122A">
            <w:pPr>
              <w:ind w:right="-29"/>
              <w:jc w:val="center"/>
              <w:rPr>
                <w:noProof/>
                <w:sz w:val="18"/>
                <w:szCs w:val="18"/>
              </w:rPr>
            </w:pPr>
            <w:r>
              <w:rPr>
                <w:noProof/>
                <w:sz w:val="18"/>
              </w:rPr>
              <w:t>Участници, получили сертификат</w:t>
            </w:r>
          </w:p>
        </w:tc>
        <w:tc>
          <w:tcPr>
            <w:tcW w:w="354" w:type="pct"/>
          </w:tcPr>
          <w:p w:rsidR="00222FCC" w:rsidRDefault="00FD122A">
            <w:pPr>
              <w:jc w:val="center"/>
              <w:rPr>
                <w:noProof/>
                <w:sz w:val="18"/>
                <w:szCs w:val="18"/>
              </w:rPr>
            </w:pPr>
            <w:r>
              <w:rPr>
                <w:noProof/>
                <w:sz w:val="18"/>
              </w:rPr>
              <w:t>6</w:t>
            </w:r>
          </w:p>
        </w:tc>
        <w:tc>
          <w:tcPr>
            <w:tcW w:w="326" w:type="pct"/>
          </w:tcPr>
          <w:p w:rsidR="00222FCC" w:rsidRDefault="00FD122A">
            <w:pPr>
              <w:ind w:right="-29"/>
              <w:jc w:val="center"/>
              <w:rPr>
                <w:noProof/>
                <w:sz w:val="18"/>
                <w:szCs w:val="18"/>
              </w:rPr>
            </w:pPr>
            <w:r>
              <w:rPr>
                <w:noProof/>
                <w:sz w:val="18"/>
              </w:rPr>
              <w:t>17 200</w:t>
            </w:r>
          </w:p>
        </w:tc>
        <w:tc>
          <w:tcPr>
            <w:tcW w:w="392" w:type="pct"/>
          </w:tcPr>
          <w:p w:rsidR="00222FCC" w:rsidRDefault="00FD122A">
            <w:pPr>
              <w:ind w:right="-29"/>
              <w:jc w:val="center"/>
              <w:rPr>
                <w:noProof/>
                <w:sz w:val="18"/>
                <w:szCs w:val="18"/>
              </w:rPr>
            </w:pPr>
            <w:r>
              <w:rPr>
                <w:noProof/>
                <w:sz w:val="18"/>
              </w:rPr>
              <w:t>0,100</w:t>
            </w:r>
          </w:p>
        </w:tc>
        <w:tc>
          <w:tcPr>
            <w:tcW w:w="330" w:type="pct"/>
          </w:tcPr>
          <w:p w:rsidR="00222FCC" w:rsidRDefault="00FD122A">
            <w:pPr>
              <w:ind w:right="-29"/>
              <w:jc w:val="center"/>
              <w:rPr>
                <w:noProof/>
                <w:sz w:val="18"/>
                <w:szCs w:val="18"/>
              </w:rPr>
            </w:pPr>
            <w:r>
              <w:rPr>
                <w:noProof/>
                <w:sz w:val="18"/>
              </w:rPr>
              <w:t>34 400</w:t>
            </w:r>
          </w:p>
        </w:tc>
        <w:tc>
          <w:tcPr>
            <w:tcW w:w="422" w:type="pct"/>
          </w:tcPr>
          <w:p w:rsidR="00222FCC" w:rsidRDefault="00FD122A">
            <w:pPr>
              <w:ind w:right="-29"/>
              <w:jc w:val="center"/>
              <w:rPr>
                <w:noProof/>
                <w:sz w:val="18"/>
                <w:szCs w:val="18"/>
              </w:rPr>
            </w:pPr>
            <w:r>
              <w:rPr>
                <w:noProof/>
                <w:sz w:val="18"/>
              </w:rPr>
              <w:t>0,200</w:t>
            </w:r>
          </w:p>
        </w:tc>
        <w:tc>
          <w:tcPr>
            <w:tcW w:w="367" w:type="pct"/>
          </w:tcPr>
          <w:p w:rsidR="00222FCC" w:rsidRDefault="00FD122A">
            <w:pPr>
              <w:ind w:right="-29"/>
              <w:jc w:val="center"/>
              <w:rPr>
                <w:noProof/>
                <w:sz w:val="18"/>
                <w:szCs w:val="18"/>
              </w:rPr>
            </w:pPr>
            <w:r>
              <w:rPr>
                <w:noProof/>
                <w:sz w:val="18"/>
              </w:rPr>
              <w:t>34 400</w:t>
            </w:r>
          </w:p>
        </w:tc>
        <w:tc>
          <w:tcPr>
            <w:tcW w:w="423" w:type="pct"/>
          </w:tcPr>
          <w:p w:rsidR="00222FCC" w:rsidRDefault="00FD122A">
            <w:pPr>
              <w:ind w:right="-29"/>
              <w:jc w:val="center"/>
              <w:rPr>
                <w:noProof/>
                <w:sz w:val="18"/>
                <w:szCs w:val="18"/>
              </w:rPr>
            </w:pPr>
            <w:r>
              <w:rPr>
                <w:noProof/>
                <w:sz w:val="18"/>
              </w:rPr>
              <w:t>0,200</w:t>
            </w:r>
          </w:p>
        </w:tc>
        <w:tc>
          <w:tcPr>
            <w:tcW w:w="332" w:type="pct"/>
          </w:tcPr>
          <w:p w:rsidR="00222FCC" w:rsidRDefault="00FD122A">
            <w:pPr>
              <w:ind w:right="-29"/>
              <w:jc w:val="center"/>
              <w:rPr>
                <w:noProof/>
                <w:sz w:val="18"/>
                <w:szCs w:val="18"/>
              </w:rPr>
            </w:pPr>
            <w:r>
              <w:rPr>
                <w:noProof/>
                <w:sz w:val="18"/>
              </w:rPr>
              <w:t>86 000</w:t>
            </w:r>
          </w:p>
        </w:tc>
        <w:tc>
          <w:tcPr>
            <w:tcW w:w="600" w:type="pct"/>
          </w:tcPr>
          <w:p w:rsidR="00222FCC" w:rsidRDefault="00FD122A">
            <w:pPr>
              <w:ind w:right="-29"/>
              <w:jc w:val="center"/>
              <w:rPr>
                <w:noProof/>
                <w:sz w:val="18"/>
                <w:szCs w:val="18"/>
              </w:rPr>
            </w:pPr>
            <w:r>
              <w:rPr>
                <w:noProof/>
                <w:sz w:val="18"/>
              </w:rPr>
              <w:t>0,500</w:t>
            </w:r>
          </w:p>
        </w:tc>
      </w:tr>
      <w:tr w:rsidR="00222FCC">
        <w:trPr>
          <w:trHeight w:hRule="exact" w:val="985"/>
          <w:jc w:val="center"/>
        </w:trPr>
        <w:tc>
          <w:tcPr>
            <w:tcW w:w="742" w:type="pct"/>
          </w:tcPr>
          <w:p w:rsidR="00222FCC" w:rsidRDefault="00FD122A">
            <w:pPr>
              <w:ind w:right="-29"/>
              <w:jc w:val="center"/>
              <w:rPr>
                <w:noProof/>
                <w:sz w:val="18"/>
              </w:rPr>
            </w:pPr>
            <w:r>
              <w:rPr>
                <w:noProof/>
                <w:sz w:val="18"/>
              </w:rPr>
              <w:t>— Резултат</w:t>
            </w:r>
          </w:p>
        </w:tc>
        <w:tc>
          <w:tcPr>
            <w:tcW w:w="713" w:type="pct"/>
          </w:tcPr>
          <w:p w:rsidR="00222FCC" w:rsidRDefault="00FD122A">
            <w:pPr>
              <w:ind w:right="-29"/>
              <w:jc w:val="center"/>
              <w:rPr>
                <w:noProof/>
                <w:sz w:val="18"/>
                <w:szCs w:val="18"/>
              </w:rPr>
            </w:pPr>
            <w:r>
              <w:rPr>
                <w:noProof/>
                <w:sz w:val="18"/>
              </w:rPr>
              <w:t>Организации, получили знак за качество</w:t>
            </w:r>
          </w:p>
        </w:tc>
        <w:tc>
          <w:tcPr>
            <w:tcW w:w="354" w:type="pct"/>
          </w:tcPr>
          <w:p w:rsidR="00222FCC" w:rsidRDefault="00FD122A">
            <w:pPr>
              <w:jc w:val="center"/>
              <w:rPr>
                <w:noProof/>
                <w:sz w:val="18"/>
                <w:szCs w:val="18"/>
              </w:rPr>
            </w:pPr>
            <w:r>
              <w:rPr>
                <w:noProof/>
                <w:sz w:val="18"/>
              </w:rPr>
              <w:t>411</w:t>
            </w:r>
          </w:p>
        </w:tc>
        <w:tc>
          <w:tcPr>
            <w:tcW w:w="326" w:type="pct"/>
          </w:tcPr>
          <w:p w:rsidR="00222FCC" w:rsidRDefault="00FD122A">
            <w:pPr>
              <w:ind w:right="-29"/>
              <w:jc w:val="center"/>
              <w:rPr>
                <w:noProof/>
                <w:sz w:val="18"/>
                <w:szCs w:val="18"/>
              </w:rPr>
            </w:pPr>
            <w:r>
              <w:rPr>
                <w:noProof/>
                <w:sz w:val="18"/>
              </w:rPr>
              <w:t>4 000</w:t>
            </w:r>
          </w:p>
        </w:tc>
        <w:tc>
          <w:tcPr>
            <w:tcW w:w="392" w:type="pct"/>
          </w:tcPr>
          <w:p w:rsidR="00222FCC" w:rsidRDefault="00FD122A">
            <w:pPr>
              <w:ind w:right="-29"/>
              <w:jc w:val="center"/>
              <w:rPr>
                <w:noProof/>
                <w:sz w:val="18"/>
                <w:szCs w:val="18"/>
              </w:rPr>
            </w:pPr>
            <w:r>
              <w:rPr>
                <w:noProof/>
                <w:sz w:val="18"/>
              </w:rPr>
              <w:t>1,849</w:t>
            </w:r>
          </w:p>
        </w:tc>
        <w:tc>
          <w:tcPr>
            <w:tcW w:w="330" w:type="pct"/>
          </w:tcPr>
          <w:p w:rsidR="00222FCC" w:rsidRDefault="00FD122A">
            <w:pPr>
              <w:ind w:right="-29"/>
              <w:jc w:val="center"/>
              <w:rPr>
                <w:noProof/>
                <w:sz w:val="18"/>
                <w:szCs w:val="18"/>
              </w:rPr>
            </w:pPr>
            <w:r>
              <w:rPr>
                <w:noProof/>
                <w:sz w:val="18"/>
              </w:rPr>
              <w:t>4 000</w:t>
            </w:r>
          </w:p>
        </w:tc>
        <w:tc>
          <w:tcPr>
            <w:tcW w:w="422" w:type="pct"/>
          </w:tcPr>
          <w:p w:rsidR="00222FCC" w:rsidRDefault="00FD122A">
            <w:pPr>
              <w:ind w:right="-29"/>
              <w:jc w:val="center"/>
              <w:rPr>
                <w:noProof/>
                <w:sz w:val="18"/>
                <w:szCs w:val="18"/>
              </w:rPr>
            </w:pPr>
            <w:r>
              <w:rPr>
                <w:noProof/>
                <w:sz w:val="18"/>
              </w:rPr>
              <w:t>1,437</w:t>
            </w:r>
          </w:p>
        </w:tc>
        <w:tc>
          <w:tcPr>
            <w:tcW w:w="367" w:type="pct"/>
          </w:tcPr>
          <w:p w:rsidR="00222FCC" w:rsidRDefault="00FD122A">
            <w:pPr>
              <w:ind w:right="-29"/>
              <w:jc w:val="center"/>
              <w:rPr>
                <w:noProof/>
                <w:sz w:val="18"/>
                <w:szCs w:val="18"/>
              </w:rPr>
            </w:pPr>
            <w:r>
              <w:rPr>
                <w:noProof/>
                <w:sz w:val="18"/>
              </w:rPr>
              <w:t>2 000</w:t>
            </w:r>
          </w:p>
        </w:tc>
        <w:tc>
          <w:tcPr>
            <w:tcW w:w="423" w:type="pct"/>
          </w:tcPr>
          <w:p w:rsidR="00222FCC" w:rsidRDefault="00FD122A">
            <w:pPr>
              <w:ind w:right="-29"/>
              <w:jc w:val="center"/>
              <w:rPr>
                <w:noProof/>
                <w:sz w:val="18"/>
                <w:szCs w:val="18"/>
              </w:rPr>
            </w:pPr>
            <w:r>
              <w:rPr>
                <w:noProof/>
                <w:sz w:val="18"/>
              </w:rPr>
              <w:t>0,822</w:t>
            </w:r>
          </w:p>
        </w:tc>
        <w:tc>
          <w:tcPr>
            <w:tcW w:w="332" w:type="pct"/>
          </w:tcPr>
          <w:p w:rsidR="00222FCC" w:rsidRDefault="00FD122A">
            <w:pPr>
              <w:ind w:right="-29"/>
              <w:jc w:val="center"/>
              <w:rPr>
                <w:noProof/>
                <w:sz w:val="18"/>
                <w:szCs w:val="18"/>
              </w:rPr>
            </w:pPr>
            <w:r>
              <w:rPr>
                <w:noProof/>
                <w:sz w:val="18"/>
              </w:rPr>
              <w:t>10 000</w:t>
            </w:r>
          </w:p>
        </w:tc>
        <w:tc>
          <w:tcPr>
            <w:tcW w:w="600" w:type="pct"/>
          </w:tcPr>
          <w:p w:rsidR="00222FCC" w:rsidRDefault="00FD122A">
            <w:pPr>
              <w:ind w:right="-29"/>
              <w:jc w:val="center"/>
              <w:rPr>
                <w:noProof/>
                <w:sz w:val="18"/>
                <w:szCs w:val="18"/>
              </w:rPr>
            </w:pPr>
            <w:r>
              <w:rPr>
                <w:noProof/>
                <w:sz w:val="18"/>
              </w:rPr>
              <w:t>4,108</w:t>
            </w:r>
          </w:p>
        </w:tc>
      </w:tr>
      <w:tr w:rsidR="00222FCC">
        <w:trPr>
          <w:trHeight w:hRule="exact" w:val="985"/>
          <w:jc w:val="center"/>
        </w:trPr>
        <w:tc>
          <w:tcPr>
            <w:tcW w:w="742" w:type="pct"/>
          </w:tcPr>
          <w:p w:rsidR="00222FCC" w:rsidRDefault="00FD122A">
            <w:pPr>
              <w:ind w:right="-29"/>
              <w:jc w:val="center"/>
              <w:rPr>
                <w:noProof/>
                <w:sz w:val="18"/>
              </w:rPr>
            </w:pPr>
            <w:r>
              <w:rPr>
                <w:noProof/>
                <w:sz w:val="18"/>
              </w:rPr>
              <w:t>— Резултат</w:t>
            </w:r>
          </w:p>
        </w:tc>
        <w:tc>
          <w:tcPr>
            <w:tcW w:w="713" w:type="pct"/>
          </w:tcPr>
          <w:p w:rsidR="00222FCC" w:rsidRDefault="00FD122A">
            <w:pPr>
              <w:ind w:right="-29"/>
              <w:jc w:val="center"/>
              <w:rPr>
                <w:noProof/>
                <w:sz w:val="18"/>
                <w:szCs w:val="18"/>
              </w:rPr>
            </w:pPr>
            <w:r>
              <w:rPr>
                <w:noProof/>
                <w:sz w:val="18"/>
              </w:rPr>
              <w:t xml:space="preserve">Портал на Европейския корпус за солидарност </w:t>
            </w:r>
          </w:p>
        </w:tc>
        <w:tc>
          <w:tcPr>
            <w:tcW w:w="354" w:type="pct"/>
          </w:tcPr>
          <w:p w:rsidR="00222FCC" w:rsidRDefault="00FD122A">
            <w:pPr>
              <w:jc w:val="center"/>
              <w:rPr>
                <w:noProof/>
                <w:sz w:val="18"/>
                <w:szCs w:val="18"/>
              </w:rPr>
            </w:pPr>
            <w:r>
              <w:rPr>
                <w:noProof/>
                <w:sz w:val="18"/>
              </w:rPr>
              <w:t>4</w:t>
            </w:r>
            <w:r>
              <w:rPr>
                <w:noProof/>
                <w:sz w:val="18"/>
              </w:rPr>
              <w:t xml:space="preserve"> 000 000</w:t>
            </w:r>
          </w:p>
        </w:tc>
        <w:tc>
          <w:tcPr>
            <w:tcW w:w="326" w:type="pct"/>
          </w:tcPr>
          <w:p w:rsidR="00222FCC" w:rsidRDefault="00FD122A">
            <w:pPr>
              <w:ind w:right="-29"/>
              <w:jc w:val="center"/>
              <w:rPr>
                <w:noProof/>
                <w:sz w:val="18"/>
                <w:szCs w:val="18"/>
              </w:rPr>
            </w:pPr>
            <w:r>
              <w:rPr>
                <w:noProof/>
                <w:sz w:val="18"/>
              </w:rPr>
              <w:t>1</w:t>
            </w:r>
          </w:p>
        </w:tc>
        <w:tc>
          <w:tcPr>
            <w:tcW w:w="392" w:type="pct"/>
          </w:tcPr>
          <w:p w:rsidR="00222FCC" w:rsidRDefault="00FD122A">
            <w:pPr>
              <w:ind w:right="-29"/>
              <w:jc w:val="center"/>
              <w:rPr>
                <w:noProof/>
                <w:sz w:val="18"/>
                <w:szCs w:val="18"/>
              </w:rPr>
            </w:pPr>
            <w:r>
              <w:rPr>
                <w:noProof/>
                <w:sz w:val="18"/>
              </w:rPr>
              <w:t>2,000</w:t>
            </w:r>
          </w:p>
        </w:tc>
        <w:tc>
          <w:tcPr>
            <w:tcW w:w="330" w:type="pct"/>
          </w:tcPr>
          <w:p w:rsidR="00222FCC" w:rsidRDefault="00FD122A">
            <w:pPr>
              <w:ind w:right="-29"/>
              <w:jc w:val="center"/>
              <w:rPr>
                <w:noProof/>
                <w:sz w:val="18"/>
                <w:szCs w:val="18"/>
              </w:rPr>
            </w:pPr>
            <w:r>
              <w:rPr>
                <w:noProof/>
                <w:sz w:val="18"/>
              </w:rPr>
              <w:t>1</w:t>
            </w:r>
          </w:p>
        </w:tc>
        <w:tc>
          <w:tcPr>
            <w:tcW w:w="422" w:type="pct"/>
          </w:tcPr>
          <w:p w:rsidR="00222FCC" w:rsidRDefault="00FD122A">
            <w:pPr>
              <w:ind w:right="-29"/>
              <w:jc w:val="center"/>
              <w:rPr>
                <w:noProof/>
                <w:sz w:val="18"/>
                <w:szCs w:val="18"/>
              </w:rPr>
            </w:pPr>
            <w:r>
              <w:rPr>
                <w:noProof/>
                <w:sz w:val="18"/>
              </w:rPr>
              <w:t>1,000</w:t>
            </w:r>
          </w:p>
        </w:tc>
        <w:tc>
          <w:tcPr>
            <w:tcW w:w="367" w:type="pct"/>
          </w:tcPr>
          <w:p w:rsidR="00222FCC" w:rsidRDefault="00FD122A">
            <w:pPr>
              <w:ind w:right="-29"/>
              <w:jc w:val="center"/>
              <w:rPr>
                <w:noProof/>
                <w:sz w:val="18"/>
                <w:szCs w:val="18"/>
              </w:rPr>
            </w:pPr>
            <w:r>
              <w:rPr>
                <w:noProof/>
                <w:sz w:val="18"/>
              </w:rPr>
              <w:t>1</w:t>
            </w:r>
          </w:p>
        </w:tc>
        <w:tc>
          <w:tcPr>
            <w:tcW w:w="423" w:type="pct"/>
          </w:tcPr>
          <w:p w:rsidR="00222FCC" w:rsidRDefault="00FD122A">
            <w:pPr>
              <w:ind w:right="-29"/>
              <w:jc w:val="center"/>
              <w:rPr>
                <w:noProof/>
                <w:sz w:val="18"/>
                <w:szCs w:val="18"/>
              </w:rPr>
            </w:pPr>
            <w:r>
              <w:rPr>
                <w:noProof/>
                <w:sz w:val="18"/>
              </w:rPr>
              <w:t>1,000</w:t>
            </w:r>
          </w:p>
        </w:tc>
        <w:tc>
          <w:tcPr>
            <w:tcW w:w="332" w:type="pct"/>
          </w:tcPr>
          <w:p w:rsidR="00222FCC" w:rsidRDefault="00FD122A">
            <w:pPr>
              <w:ind w:right="-29"/>
              <w:jc w:val="center"/>
              <w:rPr>
                <w:noProof/>
                <w:sz w:val="18"/>
                <w:szCs w:val="18"/>
              </w:rPr>
            </w:pPr>
            <w:r>
              <w:rPr>
                <w:noProof/>
                <w:sz w:val="18"/>
              </w:rPr>
              <w:t>1</w:t>
            </w:r>
          </w:p>
        </w:tc>
        <w:tc>
          <w:tcPr>
            <w:tcW w:w="600" w:type="pct"/>
          </w:tcPr>
          <w:p w:rsidR="00222FCC" w:rsidRDefault="00FD122A">
            <w:pPr>
              <w:ind w:right="-29"/>
              <w:jc w:val="center"/>
              <w:rPr>
                <w:noProof/>
                <w:sz w:val="18"/>
                <w:szCs w:val="18"/>
              </w:rPr>
            </w:pPr>
            <w:r>
              <w:rPr>
                <w:noProof/>
                <w:sz w:val="18"/>
              </w:rPr>
              <w:t>4,000</w:t>
            </w:r>
          </w:p>
        </w:tc>
      </w:tr>
      <w:tr w:rsidR="00222FCC">
        <w:trPr>
          <w:trHeight w:hRule="exact" w:val="985"/>
          <w:jc w:val="center"/>
        </w:trPr>
        <w:tc>
          <w:tcPr>
            <w:tcW w:w="742" w:type="pct"/>
          </w:tcPr>
          <w:p w:rsidR="00222FCC" w:rsidRDefault="00FD122A">
            <w:pPr>
              <w:ind w:right="-29"/>
              <w:jc w:val="center"/>
              <w:rPr>
                <w:noProof/>
                <w:sz w:val="18"/>
              </w:rPr>
            </w:pPr>
            <w:r>
              <w:rPr>
                <w:noProof/>
                <w:sz w:val="18"/>
              </w:rPr>
              <w:t>— Резултат</w:t>
            </w:r>
          </w:p>
        </w:tc>
        <w:tc>
          <w:tcPr>
            <w:tcW w:w="713" w:type="pct"/>
          </w:tcPr>
          <w:p w:rsidR="00222FCC" w:rsidRDefault="00FD122A">
            <w:pPr>
              <w:ind w:right="-29"/>
              <w:jc w:val="center"/>
              <w:rPr>
                <w:noProof/>
                <w:sz w:val="18"/>
                <w:szCs w:val="18"/>
              </w:rPr>
            </w:pPr>
            <w:r>
              <w:rPr>
                <w:noProof/>
                <w:sz w:val="18"/>
              </w:rPr>
              <w:t xml:space="preserve">Ресурсен център </w:t>
            </w:r>
          </w:p>
        </w:tc>
        <w:tc>
          <w:tcPr>
            <w:tcW w:w="354" w:type="pct"/>
          </w:tcPr>
          <w:p w:rsidR="00222FCC" w:rsidRDefault="00FD122A">
            <w:pPr>
              <w:jc w:val="center"/>
              <w:rPr>
                <w:noProof/>
                <w:sz w:val="18"/>
                <w:szCs w:val="18"/>
              </w:rPr>
            </w:pPr>
            <w:r>
              <w:rPr>
                <w:noProof/>
                <w:sz w:val="18"/>
              </w:rPr>
              <w:t>400 000</w:t>
            </w:r>
          </w:p>
        </w:tc>
        <w:tc>
          <w:tcPr>
            <w:tcW w:w="326" w:type="pct"/>
          </w:tcPr>
          <w:p w:rsidR="00222FCC" w:rsidRDefault="00FD122A">
            <w:pPr>
              <w:ind w:right="-29"/>
              <w:jc w:val="center"/>
              <w:rPr>
                <w:noProof/>
                <w:sz w:val="18"/>
                <w:szCs w:val="18"/>
              </w:rPr>
            </w:pPr>
            <w:r>
              <w:rPr>
                <w:noProof/>
                <w:sz w:val="18"/>
              </w:rPr>
              <w:t>1</w:t>
            </w:r>
          </w:p>
        </w:tc>
        <w:tc>
          <w:tcPr>
            <w:tcW w:w="392" w:type="pct"/>
          </w:tcPr>
          <w:p w:rsidR="00222FCC" w:rsidRDefault="00FD122A">
            <w:pPr>
              <w:ind w:right="-29"/>
              <w:jc w:val="center"/>
              <w:rPr>
                <w:noProof/>
                <w:sz w:val="18"/>
                <w:szCs w:val="18"/>
              </w:rPr>
            </w:pPr>
            <w:r>
              <w:rPr>
                <w:noProof/>
                <w:sz w:val="18"/>
              </w:rPr>
              <w:t>0,128</w:t>
            </w:r>
          </w:p>
        </w:tc>
        <w:tc>
          <w:tcPr>
            <w:tcW w:w="330" w:type="pct"/>
          </w:tcPr>
          <w:p w:rsidR="00222FCC" w:rsidRDefault="00FD122A">
            <w:pPr>
              <w:ind w:right="-29"/>
              <w:jc w:val="center"/>
              <w:rPr>
                <w:noProof/>
                <w:sz w:val="18"/>
                <w:szCs w:val="18"/>
              </w:rPr>
            </w:pPr>
            <w:r>
              <w:rPr>
                <w:noProof/>
                <w:sz w:val="18"/>
              </w:rPr>
              <w:t>1</w:t>
            </w:r>
          </w:p>
        </w:tc>
        <w:tc>
          <w:tcPr>
            <w:tcW w:w="422" w:type="pct"/>
          </w:tcPr>
          <w:p w:rsidR="00222FCC" w:rsidRDefault="00FD122A">
            <w:pPr>
              <w:ind w:right="-29"/>
              <w:jc w:val="center"/>
              <w:rPr>
                <w:noProof/>
                <w:sz w:val="18"/>
                <w:szCs w:val="18"/>
              </w:rPr>
            </w:pPr>
            <w:r>
              <w:rPr>
                <w:noProof/>
                <w:sz w:val="18"/>
              </w:rPr>
              <w:t>0,128</w:t>
            </w:r>
          </w:p>
        </w:tc>
        <w:tc>
          <w:tcPr>
            <w:tcW w:w="367" w:type="pct"/>
          </w:tcPr>
          <w:p w:rsidR="00222FCC" w:rsidRDefault="00FD122A">
            <w:pPr>
              <w:ind w:right="-29"/>
              <w:jc w:val="center"/>
              <w:rPr>
                <w:noProof/>
                <w:sz w:val="18"/>
                <w:szCs w:val="18"/>
              </w:rPr>
            </w:pPr>
            <w:r>
              <w:rPr>
                <w:noProof/>
                <w:sz w:val="18"/>
              </w:rPr>
              <w:t>1</w:t>
            </w:r>
          </w:p>
        </w:tc>
        <w:tc>
          <w:tcPr>
            <w:tcW w:w="423" w:type="pct"/>
          </w:tcPr>
          <w:p w:rsidR="00222FCC" w:rsidRDefault="00FD122A">
            <w:pPr>
              <w:ind w:right="-29"/>
              <w:jc w:val="center"/>
              <w:rPr>
                <w:noProof/>
                <w:sz w:val="18"/>
                <w:szCs w:val="18"/>
              </w:rPr>
            </w:pPr>
            <w:r>
              <w:rPr>
                <w:noProof/>
                <w:sz w:val="18"/>
              </w:rPr>
              <w:t>0,144</w:t>
            </w:r>
          </w:p>
        </w:tc>
        <w:tc>
          <w:tcPr>
            <w:tcW w:w="332" w:type="pct"/>
          </w:tcPr>
          <w:p w:rsidR="00222FCC" w:rsidRDefault="00FD122A">
            <w:pPr>
              <w:ind w:right="-29"/>
              <w:jc w:val="center"/>
              <w:rPr>
                <w:noProof/>
                <w:sz w:val="18"/>
                <w:szCs w:val="18"/>
              </w:rPr>
            </w:pPr>
            <w:r>
              <w:rPr>
                <w:noProof/>
                <w:sz w:val="18"/>
              </w:rPr>
              <w:t>1</w:t>
            </w:r>
          </w:p>
        </w:tc>
        <w:tc>
          <w:tcPr>
            <w:tcW w:w="600" w:type="pct"/>
          </w:tcPr>
          <w:p w:rsidR="00222FCC" w:rsidRDefault="00FD122A">
            <w:pPr>
              <w:ind w:right="-29"/>
              <w:jc w:val="center"/>
              <w:rPr>
                <w:noProof/>
                <w:sz w:val="18"/>
                <w:szCs w:val="18"/>
              </w:rPr>
            </w:pPr>
            <w:r>
              <w:rPr>
                <w:noProof/>
                <w:sz w:val="18"/>
              </w:rPr>
              <w:t>0,400</w:t>
            </w:r>
          </w:p>
        </w:tc>
      </w:tr>
      <w:tr w:rsidR="00222FCC">
        <w:trPr>
          <w:trHeight w:hRule="exact" w:val="985"/>
          <w:jc w:val="center"/>
        </w:trPr>
        <w:tc>
          <w:tcPr>
            <w:tcW w:w="742" w:type="pct"/>
          </w:tcPr>
          <w:p w:rsidR="00222FCC" w:rsidRDefault="00FD122A">
            <w:pPr>
              <w:ind w:right="-29"/>
              <w:jc w:val="center"/>
              <w:rPr>
                <w:noProof/>
                <w:sz w:val="18"/>
              </w:rPr>
            </w:pPr>
            <w:r>
              <w:rPr>
                <w:noProof/>
                <w:sz w:val="18"/>
              </w:rPr>
              <w:t>— Резултат</w:t>
            </w:r>
          </w:p>
        </w:tc>
        <w:tc>
          <w:tcPr>
            <w:tcW w:w="713" w:type="pct"/>
          </w:tcPr>
          <w:p w:rsidR="00222FCC" w:rsidRDefault="00FD122A">
            <w:pPr>
              <w:ind w:right="-29"/>
              <w:jc w:val="center"/>
              <w:rPr>
                <w:noProof/>
                <w:sz w:val="18"/>
                <w:szCs w:val="18"/>
              </w:rPr>
            </w:pPr>
            <w:r>
              <w:rPr>
                <w:noProof/>
                <w:sz w:val="18"/>
              </w:rPr>
              <w:t xml:space="preserve">Национални агенции, получаващи възнаграждение за управление </w:t>
            </w:r>
          </w:p>
        </w:tc>
        <w:tc>
          <w:tcPr>
            <w:tcW w:w="354" w:type="pct"/>
          </w:tcPr>
          <w:p w:rsidR="00222FCC" w:rsidRDefault="00FD122A">
            <w:pPr>
              <w:jc w:val="center"/>
              <w:rPr>
                <w:noProof/>
                <w:sz w:val="18"/>
                <w:szCs w:val="18"/>
              </w:rPr>
            </w:pPr>
            <w:r>
              <w:rPr>
                <w:noProof/>
                <w:sz w:val="18"/>
              </w:rPr>
              <w:t>546 821</w:t>
            </w:r>
          </w:p>
        </w:tc>
        <w:tc>
          <w:tcPr>
            <w:tcW w:w="326" w:type="pct"/>
          </w:tcPr>
          <w:p w:rsidR="00222FCC" w:rsidRDefault="00FD122A">
            <w:pPr>
              <w:ind w:right="-29"/>
              <w:jc w:val="center"/>
              <w:rPr>
                <w:noProof/>
                <w:sz w:val="18"/>
                <w:szCs w:val="18"/>
              </w:rPr>
            </w:pPr>
            <w:r>
              <w:rPr>
                <w:noProof/>
                <w:sz w:val="18"/>
              </w:rPr>
              <w:t>28</w:t>
            </w:r>
          </w:p>
        </w:tc>
        <w:tc>
          <w:tcPr>
            <w:tcW w:w="392" w:type="pct"/>
          </w:tcPr>
          <w:p w:rsidR="00222FCC" w:rsidRDefault="00FD122A">
            <w:pPr>
              <w:ind w:right="-29"/>
              <w:jc w:val="center"/>
              <w:rPr>
                <w:noProof/>
                <w:sz w:val="18"/>
                <w:szCs w:val="18"/>
              </w:rPr>
            </w:pPr>
            <w:r>
              <w:rPr>
                <w:noProof/>
                <w:sz w:val="18"/>
              </w:rPr>
              <w:t>5,359</w:t>
            </w:r>
          </w:p>
        </w:tc>
        <w:tc>
          <w:tcPr>
            <w:tcW w:w="330" w:type="pct"/>
          </w:tcPr>
          <w:p w:rsidR="00222FCC" w:rsidRDefault="00FD122A">
            <w:pPr>
              <w:ind w:right="-29"/>
              <w:jc w:val="center"/>
              <w:rPr>
                <w:noProof/>
                <w:sz w:val="18"/>
                <w:szCs w:val="18"/>
              </w:rPr>
            </w:pPr>
            <w:r>
              <w:rPr>
                <w:noProof/>
                <w:sz w:val="18"/>
              </w:rPr>
              <w:t>28</w:t>
            </w:r>
          </w:p>
        </w:tc>
        <w:tc>
          <w:tcPr>
            <w:tcW w:w="422" w:type="pct"/>
          </w:tcPr>
          <w:p w:rsidR="00222FCC" w:rsidRDefault="00FD122A">
            <w:pPr>
              <w:ind w:right="-29"/>
              <w:jc w:val="center"/>
              <w:rPr>
                <w:noProof/>
                <w:sz w:val="18"/>
                <w:szCs w:val="18"/>
              </w:rPr>
            </w:pPr>
            <w:r>
              <w:rPr>
                <w:noProof/>
                <w:sz w:val="18"/>
              </w:rPr>
              <w:t>5,359</w:t>
            </w:r>
          </w:p>
        </w:tc>
        <w:tc>
          <w:tcPr>
            <w:tcW w:w="367" w:type="pct"/>
          </w:tcPr>
          <w:p w:rsidR="00222FCC" w:rsidRDefault="00FD122A">
            <w:pPr>
              <w:ind w:right="-29"/>
              <w:jc w:val="center"/>
              <w:rPr>
                <w:noProof/>
                <w:sz w:val="18"/>
                <w:szCs w:val="18"/>
              </w:rPr>
            </w:pPr>
            <w:r>
              <w:rPr>
                <w:noProof/>
                <w:sz w:val="18"/>
              </w:rPr>
              <w:t>28</w:t>
            </w:r>
          </w:p>
        </w:tc>
        <w:tc>
          <w:tcPr>
            <w:tcW w:w="423" w:type="pct"/>
          </w:tcPr>
          <w:p w:rsidR="00222FCC" w:rsidRDefault="00FD122A">
            <w:pPr>
              <w:ind w:right="-29"/>
              <w:jc w:val="center"/>
              <w:rPr>
                <w:noProof/>
                <w:sz w:val="18"/>
                <w:szCs w:val="18"/>
              </w:rPr>
            </w:pPr>
            <w:r>
              <w:rPr>
                <w:noProof/>
                <w:sz w:val="18"/>
              </w:rPr>
              <w:t>4,593</w:t>
            </w:r>
          </w:p>
        </w:tc>
        <w:tc>
          <w:tcPr>
            <w:tcW w:w="332" w:type="pct"/>
          </w:tcPr>
          <w:p w:rsidR="00222FCC" w:rsidRDefault="00FD122A">
            <w:pPr>
              <w:ind w:right="-29"/>
              <w:jc w:val="center"/>
              <w:rPr>
                <w:noProof/>
                <w:sz w:val="18"/>
                <w:szCs w:val="18"/>
              </w:rPr>
            </w:pPr>
            <w:r>
              <w:rPr>
                <w:noProof/>
                <w:sz w:val="18"/>
              </w:rPr>
              <w:t>28</w:t>
            </w:r>
          </w:p>
        </w:tc>
        <w:tc>
          <w:tcPr>
            <w:tcW w:w="600" w:type="pct"/>
          </w:tcPr>
          <w:p w:rsidR="00222FCC" w:rsidRDefault="00FD122A">
            <w:pPr>
              <w:ind w:right="-29"/>
              <w:jc w:val="center"/>
              <w:rPr>
                <w:noProof/>
                <w:sz w:val="18"/>
                <w:szCs w:val="18"/>
              </w:rPr>
            </w:pPr>
            <w:r>
              <w:rPr>
                <w:noProof/>
                <w:sz w:val="18"/>
              </w:rPr>
              <w:t>15,311</w:t>
            </w:r>
          </w:p>
        </w:tc>
      </w:tr>
      <w:tr w:rsidR="00222FCC">
        <w:trPr>
          <w:jc w:val="center"/>
        </w:trPr>
        <w:tc>
          <w:tcPr>
            <w:tcW w:w="1809" w:type="pct"/>
            <w:gridSpan w:val="3"/>
            <w:tcBorders>
              <w:top w:val="single" w:sz="12" w:space="0" w:color="auto"/>
              <w:left w:val="single" w:sz="12" w:space="0" w:color="auto"/>
              <w:bottom w:val="single" w:sz="12" w:space="0" w:color="auto"/>
            </w:tcBorders>
            <w:vAlign w:val="center"/>
          </w:tcPr>
          <w:p w:rsidR="00222FCC" w:rsidRDefault="00FD122A">
            <w:pPr>
              <w:ind w:right="-29"/>
              <w:jc w:val="center"/>
              <w:rPr>
                <w:noProof/>
                <w:sz w:val="18"/>
                <w:szCs w:val="18"/>
              </w:rPr>
            </w:pPr>
            <w:r>
              <w:rPr>
                <w:b/>
                <w:noProof/>
                <w:sz w:val="18"/>
              </w:rPr>
              <w:t>ОБЩО РАЗХОДИ</w:t>
            </w:r>
          </w:p>
        </w:tc>
        <w:tc>
          <w:tcPr>
            <w:tcW w:w="326" w:type="pct"/>
            <w:tcBorders>
              <w:top w:val="single" w:sz="12" w:space="0" w:color="auto"/>
              <w:bottom w:val="single" w:sz="12" w:space="0" w:color="auto"/>
            </w:tcBorders>
          </w:tcPr>
          <w:p w:rsidR="00222FCC" w:rsidRDefault="00222FCC">
            <w:pPr>
              <w:spacing w:before="180" w:after="180"/>
              <w:ind w:right="-29"/>
              <w:jc w:val="center"/>
              <w:rPr>
                <w:noProof/>
                <w:sz w:val="18"/>
                <w:szCs w:val="18"/>
              </w:rPr>
            </w:pPr>
          </w:p>
        </w:tc>
        <w:tc>
          <w:tcPr>
            <w:tcW w:w="392" w:type="pct"/>
            <w:tcBorders>
              <w:top w:val="single" w:sz="12" w:space="0" w:color="auto"/>
              <w:bottom w:val="single" w:sz="12" w:space="0" w:color="auto"/>
            </w:tcBorders>
          </w:tcPr>
          <w:p w:rsidR="00222FCC" w:rsidRDefault="00FD122A">
            <w:pPr>
              <w:spacing w:before="180" w:after="180"/>
              <w:ind w:right="-29"/>
              <w:jc w:val="center"/>
              <w:rPr>
                <w:noProof/>
                <w:sz w:val="18"/>
                <w:szCs w:val="18"/>
              </w:rPr>
            </w:pPr>
            <w:r>
              <w:rPr>
                <w:noProof/>
                <w:sz w:val="18"/>
              </w:rPr>
              <w:t>84,638</w:t>
            </w:r>
          </w:p>
        </w:tc>
        <w:tc>
          <w:tcPr>
            <w:tcW w:w="330" w:type="pct"/>
            <w:tcBorders>
              <w:top w:val="single" w:sz="12" w:space="0" w:color="auto"/>
              <w:bottom w:val="single" w:sz="12" w:space="0" w:color="auto"/>
            </w:tcBorders>
          </w:tcPr>
          <w:p w:rsidR="00222FCC" w:rsidRDefault="00222FCC">
            <w:pPr>
              <w:spacing w:before="180" w:after="180"/>
              <w:ind w:right="-29"/>
              <w:jc w:val="center"/>
              <w:rPr>
                <w:noProof/>
                <w:sz w:val="18"/>
                <w:szCs w:val="18"/>
              </w:rPr>
            </w:pPr>
          </w:p>
        </w:tc>
        <w:tc>
          <w:tcPr>
            <w:tcW w:w="422" w:type="pct"/>
            <w:tcBorders>
              <w:top w:val="single" w:sz="12" w:space="0" w:color="auto"/>
              <w:bottom w:val="single" w:sz="12" w:space="0" w:color="auto"/>
            </w:tcBorders>
          </w:tcPr>
          <w:p w:rsidR="00222FCC" w:rsidRDefault="00FD122A">
            <w:pPr>
              <w:spacing w:before="180" w:after="180"/>
              <w:ind w:right="-29"/>
              <w:jc w:val="center"/>
              <w:rPr>
                <w:noProof/>
                <w:sz w:val="18"/>
                <w:szCs w:val="18"/>
              </w:rPr>
            </w:pPr>
            <w:r>
              <w:rPr>
                <w:noProof/>
                <w:sz w:val="18"/>
              </w:rPr>
              <w:t>114,174</w:t>
            </w:r>
          </w:p>
        </w:tc>
        <w:tc>
          <w:tcPr>
            <w:tcW w:w="367" w:type="pct"/>
            <w:tcBorders>
              <w:top w:val="single" w:sz="12" w:space="0" w:color="auto"/>
              <w:bottom w:val="single" w:sz="12" w:space="0" w:color="auto"/>
            </w:tcBorders>
          </w:tcPr>
          <w:p w:rsidR="00222FCC" w:rsidRDefault="00222FCC">
            <w:pPr>
              <w:spacing w:before="180" w:after="180"/>
              <w:ind w:right="-29"/>
              <w:jc w:val="center"/>
              <w:rPr>
                <w:noProof/>
                <w:sz w:val="18"/>
                <w:szCs w:val="18"/>
              </w:rPr>
            </w:pPr>
          </w:p>
        </w:tc>
        <w:tc>
          <w:tcPr>
            <w:tcW w:w="423" w:type="pct"/>
            <w:tcBorders>
              <w:top w:val="single" w:sz="12" w:space="0" w:color="auto"/>
              <w:bottom w:val="single" w:sz="12" w:space="0" w:color="auto"/>
            </w:tcBorders>
          </w:tcPr>
          <w:p w:rsidR="00222FCC" w:rsidRDefault="00FD122A">
            <w:pPr>
              <w:spacing w:before="180" w:after="180"/>
              <w:ind w:right="-29"/>
              <w:jc w:val="center"/>
              <w:rPr>
                <w:noProof/>
                <w:sz w:val="18"/>
                <w:szCs w:val="18"/>
              </w:rPr>
            </w:pPr>
            <w:r>
              <w:rPr>
                <w:noProof/>
                <w:sz w:val="18"/>
              </w:rPr>
              <w:t>129,688</w:t>
            </w:r>
          </w:p>
        </w:tc>
        <w:tc>
          <w:tcPr>
            <w:tcW w:w="332" w:type="pct"/>
            <w:tcBorders>
              <w:top w:val="single" w:sz="12" w:space="0" w:color="auto"/>
              <w:bottom w:val="single" w:sz="12" w:space="0" w:color="auto"/>
            </w:tcBorders>
          </w:tcPr>
          <w:p w:rsidR="00222FCC" w:rsidRDefault="00222FCC">
            <w:pPr>
              <w:spacing w:before="180" w:after="180"/>
              <w:ind w:right="-29"/>
              <w:jc w:val="center"/>
              <w:rPr>
                <w:noProof/>
                <w:sz w:val="18"/>
                <w:szCs w:val="18"/>
              </w:rPr>
            </w:pPr>
          </w:p>
        </w:tc>
        <w:tc>
          <w:tcPr>
            <w:tcW w:w="600" w:type="pct"/>
            <w:tcBorders>
              <w:top w:val="single" w:sz="12" w:space="0" w:color="auto"/>
              <w:bottom w:val="single" w:sz="12" w:space="0" w:color="auto"/>
              <w:right w:val="single" w:sz="12" w:space="0" w:color="auto"/>
            </w:tcBorders>
          </w:tcPr>
          <w:p w:rsidR="00222FCC" w:rsidRDefault="00FD122A">
            <w:pPr>
              <w:spacing w:before="180" w:after="180"/>
              <w:ind w:right="-29"/>
              <w:jc w:val="center"/>
              <w:rPr>
                <w:noProof/>
                <w:sz w:val="18"/>
                <w:szCs w:val="18"/>
              </w:rPr>
            </w:pPr>
            <w:r>
              <w:rPr>
                <w:noProof/>
                <w:sz w:val="18"/>
              </w:rPr>
              <w:t>328,500</w:t>
            </w:r>
          </w:p>
        </w:tc>
      </w:tr>
    </w:tbl>
    <w:p w:rsidR="00222FCC" w:rsidRDefault="00FD122A">
      <w:pPr>
        <w:pStyle w:val="ManualHeading3"/>
        <w:rPr>
          <w:bCs/>
          <w:noProof/>
          <w:szCs w:val="24"/>
        </w:rPr>
      </w:pPr>
      <w:r>
        <w:t>3.2.3.</w:t>
      </w:r>
      <w:r>
        <w:tab/>
      </w:r>
      <w:r>
        <w:rPr>
          <w:noProof/>
        </w:rPr>
        <w:t>Очаквано отражение върху бюджетните кредити за административни разходи</w:t>
      </w:r>
    </w:p>
    <w:p w:rsidR="00222FCC" w:rsidRDefault="00FD122A">
      <w:pPr>
        <w:pStyle w:val="ManualHeading4"/>
        <w:rPr>
          <w:noProof/>
        </w:rPr>
      </w:pPr>
      <w:r>
        <w:t>3.2.3.1.</w:t>
      </w:r>
      <w:r>
        <w:tab/>
      </w:r>
      <w:r>
        <w:rPr>
          <w:noProof/>
        </w:rPr>
        <w:t xml:space="preserve">Обобщение </w:t>
      </w:r>
    </w:p>
    <w:p w:rsidR="00222FCC" w:rsidRDefault="00FD122A">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222FCC" w:rsidRDefault="00FD122A">
      <w:pPr>
        <w:pStyle w:val="ListDash1"/>
        <w:rPr>
          <w:noProof/>
        </w:rPr>
      </w:pPr>
      <w:r>
        <w:rPr>
          <w:noProof/>
        </w:rPr>
        <w:sym w:font="Wingdings" w:char="F078"/>
      </w:r>
      <w:r>
        <w:rPr>
          <w:noProof/>
        </w:rPr>
        <w:tab/>
        <w:t xml:space="preserve">Предложението/инициативата </w:t>
      </w:r>
      <w:r>
        <w:rPr>
          <w:noProof/>
        </w:rPr>
        <w:t>налага използване на бюджетни кредити за административни разходи съгласно обяснението по-долу:</w:t>
      </w:r>
    </w:p>
    <w:p w:rsidR="00222FCC" w:rsidRDefault="00FD122A">
      <w:pPr>
        <w:rPr>
          <w:noProof/>
          <w:sz w:val="20"/>
        </w:rPr>
      </w:pPr>
      <w:r>
        <w:rPr>
          <w:noProof/>
          <w:sz w:val="20"/>
        </w:rPr>
        <w:t>млн. EUR (до третия знак след десетичната запетая)</w:t>
      </w:r>
    </w:p>
    <w:tbl>
      <w:tblPr>
        <w:tblW w:w="42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78"/>
        <w:gridCol w:w="2162"/>
        <w:gridCol w:w="2162"/>
        <w:gridCol w:w="2162"/>
        <w:gridCol w:w="2162"/>
      </w:tblGrid>
      <w:tr w:rsidR="00222FCC">
        <w:trPr>
          <w:trHeight w:val="585"/>
        </w:trPr>
        <w:tc>
          <w:tcPr>
            <w:tcW w:w="1575" w:type="pct"/>
          </w:tcPr>
          <w:p w:rsidR="00222FCC" w:rsidRDefault="00222FCC">
            <w:pPr>
              <w:spacing w:before="60" w:after="60" w:line="200" w:lineRule="exact"/>
              <w:rPr>
                <w:noProof/>
                <w:sz w:val="16"/>
                <w:szCs w:val="16"/>
              </w:rPr>
            </w:pPr>
          </w:p>
        </w:tc>
        <w:tc>
          <w:tcPr>
            <w:tcW w:w="856" w:type="pct"/>
            <w:vAlign w:val="center"/>
          </w:tcPr>
          <w:p w:rsidR="00222FCC" w:rsidRDefault="00FD122A">
            <w:pPr>
              <w:jc w:val="center"/>
              <w:rPr>
                <w:noProof/>
                <w:sz w:val="20"/>
              </w:rPr>
            </w:pPr>
            <w:r>
              <w:rPr>
                <w:noProof/>
                <w:sz w:val="20"/>
              </w:rPr>
              <w:t>ГОДИНА</w:t>
            </w:r>
          </w:p>
          <w:p w:rsidR="00222FCC" w:rsidRDefault="00FD122A">
            <w:pPr>
              <w:spacing w:before="60" w:after="60" w:line="200" w:lineRule="exact"/>
              <w:jc w:val="center"/>
              <w:rPr>
                <w:noProof/>
                <w:sz w:val="16"/>
                <w:szCs w:val="16"/>
              </w:rPr>
            </w:pPr>
            <w:r>
              <w:rPr>
                <w:b/>
                <w:noProof/>
              </w:rPr>
              <w:t>2018</w:t>
            </w:r>
          </w:p>
        </w:tc>
        <w:tc>
          <w:tcPr>
            <w:tcW w:w="856" w:type="pct"/>
            <w:vAlign w:val="center"/>
          </w:tcPr>
          <w:p w:rsidR="00222FCC" w:rsidRDefault="00FD122A">
            <w:pPr>
              <w:jc w:val="center"/>
              <w:rPr>
                <w:noProof/>
                <w:sz w:val="20"/>
              </w:rPr>
            </w:pPr>
            <w:r>
              <w:rPr>
                <w:noProof/>
                <w:sz w:val="20"/>
              </w:rPr>
              <w:t>ГОДИНА</w:t>
            </w:r>
          </w:p>
          <w:p w:rsidR="00222FCC" w:rsidRDefault="00FD122A">
            <w:pPr>
              <w:spacing w:before="60" w:after="60" w:line="200" w:lineRule="exact"/>
              <w:jc w:val="center"/>
              <w:rPr>
                <w:noProof/>
                <w:sz w:val="16"/>
                <w:szCs w:val="16"/>
              </w:rPr>
            </w:pPr>
            <w:r>
              <w:rPr>
                <w:b/>
                <w:noProof/>
              </w:rPr>
              <w:t>2019</w:t>
            </w:r>
          </w:p>
        </w:tc>
        <w:tc>
          <w:tcPr>
            <w:tcW w:w="856" w:type="pct"/>
            <w:vAlign w:val="center"/>
          </w:tcPr>
          <w:p w:rsidR="00222FCC" w:rsidRDefault="00FD122A">
            <w:pPr>
              <w:jc w:val="center"/>
              <w:rPr>
                <w:noProof/>
                <w:sz w:val="20"/>
              </w:rPr>
            </w:pPr>
            <w:r>
              <w:rPr>
                <w:noProof/>
                <w:sz w:val="20"/>
              </w:rPr>
              <w:t>ГОДИНА</w:t>
            </w:r>
          </w:p>
          <w:p w:rsidR="00222FCC" w:rsidRDefault="00FD122A">
            <w:pPr>
              <w:spacing w:before="60" w:after="60" w:line="200" w:lineRule="exact"/>
              <w:jc w:val="center"/>
              <w:rPr>
                <w:noProof/>
                <w:sz w:val="16"/>
                <w:szCs w:val="16"/>
              </w:rPr>
            </w:pPr>
            <w:r>
              <w:rPr>
                <w:b/>
                <w:noProof/>
              </w:rPr>
              <w:t>2020</w:t>
            </w:r>
          </w:p>
        </w:tc>
        <w:tc>
          <w:tcPr>
            <w:tcW w:w="856" w:type="pct"/>
            <w:vAlign w:val="center"/>
          </w:tcPr>
          <w:p w:rsidR="00222FCC" w:rsidRDefault="00FD122A">
            <w:pPr>
              <w:spacing w:before="60" w:after="60" w:line="200" w:lineRule="exact"/>
              <w:jc w:val="center"/>
              <w:rPr>
                <w:b/>
                <w:noProof/>
                <w:sz w:val="16"/>
                <w:szCs w:val="16"/>
              </w:rPr>
            </w:pPr>
            <w:r>
              <w:rPr>
                <w:b/>
                <w:noProof/>
                <w:sz w:val="16"/>
              </w:rPr>
              <w:t>ОБЩО</w:t>
            </w:r>
          </w:p>
        </w:tc>
      </w:tr>
    </w:tbl>
    <w:p w:rsidR="00222FCC" w:rsidRDefault="00222FCC">
      <w:pPr>
        <w:spacing w:line="200" w:lineRule="exact"/>
        <w:rPr>
          <w:noProof/>
          <w:sz w:val="16"/>
          <w:szCs w:val="16"/>
        </w:rPr>
      </w:pPr>
    </w:p>
    <w:tbl>
      <w:tblPr>
        <w:tblW w:w="42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73"/>
        <w:gridCol w:w="2165"/>
        <w:gridCol w:w="2165"/>
        <w:gridCol w:w="2164"/>
        <w:gridCol w:w="2159"/>
      </w:tblGrid>
      <w:tr w:rsidR="00222FCC">
        <w:trPr>
          <w:trHeight w:val="585"/>
        </w:trPr>
        <w:tc>
          <w:tcPr>
            <w:tcW w:w="1573" w:type="pct"/>
            <w:shd w:val="clear" w:color="auto" w:fill="CCCCCC"/>
            <w:vAlign w:val="center"/>
          </w:tcPr>
          <w:p w:rsidR="00222FCC" w:rsidRDefault="00FD122A">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857" w:type="pct"/>
            <w:vAlign w:val="center"/>
          </w:tcPr>
          <w:p w:rsidR="00222FCC" w:rsidRDefault="00222FCC">
            <w:pPr>
              <w:spacing w:before="60" w:after="60" w:line="200" w:lineRule="exact"/>
              <w:jc w:val="right"/>
              <w:rPr>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5" w:type="pct"/>
            <w:vAlign w:val="center"/>
          </w:tcPr>
          <w:p w:rsidR="00222FCC" w:rsidRDefault="00222FCC">
            <w:pPr>
              <w:spacing w:before="60" w:after="60" w:line="200" w:lineRule="exact"/>
              <w:jc w:val="right"/>
              <w:rPr>
                <w:b/>
                <w:noProof/>
                <w:sz w:val="16"/>
                <w:szCs w:val="16"/>
              </w:rPr>
            </w:pPr>
          </w:p>
        </w:tc>
      </w:tr>
      <w:tr w:rsidR="00222FCC">
        <w:trPr>
          <w:trHeight w:val="585"/>
        </w:trPr>
        <w:tc>
          <w:tcPr>
            <w:tcW w:w="1573" w:type="pct"/>
            <w:vAlign w:val="center"/>
          </w:tcPr>
          <w:p w:rsidR="00222FCC" w:rsidRDefault="00FD122A">
            <w:pPr>
              <w:spacing w:before="60" w:after="60" w:line="200" w:lineRule="exact"/>
              <w:ind w:left="72"/>
              <w:jc w:val="left"/>
              <w:rPr>
                <w:noProof/>
                <w:sz w:val="16"/>
                <w:szCs w:val="16"/>
              </w:rPr>
            </w:pPr>
            <w:r>
              <w:rPr>
                <w:noProof/>
                <w:sz w:val="16"/>
              </w:rPr>
              <w:t xml:space="preserve">Човешки ресурси </w:t>
            </w:r>
          </w:p>
        </w:tc>
        <w:tc>
          <w:tcPr>
            <w:tcW w:w="857" w:type="pct"/>
            <w:vAlign w:val="center"/>
          </w:tcPr>
          <w:p w:rsidR="00222FCC" w:rsidRDefault="00FD122A">
            <w:pPr>
              <w:spacing w:before="60" w:after="60" w:line="200" w:lineRule="exact"/>
              <w:jc w:val="right"/>
              <w:rPr>
                <w:noProof/>
                <w:sz w:val="16"/>
                <w:szCs w:val="16"/>
              </w:rPr>
            </w:pPr>
            <w:r>
              <w:rPr>
                <w:noProof/>
                <w:sz w:val="20"/>
              </w:rPr>
              <w:t>0,525</w:t>
            </w:r>
          </w:p>
        </w:tc>
        <w:tc>
          <w:tcPr>
            <w:tcW w:w="857" w:type="pct"/>
            <w:vAlign w:val="center"/>
          </w:tcPr>
          <w:p w:rsidR="00222FCC" w:rsidRDefault="00FD122A">
            <w:pPr>
              <w:spacing w:before="60" w:after="60" w:line="200" w:lineRule="exact"/>
              <w:jc w:val="right"/>
              <w:rPr>
                <w:noProof/>
                <w:sz w:val="16"/>
                <w:szCs w:val="16"/>
              </w:rPr>
            </w:pPr>
            <w:r>
              <w:rPr>
                <w:noProof/>
                <w:sz w:val="20"/>
              </w:rPr>
              <w:t>0,385</w:t>
            </w:r>
          </w:p>
        </w:tc>
        <w:tc>
          <w:tcPr>
            <w:tcW w:w="857" w:type="pct"/>
            <w:vAlign w:val="center"/>
          </w:tcPr>
          <w:p w:rsidR="00222FCC" w:rsidRDefault="00FD122A">
            <w:pPr>
              <w:spacing w:before="60" w:after="60" w:line="200" w:lineRule="exact"/>
              <w:jc w:val="right"/>
              <w:rPr>
                <w:noProof/>
                <w:sz w:val="16"/>
                <w:szCs w:val="16"/>
              </w:rPr>
            </w:pPr>
            <w:r>
              <w:rPr>
                <w:noProof/>
                <w:sz w:val="20"/>
              </w:rPr>
              <w:t>0,350</w:t>
            </w:r>
          </w:p>
        </w:tc>
        <w:tc>
          <w:tcPr>
            <w:tcW w:w="855" w:type="pct"/>
            <w:vAlign w:val="center"/>
          </w:tcPr>
          <w:p w:rsidR="00222FCC" w:rsidRDefault="00FD122A">
            <w:pPr>
              <w:spacing w:before="60" w:after="60" w:line="200" w:lineRule="exact"/>
              <w:jc w:val="right"/>
              <w:rPr>
                <w:b/>
                <w:noProof/>
                <w:sz w:val="16"/>
                <w:szCs w:val="16"/>
              </w:rPr>
            </w:pPr>
            <w:r>
              <w:rPr>
                <w:b/>
                <w:noProof/>
                <w:sz w:val="20"/>
              </w:rPr>
              <w:t>1,260</w:t>
            </w:r>
          </w:p>
        </w:tc>
      </w:tr>
      <w:tr w:rsidR="00222FCC">
        <w:trPr>
          <w:trHeight w:val="272"/>
        </w:trPr>
        <w:tc>
          <w:tcPr>
            <w:tcW w:w="1573" w:type="pct"/>
            <w:vAlign w:val="center"/>
          </w:tcPr>
          <w:p w:rsidR="00222FCC" w:rsidRDefault="00FD122A">
            <w:pPr>
              <w:spacing w:before="60" w:after="60" w:line="200" w:lineRule="exact"/>
              <w:ind w:left="72"/>
              <w:jc w:val="left"/>
              <w:rPr>
                <w:noProof/>
                <w:sz w:val="16"/>
                <w:szCs w:val="16"/>
              </w:rPr>
            </w:pPr>
            <w:r>
              <w:rPr>
                <w:noProof/>
                <w:sz w:val="16"/>
              </w:rPr>
              <w:t xml:space="preserve">Други административни разходи </w:t>
            </w:r>
          </w:p>
        </w:tc>
        <w:tc>
          <w:tcPr>
            <w:tcW w:w="857" w:type="pct"/>
            <w:vAlign w:val="center"/>
          </w:tcPr>
          <w:p w:rsidR="00222FCC" w:rsidRDefault="00222FCC">
            <w:pPr>
              <w:spacing w:before="60" w:after="60" w:line="200" w:lineRule="exact"/>
              <w:jc w:val="right"/>
              <w:rPr>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5" w:type="pct"/>
            <w:vAlign w:val="center"/>
          </w:tcPr>
          <w:p w:rsidR="00222FCC" w:rsidRDefault="00222FCC">
            <w:pPr>
              <w:spacing w:before="60" w:after="60" w:line="200" w:lineRule="exact"/>
              <w:jc w:val="right"/>
              <w:rPr>
                <w:b/>
                <w:noProof/>
                <w:sz w:val="16"/>
                <w:szCs w:val="16"/>
              </w:rPr>
            </w:pPr>
          </w:p>
        </w:tc>
      </w:tr>
      <w:tr w:rsidR="00222FCC">
        <w:trPr>
          <w:trHeight w:val="585"/>
        </w:trPr>
        <w:tc>
          <w:tcPr>
            <w:tcW w:w="1573" w:type="pct"/>
            <w:shd w:val="clear" w:color="auto" w:fill="CCCCCC"/>
            <w:vAlign w:val="center"/>
          </w:tcPr>
          <w:p w:rsidR="00222FCC" w:rsidRDefault="00FD122A">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857" w:type="pct"/>
            <w:vAlign w:val="center"/>
          </w:tcPr>
          <w:p w:rsidR="00222FCC" w:rsidRDefault="00FD122A">
            <w:pPr>
              <w:spacing w:before="60" w:after="60" w:line="200" w:lineRule="exact"/>
              <w:jc w:val="right"/>
              <w:rPr>
                <w:noProof/>
                <w:sz w:val="16"/>
                <w:szCs w:val="16"/>
              </w:rPr>
            </w:pPr>
            <w:r>
              <w:rPr>
                <w:noProof/>
                <w:sz w:val="20"/>
              </w:rPr>
              <w:t>0,525</w:t>
            </w:r>
          </w:p>
        </w:tc>
        <w:tc>
          <w:tcPr>
            <w:tcW w:w="857" w:type="pct"/>
            <w:vAlign w:val="center"/>
          </w:tcPr>
          <w:p w:rsidR="00222FCC" w:rsidRDefault="00FD122A">
            <w:pPr>
              <w:spacing w:before="60" w:after="60" w:line="200" w:lineRule="exact"/>
              <w:jc w:val="right"/>
              <w:rPr>
                <w:noProof/>
                <w:sz w:val="16"/>
                <w:szCs w:val="16"/>
              </w:rPr>
            </w:pPr>
            <w:r>
              <w:rPr>
                <w:noProof/>
                <w:sz w:val="20"/>
              </w:rPr>
              <w:t>0,385</w:t>
            </w:r>
          </w:p>
        </w:tc>
        <w:tc>
          <w:tcPr>
            <w:tcW w:w="857" w:type="pct"/>
            <w:vAlign w:val="center"/>
          </w:tcPr>
          <w:p w:rsidR="00222FCC" w:rsidRDefault="00FD122A">
            <w:pPr>
              <w:spacing w:before="60" w:after="60" w:line="200" w:lineRule="exact"/>
              <w:jc w:val="right"/>
              <w:rPr>
                <w:noProof/>
                <w:sz w:val="16"/>
                <w:szCs w:val="16"/>
              </w:rPr>
            </w:pPr>
            <w:r>
              <w:rPr>
                <w:noProof/>
                <w:sz w:val="20"/>
              </w:rPr>
              <w:t>0,350</w:t>
            </w:r>
          </w:p>
        </w:tc>
        <w:tc>
          <w:tcPr>
            <w:tcW w:w="855" w:type="pct"/>
            <w:vAlign w:val="center"/>
          </w:tcPr>
          <w:p w:rsidR="00222FCC" w:rsidRDefault="00FD122A">
            <w:pPr>
              <w:spacing w:before="60" w:after="60" w:line="200" w:lineRule="exact"/>
              <w:jc w:val="right"/>
              <w:rPr>
                <w:b/>
                <w:noProof/>
                <w:sz w:val="16"/>
                <w:szCs w:val="16"/>
              </w:rPr>
            </w:pPr>
            <w:r>
              <w:rPr>
                <w:b/>
                <w:noProof/>
                <w:sz w:val="20"/>
              </w:rPr>
              <w:t>1,260</w:t>
            </w:r>
          </w:p>
        </w:tc>
      </w:tr>
    </w:tbl>
    <w:p w:rsidR="00222FCC" w:rsidRDefault="00222FCC">
      <w:pPr>
        <w:spacing w:line="200" w:lineRule="exact"/>
        <w:rPr>
          <w:noProof/>
          <w:sz w:val="16"/>
          <w:szCs w:val="16"/>
        </w:rPr>
      </w:pPr>
    </w:p>
    <w:tbl>
      <w:tblPr>
        <w:tblW w:w="42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73"/>
        <w:gridCol w:w="2165"/>
        <w:gridCol w:w="2165"/>
        <w:gridCol w:w="2164"/>
        <w:gridCol w:w="2159"/>
      </w:tblGrid>
      <w:tr w:rsidR="00222FCC">
        <w:trPr>
          <w:trHeight w:val="585"/>
        </w:trPr>
        <w:tc>
          <w:tcPr>
            <w:tcW w:w="1573" w:type="pct"/>
            <w:shd w:val="clear" w:color="auto" w:fill="CCCCCC"/>
            <w:vAlign w:val="center"/>
          </w:tcPr>
          <w:p w:rsidR="00222FCC" w:rsidRDefault="00FD122A">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43"/>
            </w:r>
            <w:r>
              <w:rPr>
                <w:noProof/>
                <w:sz w:val="22"/>
              </w:rPr>
              <w:br/>
            </w:r>
            <w:r>
              <w:rPr>
                <w:b/>
                <w:noProof/>
                <w:sz w:val="16"/>
              </w:rPr>
              <w:t xml:space="preserve">от многогодишната финансова рамка </w:t>
            </w:r>
          </w:p>
          <w:p w:rsidR="00222FCC" w:rsidRDefault="00222FCC">
            <w:pPr>
              <w:spacing w:before="0" w:after="0" w:line="200" w:lineRule="exact"/>
              <w:jc w:val="center"/>
              <w:rPr>
                <w:b/>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5" w:type="pct"/>
            <w:vAlign w:val="center"/>
          </w:tcPr>
          <w:p w:rsidR="00222FCC" w:rsidRDefault="00222FCC">
            <w:pPr>
              <w:spacing w:before="60" w:after="60" w:line="200" w:lineRule="exact"/>
              <w:jc w:val="right"/>
              <w:rPr>
                <w:b/>
                <w:noProof/>
                <w:sz w:val="16"/>
                <w:szCs w:val="16"/>
              </w:rPr>
            </w:pPr>
          </w:p>
        </w:tc>
      </w:tr>
      <w:tr w:rsidR="00222FCC">
        <w:trPr>
          <w:trHeight w:val="462"/>
        </w:trPr>
        <w:tc>
          <w:tcPr>
            <w:tcW w:w="1573" w:type="pct"/>
            <w:vAlign w:val="center"/>
          </w:tcPr>
          <w:p w:rsidR="00222FCC" w:rsidRDefault="00FD122A">
            <w:pPr>
              <w:spacing w:before="60" w:after="60" w:line="200" w:lineRule="exact"/>
              <w:ind w:left="72"/>
              <w:jc w:val="left"/>
              <w:rPr>
                <w:noProof/>
                <w:sz w:val="16"/>
                <w:szCs w:val="16"/>
              </w:rPr>
            </w:pPr>
            <w:r>
              <w:rPr>
                <w:noProof/>
                <w:sz w:val="16"/>
              </w:rPr>
              <w:t xml:space="preserve">Човешки ресурси </w:t>
            </w:r>
          </w:p>
        </w:tc>
        <w:tc>
          <w:tcPr>
            <w:tcW w:w="857" w:type="pct"/>
            <w:vAlign w:val="center"/>
          </w:tcPr>
          <w:p w:rsidR="00222FCC" w:rsidRDefault="00222FCC">
            <w:pPr>
              <w:spacing w:before="60" w:after="60" w:line="200" w:lineRule="exact"/>
              <w:jc w:val="right"/>
              <w:rPr>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5" w:type="pct"/>
            <w:vAlign w:val="center"/>
          </w:tcPr>
          <w:p w:rsidR="00222FCC" w:rsidRDefault="00222FCC">
            <w:pPr>
              <w:spacing w:before="60" w:after="60" w:line="200" w:lineRule="exact"/>
              <w:jc w:val="right"/>
              <w:rPr>
                <w:b/>
                <w:noProof/>
                <w:sz w:val="16"/>
                <w:szCs w:val="16"/>
              </w:rPr>
            </w:pPr>
          </w:p>
        </w:tc>
      </w:tr>
      <w:tr w:rsidR="00222FCC">
        <w:trPr>
          <w:trHeight w:val="585"/>
        </w:trPr>
        <w:tc>
          <w:tcPr>
            <w:tcW w:w="1573" w:type="pct"/>
            <w:vAlign w:val="center"/>
          </w:tcPr>
          <w:p w:rsidR="00222FCC" w:rsidRDefault="00FD122A">
            <w:pPr>
              <w:spacing w:before="60" w:after="60" w:line="200" w:lineRule="exact"/>
              <w:ind w:left="72"/>
              <w:jc w:val="left"/>
              <w:rPr>
                <w:noProof/>
                <w:sz w:val="16"/>
                <w:szCs w:val="16"/>
              </w:rPr>
            </w:pPr>
            <w:r>
              <w:rPr>
                <w:noProof/>
                <w:sz w:val="16"/>
              </w:rPr>
              <w:t xml:space="preserve">Други административни </w:t>
            </w:r>
            <w:r>
              <w:rPr>
                <w:noProof/>
                <w:sz w:val="22"/>
              </w:rPr>
              <w:br/>
            </w:r>
            <w:r>
              <w:rPr>
                <w:noProof/>
                <w:sz w:val="16"/>
              </w:rPr>
              <w:t>разходи</w:t>
            </w:r>
          </w:p>
        </w:tc>
        <w:tc>
          <w:tcPr>
            <w:tcW w:w="857" w:type="pct"/>
            <w:vAlign w:val="center"/>
          </w:tcPr>
          <w:p w:rsidR="00222FCC" w:rsidRDefault="00222FCC">
            <w:pPr>
              <w:spacing w:before="60" w:after="60" w:line="200" w:lineRule="exact"/>
              <w:jc w:val="right"/>
              <w:rPr>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5" w:type="pct"/>
            <w:vAlign w:val="center"/>
          </w:tcPr>
          <w:p w:rsidR="00222FCC" w:rsidRDefault="00222FCC">
            <w:pPr>
              <w:spacing w:before="60" w:after="60" w:line="200" w:lineRule="exact"/>
              <w:jc w:val="right"/>
              <w:rPr>
                <w:b/>
                <w:noProof/>
                <w:sz w:val="16"/>
                <w:szCs w:val="16"/>
              </w:rPr>
            </w:pPr>
          </w:p>
        </w:tc>
      </w:tr>
      <w:tr w:rsidR="00222FCC">
        <w:trPr>
          <w:trHeight w:val="585"/>
        </w:trPr>
        <w:tc>
          <w:tcPr>
            <w:tcW w:w="1573" w:type="pct"/>
            <w:shd w:val="clear" w:color="auto" w:fill="CCCCCC"/>
            <w:vAlign w:val="center"/>
          </w:tcPr>
          <w:p w:rsidR="00222FCC" w:rsidRDefault="00FD122A">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857" w:type="pct"/>
            <w:vAlign w:val="center"/>
          </w:tcPr>
          <w:p w:rsidR="00222FCC" w:rsidRDefault="00222FCC">
            <w:pPr>
              <w:spacing w:before="60" w:after="60" w:line="200" w:lineRule="exact"/>
              <w:jc w:val="right"/>
              <w:rPr>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7" w:type="pct"/>
            <w:vAlign w:val="center"/>
          </w:tcPr>
          <w:p w:rsidR="00222FCC" w:rsidRDefault="00222FCC">
            <w:pPr>
              <w:spacing w:before="60" w:after="60" w:line="200" w:lineRule="exact"/>
              <w:jc w:val="right"/>
              <w:rPr>
                <w:noProof/>
                <w:sz w:val="16"/>
                <w:szCs w:val="16"/>
              </w:rPr>
            </w:pPr>
          </w:p>
        </w:tc>
        <w:tc>
          <w:tcPr>
            <w:tcW w:w="855" w:type="pct"/>
            <w:vAlign w:val="center"/>
          </w:tcPr>
          <w:p w:rsidR="00222FCC" w:rsidRDefault="00222FCC">
            <w:pPr>
              <w:spacing w:before="60" w:after="60" w:line="200" w:lineRule="exact"/>
              <w:jc w:val="right"/>
              <w:rPr>
                <w:b/>
                <w:noProof/>
                <w:sz w:val="16"/>
                <w:szCs w:val="16"/>
              </w:rPr>
            </w:pPr>
          </w:p>
        </w:tc>
      </w:tr>
      <w:tr w:rsidR="00222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573" w:type="pct"/>
            <w:tcBorders>
              <w:top w:val="single" w:sz="12" w:space="0" w:color="auto"/>
              <w:left w:val="single" w:sz="12" w:space="0" w:color="auto"/>
              <w:bottom w:val="single" w:sz="12" w:space="0" w:color="auto"/>
              <w:right w:val="single" w:sz="2" w:space="0" w:color="auto"/>
            </w:tcBorders>
            <w:vAlign w:val="center"/>
          </w:tcPr>
          <w:p w:rsidR="00222FCC" w:rsidRDefault="00FD122A">
            <w:pPr>
              <w:spacing w:before="60" w:after="60" w:line="200" w:lineRule="exact"/>
              <w:jc w:val="center"/>
              <w:rPr>
                <w:noProof/>
                <w:sz w:val="16"/>
                <w:szCs w:val="16"/>
              </w:rPr>
            </w:pPr>
            <w:r>
              <w:rPr>
                <w:b/>
                <w:noProof/>
                <w:sz w:val="16"/>
              </w:rPr>
              <w:t>ОБЩО</w:t>
            </w:r>
          </w:p>
        </w:tc>
        <w:tc>
          <w:tcPr>
            <w:tcW w:w="857" w:type="pct"/>
            <w:tcBorders>
              <w:top w:val="single" w:sz="12" w:space="0" w:color="auto"/>
              <w:left w:val="single" w:sz="2" w:space="0" w:color="auto"/>
              <w:bottom w:val="single" w:sz="12" w:space="0" w:color="auto"/>
              <w:right w:val="single" w:sz="2" w:space="0" w:color="auto"/>
            </w:tcBorders>
            <w:vAlign w:val="center"/>
          </w:tcPr>
          <w:p w:rsidR="00222FCC" w:rsidRDefault="00FD122A">
            <w:pPr>
              <w:spacing w:before="60" w:after="60" w:line="200" w:lineRule="exact"/>
              <w:jc w:val="right"/>
              <w:rPr>
                <w:b/>
                <w:noProof/>
                <w:sz w:val="16"/>
                <w:szCs w:val="16"/>
              </w:rPr>
            </w:pPr>
            <w:r>
              <w:rPr>
                <w:noProof/>
                <w:sz w:val="20"/>
              </w:rPr>
              <w:t>0,525</w:t>
            </w:r>
          </w:p>
        </w:tc>
        <w:tc>
          <w:tcPr>
            <w:tcW w:w="857" w:type="pct"/>
            <w:tcBorders>
              <w:top w:val="single" w:sz="12" w:space="0" w:color="auto"/>
              <w:left w:val="single" w:sz="2" w:space="0" w:color="auto"/>
              <w:bottom w:val="single" w:sz="12" w:space="0" w:color="auto"/>
              <w:right w:val="single" w:sz="2" w:space="0" w:color="auto"/>
            </w:tcBorders>
            <w:vAlign w:val="center"/>
          </w:tcPr>
          <w:p w:rsidR="00222FCC" w:rsidRDefault="00FD122A">
            <w:pPr>
              <w:spacing w:before="60" w:after="60" w:line="200" w:lineRule="exact"/>
              <w:jc w:val="right"/>
              <w:rPr>
                <w:b/>
                <w:noProof/>
                <w:sz w:val="16"/>
                <w:szCs w:val="16"/>
              </w:rPr>
            </w:pPr>
            <w:r>
              <w:rPr>
                <w:noProof/>
                <w:sz w:val="20"/>
              </w:rPr>
              <w:t>0,385</w:t>
            </w:r>
          </w:p>
        </w:tc>
        <w:tc>
          <w:tcPr>
            <w:tcW w:w="857" w:type="pct"/>
            <w:tcBorders>
              <w:top w:val="single" w:sz="12" w:space="0" w:color="auto"/>
              <w:left w:val="single" w:sz="2" w:space="0" w:color="auto"/>
              <w:bottom w:val="single" w:sz="12" w:space="0" w:color="auto"/>
              <w:right w:val="single" w:sz="2" w:space="0" w:color="auto"/>
            </w:tcBorders>
            <w:vAlign w:val="center"/>
          </w:tcPr>
          <w:p w:rsidR="00222FCC" w:rsidRDefault="00FD122A">
            <w:pPr>
              <w:spacing w:before="60" w:after="60" w:line="200" w:lineRule="exact"/>
              <w:jc w:val="right"/>
              <w:rPr>
                <w:b/>
                <w:noProof/>
                <w:sz w:val="16"/>
                <w:szCs w:val="16"/>
              </w:rPr>
            </w:pPr>
            <w:r>
              <w:rPr>
                <w:noProof/>
                <w:sz w:val="20"/>
              </w:rPr>
              <w:t>0,350</w:t>
            </w:r>
          </w:p>
        </w:tc>
        <w:tc>
          <w:tcPr>
            <w:tcW w:w="855" w:type="pct"/>
            <w:tcBorders>
              <w:top w:val="single" w:sz="12" w:space="0" w:color="auto"/>
              <w:left w:val="single" w:sz="2" w:space="0" w:color="auto"/>
              <w:bottom w:val="single" w:sz="12" w:space="0" w:color="auto"/>
              <w:right w:val="single" w:sz="12" w:space="0" w:color="auto"/>
            </w:tcBorders>
            <w:vAlign w:val="center"/>
          </w:tcPr>
          <w:p w:rsidR="00222FCC" w:rsidRDefault="00FD122A">
            <w:pPr>
              <w:spacing w:before="60" w:after="60" w:line="200" w:lineRule="exact"/>
              <w:jc w:val="right"/>
              <w:rPr>
                <w:b/>
                <w:noProof/>
                <w:sz w:val="16"/>
                <w:szCs w:val="16"/>
              </w:rPr>
            </w:pPr>
            <w:r>
              <w:rPr>
                <w:b/>
                <w:noProof/>
                <w:sz w:val="20"/>
              </w:rPr>
              <w:t>1,260</w:t>
            </w:r>
          </w:p>
        </w:tc>
      </w:tr>
    </w:tbl>
    <w:p w:rsidR="00222FCC" w:rsidRDefault="00FD122A">
      <w:pPr>
        <w:rPr>
          <w:noProof/>
          <w:sz w:val="18"/>
        </w:rPr>
      </w:pPr>
      <w:r>
        <w:rPr>
          <w:noProof/>
          <w:sz w:val="18"/>
        </w:rPr>
        <w:t xml:space="preserve">Нуждите от бюджетни кредити за човешки ресурси и за другите разходи с административен характер ще бъдат покрити с бюджетните кредити на ГД, </w:t>
      </w:r>
      <w:r>
        <w:rPr>
          <w:noProof/>
          <w:sz w:val="18"/>
        </w:rPr>
        <w:t xml:space="preserve">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w:t>
      </w:r>
      <w:r>
        <w:rPr>
          <w:noProof/>
          <w:sz w:val="18"/>
        </w:rPr>
        <w:t>на средства и като се имат предвид бюджетните ограничения.</w:t>
      </w:r>
    </w:p>
    <w:p w:rsidR="00222FCC" w:rsidRDefault="00222FCC">
      <w:pPr>
        <w:rPr>
          <w:noProof/>
          <w:sz w:val="18"/>
        </w:rPr>
        <w:sectPr w:rsidR="00222FCC">
          <w:headerReference w:type="default" r:id="rId17"/>
          <w:footerReference w:type="default" r:id="rId18"/>
          <w:headerReference w:type="first" r:id="rId19"/>
          <w:footerReference w:type="first" r:id="rId20"/>
          <w:pgSz w:w="16840" w:h="11907" w:orient="landscape"/>
          <w:pgMar w:top="1134" w:right="1134" w:bottom="1418" w:left="1134" w:header="709" w:footer="709" w:gutter="0"/>
          <w:cols w:space="708"/>
          <w:docGrid w:linePitch="360"/>
        </w:sectPr>
      </w:pPr>
    </w:p>
    <w:p w:rsidR="00222FCC" w:rsidRDefault="00FD122A">
      <w:pPr>
        <w:pStyle w:val="ManualHeading4"/>
        <w:rPr>
          <w:bCs/>
          <w:noProof/>
          <w:szCs w:val="24"/>
        </w:rPr>
      </w:pPr>
      <w:r>
        <w:t>3.2.3.2.</w:t>
      </w:r>
      <w:r>
        <w:tab/>
      </w:r>
      <w:r>
        <w:rPr>
          <w:noProof/>
        </w:rPr>
        <w:t>Очаквани нужди от човешки ресурси</w:t>
      </w:r>
    </w:p>
    <w:p w:rsidR="00222FCC" w:rsidRDefault="00FD122A">
      <w:pPr>
        <w:pStyle w:val="ListDash1"/>
        <w:rPr>
          <w:noProof/>
        </w:rPr>
      </w:pPr>
      <w:r>
        <w:rPr>
          <w:noProof/>
        </w:rPr>
        <w:sym w:font="Wingdings" w:char="F0A8"/>
      </w:r>
      <w:r>
        <w:rPr>
          <w:noProof/>
        </w:rPr>
        <w:tab/>
      </w:r>
      <w:r>
        <w:rPr>
          <w:noProof/>
        </w:rPr>
        <w:t xml:space="preserve">Предложението/инициативата не налага използване на човешки ресурси. </w:t>
      </w:r>
    </w:p>
    <w:p w:rsidR="00222FCC" w:rsidRDefault="00FD122A">
      <w:pPr>
        <w:pStyle w:val="ListDash1"/>
        <w:rPr>
          <w:noProof/>
        </w:rPr>
      </w:pPr>
      <w:r>
        <w:rPr>
          <w:noProof/>
        </w:rPr>
        <w:sym w:font="Wingdings" w:char="F078"/>
      </w:r>
      <w:r>
        <w:rPr>
          <w:noProof/>
        </w:rPr>
        <w:tab/>
        <w:t>Предложението/инициативата налага използване на човешки ресурси съгласно обяснението по-долу:</w:t>
      </w:r>
    </w:p>
    <w:p w:rsidR="00222FCC" w:rsidRDefault="00FD122A">
      <w:pPr>
        <w:spacing w:after="60"/>
        <w:jc w:val="right"/>
        <w:rPr>
          <w:i/>
          <w:noProof/>
          <w:sz w:val="20"/>
        </w:rPr>
      </w:pPr>
      <w:r>
        <w:rPr>
          <w:i/>
          <w:noProof/>
          <w:sz w:val="20"/>
        </w:rPr>
        <w:t>Оценката се посочва в еквиваленти на пълно работно време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727"/>
        <w:gridCol w:w="2730"/>
        <w:gridCol w:w="863"/>
        <w:gridCol w:w="863"/>
        <w:gridCol w:w="5516"/>
        <w:gridCol w:w="6"/>
        <w:gridCol w:w="511"/>
        <w:gridCol w:w="517"/>
        <w:gridCol w:w="516"/>
        <w:gridCol w:w="538"/>
      </w:tblGrid>
      <w:tr w:rsidR="00222FCC">
        <w:trPr>
          <w:trHeight w:val="289"/>
          <w:jc w:val="center"/>
        </w:trPr>
        <w:tc>
          <w:tcPr>
            <w:tcW w:w="1897" w:type="pct"/>
            <w:gridSpan w:val="2"/>
            <w:shd w:val="clear" w:color="auto" w:fill="auto"/>
          </w:tcPr>
          <w:p w:rsidR="00222FCC" w:rsidRDefault="00222FCC">
            <w:pPr>
              <w:pStyle w:val="Text1"/>
              <w:spacing w:before="40" w:after="40"/>
              <w:ind w:left="0"/>
              <w:jc w:val="center"/>
              <w:rPr>
                <w:i/>
                <w:noProof/>
                <w:sz w:val="16"/>
                <w:szCs w:val="16"/>
              </w:rPr>
            </w:pPr>
          </w:p>
        </w:tc>
        <w:tc>
          <w:tcPr>
            <w:tcW w:w="318" w:type="pct"/>
            <w:shd w:val="clear" w:color="auto" w:fill="auto"/>
            <w:vAlign w:val="center"/>
          </w:tcPr>
          <w:p w:rsidR="00222FCC" w:rsidRDefault="00FD122A">
            <w:pPr>
              <w:spacing w:before="20" w:after="20"/>
              <w:jc w:val="center"/>
              <w:rPr>
                <w:noProof/>
                <w:sz w:val="16"/>
                <w:szCs w:val="16"/>
              </w:rPr>
            </w:pPr>
            <w:r>
              <w:rPr>
                <w:noProof/>
                <w:sz w:val="16"/>
              </w:rPr>
              <w:t>Година</w:t>
            </w:r>
            <w:r>
              <w:rPr>
                <w:noProof/>
                <w:sz w:val="22"/>
              </w:rPr>
              <w:br/>
            </w:r>
            <w:r>
              <w:rPr>
                <w:b/>
                <w:noProof/>
                <w:sz w:val="16"/>
              </w:rPr>
              <w:t>2018</w:t>
            </w:r>
          </w:p>
        </w:tc>
        <w:tc>
          <w:tcPr>
            <w:tcW w:w="318" w:type="pct"/>
            <w:shd w:val="clear" w:color="auto" w:fill="auto"/>
            <w:vAlign w:val="center"/>
          </w:tcPr>
          <w:p w:rsidR="00222FCC" w:rsidRDefault="00FD122A">
            <w:pPr>
              <w:spacing w:before="20" w:after="20"/>
              <w:jc w:val="center"/>
              <w:rPr>
                <w:noProof/>
                <w:sz w:val="16"/>
                <w:szCs w:val="16"/>
              </w:rPr>
            </w:pPr>
            <w:r>
              <w:rPr>
                <w:noProof/>
                <w:sz w:val="16"/>
              </w:rPr>
              <w:t>Година</w:t>
            </w:r>
            <w:r>
              <w:rPr>
                <w:noProof/>
                <w:sz w:val="22"/>
              </w:rPr>
              <w:br/>
            </w:r>
            <w:r>
              <w:rPr>
                <w:b/>
                <w:noProof/>
                <w:sz w:val="16"/>
              </w:rPr>
              <w:t>2019</w:t>
            </w:r>
          </w:p>
        </w:tc>
        <w:tc>
          <w:tcPr>
            <w:tcW w:w="1891" w:type="pct"/>
            <w:shd w:val="clear" w:color="auto" w:fill="auto"/>
            <w:vAlign w:val="center"/>
          </w:tcPr>
          <w:p w:rsidR="00222FCC" w:rsidRDefault="00FD122A">
            <w:pPr>
              <w:spacing w:before="20" w:after="20"/>
              <w:jc w:val="center"/>
              <w:rPr>
                <w:noProof/>
                <w:sz w:val="16"/>
                <w:szCs w:val="16"/>
              </w:rPr>
            </w:pPr>
            <w:r>
              <w:rPr>
                <w:noProof/>
                <w:sz w:val="16"/>
              </w:rPr>
              <w:t xml:space="preserve">Година </w:t>
            </w:r>
            <w:r>
              <w:rPr>
                <w:b/>
                <w:noProof/>
                <w:sz w:val="16"/>
              </w:rPr>
              <w:t>2020</w:t>
            </w:r>
          </w:p>
        </w:tc>
        <w:tc>
          <w:tcPr>
            <w:tcW w:w="226" w:type="pct"/>
            <w:gridSpan w:val="2"/>
            <w:shd w:val="clear" w:color="auto" w:fill="auto"/>
            <w:vAlign w:val="center"/>
          </w:tcPr>
          <w:p w:rsidR="00222FCC" w:rsidRDefault="00222FCC">
            <w:pPr>
              <w:spacing w:before="20" w:after="20"/>
              <w:jc w:val="center"/>
              <w:rPr>
                <w:noProof/>
                <w:sz w:val="16"/>
                <w:szCs w:val="16"/>
              </w:rPr>
            </w:pPr>
          </w:p>
        </w:tc>
        <w:tc>
          <w:tcPr>
            <w:tcW w:w="344" w:type="pct"/>
            <w:gridSpan w:val="3"/>
            <w:shd w:val="clear" w:color="auto" w:fill="auto"/>
            <w:vAlign w:val="center"/>
          </w:tcPr>
          <w:p w:rsidR="00222FCC" w:rsidRDefault="00FD122A">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rsidR="00222FCC">
        <w:trPr>
          <w:trHeight w:val="289"/>
          <w:jc w:val="center"/>
        </w:trPr>
        <w:tc>
          <w:tcPr>
            <w:tcW w:w="4424" w:type="pct"/>
            <w:gridSpan w:val="5"/>
            <w:shd w:val="clear" w:color="auto" w:fill="auto"/>
          </w:tcPr>
          <w:p w:rsidR="00222FCC" w:rsidRDefault="00FD122A">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c>
          <w:tcPr>
            <w:tcW w:w="226" w:type="pct"/>
            <w:gridSpan w:val="2"/>
            <w:shd w:val="clear" w:color="auto" w:fill="auto"/>
            <w:vAlign w:val="center"/>
          </w:tcPr>
          <w:p w:rsidR="00222FCC" w:rsidRDefault="00222FCC">
            <w:pPr>
              <w:spacing w:before="20" w:after="20"/>
              <w:jc w:val="center"/>
              <w:rPr>
                <w:noProof/>
                <w:sz w:val="16"/>
                <w:szCs w:val="16"/>
              </w:rPr>
            </w:pPr>
          </w:p>
        </w:tc>
        <w:tc>
          <w:tcPr>
            <w:tcW w:w="344" w:type="pct"/>
            <w:gridSpan w:val="3"/>
            <w:shd w:val="clear" w:color="auto" w:fill="auto"/>
            <w:vAlign w:val="center"/>
          </w:tcPr>
          <w:p w:rsidR="00222FCC" w:rsidRDefault="00222FCC">
            <w:pPr>
              <w:jc w:val="center"/>
              <w:rPr>
                <w:noProof/>
                <w:sz w:val="16"/>
                <w:szCs w:val="16"/>
              </w:rPr>
            </w:pPr>
          </w:p>
        </w:tc>
      </w:tr>
      <w:tr w:rsidR="00222FCC">
        <w:trPr>
          <w:trHeight w:val="289"/>
          <w:jc w:val="center"/>
        </w:trPr>
        <w:tc>
          <w:tcPr>
            <w:tcW w:w="1897" w:type="pct"/>
            <w:gridSpan w:val="2"/>
            <w:shd w:val="clear" w:color="auto" w:fill="auto"/>
            <w:vAlign w:val="center"/>
          </w:tcPr>
          <w:p w:rsidR="00222FCC" w:rsidRDefault="00FD122A">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rsidR="00222FCC" w:rsidRDefault="00FD122A">
            <w:pPr>
              <w:spacing w:beforeLines="20" w:before="48" w:afterLines="20" w:after="48"/>
              <w:jc w:val="center"/>
              <w:rPr>
                <w:noProof/>
                <w:sz w:val="16"/>
                <w:szCs w:val="16"/>
              </w:rPr>
            </w:pPr>
            <w:r>
              <w:rPr>
                <w:noProof/>
                <w:sz w:val="16"/>
              </w:rPr>
              <w:t>30</w:t>
            </w:r>
          </w:p>
        </w:tc>
        <w:tc>
          <w:tcPr>
            <w:tcW w:w="318" w:type="pct"/>
            <w:shd w:val="clear" w:color="auto" w:fill="auto"/>
            <w:vAlign w:val="center"/>
          </w:tcPr>
          <w:p w:rsidR="00222FCC" w:rsidRDefault="00FD122A">
            <w:pPr>
              <w:spacing w:beforeLines="20" w:before="48" w:afterLines="20" w:after="48"/>
              <w:jc w:val="center"/>
              <w:rPr>
                <w:noProof/>
                <w:sz w:val="16"/>
                <w:szCs w:val="16"/>
              </w:rPr>
            </w:pPr>
            <w:r>
              <w:rPr>
                <w:noProof/>
                <w:sz w:val="16"/>
              </w:rPr>
              <w:t>30</w:t>
            </w:r>
          </w:p>
        </w:tc>
        <w:tc>
          <w:tcPr>
            <w:tcW w:w="1891" w:type="pct"/>
            <w:shd w:val="clear" w:color="auto" w:fill="auto"/>
            <w:vAlign w:val="center"/>
          </w:tcPr>
          <w:p w:rsidR="00222FCC" w:rsidRDefault="00FD122A">
            <w:pPr>
              <w:spacing w:beforeLines="20" w:before="48" w:afterLines="20" w:after="48"/>
              <w:jc w:val="center"/>
              <w:rPr>
                <w:noProof/>
                <w:sz w:val="16"/>
                <w:szCs w:val="16"/>
              </w:rPr>
            </w:pPr>
            <w:r>
              <w:rPr>
                <w:noProof/>
                <w:sz w:val="16"/>
              </w:rPr>
              <w:t>30</w:t>
            </w:r>
          </w:p>
        </w:tc>
        <w:tc>
          <w:tcPr>
            <w:tcW w:w="226" w:type="pct"/>
            <w:gridSpan w:val="2"/>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4" w:type="pct"/>
            <w:shd w:val="clear" w:color="auto" w:fill="auto"/>
            <w:vAlign w:val="center"/>
          </w:tcPr>
          <w:p w:rsidR="00222FCC" w:rsidRDefault="00222FCC">
            <w:pPr>
              <w:spacing w:beforeLines="20" w:before="48" w:afterLines="20" w:after="48"/>
              <w:jc w:val="center"/>
              <w:rPr>
                <w:noProof/>
                <w:sz w:val="16"/>
                <w:szCs w:val="16"/>
              </w:rPr>
            </w:pPr>
          </w:p>
        </w:tc>
      </w:tr>
      <w:tr w:rsidR="00222FCC">
        <w:trPr>
          <w:trHeight w:val="289"/>
          <w:jc w:val="center"/>
        </w:trPr>
        <w:tc>
          <w:tcPr>
            <w:tcW w:w="1897" w:type="pct"/>
            <w:gridSpan w:val="2"/>
            <w:shd w:val="clear" w:color="auto" w:fill="auto"/>
            <w:vAlign w:val="center"/>
          </w:tcPr>
          <w:p w:rsidR="00222FCC" w:rsidRDefault="00FD122A">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1891" w:type="pct"/>
            <w:shd w:val="clear" w:color="auto" w:fill="auto"/>
            <w:vAlign w:val="center"/>
          </w:tcPr>
          <w:p w:rsidR="00222FCC" w:rsidRDefault="00222FCC">
            <w:pPr>
              <w:spacing w:beforeLines="20" w:before="48" w:afterLines="20" w:after="48"/>
              <w:jc w:val="center"/>
              <w:rPr>
                <w:noProof/>
                <w:sz w:val="16"/>
                <w:szCs w:val="16"/>
              </w:rPr>
            </w:pPr>
          </w:p>
        </w:tc>
        <w:tc>
          <w:tcPr>
            <w:tcW w:w="226" w:type="pct"/>
            <w:gridSpan w:val="2"/>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4" w:type="pct"/>
            <w:shd w:val="clear" w:color="auto" w:fill="auto"/>
            <w:vAlign w:val="center"/>
          </w:tcPr>
          <w:p w:rsidR="00222FCC" w:rsidRDefault="00222FCC">
            <w:pPr>
              <w:spacing w:beforeLines="20" w:before="48" w:afterLines="20" w:after="48"/>
              <w:jc w:val="center"/>
              <w:rPr>
                <w:noProof/>
                <w:sz w:val="16"/>
                <w:szCs w:val="16"/>
              </w:rPr>
            </w:pPr>
          </w:p>
        </w:tc>
      </w:tr>
      <w:tr w:rsidR="00222FCC">
        <w:trPr>
          <w:trHeight w:val="289"/>
          <w:jc w:val="center"/>
        </w:trPr>
        <w:tc>
          <w:tcPr>
            <w:tcW w:w="1897" w:type="pct"/>
            <w:gridSpan w:val="2"/>
            <w:shd w:val="clear" w:color="auto" w:fill="auto"/>
            <w:vAlign w:val="center"/>
          </w:tcPr>
          <w:p w:rsidR="00222FCC" w:rsidRDefault="00FD122A">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1891" w:type="pct"/>
            <w:shd w:val="clear" w:color="auto" w:fill="auto"/>
            <w:vAlign w:val="center"/>
          </w:tcPr>
          <w:p w:rsidR="00222FCC" w:rsidRDefault="00222FCC">
            <w:pPr>
              <w:spacing w:beforeLines="20" w:before="48" w:afterLines="20" w:after="48"/>
              <w:jc w:val="center"/>
              <w:rPr>
                <w:noProof/>
                <w:sz w:val="16"/>
                <w:szCs w:val="16"/>
              </w:rPr>
            </w:pPr>
          </w:p>
        </w:tc>
        <w:tc>
          <w:tcPr>
            <w:tcW w:w="226" w:type="pct"/>
            <w:gridSpan w:val="2"/>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4" w:type="pct"/>
            <w:shd w:val="clear" w:color="auto" w:fill="auto"/>
            <w:vAlign w:val="center"/>
          </w:tcPr>
          <w:p w:rsidR="00222FCC" w:rsidRDefault="00222FCC">
            <w:pPr>
              <w:spacing w:beforeLines="20" w:before="48" w:afterLines="20" w:after="48"/>
              <w:jc w:val="center"/>
              <w:rPr>
                <w:noProof/>
                <w:sz w:val="16"/>
                <w:szCs w:val="16"/>
              </w:rPr>
            </w:pPr>
          </w:p>
        </w:tc>
      </w:tr>
      <w:tr w:rsidR="00222FCC">
        <w:trPr>
          <w:trHeight w:val="289"/>
          <w:jc w:val="center"/>
        </w:trPr>
        <w:tc>
          <w:tcPr>
            <w:tcW w:w="1897" w:type="pct"/>
            <w:gridSpan w:val="2"/>
            <w:shd w:val="clear" w:color="auto" w:fill="auto"/>
            <w:vAlign w:val="center"/>
          </w:tcPr>
          <w:p w:rsidR="00222FCC" w:rsidRDefault="00FD122A">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1891" w:type="pct"/>
            <w:shd w:val="clear" w:color="auto" w:fill="auto"/>
            <w:vAlign w:val="center"/>
          </w:tcPr>
          <w:p w:rsidR="00222FCC" w:rsidRDefault="00222FCC">
            <w:pPr>
              <w:spacing w:beforeLines="20" w:before="48" w:afterLines="20" w:after="48"/>
              <w:jc w:val="center"/>
              <w:rPr>
                <w:noProof/>
                <w:sz w:val="16"/>
                <w:szCs w:val="16"/>
              </w:rPr>
            </w:pPr>
          </w:p>
        </w:tc>
        <w:tc>
          <w:tcPr>
            <w:tcW w:w="226" w:type="pct"/>
            <w:gridSpan w:val="2"/>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4" w:type="pct"/>
            <w:shd w:val="clear" w:color="auto" w:fill="auto"/>
            <w:vAlign w:val="center"/>
          </w:tcPr>
          <w:p w:rsidR="00222FCC" w:rsidRDefault="00222FCC">
            <w:pPr>
              <w:spacing w:beforeLines="20" w:before="48" w:afterLines="20" w:after="48"/>
              <w:jc w:val="center"/>
              <w:rPr>
                <w:noProof/>
                <w:sz w:val="16"/>
                <w:szCs w:val="16"/>
              </w:rPr>
            </w:pPr>
          </w:p>
        </w:tc>
      </w:tr>
      <w:tr w:rsidR="00222FCC">
        <w:trPr>
          <w:gridAfter w:val="4"/>
          <w:wAfter w:w="570" w:type="pct"/>
          <w:trHeight w:val="248"/>
          <w:jc w:val="center"/>
        </w:trPr>
        <w:tc>
          <w:tcPr>
            <w:tcW w:w="4430" w:type="pct"/>
            <w:gridSpan w:val="6"/>
            <w:shd w:val="clear" w:color="auto" w:fill="auto"/>
            <w:vAlign w:val="center"/>
          </w:tcPr>
          <w:p w:rsidR="00222FCC" w:rsidRDefault="00FD122A">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44"/>
            </w:r>
          </w:p>
          <w:p w:rsidR="00222FCC" w:rsidRDefault="00222FCC">
            <w:pPr>
              <w:pStyle w:val="Text1"/>
              <w:spacing w:before="0" w:after="0"/>
              <w:ind w:left="0"/>
              <w:jc w:val="left"/>
              <w:rPr>
                <w:noProof/>
                <w:sz w:val="16"/>
                <w:szCs w:val="16"/>
              </w:rPr>
            </w:pPr>
          </w:p>
        </w:tc>
      </w:tr>
      <w:tr w:rsidR="00222FCC">
        <w:trPr>
          <w:trHeight w:val="289"/>
          <w:jc w:val="center"/>
        </w:trPr>
        <w:tc>
          <w:tcPr>
            <w:tcW w:w="1897" w:type="pct"/>
            <w:gridSpan w:val="2"/>
            <w:shd w:val="clear" w:color="auto" w:fill="auto"/>
            <w:vAlign w:val="center"/>
          </w:tcPr>
          <w:p w:rsidR="00222FCC" w:rsidRDefault="00FD122A">
            <w:pPr>
              <w:pStyle w:val="Text1"/>
              <w:spacing w:beforeLines="20" w:before="48" w:afterLines="20" w:after="48"/>
              <w:ind w:left="136"/>
              <w:jc w:val="left"/>
              <w:rPr>
                <w:b/>
                <w:noProof/>
                <w:sz w:val="16"/>
                <w:szCs w:val="16"/>
              </w:rPr>
            </w:pPr>
            <w:r>
              <w:rPr>
                <w:noProof/>
                <w:sz w:val="16"/>
              </w:rPr>
              <w:t xml:space="preserve">XX 01 02 01 (ДНП, КНЕ, ПНА от общия финансов </w:t>
            </w:r>
            <w:r>
              <w:rPr>
                <w:noProof/>
                <w:sz w:val="16"/>
              </w:rPr>
              <w:t>пакет)</w:t>
            </w:r>
          </w:p>
        </w:tc>
        <w:tc>
          <w:tcPr>
            <w:tcW w:w="318" w:type="pct"/>
            <w:shd w:val="clear" w:color="auto" w:fill="auto"/>
            <w:vAlign w:val="center"/>
          </w:tcPr>
          <w:p w:rsidR="00222FCC" w:rsidRDefault="00FD122A">
            <w:pPr>
              <w:spacing w:beforeLines="20" w:before="48" w:afterLines="20" w:after="48"/>
              <w:jc w:val="center"/>
              <w:rPr>
                <w:noProof/>
                <w:sz w:val="16"/>
                <w:szCs w:val="16"/>
              </w:rPr>
            </w:pPr>
            <w:r>
              <w:rPr>
                <w:noProof/>
                <w:sz w:val="16"/>
              </w:rPr>
              <w:t>7,5</w:t>
            </w:r>
          </w:p>
        </w:tc>
        <w:tc>
          <w:tcPr>
            <w:tcW w:w="318" w:type="pct"/>
            <w:shd w:val="clear" w:color="auto" w:fill="auto"/>
            <w:vAlign w:val="center"/>
          </w:tcPr>
          <w:p w:rsidR="00222FCC" w:rsidRDefault="00FD122A">
            <w:pPr>
              <w:spacing w:beforeLines="20" w:before="48" w:afterLines="20" w:after="48"/>
              <w:jc w:val="center"/>
              <w:rPr>
                <w:noProof/>
                <w:sz w:val="16"/>
                <w:szCs w:val="16"/>
              </w:rPr>
            </w:pPr>
            <w:r>
              <w:rPr>
                <w:noProof/>
                <w:sz w:val="16"/>
              </w:rPr>
              <w:t>5,5</w:t>
            </w:r>
          </w:p>
        </w:tc>
        <w:tc>
          <w:tcPr>
            <w:tcW w:w="1891" w:type="pct"/>
            <w:shd w:val="clear" w:color="auto" w:fill="auto"/>
            <w:vAlign w:val="center"/>
          </w:tcPr>
          <w:p w:rsidR="00222FCC" w:rsidRDefault="00FD122A">
            <w:pPr>
              <w:spacing w:beforeLines="20" w:before="48" w:afterLines="20" w:after="48"/>
              <w:jc w:val="center"/>
              <w:rPr>
                <w:noProof/>
                <w:sz w:val="16"/>
                <w:szCs w:val="16"/>
              </w:rPr>
            </w:pPr>
            <w:r>
              <w:rPr>
                <w:noProof/>
                <w:sz w:val="16"/>
              </w:rPr>
              <w:t>5</w:t>
            </w:r>
          </w:p>
        </w:tc>
        <w:tc>
          <w:tcPr>
            <w:tcW w:w="226" w:type="pct"/>
            <w:gridSpan w:val="2"/>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4" w:type="pct"/>
            <w:shd w:val="clear" w:color="auto" w:fill="auto"/>
            <w:vAlign w:val="center"/>
          </w:tcPr>
          <w:p w:rsidR="00222FCC" w:rsidRDefault="00222FCC">
            <w:pPr>
              <w:spacing w:beforeLines="20" w:before="48" w:afterLines="20" w:after="48"/>
              <w:jc w:val="center"/>
              <w:rPr>
                <w:noProof/>
                <w:sz w:val="16"/>
                <w:szCs w:val="16"/>
              </w:rPr>
            </w:pPr>
          </w:p>
        </w:tc>
      </w:tr>
      <w:tr w:rsidR="00222FCC">
        <w:trPr>
          <w:trHeight w:val="289"/>
          <w:jc w:val="center"/>
        </w:trPr>
        <w:tc>
          <w:tcPr>
            <w:tcW w:w="1897" w:type="pct"/>
            <w:gridSpan w:val="2"/>
            <w:shd w:val="clear" w:color="auto" w:fill="auto"/>
            <w:vAlign w:val="center"/>
          </w:tcPr>
          <w:p w:rsidR="00222FCC" w:rsidRDefault="00FD122A">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1891" w:type="pct"/>
            <w:shd w:val="clear" w:color="auto" w:fill="auto"/>
            <w:vAlign w:val="center"/>
          </w:tcPr>
          <w:p w:rsidR="00222FCC" w:rsidRDefault="00222FCC">
            <w:pPr>
              <w:spacing w:beforeLines="20" w:before="48" w:afterLines="20" w:after="48"/>
              <w:jc w:val="center"/>
              <w:rPr>
                <w:noProof/>
                <w:sz w:val="16"/>
                <w:szCs w:val="16"/>
              </w:rPr>
            </w:pPr>
          </w:p>
        </w:tc>
        <w:tc>
          <w:tcPr>
            <w:tcW w:w="226" w:type="pct"/>
            <w:gridSpan w:val="2"/>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4" w:type="pct"/>
            <w:shd w:val="clear" w:color="auto" w:fill="auto"/>
            <w:vAlign w:val="center"/>
          </w:tcPr>
          <w:p w:rsidR="00222FCC" w:rsidRDefault="00222FCC">
            <w:pPr>
              <w:spacing w:beforeLines="20" w:before="48" w:afterLines="20" w:after="48"/>
              <w:jc w:val="center"/>
              <w:rPr>
                <w:noProof/>
                <w:sz w:val="16"/>
                <w:szCs w:val="16"/>
              </w:rPr>
            </w:pPr>
          </w:p>
        </w:tc>
      </w:tr>
      <w:tr w:rsidR="00222FCC">
        <w:trPr>
          <w:trHeight w:val="289"/>
          <w:jc w:val="center"/>
        </w:trPr>
        <w:tc>
          <w:tcPr>
            <w:tcW w:w="948" w:type="pct"/>
            <w:vMerge w:val="restart"/>
            <w:shd w:val="clear" w:color="auto" w:fill="auto"/>
            <w:vAlign w:val="center"/>
          </w:tcPr>
          <w:p w:rsidR="00222FCC" w:rsidRDefault="00FD122A">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45"/>
            </w:r>
          </w:p>
          <w:p w:rsidR="00222FCC" w:rsidRDefault="00222FCC">
            <w:pPr>
              <w:pStyle w:val="Text1"/>
              <w:spacing w:beforeLines="20" w:before="48" w:afterLines="20" w:after="48"/>
              <w:ind w:left="136"/>
              <w:jc w:val="left"/>
              <w:rPr>
                <w:b/>
                <w:noProof/>
                <w:sz w:val="16"/>
                <w:szCs w:val="16"/>
              </w:rPr>
            </w:pPr>
          </w:p>
        </w:tc>
        <w:tc>
          <w:tcPr>
            <w:tcW w:w="949" w:type="pct"/>
            <w:shd w:val="clear" w:color="auto" w:fill="auto"/>
            <w:vAlign w:val="center"/>
          </w:tcPr>
          <w:p w:rsidR="00222FCC" w:rsidRDefault="00FD122A">
            <w:pPr>
              <w:pStyle w:val="Text1"/>
              <w:spacing w:beforeLines="20" w:before="48" w:afterLines="20" w:after="48"/>
              <w:ind w:left="136"/>
              <w:jc w:val="left"/>
              <w:rPr>
                <w:b/>
                <w:noProof/>
                <w:sz w:val="16"/>
                <w:szCs w:val="16"/>
              </w:rPr>
            </w:pPr>
            <w:r>
              <w:rPr>
                <w:noProof/>
                <w:sz w:val="16"/>
              </w:rPr>
              <w:t>— в централата</w:t>
            </w:r>
          </w:p>
          <w:p w:rsidR="00222FCC" w:rsidRDefault="00222FCC">
            <w:pPr>
              <w:pStyle w:val="Text1"/>
              <w:spacing w:beforeLines="20" w:before="48" w:afterLines="20" w:after="48"/>
              <w:ind w:left="136"/>
              <w:jc w:val="left"/>
              <w:rPr>
                <w:b/>
                <w:noProof/>
                <w:sz w:val="16"/>
                <w:szCs w:val="16"/>
              </w:rPr>
            </w:pPr>
          </w:p>
        </w:tc>
        <w:tc>
          <w:tcPr>
            <w:tcW w:w="318" w:type="pct"/>
            <w:shd w:val="clear" w:color="auto" w:fill="auto"/>
            <w:vAlign w:val="center"/>
          </w:tcPr>
          <w:p w:rsidR="00222FCC" w:rsidRDefault="00222FCC">
            <w:pPr>
              <w:pStyle w:val="Text1"/>
              <w:spacing w:beforeLines="20" w:before="48" w:afterLines="20" w:after="48"/>
              <w:ind w:left="0"/>
              <w:rPr>
                <w:noProof/>
                <w:sz w:val="16"/>
                <w:szCs w:val="16"/>
              </w:rPr>
            </w:pP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1891" w:type="pct"/>
            <w:shd w:val="clear" w:color="auto" w:fill="auto"/>
            <w:vAlign w:val="center"/>
          </w:tcPr>
          <w:p w:rsidR="00222FCC" w:rsidRDefault="00222FCC">
            <w:pPr>
              <w:spacing w:beforeLines="20" w:before="48" w:afterLines="20" w:after="48"/>
              <w:jc w:val="center"/>
              <w:rPr>
                <w:noProof/>
                <w:sz w:val="16"/>
                <w:szCs w:val="16"/>
              </w:rPr>
            </w:pPr>
          </w:p>
        </w:tc>
        <w:tc>
          <w:tcPr>
            <w:tcW w:w="226" w:type="pct"/>
            <w:gridSpan w:val="2"/>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4" w:type="pct"/>
            <w:shd w:val="clear" w:color="auto" w:fill="auto"/>
            <w:vAlign w:val="center"/>
          </w:tcPr>
          <w:p w:rsidR="00222FCC" w:rsidRDefault="00222FCC">
            <w:pPr>
              <w:spacing w:beforeLines="20" w:before="48" w:afterLines="20" w:after="48"/>
              <w:jc w:val="center"/>
              <w:rPr>
                <w:noProof/>
                <w:sz w:val="16"/>
                <w:szCs w:val="16"/>
              </w:rPr>
            </w:pPr>
          </w:p>
        </w:tc>
      </w:tr>
      <w:tr w:rsidR="00222FCC">
        <w:trPr>
          <w:trHeight w:val="289"/>
          <w:jc w:val="center"/>
        </w:trPr>
        <w:tc>
          <w:tcPr>
            <w:tcW w:w="948" w:type="pct"/>
            <w:vMerge/>
            <w:shd w:val="clear" w:color="auto" w:fill="auto"/>
            <w:vAlign w:val="center"/>
          </w:tcPr>
          <w:p w:rsidR="00222FCC" w:rsidRDefault="00222FCC">
            <w:pPr>
              <w:pStyle w:val="Text1"/>
              <w:spacing w:beforeLines="20" w:before="48" w:afterLines="20" w:after="48"/>
              <w:ind w:left="136"/>
              <w:jc w:val="left"/>
              <w:rPr>
                <w:b/>
                <w:noProof/>
                <w:sz w:val="16"/>
                <w:szCs w:val="16"/>
              </w:rPr>
            </w:pPr>
          </w:p>
        </w:tc>
        <w:tc>
          <w:tcPr>
            <w:tcW w:w="949" w:type="pct"/>
            <w:shd w:val="clear" w:color="auto" w:fill="auto"/>
            <w:vAlign w:val="center"/>
          </w:tcPr>
          <w:p w:rsidR="00222FCC" w:rsidRDefault="00FD122A">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rsidR="00222FCC" w:rsidRDefault="00222FCC">
            <w:pPr>
              <w:pStyle w:val="Text1"/>
              <w:spacing w:beforeLines="20" w:before="48" w:afterLines="20" w:after="48"/>
              <w:ind w:left="0"/>
              <w:rPr>
                <w:noProof/>
                <w:sz w:val="16"/>
                <w:szCs w:val="16"/>
              </w:rPr>
            </w:pP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1891" w:type="pct"/>
            <w:shd w:val="clear" w:color="auto" w:fill="auto"/>
            <w:vAlign w:val="center"/>
          </w:tcPr>
          <w:p w:rsidR="00222FCC" w:rsidRDefault="00222FCC">
            <w:pPr>
              <w:spacing w:beforeLines="20" w:before="48" w:afterLines="20" w:after="48"/>
              <w:jc w:val="center"/>
              <w:rPr>
                <w:noProof/>
                <w:sz w:val="16"/>
                <w:szCs w:val="16"/>
              </w:rPr>
            </w:pPr>
          </w:p>
        </w:tc>
        <w:tc>
          <w:tcPr>
            <w:tcW w:w="226" w:type="pct"/>
            <w:gridSpan w:val="2"/>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4" w:type="pct"/>
            <w:shd w:val="clear" w:color="auto" w:fill="auto"/>
            <w:vAlign w:val="center"/>
          </w:tcPr>
          <w:p w:rsidR="00222FCC" w:rsidRDefault="00222FCC">
            <w:pPr>
              <w:spacing w:beforeLines="20" w:before="48" w:afterLines="20" w:after="48"/>
              <w:jc w:val="center"/>
              <w:rPr>
                <w:noProof/>
                <w:sz w:val="16"/>
                <w:szCs w:val="16"/>
              </w:rPr>
            </w:pPr>
          </w:p>
        </w:tc>
      </w:tr>
      <w:tr w:rsidR="00222FCC">
        <w:trPr>
          <w:trHeight w:val="289"/>
          <w:jc w:val="center"/>
        </w:trPr>
        <w:tc>
          <w:tcPr>
            <w:tcW w:w="1897" w:type="pct"/>
            <w:gridSpan w:val="2"/>
            <w:shd w:val="clear" w:color="auto" w:fill="auto"/>
            <w:vAlign w:val="center"/>
          </w:tcPr>
          <w:p w:rsidR="00222FCC" w:rsidRDefault="00FD122A">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1891" w:type="pct"/>
            <w:shd w:val="clear" w:color="auto" w:fill="auto"/>
            <w:vAlign w:val="center"/>
          </w:tcPr>
          <w:p w:rsidR="00222FCC" w:rsidRDefault="00222FCC">
            <w:pPr>
              <w:spacing w:beforeLines="20" w:before="48" w:afterLines="20" w:after="48"/>
              <w:jc w:val="center"/>
              <w:rPr>
                <w:noProof/>
                <w:sz w:val="16"/>
                <w:szCs w:val="16"/>
              </w:rPr>
            </w:pPr>
          </w:p>
        </w:tc>
        <w:tc>
          <w:tcPr>
            <w:tcW w:w="226" w:type="pct"/>
            <w:gridSpan w:val="2"/>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4" w:type="pct"/>
            <w:shd w:val="clear" w:color="auto" w:fill="auto"/>
            <w:vAlign w:val="center"/>
          </w:tcPr>
          <w:p w:rsidR="00222FCC" w:rsidRDefault="00222FCC">
            <w:pPr>
              <w:spacing w:beforeLines="20" w:before="48" w:afterLines="20" w:after="48"/>
              <w:jc w:val="center"/>
              <w:rPr>
                <w:noProof/>
                <w:sz w:val="16"/>
                <w:szCs w:val="16"/>
              </w:rPr>
            </w:pPr>
          </w:p>
        </w:tc>
      </w:tr>
      <w:tr w:rsidR="00222FCC">
        <w:trPr>
          <w:trHeight w:val="289"/>
          <w:jc w:val="center"/>
        </w:trPr>
        <w:tc>
          <w:tcPr>
            <w:tcW w:w="1897" w:type="pct"/>
            <w:gridSpan w:val="2"/>
            <w:shd w:val="clear" w:color="auto" w:fill="auto"/>
            <w:vAlign w:val="center"/>
          </w:tcPr>
          <w:p w:rsidR="00222FCC" w:rsidRDefault="00FD122A">
            <w:pPr>
              <w:pStyle w:val="Text1"/>
              <w:spacing w:beforeLines="20" w:before="48" w:afterLines="20" w:after="48"/>
              <w:ind w:left="136"/>
              <w:jc w:val="left"/>
              <w:rPr>
                <w:noProof/>
                <w:sz w:val="16"/>
                <w:szCs w:val="16"/>
              </w:rPr>
            </w:pPr>
            <w:r>
              <w:rPr>
                <w:noProof/>
                <w:sz w:val="16"/>
              </w:rPr>
              <w:t xml:space="preserve">10 01 05 02 (ДНП, КНЕ, ПНА— Преки научни </w:t>
            </w:r>
            <w:r>
              <w:rPr>
                <w:noProof/>
                <w:sz w:val="16"/>
              </w:rPr>
              <w:t>изследвания)</w:t>
            </w: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318" w:type="pct"/>
            <w:shd w:val="clear" w:color="auto" w:fill="auto"/>
            <w:vAlign w:val="center"/>
          </w:tcPr>
          <w:p w:rsidR="00222FCC" w:rsidRDefault="00222FCC">
            <w:pPr>
              <w:spacing w:beforeLines="20" w:before="48" w:afterLines="20" w:after="48"/>
              <w:jc w:val="center"/>
              <w:rPr>
                <w:noProof/>
                <w:sz w:val="16"/>
                <w:szCs w:val="16"/>
              </w:rPr>
            </w:pPr>
          </w:p>
        </w:tc>
        <w:tc>
          <w:tcPr>
            <w:tcW w:w="1891" w:type="pct"/>
            <w:shd w:val="clear" w:color="auto" w:fill="auto"/>
            <w:vAlign w:val="center"/>
          </w:tcPr>
          <w:p w:rsidR="00222FCC" w:rsidRDefault="00222FCC">
            <w:pPr>
              <w:spacing w:beforeLines="20" w:before="48" w:afterLines="20" w:after="48"/>
              <w:jc w:val="center"/>
              <w:rPr>
                <w:noProof/>
                <w:sz w:val="16"/>
                <w:szCs w:val="16"/>
              </w:rPr>
            </w:pPr>
          </w:p>
        </w:tc>
        <w:tc>
          <w:tcPr>
            <w:tcW w:w="226" w:type="pct"/>
            <w:gridSpan w:val="2"/>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5" w:type="pct"/>
            <w:shd w:val="clear" w:color="auto" w:fill="auto"/>
            <w:vAlign w:val="center"/>
          </w:tcPr>
          <w:p w:rsidR="00222FCC" w:rsidRDefault="00222FCC">
            <w:pPr>
              <w:spacing w:beforeLines="20" w:before="48" w:afterLines="20" w:after="48"/>
              <w:jc w:val="center"/>
              <w:rPr>
                <w:noProof/>
                <w:sz w:val="16"/>
                <w:szCs w:val="16"/>
              </w:rPr>
            </w:pPr>
          </w:p>
        </w:tc>
        <w:tc>
          <w:tcPr>
            <w:tcW w:w="114" w:type="pct"/>
            <w:shd w:val="clear" w:color="auto" w:fill="auto"/>
            <w:vAlign w:val="center"/>
          </w:tcPr>
          <w:p w:rsidR="00222FCC" w:rsidRDefault="00222FCC">
            <w:pPr>
              <w:spacing w:beforeLines="20" w:before="48" w:afterLines="20" w:after="48"/>
              <w:jc w:val="center"/>
              <w:rPr>
                <w:noProof/>
                <w:sz w:val="16"/>
                <w:szCs w:val="16"/>
              </w:rPr>
            </w:pPr>
          </w:p>
        </w:tc>
      </w:tr>
      <w:tr w:rsidR="00222FCC">
        <w:trPr>
          <w:trHeight w:val="289"/>
          <w:jc w:val="center"/>
        </w:trPr>
        <w:tc>
          <w:tcPr>
            <w:tcW w:w="1897" w:type="pct"/>
            <w:gridSpan w:val="2"/>
            <w:tcBorders>
              <w:bottom w:val="double" w:sz="4" w:space="0" w:color="auto"/>
            </w:tcBorders>
            <w:shd w:val="clear" w:color="auto" w:fill="auto"/>
            <w:vAlign w:val="center"/>
          </w:tcPr>
          <w:p w:rsidR="00222FCC" w:rsidRDefault="00FD122A">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rsidR="00222FCC" w:rsidRDefault="00222FCC">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222FCC" w:rsidRDefault="00222FCC">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222FCC" w:rsidRDefault="00222FCC">
            <w:pPr>
              <w:spacing w:beforeLines="20" w:before="48" w:afterLines="20" w:after="48"/>
              <w:jc w:val="center"/>
              <w:rPr>
                <w:noProof/>
                <w:sz w:val="16"/>
                <w:szCs w:val="16"/>
              </w:rPr>
            </w:pPr>
          </w:p>
        </w:tc>
        <w:tc>
          <w:tcPr>
            <w:tcW w:w="226" w:type="pct"/>
            <w:gridSpan w:val="2"/>
            <w:tcBorders>
              <w:bottom w:val="double" w:sz="4" w:space="0" w:color="auto"/>
            </w:tcBorders>
            <w:shd w:val="clear" w:color="auto" w:fill="auto"/>
            <w:vAlign w:val="center"/>
          </w:tcPr>
          <w:p w:rsidR="00222FCC" w:rsidRDefault="00222FCC">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222FCC" w:rsidRDefault="00222FCC">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222FCC" w:rsidRDefault="00222FCC">
            <w:pPr>
              <w:spacing w:beforeLines="20" w:before="48" w:afterLines="20" w:after="48"/>
              <w:jc w:val="center"/>
              <w:rPr>
                <w:noProof/>
                <w:sz w:val="16"/>
                <w:szCs w:val="16"/>
              </w:rPr>
            </w:pPr>
          </w:p>
        </w:tc>
        <w:tc>
          <w:tcPr>
            <w:tcW w:w="114" w:type="pct"/>
            <w:tcBorders>
              <w:bottom w:val="double" w:sz="4" w:space="0" w:color="auto"/>
            </w:tcBorders>
            <w:shd w:val="clear" w:color="auto" w:fill="auto"/>
            <w:vAlign w:val="center"/>
          </w:tcPr>
          <w:p w:rsidR="00222FCC" w:rsidRDefault="00222FCC">
            <w:pPr>
              <w:spacing w:beforeLines="20" w:before="48" w:afterLines="20" w:after="48"/>
              <w:jc w:val="center"/>
              <w:rPr>
                <w:noProof/>
                <w:sz w:val="16"/>
                <w:szCs w:val="16"/>
              </w:rPr>
            </w:pPr>
          </w:p>
        </w:tc>
      </w:tr>
      <w:tr w:rsidR="00222FCC">
        <w:trPr>
          <w:trHeight w:val="289"/>
          <w:jc w:val="center"/>
        </w:trPr>
        <w:tc>
          <w:tcPr>
            <w:tcW w:w="1897" w:type="pct"/>
            <w:gridSpan w:val="2"/>
            <w:tcBorders>
              <w:top w:val="double" w:sz="4" w:space="0" w:color="auto"/>
            </w:tcBorders>
            <w:shd w:val="clear" w:color="auto" w:fill="auto"/>
            <w:vAlign w:val="center"/>
          </w:tcPr>
          <w:p w:rsidR="00222FCC" w:rsidRDefault="00FD122A">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rsidR="00222FCC" w:rsidRDefault="00FD122A">
            <w:pPr>
              <w:spacing w:beforeLines="20" w:before="48" w:afterLines="20" w:after="48"/>
              <w:jc w:val="center"/>
              <w:rPr>
                <w:b/>
                <w:noProof/>
                <w:sz w:val="16"/>
                <w:szCs w:val="16"/>
              </w:rPr>
            </w:pPr>
            <w:r>
              <w:rPr>
                <w:b/>
                <w:noProof/>
                <w:sz w:val="16"/>
              </w:rPr>
              <w:t>37,5</w:t>
            </w:r>
          </w:p>
        </w:tc>
        <w:tc>
          <w:tcPr>
            <w:tcW w:w="318" w:type="pct"/>
            <w:tcBorders>
              <w:top w:val="double" w:sz="4" w:space="0" w:color="auto"/>
            </w:tcBorders>
            <w:shd w:val="clear" w:color="auto" w:fill="auto"/>
            <w:vAlign w:val="center"/>
          </w:tcPr>
          <w:p w:rsidR="00222FCC" w:rsidRDefault="00FD122A">
            <w:pPr>
              <w:spacing w:beforeLines="20" w:before="48" w:afterLines="20" w:after="48"/>
              <w:jc w:val="center"/>
              <w:rPr>
                <w:b/>
                <w:noProof/>
                <w:sz w:val="16"/>
                <w:szCs w:val="16"/>
              </w:rPr>
            </w:pPr>
            <w:r>
              <w:rPr>
                <w:b/>
                <w:noProof/>
                <w:sz w:val="16"/>
              </w:rPr>
              <w:t>35,5</w:t>
            </w:r>
          </w:p>
        </w:tc>
        <w:tc>
          <w:tcPr>
            <w:tcW w:w="1891" w:type="pct"/>
            <w:tcBorders>
              <w:top w:val="double" w:sz="4" w:space="0" w:color="auto"/>
            </w:tcBorders>
            <w:shd w:val="clear" w:color="auto" w:fill="auto"/>
            <w:vAlign w:val="center"/>
          </w:tcPr>
          <w:p w:rsidR="00222FCC" w:rsidRDefault="00FD122A">
            <w:pPr>
              <w:spacing w:beforeLines="20" w:before="48" w:afterLines="20" w:after="48"/>
              <w:jc w:val="center"/>
              <w:rPr>
                <w:b/>
                <w:noProof/>
                <w:sz w:val="16"/>
                <w:szCs w:val="16"/>
              </w:rPr>
            </w:pPr>
            <w:r>
              <w:rPr>
                <w:b/>
                <w:noProof/>
                <w:sz w:val="16"/>
              </w:rPr>
              <w:t>35</w:t>
            </w:r>
          </w:p>
        </w:tc>
        <w:tc>
          <w:tcPr>
            <w:tcW w:w="226" w:type="pct"/>
            <w:gridSpan w:val="2"/>
            <w:tcBorders>
              <w:top w:val="double" w:sz="4" w:space="0" w:color="auto"/>
            </w:tcBorders>
            <w:shd w:val="clear" w:color="auto" w:fill="auto"/>
            <w:vAlign w:val="center"/>
          </w:tcPr>
          <w:p w:rsidR="00222FCC" w:rsidRDefault="00222FCC">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222FCC" w:rsidRDefault="00222FCC">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222FCC" w:rsidRDefault="00222FCC">
            <w:pPr>
              <w:spacing w:beforeLines="20" w:before="48" w:afterLines="20" w:after="48"/>
              <w:jc w:val="center"/>
              <w:rPr>
                <w:b/>
                <w:noProof/>
                <w:sz w:val="16"/>
                <w:szCs w:val="16"/>
              </w:rPr>
            </w:pPr>
          </w:p>
        </w:tc>
        <w:tc>
          <w:tcPr>
            <w:tcW w:w="114" w:type="pct"/>
            <w:tcBorders>
              <w:top w:val="double" w:sz="4" w:space="0" w:color="auto"/>
            </w:tcBorders>
            <w:shd w:val="clear" w:color="auto" w:fill="auto"/>
            <w:vAlign w:val="center"/>
          </w:tcPr>
          <w:p w:rsidR="00222FCC" w:rsidRDefault="00222FCC">
            <w:pPr>
              <w:spacing w:beforeLines="20" w:before="48" w:afterLines="20" w:after="48"/>
              <w:jc w:val="center"/>
              <w:rPr>
                <w:b/>
                <w:noProof/>
                <w:sz w:val="16"/>
                <w:szCs w:val="16"/>
              </w:rPr>
            </w:pPr>
          </w:p>
        </w:tc>
      </w:tr>
    </w:tbl>
    <w:p w:rsidR="00222FCC" w:rsidRDefault="00FD122A">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rsidR="00222FCC" w:rsidRDefault="00FD122A">
      <w:pPr>
        <w:pStyle w:val="Text1"/>
        <w:rPr>
          <w:noProof/>
          <w:sz w:val="18"/>
          <w:szCs w:val="18"/>
        </w:rPr>
      </w:pPr>
      <w:r>
        <w:rPr>
          <w:noProof/>
          <w:sz w:val="18"/>
        </w:rPr>
        <w:t xml:space="preserve">Нуждите от човешки ресурси ще бъдат покрити от персонала на ГД, на който вече е възложено управлението на </w:t>
      </w:r>
      <w:r>
        <w:rPr>
          <w:noProof/>
          <w:sz w:val="18"/>
        </w:rPr>
        <w:t xml:space="preserve">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w:t>
      </w:r>
      <w:r>
        <w:rPr>
          <w:noProof/>
          <w:sz w:val="18"/>
        </w:rPr>
        <w:t>бюджетните ограничения.</w:t>
      </w:r>
    </w:p>
    <w:p w:rsidR="00222FCC" w:rsidRDefault="00FD122A">
      <w:pPr>
        <w:rPr>
          <w:noProof/>
          <w:sz w:val="20"/>
        </w:rPr>
      </w:pPr>
      <w:r>
        <w:rPr>
          <w:noProof/>
          <w:sz w:val="20"/>
        </w:rPr>
        <w:t>Описание на задачите, които трябва да се изпълнят:</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90"/>
        <w:gridCol w:w="10197"/>
      </w:tblGrid>
      <w:tr w:rsidR="00222FCC">
        <w:tc>
          <w:tcPr>
            <w:tcW w:w="1552" w:type="pct"/>
          </w:tcPr>
          <w:p w:rsidR="00222FCC" w:rsidRDefault="00FD122A">
            <w:pPr>
              <w:rPr>
                <w:noProof/>
                <w:sz w:val="20"/>
              </w:rPr>
            </w:pPr>
            <w:r>
              <w:rPr>
                <w:noProof/>
                <w:sz w:val="20"/>
              </w:rPr>
              <w:t>Длъжностни лица и временно наети служители</w:t>
            </w:r>
          </w:p>
        </w:tc>
        <w:tc>
          <w:tcPr>
            <w:tcW w:w="3448" w:type="pct"/>
          </w:tcPr>
          <w:p w:rsidR="00222FCC" w:rsidRDefault="00FD122A">
            <w:pPr>
              <w:rPr>
                <w:noProof/>
                <w:sz w:val="20"/>
              </w:rPr>
            </w:pPr>
            <w:r>
              <w:rPr>
                <w:noProof/>
                <w:sz w:val="20"/>
              </w:rPr>
              <w:t xml:space="preserve">Управление на програмата </w:t>
            </w:r>
          </w:p>
        </w:tc>
      </w:tr>
      <w:tr w:rsidR="00222FCC">
        <w:tc>
          <w:tcPr>
            <w:tcW w:w="1552" w:type="pct"/>
          </w:tcPr>
          <w:p w:rsidR="00222FCC" w:rsidRDefault="00FD122A">
            <w:pPr>
              <w:spacing w:before="60" w:after="60"/>
              <w:rPr>
                <w:noProof/>
                <w:sz w:val="20"/>
              </w:rPr>
            </w:pPr>
            <w:r>
              <w:rPr>
                <w:noProof/>
                <w:sz w:val="20"/>
              </w:rPr>
              <w:t>Външен персонал</w:t>
            </w:r>
          </w:p>
        </w:tc>
        <w:tc>
          <w:tcPr>
            <w:tcW w:w="3448" w:type="pct"/>
          </w:tcPr>
          <w:p w:rsidR="00222FCC" w:rsidRDefault="00FD122A">
            <w:pPr>
              <w:rPr>
                <w:noProof/>
                <w:sz w:val="20"/>
              </w:rPr>
            </w:pPr>
            <w:r>
              <w:rPr>
                <w:noProof/>
                <w:sz w:val="20"/>
              </w:rPr>
              <w:t>Управление на програмата</w:t>
            </w:r>
          </w:p>
        </w:tc>
      </w:tr>
    </w:tbl>
    <w:p w:rsidR="00222FCC" w:rsidRDefault="00FD122A">
      <w:pPr>
        <w:pStyle w:val="ManualHeading3"/>
        <w:rPr>
          <w:bCs/>
          <w:noProof/>
          <w:szCs w:val="24"/>
        </w:rPr>
      </w:pPr>
      <w:r>
        <w:t>3.2.4.</w:t>
      </w:r>
      <w:r>
        <w:tab/>
      </w:r>
      <w:r>
        <w:rPr>
          <w:noProof/>
        </w:rPr>
        <w:t xml:space="preserve">Съвместимост с настоящата многогодишна финансова рамка </w:t>
      </w:r>
    </w:p>
    <w:p w:rsidR="00222FCC" w:rsidRDefault="00FD122A">
      <w:pPr>
        <w:pStyle w:val="ListDash1"/>
        <w:rPr>
          <w:noProof/>
        </w:rPr>
      </w:pPr>
      <w:r>
        <w:rPr>
          <w:noProof/>
        </w:rPr>
        <w:sym w:font="Wingdings 2" w:char="F054"/>
      </w:r>
      <w:r>
        <w:rPr>
          <w:noProof/>
        </w:rPr>
        <w:tab/>
        <w:t>Пред</w:t>
      </w:r>
      <w:r>
        <w:rPr>
          <w:noProof/>
        </w:rPr>
        <w:t>ложението е съвместимо с настоящата многогодишна финансова рамка и може да наложи използването на специални инструменти съгласно определеното в Регламент (ЕC, Евратом) № 1311/2013 на Съвета.</w:t>
      </w:r>
      <w:r>
        <w:rPr>
          <w:rStyle w:val="FootnoteReference"/>
          <w:noProof/>
        </w:rPr>
        <w:footnoteReference w:id="46"/>
      </w:r>
      <w:r>
        <w:rPr>
          <w:noProof/>
        </w:rPr>
        <w:t>.</w:t>
      </w:r>
    </w:p>
    <w:p w:rsidR="00222FCC" w:rsidRDefault="00FD122A">
      <w:pPr>
        <w:pStyle w:val="ListDash1"/>
        <w:rPr>
          <w:noProof/>
        </w:rPr>
      </w:pPr>
      <w:r>
        <w:rPr>
          <w:noProof/>
        </w:rPr>
        <w:sym w:font="Wingdings" w:char="F0A8"/>
      </w:r>
      <w:r>
        <w:rPr>
          <w:noProof/>
        </w:rPr>
        <w:tab/>
        <w:t>Предложението/инициативата налага препрограмиране на съответн</w:t>
      </w:r>
      <w:r>
        <w:rPr>
          <w:noProof/>
        </w:rPr>
        <w:t>ата функция от многогодишната финансова рамка.</w:t>
      </w:r>
    </w:p>
    <w:p w:rsidR="00222FCC" w:rsidRDefault="00FD122A">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rsidR="00222FCC" w:rsidRDefault="00222FCC">
      <w:pPr>
        <w:pStyle w:val="Text1"/>
        <w:pBdr>
          <w:top w:val="single" w:sz="4" w:space="1" w:color="auto"/>
          <w:left w:val="single" w:sz="4" w:space="4" w:color="auto"/>
          <w:bottom w:val="single" w:sz="4" w:space="1" w:color="auto"/>
          <w:right w:val="single" w:sz="4" w:space="4" w:color="auto"/>
        </w:pBdr>
        <w:rPr>
          <w:noProof/>
        </w:rPr>
      </w:pPr>
    </w:p>
    <w:p w:rsidR="00222FCC" w:rsidRDefault="00FD122A">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w:t>
      </w:r>
      <w:r>
        <w:rPr>
          <w:noProof/>
        </w:rPr>
        <w:t xml:space="preserve"> финансова рамка.</w:t>
      </w:r>
    </w:p>
    <w:p w:rsidR="00222FCC" w:rsidRDefault="00FD122A">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222FCC" w:rsidRDefault="00222FCC">
      <w:pPr>
        <w:pStyle w:val="Text1"/>
        <w:pBdr>
          <w:top w:val="single" w:sz="4" w:space="1" w:color="auto"/>
          <w:left w:val="single" w:sz="4" w:space="4" w:color="auto"/>
          <w:bottom w:val="single" w:sz="4" w:space="1" w:color="auto"/>
          <w:right w:val="single" w:sz="4" w:space="4" w:color="auto"/>
        </w:pBdr>
        <w:rPr>
          <w:noProof/>
        </w:rPr>
      </w:pPr>
    </w:p>
    <w:p w:rsidR="00222FCC" w:rsidRDefault="00FD122A">
      <w:pPr>
        <w:pStyle w:val="ManualHeading3"/>
        <w:rPr>
          <w:bCs/>
          <w:noProof/>
          <w:szCs w:val="24"/>
        </w:rPr>
      </w:pPr>
      <w:r>
        <w:t>3.2.5.</w:t>
      </w:r>
      <w:r>
        <w:tab/>
      </w:r>
      <w:r>
        <w:rPr>
          <w:noProof/>
        </w:rPr>
        <w:t xml:space="preserve">Участие на трети страни във финансирането </w:t>
      </w:r>
    </w:p>
    <w:p w:rsidR="00222FCC" w:rsidRDefault="00FD122A">
      <w:pPr>
        <w:pStyle w:val="ListDash1"/>
        <w:rPr>
          <w:noProof/>
        </w:rPr>
      </w:pPr>
      <w:r>
        <w:rPr>
          <w:noProof/>
        </w:rPr>
        <w:sym w:font="Wingdings" w:char="F0A8"/>
      </w:r>
      <w:r>
        <w:rPr>
          <w:noProof/>
        </w:rPr>
        <w:t xml:space="preserve"> Предложението/инициативата не предвижда съфинансиране от трети страни. </w:t>
      </w:r>
    </w:p>
    <w:p w:rsidR="00222FCC" w:rsidRDefault="00FD122A">
      <w:pPr>
        <w:pStyle w:val="ListDash1"/>
        <w:rPr>
          <w:noProof/>
        </w:rPr>
      </w:pPr>
      <w:r>
        <w:rPr>
          <w:noProof/>
        </w:rPr>
        <w:sym w:font="Wingdings 2" w:char="F054"/>
      </w:r>
      <w:r>
        <w:rPr>
          <w:noProof/>
        </w:rPr>
        <w:t xml:space="preserve"> Предложението/инициатив</w:t>
      </w:r>
      <w:r>
        <w:rPr>
          <w:noProof/>
        </w:rPr>
        <w:t>ата предвижда съфинансиране съгласно следните прогнози</w:t>
      </w:r>
      <w:r>
        <w:rPr>
          <w:rStyle w:val="FootnoteReference"/>
          <w:noProof/>
        </w:rPr>
        <w:footnoteReference w:id="47"/>
      </w:r>
      <w:r>
        <w:rPr>
          <w:noProof/>
        </w:rPr>
        <w:t>:</w:t>
      </w:r>
    </w:p>
    <w:p w:rsidR="00222FCC" w:rsidRDefault="00FD122A">
      <w:pPr>
        <w:jc w:val="right"/>
        <w:rPr>
          <w:noProof/>
          <w:sz w:val="20"/>
        </w:rPr>
      </w:pPr>
      <w:r>
        <w:rPr>
          <w:noProof/>
          <w:sz w:val="20"/>
        </w:rPr>
        <w:t>Бюджетни кредити в млн. EUR (до третия знак след десетичната запетая)</w:t>
      </w:r>
    </w:p>
    <w:tbl>
      <w:tblPr>
        <w:tblW w:w="43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09"/>
        <w:gridCol w:w="1939"/>
        <w:gridCol w:w="1938"/>
        <w:gridCol w:w="1938"/>
        <w:gridCol w:w="2326"/>
      </w:tblGrid>
      <w:tr w:rsidR="00222FCC">
        <w:trPr>
          <w:cantSplit/>
        </w:trPr>
        <w:tc>
          <w:tcPr>
            <w:tcW w:w="1832" w:type="pct"/>
          </w:tcPr>
          <w:p w:rsidR="00222FCC" w:rsidRDefault="00222FCC">
            <w:pPr>
              <w:spacing w:before="60" w:after="60"/>
              <w:rPr>
                <w:noProof/>
                <w:sz w:val="20"/>
              </w:rPr>
            </w:pPr>
          </w:p>
        </w:tc>
        <w:tc>
          <w:tcPr>
            <w:tcW w:w="754" w:type="pct"/>
            <w:vAlign w:val="center"/>
          </w:tcPr>
          <w:p w:rsidR="00222FCC" w:rsidRDefault="00FD122A">
            <w:pPr>
              <w:jc w:val="center"/>
              <w:rPr>
                <w:noProof/>
                <w:sz w:val="20"/>
              </w:rPr>
            </w:pPr>
            <w:r>
              <w:rPr>
                <w:noProof/>
                <w:sz w:val="20"/>
              </w:rPr>
              <w:t>Година</w:t>
            </w:r>
            <w:r>
              <w:rPr>
                <w:noProof/>
                <w:sz w:val="22"/>
              </w:rPr>
              <w:br/>
            </w:r>
            <w:r>
              <w:rPr>
                <w:b/>
                <w:noProof/>
                <w:sz w:val="20"/>
              </w:rPr>
              <w:t>2018</w:t>
            </w:r>
          </w:p>
        </w:tc>
        <w:tc>
          <w:tcPr>
            <w:tcW w:w="754" w:type="pct"/>
            <w:vAlign w:val="center"/>
          </w:tcPr>
          <w:p w:rsidR="00222FCC" w:rsidRDefault="00FD122A">
            <w:pPr>
              <w:jc w:val="center"/>
              <w:rPr>
                <w:noProof/>
                <w:sz w:val="20"/>
              </w:rPr>
            </w:pPr>
            <w:r>
              <w:rPr>
                <w:noProof/>
                <w:sz w:val="20"/>
              </w:rPr>
              <w:t>Година</w:t>
            </w:r>
            <w:r>
              <w:rPr>
                <w:noProof/>
                <w:sz w:val="22"/>
              </w:rPr>
              <w:br/>
            </w:r>
            <w:r>
              <w:rPr>
                <w:b/>
                <w:noProof/>
                <w:sz w:val="20"/>
              </w:rPr>
              <w:t>2019</w:t>
            </w:r>
          </w:p>
        </w:tc>
        <w:tc>
          <w:tcPr>
            <w:tcW w:w="754" w:type="pct"/>
            <w:vAlign w:val="center"/>
          </w:tcPr>
          <w:p w:rsidR="00222FCC" w:rsidRDefault="00FD122A">
            <w:pPr>
              <w:jc w:val="center"/>
              <w:rPr>
                <w:noProof/>
                <w:sz w:val="20"/>
              </w:rPr>
            </w:pPr>
            <w:r>
              <w:rPr>
                <w:noProof/>
                <w:sz w:val="20"/>
              </w:rPr>
              <w:t>Година</w:t>
            </w:r>
            <w:r>
              <w:rPr>
                <w:noProof/>
                <w:sz w:val="22"/>
              </w:rPr>
              <w:br/>
            </w:r>
            <w:r>
              <w:rPr>
                <w:b/>
                <w:noProof/>
                <w:sz w:val="20"/>
              </w:rPr>
              <w:t>2020</w:t>
            </w:r>
          </w:p>
        </w:tc>
        <w:tc>
          <w:tcPr>
            <w:tcW w:w="905" w:type="pct"/>
            <w:vAlign w:val="center"/>
          </w:tcPr>
          <w:p w:rsidR="00222FCC" w:rsidRDefault="00FD122A">
            <w:pPr>
              <w:spacing w:before="60" w:after="60"/>
              <w:jc w:val="center"/>
              <w:rPr>
                <w:noProof/>
                <w:sz w:val="20"/>
              </w:rPr>
            </w:pPr>
            <w:r>
              <w:rPr>
                <w:noProof/>
                <w:sz w:val="20"/>
              </w:rPr>
              <w:t>Общо</w:t>
            </w:r>
          </w:p>
        </w:tc>
      </w:tr>
      <w:tr w:rsidR="00222FCC">
        <w:trPr>
          <w:cantSplit/>
        </w:trPr>
        <w:tc>
          <w:tcPr>
            <w:tcW w:w="1832" w:type="pct"/>
          </w:tcPr>
          <w:p w:rsidR="00222FCC" w:rsidRDefault="00FD122A">
            <w:pPr>
              <w:rPr>
                <w:noProof/>
              </w:rPr>
            </w:pPr>
            <w:r>
              <w:rPr>
                <w:noProof/>
                <w:sz w:val="20"/>
              </w:rPr>
              <w:t>Да се посочи съфинансиращият орган</w:t>
            </w:r>
            <w:r>
              <w:rPr>
                <w:i/>
                <w:noProof/>
                <w:sz w:val="20"/>
              </w:rPr>
              <w:t xml:space="preserve"> </w:t>
            </w:r>
          </w:p>
        </w:tc>
        <w:tc>
          <w:tcPr>
            <w:tcW w:w="754" w:type="pct"/>
            <w:vAlign w:val="center"/>
          </w:tcPr>
          <w:p w:rsidR="00222FCC" w:rsidRDefault="00FD122A">
            <w:pPr>
              <w:spacing w:before="60" w:after="60"/>
              <w:jc w:val="center"/>
              <w:rPr>
                <w:noProof/>
                <w:sz w:val="20"/>
              </w:rPr>
            </w:pPr>
            <w:r>
              <w:rPr>
                <w:noProof/>
                <w:sz w:val="20"/>
              </w:rPr>
              <w:t>p.m.</w:t>
            </w:r>
          </w:p>
        </w:tc>
        <w:tc>
          <w:tcPr>
            <w:tcW w:w="754" w:type="pct"/>
            <w:vAlign w:val="center"/>
          </w:tcPr>
          <w:p w:rsidR="00222FCC" w:rsidRDefault="00FD122A">
            <w:pPr>
              <w:spacing w:before="60" w:after="60"/>
              <w:jc w:val="center"/>
              <w:rPr>
                <w:noProof/>
                <w:sz w:val="20"/>
              </w:rPr>
            </w:pPr>
            <w:r>
              <w:rPr>
                <w:noProof/>
                <w:sz w:val="20"/>
              </w:rPr>
              <w:t>p.m.</w:t>
            </w:r>
          </w:p>
        </w:tc>
        <w:tc>
          <w:tcPr>
            <w:tcW w:w="754" w:type="pct"/>
            <w:vAlign w:val="center"/>
          </w:tcPr>
          <w:p w:rsidR="00222FCC" w:rsidRDefault="00FD122A">
            <w:pPr>
              <w:spacing w:before="60" w:after="60"/>
              <w:jc w:val="center"/>
              <w:rPr>
                <w:noProof/>
                <w:sz w:val="20"/>
              </w:rPr>
            </w:pPr>
            <w:r>
              <w:rPr>
                <w:noProof/>
                <w:sz w:val="20"/>
              </w:rPr>
              <w:t>p.m.</w:t>
            </w:r>
          </w:p>
        </w:tc>
        <w:tc>
          <w:tcPr>
            <w:tcW w:w="905" w:type="pct"/>
            <w:vAlign w:val="center"/>
          </w:tcPr>
          <w:p w:rsidR="00222FCC" w:rsidRDefault="00FD122A">
            <w:pPr>
              <w:spacing w:before="60" w:after="60"/>
              <w:jc w:val="center"/>
              <w:rPr>
                <w:noProof/>
                <w:sz w:val="20"/>
              </w:rPr>
            </w:pPr>
            <w:r>
              <w:rPr>
                <w:noProof/>
                <w:sz w:val="20"/>
              </w:rPr>
              <w:t>p.m.</w:t>
            </w:r>
          </w:p>
        </w:tc>
      </w:tr>
      <w:tr w:rsidR="00222FCC">
        <w:trPr>
          <w:cantSplit/>
        </w:trPr>
        <w:tc>
          <w:tcPr>
            <w:tcW w:w="1832" w:type="pct"/>
          </w:tcPr>
          <w:p w:rsidR="00222FCC" w:rsidRDefault="00FD122A">
            <w:pPr>
              <w:spacing w:before="60" w:after="60"/>
              <w:jc w:val="left"/>
              <w:rPr>
                <w:noProof/>
                <w:sz w:val="20"/>
              </w:rPr>
            </w:pPr>
            <w:r>
              <w:rPr>
                <w:noProof/>
                <w:sz w:val="20"/>
              </w:rPr>
              <w:t xml:space="preserve">ОБЩО съфинансирани бюджетни кредити </w:t>
            </w:r>
          </w:p>
        </w:tc>
        <w:tc>
          <w:tcPr>
            <w:tcW w:w="754" w:type="pct"/>
            <w:vAlign w:val="center"/>
          </w:tcPr>
          <w:p w:rsidR="00222FCC" w:rsidRDefault="00FD122A">
            <w:pPr>
              <w:spacing w:before="60" w:after="60"/>
              <w:jc w:val="center"/>
              <w:rPr>
                <w:noProof/>
                <w:sz w:val="20"/>
              </w:rPr>
            </w:pPr>
            <w:r>
              <w:rPr>
                <w:noProof/>
                <w:sz w:val="20"/>
              </w:rPr>
              <w:t>p.m.</w:t>
            </w:r>
          </w:p>
        </w:tc>
        <w:tc>
          <w:tcPr>
            <w:tcW w:w="754" w:type="pct"/>
            <w:vAlign w:val="center"/>
          </w:tcPr>
          <w:p w:rsidR="00222FCC" w:rsidRDefault="00FD122A">
            <w:pPr>
              <w:spacing w:before="60" w:after="60"/>
              <w:jc w:val="center"/>
              <w:rPr>
                <w:noProof/>
                <w:sz w:val="20"/>
              </w:rPr>
            </w:pPr>
            <w:r>
              <w:rPr>
                <w:noProof/>
                <w:sz w:val="20"/>
              </w:rPr>
              <w:t>p.m.</w:t>
            </w:r>
          </w:p>
        </w:tc>
        <w:tc>
          <w:tcPr>
            <w:tcW w:w="754" w:type="pct"/>
            <w:vAlign w:val="center"/>
          </w:tcPr>
          <w:p w:rsidR="00222FCC" w:rsidRDefault="00FD122A">
            <w:pPr>
              <w:spacing w:before="60" w:after="60"/>
              <w:jc w:val="center"/>
              <w:rPr>
                <w:noProof/>
                <w:sz w:val="20"/>
              </w:rPr>
            </w:pPr>
            <w:r>
              <w:rPr>
                <w:noProof/>
                <w:sz w:val="20"/>
              </w:rPr>
              <w:t>p.m.</w:t>
            </w:r>
          </w:p>
        </w:tc>
        <w:tc>
          <w:tcPr>
            <w:tcW w:w="905" w:type="pct"/>
            <w:vAlign w:val="center"/>
          </w:tcPr>
          <w:p w:rsidR="00222FCC" w:rsidRDefault="00FD122A">
            <w:pPr>
              <w:spacing w:before="60" w:after="60"/>
              <w:jc w:val="center"/>
              <w:rPr>
                <w:noProof/>
                <w:sz w:val="20"/>
              </w:rPr>
            </w:pPr>
            <w:r>
              <w:rPr>
                <w:noProof/>
                <w:sz w:val="20"/>
              </w:rPr>
              <w:t>p.m.</w:t>
            </w:r>
          </w:p>
        </w:tc>
      </w:tr>
    </w:tbl>
    <w:p w:rsidR="00222FCC" w:rsidRDefault="00FD122A">
      <w:pPr>
        <w:rPr>
          <w:bCs/>
          <w:noProof/>
          <w:szCs w:val="24"/>
        </w:rPr>
      </w:pPr>
      <w:r>
        <w:rPr>
          <w:noProof/>
        </w:rPr>
        <w:br/>
        <w:t xml:space="preserve">Очаквано отражение върху приходите </w:t>
      </w:r>
    </w:p>
    <w:p w:rsidR="00222FCC" w:rsidRDefault="00FD122A">
      <w:pPr>
        <w:pStyle w:val="ListDash1"/>
        <w:rPr>
          <w:noProof/>
        </w:rPr>
      </w:pPr>
      <w:r>
        <w:rPr>
          <w:noProof/>
        </w:rPr>
        <w:sym w:font="Wingdings" w:char="F078"/>
      </w:r>
      <w:r>
        <w:rPr>
          <w:noProof/>
        </w:rPr>
        <w:tab/>
        <w:t>Предложението/инициативата няма финансово отражение върху приходите.</w:t>
      </w:r>
    </w:p>
    <w:p w:rsidR="00222FCC" w:rsidRDefault="00FD122A">
      <w:pPr>
        <w:pStyle w:val="ListDash1"/>
        <w:rPr>
          <w:noProof/>
        </w:rPr>
      </w:pPr>
      <w:r>
        <w:rPr>
          <w:noProof/>
        </w:rPr>
        <w:sym w:font="Wingdings" w:char="F0A8"/>
      </w:r>
      <w:r>
        <w:rPr>
          <w:noProof/>
        </w:rPr>
        <w:tab/>
        <w:t>Предложението/инициативата има следното финансово отражение:</w:t>
      </w:r>
    </w:p>
    <w:p w:rsidR="00222FCC" w:rsidRDefault="00FD122A">
      <w:pPr>
        <w:pStyle w:val="Tiret2"/>
        <w:numPr>
          <w:ilvl w:val="0"/>
          <w:numId w:val="35"/>
        </w:numPr>
        <w:rPr>
          <w:noProof/>
        </w:rPr>
      </w:pPr>
      <w:r>
        <w:rPr>
          <w:noProof/>
        </w:rPr>
        <w:sym w:font="Wingdings" w:char="F0A8"/>
      </w:r>
      <w:r>
        <w:rPr>
          <w:noProof/>
        </w:rPr>
        <w:tab/>
      </w:r>
      <w:r>
        <w:rPr>
          <w:noProof/>
        </w:rPr>
        <w:t xml:space="preserve">върху собствените ресурси </w:t>
      </w:r>
    </w:p>
    <w:p w:rsidR="00222FCC" w:rsidRDefault="00FD122A">
      <w:pPr>
        <w:pStyle w:val="Tiret2"/>
        <w:rPr>
          <w:noProof/>
        </w:rPr>
      </w:pPr>
      <w:r>
        <w:rPr>
          <w:noProof/>
        </w:rPr>
        <w:sym w:font="Wingdings" w:char="F0A8"/>
      </w:r>
      <w:r>
        <w:rPr>
          <w:noProof/>
        </w:rPr>
        <w:tab/>
        <w:t xml:space="preserve">върху разните приходи </w:t>
      </w:r>
    </w:p>
    <w:p w:rsidR="00222FCC" w:rsidRDefault="00FD122A">
      <w:pPr>
        <w:jc w:val="right"/>
        <w:rPr>
          <w:i/>
          <w:noProof/>
          <w:sz w:val="20"/>
        </w:rPr>
      </w:pPr>
      <w:r>
        <w:rPr>
          <w:noProof/>
        </w:rPr>
        <w:t>млн. EUR (до третия знак след десетичната запетая)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778"/>
        <w:gridCol w:w="1502"/>
        <w:gridCol w:w="1254"/>
        <w:gridCol w:w="1254"/>
        <w:gridCol w:w="1502"/>
        <w:gridCol w:w="1502"/>
        <w:gridCol w:w="1502"/>
        <w:gridCol w:w="1508"/>
      </w:tblGrid>
      <w:tr w:rsidR="00222FCC">
        <w:trPr>
          <w:trHeight w:val="388"/>
        </w:trPr>
        <w:tc>
          <w:tcPr>
            <w:tcW w:w="1009" w:type="pct"/>
            <w:vMerge w:val="restart"/>
            <w:vAlign w:val="center"/>
          </w:tcPr>
          <w:p w:rsidR="00222FCC" w:rsidRDefault="00FD122A">
            <w:pPr>
              <w:spacing w:before="40" w:after="40"/>
              <w:rPr>
                <w:noProof/>
                <w:sz w:val="18"/>
              </w:rPr>
            </w:pPr>
            <w:r>
              <w:rPr>
                <w:noProof/>
                <w:sz w:val="18"/>
              </w:rPr>
              <w:t>Приходен бюджетен ред:</w:t>
            </w:r>
          </w:p>
        </w:tc>
        <w:tc>
          <w:tcPr>
            <w:tcW w:w="601" w:type="pct"/>
            <w:vMerge w:val="restart"/>
            <w:vAlign w:val="center"/>
          </w:tcPr>
          <w:p w:rsidR="00222FCC" w:rsidRDefault="00FD122A">
            <w:pPr>
              <w:jc w:val="center"/>
              <w:rPr>
                <w:noProof/>
                <w:sz w:val="18"/>
              </w:rPr>
            </w:pPr>
            <w:r>
              <w:rPr>
                <w:noProof/>
                <w:sz w:val="18"/>
              </w:rPr>
              <w:t>Налични бюджетни кредити за текущата финансова година</w:t>
            </w:r>
          </w:p>
        </w:tc>
        <w:tc>
          <w:tcPr>
            <w:tcW w:w="3390" w:type="pct"/>
            <w:gridSpan w:val="7"/>
            <w:vAlign w:val="center"/>
          </w:tcPr>
          <w:p w:rsidR="00222FCC" w:rsidRDefault="00FD122A">
            <w:pPr>
              <w:jc w:val="center"/>
              <w:rPr>
                <w:noProof/>
                <w:sz w:val="18"/>
              </w:rPr>
            </w:pPr>
            <w:r>
              <w:rPr>
                <w:noProof/>
                <w:sz w:val="18"/>
              </w:rPr>
              <w:t>Отражение на предложението/инициативата</w:t>
            </w:r>
            <w:r>
              <w:rPr>
                <w:rStyle w:val="FootnoteReference"/>
                <w:noProof/>
                <w:sz w:val="18"/>
              </w:rPr>
              <w:footnoteReference w:id="48"/>
            </w:r>
          </w:p>
        </w:tc>
      </w:tr>
      <w:tr w:rsidR="00222FCC">
        <w:trPr>
          <w:trHeight w:val="388"/>
        </w:trPr>
        <w:tc>
          <w:tcPr>
            <w:tcW w:w="1009" w:type="pct"/>
            <w:vMerge/>
          </w:tcPr>
          <w:p w:rsidR="00222FCC" w:rsidRDefault="00222FCC">
            <w:pPr>
              <w:spacing w:before="40" w:after="40"/>
              <w:rPr>
                <w:noProof/>
                <w:sz w:val="18"/>
              </w:rPr>
            </w:pPr>
          </w:p>
        </w:tc>
        <w:tc>
          <w:tcPr>
            <w:tcW w:w="601" w:type="pct"/>
            <w:vMerge/>
          </w:tcPr>
          <w:p w:rsidR="00222FCC" w:rsidRDefault="00222FCC">
            <w:pPr>
              <w:spacing w:beforeLines="40" w:before="96" w:afterLines="40" w:after="96"/>
              <w:rPr>
                <w:i/>
                <w:noProof/>
                <w:sz w:val="18"/>
              </w:rPr>
            </w:pPr>
          </w:p>
        </w:tc>
        <w:tc>
          <w:tcPr>
            <w:tcW w:w="508" w:type="pct"/>
            <w:vAlign w:val="center"/>
          </w:tcPr>
          <w:p w:rsidR="00222FCC" w:rsidRDefault="00FD122A">
            <w:pPr>
              <w:jc w:val="center"/>
              <w:rPr>
                <w:noProof/>
                <w:sz w:val="18"/>
              </w:rPr>
            </w:pPr>
            <w:r>
              <w:rPr>
                <w:noProof/>
                <w:sz w:val="18"/>
              </w:rPr>
              <w:t>Година</w:t>
            </w:r>
            <w:r>
              <w:rPr>
                <w:noProof/>
                <w:sz w:val="22"/>
              </w:rPr>
              <w:br/>
            </w:r>
            <w:r>
              <w:rPr>
                <w:b/>
                <w:noProof/>
                <w:sz w:val="18"/>
              </w:rPr>
              <w:t>2018</w:t>
            </w:r>
          </w:p>
        </w:tc>
        <w:tc>
          <w:tcPr>
            <w:tcW w:w="424" w:type="pct"/>
            <w:vAlign w:val="center"/>
          </w:tcPr>
          <w:p w:rsidR="00222FCC" w:rsidRDefault="00FD122A">
            <w:pPr>
              <w:jc w:val="center"/>
              <w:rPr>
                <w:noProof/>
                <w:sz w:val="18"/>
              </w:rPr>
            </w:pPr>
            <w:r>
              <w:rPr>
                <w:noProof/>
                <w:sz w:val="18"/>
              </w:rPr>
              <w:t>Година</w:t>
            </w:r>
            <w:r>
              <w:rPr>
                <w:noProof/>
                <w:sz w:val="22"/>
              </w:rPr>
              <w:br/>
            </w:r>
            <w:r>
              <w:rPr>
                <w:b/>
                <w:noProof/>
                <w:sz w:val="18"/>
              </w:rPr>
              <w:t>2019</w:t>
            </w:r>
          </w:p>
        </w:tc>
        <w:tc>
          <w:tcPr>
            <w:tcW w:w="424" w:type="pct"/>
            <w:vAlign w:val="center"/>
          </w:tcPr>
          <w:p w:rsidR="00222FCC" w:rsidRDefault="00FD122A">
            <w:pPr>
              <w:jc w:val="center"/>
              <w:rPr>
                <w:noProof/>
                <w:sz w:val="18"/>
              </w:rPr>
            </w:pPr>
            <w:r>
              <w:rPr>
                <w:noProof/>
                <w:sz w:val="18"/>
              </w:rPr>
              <w:t>Година</w:t>
            </w:r>
            <w:r>
              <w:rPr>
                <w:noProof/>
                <w:sz w:val="22"/>
              </w:rPr>
              <w:br/>
            </w:r>
            <w:r>
              <w:rPr>
                <w:b/>
                <w:noProof/>
                <w:sz w:val="18"/>
              </w:rPr>
              <w:t>2020</w:t>
            </w:r>
          </w:p>
        </w:tc>
        <w:tc>
          <w:tcPr>
            <w:tcW w:w="508" w:type="pct"/>
            <w:vAlign w:val="center"/>
          </w:tcPr>
          <w:p w:rsidR="00222FCC" w:rsidRDefault="00222FCC">
            <w:pPr>
              <w:jc w:val="center"/>
              <w:rPr>
                <w:noProof/>
                <w:sz w:val="18"/>
              </w:rPr>
            </w:pPr>
          </w:p>
        </w:tc>
        <w:tc>
          <w:tcPr>
            <w:tcW w:w="1525" w:type="pct"/>
            <w:gridSpan w:val="3"/>
            <w:vAlign w:val="center"/>
          </w:tcPr>
          <w:p w:rsidR="00222FCC" w:rsidRDefault="00FD122A">
            <w:pPr>
              <w:jc w:val="center"/>
              <w:rPr>
                <w:b/>
                <w:noProof/>
                <w:sz w:val="18"/>
              </w:rPr>
            </w:pPr>
            <w:r>
              <w:rPr>
                <w:noProof/>
                <w:sz w:val="18"/>
              </w:rPr>
              <w:t xml:space="preserve"> </w:t>
            </w:r>
          </w:p>
        </w:tc>
      </w:tr>
      <w:tr w:rsidR="00222FCC">
        <w:trPr>
          <w:trHeight w:val="388"/>
        </w:trPr>
        <w:tc>
          <w:tcPr>
            <w:tcW w:w="1009" w:type="pct"/>
            <w:vAlign w:val="center"/>
          </w:tcPr>
          <w:p w:rsidR="00222FCC" w:rsidRDefault="00FD122A">
            <w:pPr>
              <w:spacing w:before="40" w:after="40"/>
              <w:rPr>
                <w:noProof/>
                <w:sz w:val="18"/>
              </w:rPr>
            </w:pPr>
            <w:r>
              <w:rPr>
                <w:noProof/>
                <w:sz w:val="18"/>
              </w:rPr>
              <w:t>Член ...............</w:t>
            </w:r>
          </w:p>
        </w:tc>
        <w:tc>
          <w:tcPr>
            <w:tcW w:w="601" w:type="pct"/>
          </w:tcPr>
          <w:p w:rsidR="00222FCC" w:rsidRDefault="00222FCC">
            <w:pPr>
              <w:spacing w:beforeLines="40" w:before="96" w:afterLines="40" w:after="96"/>
              <w:jc w:val="center"/>
              <w:rPr>
                <w:i/>
                <w:noProof/>
                <w:sz w:val="18"/>
              </w:rPr>
            </w:pPr>
          </w:p>
        </w:tc>
        <w:tc>
          <w:tcPr>
            <w:tcW w:w="508" w:type="pct"/>
          </w:tcPr>
          <w:p w:rsidR="00222FCC" w:rsidRDefault="00222FCC">
            <w:pPr>
              <w:spacing w:beforeLines="40" w:before="96" w:afterLines="40" w:after="96"/>
              <w:jc w:val="center"/>
              <w:rPr>
                <w:noProof/>
                <w:sz w:val="18"/>
              </w:rPr>
            </w:pPr>
          </w:p>
        </w:tc>
        <w:tc>
          <w:tcPr>
            <w:tcW w:w="424" w:type="pct"/>
          </w:tcPr>
          <w:p w:rsidR="00222FCC" w:rsidRDefault="00222FCC">
            <w:pPr>
              <w:spacing w:beforeLines="40" w:before="96" w:afterLines="40" w:after="96"/>
              <w:jc w:val="center"/>
              <w:rPr>
                <w:noProof/>
                <w:sz w:val="18"/>
              </w:rPr>
            </w:pPr>
          </w:p>
        </w:tc>
        <w:tc>
          <w:tcPr>
            <w:tcW w:w="424" w:type="pct"/>
          </w:tcPr>
          <w:p w:rsidR="00222FCC" w:rsidRDefault="00222FCC">
            <w:pPr>
              <w:spacing w:beforeLines="40" w:before="96" w:afterLines="40" w:after="96"/>
              <w:jc w:val="center"/>
              <w:rPr>
                <w:noProof/>
                <w:sz w:val="18"/>
              </w:rPr>
            </w:pPr>
          </w:p>
        </w:tc>
        <w:tc>
          <w:tcPr>
            <w:tcW w:w="508" w:type="pct"/>
          </w:tcPr>
          <w:p w:rsidR="00222FCC" w:rsidRDefault="00222FCC">
            <w:pPr>
              <w:spacing w:beforeLines="40" w:before="96" w:afterLines="40" w:after="96"/>
              <w:jc w:val="center"/>
              <w:rPr>
                <w:noProof/>
                <w:sz w:val="18"/>
              </w:rPr>
            </w:pPr>
          </w:p>
        </w:tc>
        <w:tc>
          <w:tcPr>
            <w:tcW w:w="508" w:type="pct"/>
          </w:tcPr>
          <w:p w:rsidR="00222FCC" w:rsidRDefault="00222FCC">
            <w:pPr>
              <w:spacing w:beforeLines="40" w:before="96" w:afterLines="40" w:after="96"/>
              <w:jc w:val="center"/>
              <w:rPr>
                <w:noProof/>
                <w:sz w:val="18"/>
              </w:rPr>
            </w:pPr>
          </w:p>
        </w:tc>
        <w:tc>
          <w:tcPr>
            <w:tcW w:w="508" w:type="pct"/>
          </w:tcPr>
          <w:p w:rsidR="00222FCC" w:rsidRDefault="00222FCC">
            <w:pPr>
              <w:spacing w:beforeLines="40" w:before="96" w:afterLines="40" w:after="96"/>
              <w:jc w:val="center"/>
              <w:rPr>
                <w:noProof/>
                <w:sz w:val="18"/>
              </w:rPr>
            </w:pPr>
          </w:p>
        </w:tc>
        <w:tc>
          <w:tcPr>
            <w:tcW w:w="508" w:type="pct"/>
          </w:tcPr>
          <w:p w:rsidR="00222FCC" w:rsidRDefault="00222FCC">
            <w:pPr>
              <w:spacing w:beforeLines="40" w:before="96" w:afterLines="40" w:after="96"/>
              <w:jc w:val="center"/>
              <w:rPr>
                <w:noProof/>
                <w:sz w:val="18"/>
              </w:rPr>
            </w:pPr>
          </w:p>
        </w:tc>
      </w:tr>
    </w:tbl>
    <w:p w:rsidR="00222FCC" w:rsidRDefault="00FD122A">
      <w:pPr>
        <w:pStyle w:val="Text1"/>
        <w:rPr>
          <w:noProof/>
          <w:sz w:val="20"/>
        </w:rPr>
      </w:pPr>
      <w:r>
        <w:rPr>
          <w:noProof/>
          <w:sz w:val="20"/>
        </w:rPr>
        <w:t>За разните „целеви“ приходи да се посочат съответните разходни бюджетни редове.</w:t>
      </w:r>
    </w:p>
    <w:p w:rsidR="00222FCC" w:rsidRDefault="00222FCC">
      <w:pPr>
        <w:pStyle w:val="Text1"/>
        <w:pBdr>
          <w:top w:val="single" w:sz="4" w:space="1" w:color="auto"/>
          <w:left w:val="single" w:sz="4" w:space="4" w:color="auto"/>
          <w:bottom w:val="single" w:sz="4" w:space="1" w:color="auto"/>
          <w:right w:val="single" w:sz="4" w:space="4" w:color="auto"/>
        </w:pBdr>
        <w:rPr>
          <w:noProof/>
        </w:rPr>
      </w:pPr>
    </w:p>
    <w:p w:rsidR="00222FCC" w:rsidRDefault="00FD122A">
      <w:pPr>
        <w:pStyle w:val="Text1"/>
        <w:rPr>
          <w:noProof/>
          <w:sz w:val="20"/>
        </w:rPr>
      </w:pPr>
      <w:r>
        <w:rPr>
          <w:noProof/>
          <w:sz w:val="20"/>
        </w:rPr>
        <w:t>Да се посочи методът за изчисляване на отражението върху приходите.</w:t>
      </w:r>
    </w:p>
    <w:p w:rsidR="00222FCC" w:rsidRDefault="00222FCC">
      <w:pPr>
        <w:pStyle w:val="Text1"/>
        <w:pBdr>
          <w:top w:val="single" w:sz="4" w:space="1" w:color="auto"/>
          <w:left w:val="single" w:sz="4" w:space="4" w:color="auto"/>
          <w:bottom w:val="single" w:sz="4" w:space="1" w:color="auto"/>
          <w:right w:val="single" w:sz="4" w:space="4" w:color="auto"/>
        </w:pBdr>
        <w:rPr>
          <w:noProof/>
        </w:rPr>
      </w:pPr>
    </w:p>
    <w:p w:rsidR="00222FCC" w:rsidRDefault="00222FCC">
      <w:pPr>
        <w:rPr>
          <w:noProof/>
        </w:rPr>
      </w:pPr>
      <w:bookmarkStart w:id="0" w:name="_GoBack"/>
      <w:bookmarkEnd w:id="0"/>
    </w:p>
    <w:sectPr w:rsidR="00222FCC">
      <w:pgSz w:w="16839" w:h="11907" w:orient="landscape"/>
      <w:pgMar w:top="1134"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CC" w:rsidRDefault="00FD122A">
      <w:pPr>
        <w:spacing w:before="0" w:after="0"/>
      </w:pPr>
      <w:r>
        <w:separator/>
      </w:r>
    </w:p>
  </w:endnote>
  <w:endnote w:type="continuationSeparator" w:id="0">
    <w:p w:rsidR="00222FCC" w:rsidRDefault="00FD122A">
      <w:pPr>
        <w:spacing w:before="0" w:after="0"/>
      </w:pPr>
      <w:r>
        <w:continuationSeparator/>
      </w:r>
    </w:p>
  </w:endnote>
  <w:endnote w:type="continuationNotice" w:id="1">
    <w:p w:rsidR="00222FCC" w:rsidRDefault="00222F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CC" w:rsidRDefault="00FD122A">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CC" w:rsidRDefault="00FD122A">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CC" w:rsidRDefault="00222F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CC" w:rsidRDefault="00FD122A" w:rsidP="00FD122A">
    <w:pPr>
      <w:pStyle w:val="FooterLandscape"/>
      <w:spacing w:before="0"/>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CC" w:rsidRDefault="00222FCC">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CC" w:rsidRDefault="00FD122A">
      <w:pPr>
        <w:spacing w:before="0" w:after="0"/>
      </w:pPr>
      <w:r>
        <w:separator/>
      </w:r>
    </w:p>
  </w:footnote>
  <w:footnote w:type="continuationSeparator" w:id="0">
    <w:p w:rsidR="00222FCC" w:rsidRDefault="00FD122A">
      <w:pPr>
        <w:spacing w:before="0" w:after="0"/>
      </w:pPr>
      <w:r>
        <w:continuationSeparator/>
      </w:r>
    </w:p>
  </w:footnote>
  <w:footnote w:type="continuationNotice" w:id="1">
    <w:p w:rsidR="00222FCC" w:rsidRDefault="00222FCC">
      <w:pPr>
        <w:spacing w:before="0" w:after="0"/>
      </w:pPr>
    </w:p>
  </w:footnote>
  <w:footnote w:id="2">
    <w:p w:rsidR="00222FCC" w:rsidRDefault="00FD122A">
      <w:pPr>
        <w:pStyle w:val="FootnoteText"/>
        <w:rPr>
          <w:lang w:val="it-IT"/>
        </w:rPr>
      </w:pPr>
      <w:r>
        <w:rPr>
          <w:rStyle w:val="FootnoteReference"/>
        </w:rPr>
        <w:footnoteRef/>
      </w:r>
      <w:r>
        <w:tab/>
      </w:r>
      <w:r>
        <w:t>http://www.consilium.europa.eu/bg/press/press-releases/2017/03/25-rome-declaration/</w:t>
      </w:r>
    </w:p>
  </w:footnote>
  <w:footnote w:id="3">
    <w:p w:rsidR="00222FCC" w:rsidRDefault="00FD122A">
      <w:pPr>
        <w:pStyle w:val="FootnoteText"/>
        <w:rPr>
          <w:lang w:val="it-IT"/>
        </w:rPr>
      </w:pPr>
      <w:r>
        <w:rPr>
          <w:rStyle w:val="FootnoteReference"/>
        </w:rPr>
        <w:footnoteRef/>
      </w:r>
      <w:r>
        <w:rPr>
          <w:lang w:val="it-IT"/>
        </w:rPr>
        <w:tab/>
      </w:r>
      <w:r>
        <w:t>Европейска</w:t>
      </w:r>
      <w:r>
        <w:rPr>
          <w:lang w:val="it-IT"/>
        </w:rPr>
        <w:t xml:space="preserve"> </w:t>
      </w:r>
      <w:r>
        <w:t>комисия</w:t>
      </w:r>
      <w:r>
        <w:rPr>
          <w:lang w:val="it-IT"/>
        </w:rPr>
        <w:t> (2016 </w:t>
      </w:r>
      <w:r>
        <w:t>г</w:t>
      </w:r>
      <w:r>
        <w:rPr>
          <w:lang w:val="it-IT"/>
        </w:rPr>
        <w:t xml:space="preserve">.), </w:t>
      </w:r>
      <w:r>
        <w:t>Европейски</w:t>
      </w:r>
      <w:r>
        <w:rPr>
          <w:lang w:val="it-IT"/>
        </w:rPr>
        <w:t xml:space="preserve"> </w:t>
      </w:r>
      <w:r>
        <w:t>корпус</w:t>
      </w:r>
      <w:r>
        <w:rPr>
          <w:lang w:val="it-IT"/>
        </w:rPr>
        <w:t xml:space="preserve"> </w:t>
      </w:r>
      <w:r>
        <w:t>за</w:t>
      </w:r>
      <w:r>
        <w:rPr>
          <w:lang w:val="it-IT"/>
        </w:rPr>
        <w:t xml:space="preserve"> </w:t>
      </w:r>
      <w:r>
        <w:t>солидарност</w:t>
      </w:r>
      <w:r>
        <w:rPr>
          <w:lang w:val="it-IT"/>
        </w:rPr>
        <w:t xml:space="preserve">, </w:t>
      </w:r>
      <w:r>
        <w:t>Съобщение</w:t>
      </w:r>
      <w:r>
        <w:rPr>
          <w:lang w:val="it-IT"/>
        </w:rPr>
        <w:t xml:space="preserve"> </w:t>
      </w:r>
      <w:r>
        <w:t>на</w:t>
      </w:r>
      <w:r>
        <w:rPr>
          <w:lang w:val="it-IT"/>
        </w:rPr>
        <w:t xml:space="preserve"> </w:t>
      </w:r>
      <w:r>
        <w:t>Комисията</w:t>
      </w:r>
      <w:r>
        <w:rPr>
          <w:lang w:val="it-IT"/>
        </w:rPr>
        <w:t xml:space="preserve"> </w:t>
      </w:r>
      <w:r>
        <w:t>до</w:t>
      </w:r>
      <w:r>
        <w:rPr>
          <w:lang w:val="it-IT"/>
        </w:rPr>
        <w:t xml:space="preserve"> </w:t>
      </w:r>
      <w:r>
        <w:t>Европейския</w:t>
      </w:r>
      <w:r>
        <w:rPr>
          <w:lang w:val="it-IT"/>
        </w:rPr>
        <w:t xml:space="preserve"> </w:t>
      </w:r>
      <w:r>
        <w:t>парламент</w:t>
      </w:r>
      <w:r>
        <w:rPr>
          <w:lang w:val="it-IT"/>
        </w:rPr>
        <w:t xml:space="preserve">, </w:t>
      </w:r>
      <w:r>
        <w:t>Съвета</w:t>
      </w:r>
      <w:r>
        <w:rPr>
          <w:lang w:val="it-IT"/>
        </w:rPr>
        <w:t xml:space="preserve">, </w:t>
      </w:r>
      <w:r>
        <w:t>Европейския</w:t>
      </w:r>
      <w:r>
        <w:rPr>
          <w:lang w:val="it-IT"/>
        </w:rPr>
        <w:t xml:space="preserve"> </w:t>
      </w:r>
      <w:r>
        <w:t>икономически</w:t>
      </w:r>
      <w:r>
        <w:rPr>
          <w:lang w:val="it-IT"/>
        </w:rPr>
        <w:t xml:space="preserve"> </w:t>
      </w:r>
      <w:r>
        <w:t>и</w:t>
      </w:r>
      <w:r>
        <w:rPr>
          <w:lang w:val="it-IT"/>
        </w:rPr>
        <w:t xml:space="preserve"> </w:t>
      </w:r>
      <w:r>
        <w:t>социален</w:t>
      </w:r>
      <w:r>
        <w:rPr>
          <w:lang w:val="it-IT"/>
        </w:rPr>
        <w:t xml:space="preserve"> </w:t>
      </w:r>
      <w:r>
        <w:t>комитет</w:t>
      </w:r>
      <w:r>
        <w:rPr>
          <w:lang w:val="it-IT"/>
        </w:rPr>
        <w:t xml:space="preserve"> </w:t>
      </w:r>
      <w:r>
        <w:t>и</w:t>
      </w:r>
      <w:r>
        <w:rPr>
          <w:lang w:val="it-IT"/>
        </w:rPr>
        <w:t xml:space="preserve"> </w:t>
      </w:r>
      <w:r>
        <w:t>Комитета</w:t>
      </w:r>
      <w:r>
        <w:rPr>
          <w:lang w:val="it-IT"/>
        </w:rPr>
        <w:t xml:space="preserve"> </w:t>
      </w:r>
      <w:r>
        <w:t>на</w:t>
      </w:r>
      <w:r>
        <w:rPr>
          <w:lang w:val="it-IT"/>
        </w:rPr>
        <w:t xml:space="preserve"> </w:t>
      </w:r>
      <w:r>
        <w:t>регионите</w:t>
      </w:r>
      <w:r>
        <w:rPr>
          <w:lang w:val="it-IT"/>
        </w:rPr>
        <w:t xml:space="preserve">, COM(2016) 942 </w:t>
      </w:r>
      <w:proofErr w:type="spellStart"/>
      <w:r>
        <w:rPr>
          <w:lang w:val="it-IT"/>
        </w:rPr>
        <w:t>final</w:t>
      </w:r>
      <w:proofErr w:type="spellEnd"/>
      <w:r>
        <w:rPr>
          <w:lang w:val="it-IT"/>
        </w:rPr>
        <w:t>, 7.12.2016 </w:t>
      </w:r>
      <w:r>
        <w:t>г</w:t>
      </w:r>
      <w:r>
        <w:rPr>
          <w:lang w:val="it-IT"/>
        </w:rPr>
        <w:t>.</w:t>
      </w:r>
    </w:p>
  </w:footnote>
  <w:footnote w:id="4">
    <w:p w:rsidR="00222FCC" w:rsidRDefault="00FD122A">
      <w:pPr>
        <w:pStyle w:val="FootnoteText"/>
        <w:rPr>
          <w:lang w:val="it-IT"/>
        </w:rPr>
      </w:pPr>
      <w:r>
        <w:rPr>
          <w:rStyle w:val="FootnoteReference"/>
        </w:rPr>
        <w:footnoteRef/>
      </w:r>
      <w:r>
        <w:rPr>
          <w:lang w:val="it-IT"/>
        </w:rPr>
        <w:tab/>
      </w:r>
      <w:r>
        <w:t>Програмата</w:t>
      </w:r>
      <w:r>
        <w:rPr>
          <w:lang w:val="it-IT"/>
        </w:rPr>
        <w:t xml:space="preserve"> „</w:t>
      </w:r>
      <w:r>
        <w:t>Еразъм</w:t>
      </w:r>
      <w:r>
        <w:rPr>
          <w:lang w:val="it-IT"/>
        </w:rPr>
        <w:t xml:space="preserve">+“, </w:t>
      </w:r>
      <w:r>
        <w:t>Програмата</w:t>
      </w:r>
      <w:r>
        <w:rPr>
          <w:lang w:val="it-IT"/>
        </w:rPr>
        <w:t xml:space="preserve"> </w:t>
      </w:r>
      <w:r>
        <w:t>за</w:t>
      </w:r>
      <w:r>
        <w:rPr>
          <w:lang w:val="it-IT"/>
        </w:rPr>
        <w:t xml:space="preserve"> </w:t>
      </w:r>
      <w:r>
        <w:t>заетост</w:t>
      </w:r>
      <w:r>
        <w:rPr>
          <w:lang w:val="it-IT"/>
        </w:rPr>
        <w:t xml:space="preserve"> </w:t>
      </w:r>
      <w:r>
        <w:t>и</w:t>
      </w:r>
      <w:r>
        <w:rPr>
          <w:lang w:val="it-IT"/>
        </w:rPr>
        <w:t xml:space="preserve"> </w:t>
      </w:r>
      <w:r>
        <w:t>социални</w:t>
      </w:r>
      <w:r>
        <w:rPr>
          <w:lang w:val="it-IT"/>
        </w:rPr>
        <w:t xml:space="preserve"> </w:t>
      </w:r>
      <w:r>
        <w:t>иновации</w:t>
      </w:r>
      <w:r>
        <w:rPr>
          <w:lang w:val="it-IT"/>
        </w:rPr>
        <w:t xml:space="preserve"> (E</w:t>
      </w:r>
      <w:r>
        <w:t>а</w:t>
      </w:r>
      <w:r>
        <w:rPr>
          <w:lang w:val="it-IT"/>
        </w:rPr>
        <w:t xml:space="preserve">SI), </w:t>
      </w:r>
      <w:r>
        <w:rPr>
          <w:color w:val="000000"/>
        </w:rPr>
        <w:t>Програмата</w:t>
      </w:r>
      <w:r>
        <w:rPr>
          <w:color w:val="000000"/>
          <w:lang w:val="it-IT"/>
        </w:rPr>
        <w:t xml:space="preserve"> </w:t>
      </w:r>
      <w:r>
        <w:rPr>
          <w:color w:val="000000"/>
        </w:rPr>
        <w:t>за</w:t>
      </w:r>
      <w:r>
        <w:rPr>
          <w:color w:val="000000"/>
          <w:lang w:val="it-IT"/>
        </w:rPr>
        <w:t xml:space="preserve"> </w:t>
      </w:r>
      <w:r>
        <w:rPr>
          <w:color w:val="000000"/>
        </w:rPr>
        <w:t>околната</w:t>
      </w:r>
      <w:r>
        <w:rPr>
          <w:color w:val="000000"/>
          <w:lang w:val="it-IT"/>
        </w:rPr>
        <w:t xml:space="preserve"> </w:t>
      </w:r>
      <w:r>
        <w:rPr>
          <w:color w:val="000000"/>
        </w:rPr>
        <w:t>среда</w:t>
      </w:r>
      <w:r>
        <w:rPr>
          <w:color w:val="000000"/>
          <w:lang w:val="it-IT"/>
        </w:rPr>
        <w:t xml:space="preserve"> </w:t>
      </w:r>
      <w:r>
        <w:rPr>
          <w:color w:val="000000"/>
        </w:rPr>
        <w:t>и</w:t>
      </w:r>
      <w:r>
        <w:rPr>
          <w:color w:val="000000"/>
          <w:lang w:val="it-IT"/>
        </w:rPr>
        <w:t xml:space="preserve"> </w:t>
      </w:r>
      <w:r>
        <w:rPr>
          <w:color w:val="000000"/>
        </w:rPr>
        <w:t>действията</w:t>
      </w:r>
      <w:r>
        <w:rPr>
          <w:color w:val="000000"/>
          <w:lang w:val="it-IT"/>
        </w:rPr>
        <w:t xml:space="preserve"> </w:t>
      </w:r>
      <w:r>
        <w:rPr>
          <w:color w:val="000000"/>
        </w:rPr>
        <w:t>по</w:t>
      </w:r>
      <w:r>
        <w:rPr>
          <w:color w:val="000000"/>
          <w:lang w:val="it-IT"/>
        </w:rPr>
        <w:t xml:space="preserve"> </w:t>
      </w:r>
      <w:r>
        <w:rPr>
          <w:color w:val="000000"/>
        </w:rPr>
        <w:t>климата</w:t>
      </w:r>
      <w:r>
        <w:rPr>
          <w:color w:val="000000"/>
          <w:lang w:val="it-IT"/>
        </w:rPr>
        <w:t xml:space="preserve"> (LIFE), </w:t>
      </w:r>
      <w:r>
        <w:rPr>
          <w:color w:val="000000"/>
        </w:rPr>
        <w:t>Фонд</w:t>
      </w:r>
      <w:r>
        <w:rPr>
          <w:color w:val="000000"/>
          <w:lang w:val="it-IT"/>
        </w:rPr>
        <w:t xml:space="preserve"> „</w:t>
      </w:r>
      <w:r>
        <w:rPr>
          <w:color w:val="000000"/>
        </w:rPr>
        <w:t>Убежище</w:t>
      </w:r>
      <w:r>
        <w:rPr>
          <w:color w:val="000000"/>
          <w:lang w:val="it-IT"/>
        </w:rPr>
        <w:t xml:space="preserve">, </w:t>
      </w:r>
      <w:r>
        <w:rPr>
          <w:color w:val="000000"/>
        </w:rPr>
        <w:t>миграция</w:t>
      </w:r>
      <w:r>
        <w:rPr>
          <w:color w:val="000000"/>
          <w:lang w:val="it-IT"/>
        </w:rPr>
        <w:t xml:space="preserve"> </w:t>
      </w:r>
      <w:r>
        <w:rPr>
          <w:color w:val="000000"/>
        </w:rPr>
        <w:t>и</w:t>
      </w:r>
      <w:r>
        <w:rPr>
          <w:color w:val="000000"/>
          <w:lang w:val="it-IT"/>
        </w:rPr>
        <w:t xml:space="preserve"> </w:t>
      </w:r>
      <w:r>
        <w:rPr>
          <w:color w:val="000000"/>
        </w:rPr>
        <w:t>интеграция</w:t>
      </w:r>
      <w:r>
        <w:rPr>
          <w:color w:val="000000"/>
          <w:lang w:val="it-IT"/>
        </w:rPr>
        <w:t xml:space="preserve">“, </w:t>
      </w:r>
      <w:r>
        <w:rPr>
          <w:color w:val="000000"/>
        </w:rPr>
        <w:t>програмата</w:t>
      </w:r>
      <w:r>
        <w:rPr>
          <w:color w:val="000000"/>
          <w:lang w:val="it-IT"/>
        </w:rPr>
        <w:t xml:space="preserve"> „</w:t>
      </w:r>
      <w:r>
        <w:rPr>
          <w:color w:val="000000"/>
        </w:rPr>
        <w:t>Здраве</w:t>
      </w:r>
      <w:r>
        <w:rPr>
          <w:color w:val="000000"/>
          <w:lang w:val="it-IT"/>
        </w:rPr>
        <w:t xml:space="preserve">“, </w:t>
      </w:r>
      <w:r>
        <w:rPr>
          <w:color w:val="000000"/>
        </w:rPr>
        <w:t>прог</w:t>
      </w:r>
      <w:r>
        <w:rPr>
          <w:color w:val="000000"/>
        </w:rPr>
        <w:t>рамата</w:t>
      </w:r>
      <w:r>
        <w:rPr>
          <w:color w:val="000000"/>
          <w:lang w:val="it-IT"/>
        </w:rPr>
        <w:t xml:space="preserve"> „</w:t>
      </w:r>
      <w:r>
        <w:rPr>
          <w:color w:val="000000"/>
        </w:rPr>
        <w:t>Европа</w:t>
      </w:r>
      <w:r>
        <w:rPr>
          <w:color w:val="000000"/>
          <w:lang w:val="it-IT"/>
        </w:rPr>
        <w:t xml:space="preserve"> </w:t>
      </w:r>
      <w:r>
        <w:rPr>
          <w:color w:val="000000"/>
        </w:rPr>
        <w:t>за</w:t>
      </w:r>
      <w:r>
        <w:rPr>
          <w:color w:val="000000"/>
          <w:lang w:val="it-IT"/>
        </w:rPr>
        <w:t xml:space="preserve"> </w:t>
      </w:r>
      <w:r>
        <w:rPr>
          <w:color w:val="000000"/>
        </w:rPr>
        <w:t>гражданите</w:t>
      </w:r>
      <w:r>
        <w:rPr>
          <w:color w:val="000000"/>
          <w:lang w:val="it-IT"/>
        </w:rPr>
        <w:t xml:space="preserve">“, </w:t>
      </w:r>
      <w:r>
        <w:rPr>
          <w:color w:val="000000"/>
        </w:rPr>
        <w:t>Европейския</w:t>
      </w:r>
      <w:r>
        <w:rPr>
          <w:color w:val="000000"/>
          <w:lang w:val="it-IT"/>
        </w:rPr>
        <w:t xml:space="preserve"> </w:t>
      </w:r>
      <w:r>
        <w:rPr>
          <w:color w:val="000000"/>
        </w:rPr>
        <w:t>фонд</w:t>
      </w:r>
      <w:r>
        <w:rPr>
          <w:color w:val="000000"/>
          <w:lang w:val="it-IT"/>
        </w:rPr>
        <w:t xml:space="preserve"> </w:t>
      </w:r>
      <w:r>
        <w:rPr>
          <w:color w:val="000000"/>
        </w:rPr>
        <w:t>за</w:t>
      </w:r>
      <w:r>
        <w:rPr>
          <w:color w:val="000000"/>
          <w:lang w:val="it-IT"/>
        </w:rPr>
        <w:t xml:space="preserve"> </w:t>
      </w:r>
      <w:r>
        <w:rPr>
          <w:color w:val="000000"/>
        </w:rPr>
        <w:t>регионално</w:t>
      </w:r>
      <w:r>
        <w:rPr>
          <w:color w:val="000000"/>
          <w:lang w:val="it-IT"/>
        </w:rPr>
        <w:t xml:space="preserve"> </w:t>
      </w:r>
      <w:r>
        <w:rPr>
          <w:color w:val="000000"/>
        </w:rPr>
        <w:t>развитие</w:t>
      </w:r>
      <w:r>
        <w:rPr>
          <w:color w:val="000000"/>
          <w:lang w:val="it-IT"/>
        </w:rPr>
        <w:t xml:space="preserve"> (</w:t>
      </w:r>
      <w:r>
        <w:rPr>
          <w:color w:val="000000"/>
        </w:rPr>
        <w:t>чрез</w:t>
      </w:r>
      <w:r>
        <w:rPr>
          <w:color w:val="000000"/>
          <w:lang w:val="it-IT"/>
        </w:rPr>
        <w:t xml:space="preserve"> „</w:t>
      </w:r>
      <w:proofErr w:type="spellStart"/>
      <w:r>
        <w:rPr>
          <w:color w:val="000000"/>
        </w:rPr>
        <w:t>Интеррег</w:t>
      </w:r>
      <w:proofErr w:type="spellEnd"/>
      <w:r>
        <w:rPr>
          <w:color w:val="000000"/>
          <w:lang w:val="it-IT"/>
        </w:rPr>
        <w:t xml:space="preserve">“) </w:t>
      </w:r>
      <w:r>
        <w:rPr>
          <w:color w:val="000000"/>
        </w:rPr>
        <w:t>и</w:t>
      </w:r>
      <w:r>
        <w:rPr>
          <w:color w:val="000000"/>
          <w:lang w:val="it-IT"/>
        </w:rPr>
        <w:t xml:space="preserve"> </w:t>
      </w:r>
      <w:r>
        <w:rPr>
          <w:color w:val="000000"/>
        </w:rPr>
        <w:t>Земеделският</w:t>
      </w:r>
      <w:r>
        <w:rPr>
          <w:color w:val="000000"/>
          <w:lang w:val="it-IT"/>
        </w:rPr>
        <w:t xml:space="preserve"> </w:t>
      </w:r>
      <w:r>
        <w:rPr>
          <w:color w:val="000000"/>
        </w:rPr>
        <w:t>фонд</w:t>
      </w:r>
      <w:r>
        <w:rPr>
          <w:color w:val="000000"/>
          <w:lang w:val="it-IT"/>
        </w:rPr>
        <w:t xml:space="preserve"> </w:t>
      </w:r>
      <w:r>
        <w:rPr>
          <w:color w:val="000000"/>
        </w:rPr>
        <w:t>за</w:t>
      </w:r>
      <w:r>
        <w:rPr>
          <w:color w:val="000000"/>
          <w:lang w:val="it-IT"/>
        </w:rPr>
        <w:t xml:space="preserve"> </w:t>
      </w:r>
      <w:r>
        <w:rPr>
          <w:color w:val="000000"/>
        </w:rPr>
        <w:t>развитие</w:t>
      </w:r>
      <w:r>
        <w:rPr>
          <w:color w:val="000000"/>
          <w:lang w:val="it-IT"/>
        </w:rPr>
        <w:t xml:space="preserve"> </w:t>
      </w:r>
      <w:r>
        <w:rPr>
          <w:color w:val="000000"/>
        </w:rPr>
        <w:t>на</w:t>
      </w:r>
      <w:r>
        <w:rPr>
          <w:color w:val="000000"/>
          <w:lang w:val="it-IT"/>
        </w:rPr>
        <w:t xml:space="preserve"> </w:t>
      </w:r>
      <w:r>
        <w:rPr>
          <w:color w:val="000000"/>
        </w:rPr>
        <w:t>селските</w:t>
      </w:r>
      <w:r>
        <w:rPr>
          <w:color w:val="000000"/>
          <w:lang w:val="it-IT"/>
        </w:rPr>
        <w:t xml:space="preserve"> </w:t>
      </w:r>
      <w:r>
        <w:rPr>
          <w:color w:val="000000"/>
        </w:rPr>
        <w:t>райони</w:t>
      </w:r>
      <w:r>
        <w:rPr>
          <w:color w:val="000000"/>
          <w:lang w:val="it-IT"/>
        </w:rPr>
        <w:t>.</w:t>
      </w:r>
    </w:p>
  </w:footnote>
  <w:footnote w:id="5">
    <w:p w:rsidR="00222FCC" w:rsidRDefault="00FD122A">
      <w:pPr>
        <w:pStyle w:val="FootnoteText"/>
        <w:rPr>
          <w:lang w:val="it-IT"/>
        </w:rPr>
      </w:pPr>
      <w:r>
        <w:rPr>
          <w:rStyle w:val="FootnoteReference"/>
        </w:rPr>
        <w:footnoteRef/>
      </w:r>
      <w:r>
        <w:rPr>
          <w:lang w:val="it-IT"/>
        </w:rPr>
        <w:tab/>
        <w:t xml:space="preserve">http://www.consilium.europa.eu/en/meetings/european-council/2016/12/20161215-euco-conclusions-final_pdf/ </w:t>
      </w:r>
    </w:p>
  </w:footnote>
  <w:footnote w:id="6">
    <w:p w:rsidR="00222FCC" w:rsidRDefault="00FD122A">
      <w:pPr>
        <w:pStyle w:val="FootnoteText"/>
        <w:rPr>
          <w:lang w:val="it-IT"/>
        </w:rPr>
      </w:pPr>
      <w:r>
        <w:rPr>
          <w:rStyle w:val="FootnoteReference"/>
        </w:rPr>
        <w:footnoteRef/>
      </w:r>
      <w:r>
        <w:rPr>
          <w:lang w:val="it-IT"/>
        </w:rPr>
        <w:tab/>
        <w:t>„</w:t>
      </w:r>
      <w:r>
        <w:t>Съюз</w:t>
      </w:r>
      <w:r>
        <w:rPr>
          <w:lang w:val="it-IT"/>
        </w:rPr>
        <w:t xml:space="preserve">, </w:t>
      </w:r>
      <w:r>
        <w:t>който</w:t>
      </w:r>
      <w:r>
        <w:rPr>
          <w:lang w:val="it-IT"/>
        </w:rPr>
        <w:t xml:space="preserve"> </w:t>
      </w:r>
      <w:r>
        <w:t>постига</w:t>
      </w:r>
      <w:r>
        <w:rPr>
          <w:lang w:val="it-IT"/>
        </w:rPr>
        <w:t xml:space="preserve"> </w:t>
      </w:r>
      <w:r>
        <w:t>по</w:t>
      </w:r>
      <w:r>
        <w:rPr>
          <w:lang w:val="it-IT"/>
        </w:rPr>
        <w:t>-</w:t>
      </w:r>
      <w:r>
        <w:t>бързи</w:t>
      </w:r>
      <w:r>
        <w:rPr>
          <w:lang w:val="it-IT"/>
        </w:rPr>
        <w:t xml:space="preserve"> </w:t>
      </w:r>
      <w:r>
        <w:t>и</w:t>
      </w:r>
      <w:r>
        <w:rPr>
          <w:lang w:val="it-IT"/>
        </w:rPr>
        <w:t xml:space="preserve"> </w:t>
      </w:r>
      <w:r>
        <w:t>по</w:t>
      </w:r>
      <w:r>
        <w:rPr>
          <w:lang w:val="it-IT"/>
        </w:rPr>
        <w:t>-</w:t>
      </w:r>
      <w:r>
        <w:t>добри</w:t>
      </w:r>
      <w:r>
        <w:rPr>
          <w:lang w:val="it-IT"/>
        </w:rPr>
        <w:t xml:space="preserve"> </w:t>
      </w:r>
      <w:r>
        <w:t>резултати</w:t>
      </w:r>
      <w:r>
        <w:rPr>
          <w:lang w:val="it-IT"/>
        </w:rPr>
        <w:t xml:space="preserve">: </w:t>
      </w:r>
      <w:r>
        <w:t>трите</w:t>
      </w:r>
      <w:r>
        <w:rPr>
          <w:lang w:val="it-IT"/>
        </w:rPr>
        <w:t xml:space="preserve"> </w:t>
      </w:r>
      <w:r>
        <w:t>институции</w:t>
      </w:r>
      <w:r>
        <w:rPr>
          <w:lang w:val="it-IT"/>
        </w:rPr>
        <w:t xml:space="preserve"> </w:t>
      </w:r>
      <w:r>
        <w:t>подписват</w:t>
      </w:r>
      <w:r>
        <w:rPr>
          <w:lang w:val="it-IT"/>
        </w:rPr>
        <w:t xml:space="preserve"> </w:t>
      </w:r>
      <w:r>
        <w:t>съвместна</w:t>
      </w:r>
      <w:r>
        <w:rPr>
          <w:lang w:val="it-IT"/>
        </w:rPr>
        <w:t xml:space="preserve"> </w:t>
      </w:r>
      <w:r>
        <w:t>декларация</w:t>
      </w:r>
      <w:r>
        <w:rPr>
          <w:lang w:val="it-IT"/>
        </w:rPr>
        <w:t xml:space="preserve"> </w:t>
      </w:r>
      <w:r>
        <w:t>за</w:t>
      </w:r>
      <w:r>
        <w:rPr>
          <w:lang w:val="it-IT"/>
        </w:rPr>
        <w:t xml:space="preserve"> </w:t>
      </w:r>
      <w:r>
        <w:t>законодателните</w:t>
      </w:r>
      <w:r>
        <w:rPr>
          <w:lang w:val="it-IT"/>
        </w:rPr>
        <w:t xml:space="preserve"> </w:t>
      </w:r>
      <w:r>
        <w:t>приоритети</w:t>
      </w:r>
      <w:r>
        <w:rPr>
          <w:lang w:val="it-IT"/>
        </w:rPr>
        <w:t xml:space="preserve"> </w:t>
      </w:r>
      <w:r>
        <w:t>на</w:t>
      </w:r>
      <w:r>
        <w:rPr>
          <w:lang w:val="it-IT"/>
        </w:rPr>
        <w:t xml:space="preserve"> </w:t>
      </w:r>
      <w:r>
        <w:t>ЕС</w:t>
      </w:r>
      <w:r>
        <w:rPr>
          <w:lang w:val="it-IT"/>
        </w:rPr>
        <w:t xml:space="preserve"> </w:t>
      </w:r>
      <w:r>
        <w:t>за</w:t>
      </w:r>
      <w:r>
        <w:rPr>
          <w:lang w:val="it-IT"/>
        </w:rPr>
        <w:t xml:space="preserve"> 2017 </w:t>
      </w:r>
      <w:r>
        <w:t>г</w:t>
      </w:r>
      <w:r>
        <w:rPr>
          <w:lang w:val="it-IT"/>
        </w:rPr>
        <w:t>.“, IP/16/4360.</w:t>
      </w:r>
    </w:p>
  </w:footnote>
  <w:footnote w:id="7">
    <w:p w:rsidR="00222FCC" w:rsidRDefault="00FD122A">
      <w:pPr>
        <w:pStyle w:val="FootnoteText"/>
        <w:rPr>
          <w:lang w:val="it-IT"/>
        </w:rPr>
      </w:pPr>
      <w:r>
        <w:rPr>
          <w:rStyle w:val="FootnoteReference"/>
        </w:rPr>
        <w:footnoteRef/>
      </w:r>
      <w:r>
        <w:rPr>
          <w:lang w:val="it-IT"/>
        </w:rPr>
        <w:tab/>
      </w:r>
      <w:r>
        <w:t>Участниците</w:t>
      </w:r>
      <w:r>
        <w:rPr>
          <w:lang w:val="it-IT"/>
        </w:rPr>
        <w:t xml:space="preserve"> </w:t>
      </w:r>
      <w:r>
        <w:t>в</w:t>
      </w:r>
      <w:r>
        <w:rPr>
          <w:lang w:val="it-IT"/>
        </w:rPr>
        <w:t xml:space="preserve"> </w:t>
      </w:r>
      <w:r>
        <w:t>Европейския</w:t>
      </w:r>
      <w:r>
        <w:rPr>
          <w:lang w:val="it-IT"/>
        </w:rPr>
        <w:t xml:space="preserve"> </w:t>
      </w:r>
      <w:r>
        <w:t>корпус</w:t>
      </w:r>
      <w:r>
        <w:rPr>
          <w:lang w:val="it-IT"/>
        </w:rPr>
        <w:t xml:space="preserve"> </w:t>
      </w:r>
      <w:r>
        <w:t>за</w:t>
      </w:r>
      <w:r>
        <w:rPr>
          <w:lang w:val="it-IT"/>
        </w:rPr>
        <w:t xml:space="preserve"> </w:t>
      </w:r>
      <w:r>
        <w:t>солидарност</w:t>
      </w:r>
      <w:r>
        <w:rPr>
          <w:lang w:val="it-IT"/>
        </w:rPr>
        <w:t xml:space="preserve">, </w:t>
      </w:r>
      <w:r>
        <w:t>които</w:t>
      </w:r>
      <w:r>
        <w:rPr>
          <w:lang w:val="it-IT"/>
        </w:rPr>
        <w:t xml:space="preserve"> </w:t>
      </w:r>
      <w:r>
        <w:t>отговарят</w:t>
      </w:r>
      <w:r>
        <w:rPr>
          <w:lang w:val="it-IT"/>
        </w:rPr>
        <w:t xml:space="preserve"> </w:t>
      </w:r>
      <w:r>
        <w:t>на</w:t>
      </w:r>
      <w:r>
        <w:rPr>
          <w:lang w:val="it-IT"/>
        </w:rPr>
        <w:t xml:space="preserve"> </w:t>
      </w:r>
      <w:r>
        <w:t>условията</w:t>
      </w:r>
      <w:r>
        <w:rPr>
          <w:lang w:val="it-IT"/>
        </w:rPr>
        <w:t xml:space="preserve"> </w:t>
      </w:r>
      <w:r>
        <w:t>за</w:t>
      </w:r>
      <w:r>
        <w:rPr>
          <w:lang w:val="it-IT"/>
        </w:rPr>
        <w:t xml:space="preserve"> </w:t>
      </w:r>
      <w:r>
        <w:t>пребиваване</w:t>
      </w:r>
      <w:r>
        <w:rPr>
          <w:lang w:val="it-IT"/>
        </w:rPr>
        <w:t xml:space="preserve"> </w:t>
      </w:r>
      <w:r>
        <w:t>в</w:t>
      </w:r>
      <w:r>
        <w:rPr>
          <w:lang w:val="it-IT"/>
        </w:rPr>
        <w:t xml:space="preserve"> </w:t>
      </w:r>
      <w:r>
        <w:t>приемащата</w:t>
      </w:r>
      <w:r>
        <w:rPr>
          <w:lang w:val="it-IT"/>
        </w:rPr>
        <w:t xml:space="preserve"> </w:t>
      </w:r>
      <w:r>
        <w:t>ги</w:t>
      </w:r>
      <w:r>
        <w:rPr>
          <w:lang w:val="it-IT"/>
        </w:rPr>
        <w:t xml:space="preserve"> </w:t>
      </w:r>
      <w:r>
        <w:t>държава</w:t>
      </w:r>
      <w:r>
        <w:rPr>
          <w:lang w:val="it-IT"/>
        </w:rPr>
        <w:t xml:space="preserve"> </w:t>
      </w:r>
      <w:r>
        <w:t>в</w:t>
      </w:r>
      <w:r>
        <w:rPr>
          <w:lang w:val="it-IT"/>
        </w:rPr>
        <w:t xml:space="preserve"> </w:t>
      </w:r>
      <w:r>
        <w:t>съответствие</w:t>
      </w:r>
      <w:r>
        <w:rPr>
          <w:lang w:val="it-IT"/>
        </w:rPr>
        <w:t xml:space="preserve"> </w:t>
      </w:r>
      <w:r>
        <w:t>с</w:t>
      </w:r>
      <w:r>
        <w:rPr>
          <w:lang w:val="it-IT"/>
        </w:rPr>
        <w:t xml:space="preserve"> </w:t>
      </w:r>
      <w:r>
        <w:t>правото</w:t>
      </w:r>
      <w:r>
        <w:rPr>
          <w:lang w:val="it-IT"/>
        </w:rPr>
        <w:t xml:space="preserve"> </w:t>
      </w:r>
      <w:r>
        <w:t>на</w:t>
      </w:r>
      <w:r>
        <w:rPr>
          <w:lang w:val="it-IT"/>
        </w:rPr>
        <w:t xml:space="preserve"> </w:t>
      </w:r>
      <w:r>
        <w:t>ЕС</w:t>
      </w:r>
      <w:r>
        <w:rPr>
          <w:lang w:val="it-IT"/>
        </w:rPr>
        <w:t>.</w:t>
      </w:r>
    </w:p>
  </w:footnote>
  <w:footnote w:id="8">
    <w:p w:rsidR="00222FCC" w:rsidRDefault="00FD122A">
      <w:pPr>
        <w:pStyle w:val="FootnoteText"/>
        <w:rPr>
          <w:lang w:val="it-IT"/>
        </w:rPr>
      </w:pPr>
      <w:r>
        <w:rPr>
          <w:rStyle w:val="FootnoteReference"/>
        </w:rPr>
        <w:footnoteRef/>
      </w:r>
      <w:r>
        <w:rPr>
          <w:lang w:val="it-IT"/>
        </w:rPr>
        <w:tab/>
      </w:r>
      <w:r>
        <w:t>Регламент</w:t>
      </w:r>
      <w:r>
        <w:rPr>
          <w:lang w:val="it-IT"/>
        </w:rPr>
        <w:t> (</w:t>
      </w:r>
      <w:r>
        <w:t>ЕС</w:t>
      </w:r>
      <w:r>
        <w:rPr>
          <w:lang w:val="it-IT"/>
        </w:rPr>
        <w:t xml:space="preserve">) № 1288/2013 </w:t>
      </w:r>
      <w:r>
        <w:t>на</w:t>
      </w:r>
      <w:r>
        <w:rPr>
          <w:lang w:val="it-IT"/>
        </w:rPr>
        <w:t xml:space="preserve"> </w:t>
      </w:r>
      <w:r>
        <w:t>Европейския</w:t>
      </w:r>
      <w:r>
        <w:rPr>
          <w:lang w:val="it-IT"/>
        </w:rPr>
        <w:t xml:space="preserve"> </w:t>
      </w:r>
      <w:r>
        <w:t>парламент</w:t>
      </w:r>
      <w:r>
        <w:rPr>
          <w:lang w:val="it-IT"/>
        </w:rPr>
        <w:t xml:space="preserve"> </w:t>
      </w:r>
      <w:r>
        <w:t>и</w:t>
      </w:r>
      <w:r>
        <w:rPr>
          <w:lang w:val="it-IT"/>
        </w:rPr>
        <w:t xml:space="preserve"> </w:t>
      </w:r>
      <w:r>
        <w:t>на</w:t>
      </w:r>
      <w:r>
        <w:rPr>
          <w:lang w:val="it-IT"/>
        </w:rPr>
        <w:t xml:space="preserve"> </w:t>
      </w:r>
      <w:r>
        <w:t>Съвета</w:t>
      </w:r>
      <w:r>
        <w:rPr>
          <w:lang w:val="it-IT"/>
        </w:rPr>
        <w:t xml:space="preserve"> </w:t>
      </w:r>
      <w:r>
        <w:t>от</w:t>
      </w:r>
      <w:r>
        <w:rPr>
          <w:lang w:val="it-IT"/>
        </w:rPr>
        <w:t xml:space="preserve"> 11 </w:t>
      </w:r>
      <w:r>
        <w:t>декември</w:t>
      </w:r>
      <w:r>
        <w:rPr>
          <w:lang w:val="it-IT"/>
        </w:rPr>
        <w:t> 2013 </w:t>
      </w:r>
      <w:r>
        <w:t>г</w:t>
      </w:r>
      <w:r>
        <w:rPr>
          <w:lang w:val="it-IT"/>
        </w:rPr>
        <w:t xml:space="preserve">. </w:t>
      </w:r>
      <w:r>
        <w:t>за</w:t>
      </w:r>
      <w:r>
        <w:rPr>
          <w:lang w:val="it-IT"/>
        </w:rPr>
        <w:t xml:space="preserve"> </w:t>
      </w:r>
      <w:r>
        <w:t>създаване</w:t>
      </w:r>
      <w:r>
        <w:rPr>
          <w:lang w:val="it-IT"/>
        </w:rPr>
        <w:t xml:space="preserve"> </w:t>
      </w:r>
      <w:r>
        <w:t>на</w:t>
      </w:r>
      <w:r>
        <w:rPr>
          <w:lang w:val="it-IT"/>
        </w:rPr>
        <w:t xml:space="preserve"> „</w:t>
      </w:r>
      <w:r>
        <w:t>Еразъм</w:t>
      </w:r>
      <w:r>
        <w:rPr>
          <w:lang w:val="it-IT"/>
        </w:rPr>
        <w:t xml:space="preserve"> +“: </w:t>
      </w:r>
      <w:r>
        <w:t>програма</w:t>
      </w:r>
      <w:r>
        <w:rPr>
          <w:lang w:val="it-IT"/>
        </w:rPr>
        <w:t xml:space="preserve"> </w:t>
      </w:r>
      <w:r>
        <w:t>на</w:t>
      </w:r>
      <w:r>
        <w:rPr>
          <w:lang w:val="it-IT"/>
        </w:rPr>
        <w:t xml:space="preserve"> </w:t>
      </w:r>
      <w:r>
        <w:t>Съюза</w:t>
      </w:r>
      <w:r>
        <w:rPr>
          <w:lang w:val="it-IT"/>
        </w:rPr>
        <w:t xml:space="preserve"> </w:t>
      </w:r>
      <w:r>
        <w:t>в</w:t>
      </w:r>
      <w:r>
        <w:rPr>
          <w:lang w:val="it-IT"/>
        </w:rPr>
        <w:t xml:space="preserve"> </w:t>
      </w:r>
      <w:r>
        <w:t>областта</w:t>
      </w:r>
      <w:r>
        <w:rPr>
          <w:lang w:val="it-IT"/>
        </w:rPr>
        <w:t xml:space="preserve"> </w:t>
      </w:r>
      <w:r>
        <w:t>на</w:t>
      </w:r>
      <w:r>
        <w:rPr>
          <w:lang w:val="it-IT"/>
        </w:rPr>
        <w:t xml:space="preserve"> </w:t>
      </w:r>
      <w:r>
        <w:t>образованието</w:t>
      </w:r>
      <w:r>
        <w:rPr>
          <w:lang w:val="it-IT"/>
        </w:rPr>
        <w:t xml:space="preserve">, </w:t>
      </w:r>
      <w:r>
        <w:t>обучението</w:t>
      </w:r>
      <w:r>
        <w:rPr>
          <w:lang w:val="it-IT"/>
        </w:rPr>
        <w:t xml:space="preserve">, </w:t>
      </w:r>
      <w:proofErr w:type="spellStart"/>
      <w:r>
        <w:t>младежта</w:t>
      </w:r>
      <w:proofErr w:type="spellEnd"/>
      <w:r>
        <w:rPr>
          <w:lang w:val="it-IT"/>
        </w:rPr>
        <w:t xml:space="preserve"> </w:t>
      </w:r>
      <w:r>
        <w:t>и</w:t>
      </w:r>
      <w:r>
        <w:rPr>
          <w:lang w:val="it-IT"/>
        </w:rPr>
        <w:t xml:space="preserve"> </w:t>
      </w:r>
      <w:r>
        <w:t>спорта</w:t>
      </w:r>
      <w:r>
        <w:rPr>
          <w:lang w:val="it-IT"/>
        </w:rPr>
        <w:t xml:space="preserve"> </w:t>
      </w:r>
      <w:r>
        <w:t>и</w:t>
      </w:r>
      <w:r>
        <w:rPr>
          <w:lang w:val="it-IT"/>
        </w:rPr>
        <w:t xml:space="preserve"> </w:t>
      </w:r>
      <w:r>
        <w:t>за</w:t>
      </w:r>
      <w:r>
        <w:rPr>
          <w:lang w:val="it-IT"/>
        </w:rPr>
        <w:t xml:space="preserve"> </w:t>
      </w:r>
      <w:r>
        <w:t>отм</w:t>
      </w:r>
      <w:r>
        <w:t>яна</w:t>
      </w:r>
      <w:r>
        <w:rPr>
          <w:lang w:val="it-IT"/>
        </w:rPr>
        <w:t xml:space="preserve"> </w:t>
      </w:r>
      <w:r>
        <w:t>на</w:t>
      </w:r>
      <w:r>
        <w:rPr>
          <w:lang w:val="it-IT"/>
        </w:rPr>
        <w:t xml:space="preserve"> </w:t>
      </w:r>
      <w:r>
        <w:t>решения</w:t>
      </w:r>
      <w:r>
        <w:rPr>
          <w:lang w:val="it-IT"/>
        </w:rPr>
        <w:t xml:space="preserve"> № 1719/2006/</w:t>
      </w:r>
      <w:r>
        <w:t>ЕО</w:t>
      </w:r>
      <w:r>
        <w:rPr>
          <w:lang w:val="it-IT"/>
        </w:rPr>
        <w:t>, № 1720/2006/</w:t>
      </w:r>
      <w:r>
        <w:t>ЕО</w:t>
      </w:r>
      <w:r>
        <w:rPr>
          <w:lang w:val="it-IT"/>
        </w:rPr>
        <w:t xml:space="preserve"> </w:t>
      </w:r>
      <w:r>
        <w:t>и</w:t>
      </w:r>
      <w:r>
        <w:rPr>
          <w:lang w:val="it-IT"/>
        </w:rPr>
        <w:t xml:space="preserve"> № 1298/2008/</w:t>
      </w:r>
      <w:r>
        <w:t>ЕО</w:t>
      </w:r>
      <w:r>
        <w:rPr>
          <w:lang w:val="it-IT"/>
        </w:rPr>
        <w:t>, OB L 347, 20.12.2013 </w:t>
      </w:r>
      <w:r>
        <w:t>г</w:t>
      </w:r>
      <w:r>
        <w:rPr>
          <w:lang w:val="it-IT"/>
        </w:rPr>
        <w:t xml:space="preserve">., </w:t>
      </w:r>
      <w:proofErr w:type="spellStart"/>
      <w:r>
        <w:t>стр</w:t>
      </w:r>
      <w:proofErr w:type="spellEnd"/>
      <w:r>
        <w:rPr>
          <w:lang w:val="it-IT"/>
        </w:rPr>
        <w:t>. 50.</w:t>
      </w:r>
    </w:p>
  </w:footnote>
  <w:footnote w:id="9">
    <w:p w:rsidR="00222FCC" w:rsidRDefault="00FD122A">
      <w:pPr>
        <w:pStyle w:val="FootnoteText"/>
        <w:rPr>
          <w:lang w:val="it-IT"/>
        </w:rPr>
      </w:pPr>
      <w:r>
        <w:rPr>
          <w:rStyle w:val="FootnoteReference"/>
        </w:rPr>
        <w:footnoteRef/>
      </w:r>
      <w:r>
        <w:rPr>
          <w:lang w:val="it-IT"/>
        </w:rPr>
        <w:tab/>
      </w:r>
      <w:r>
        <w:t>Европейският</w:t>
      </w:r>
      <w:r>
        <w:rPr>
          <w:lang w:val="it-IT"/>
        </w:rPr>
        <w:t xml:space="preserve"> </w:t>
      </w:r>
      <w:r>
        <w:t>корпус</w:t>
      </w:r>
      <w:r>
        <w:rPr>
          <w:lang w:val="it-IT"/>
        </w:rPr>
        <w:t xml:space="preserve"> </w:t>
      </w:r>
      <w:r>
        <w:t>за</w:t>
      </w:r>
      <w:r>
        <w:rPr>
          <w:lang w:val="it-IT"/>
        </w:rPr>
        <w:t xml:space="preserve"> </w:t>
      </w:r>
      <w:r>
        <w:t>солидарност</w:t>
      </w:r>
      <w:r>
        <w:rPr>
          <w:lang w:val="it-IT"/>
        </w:rPr>
        <w:t xml:space="preserve"> </w:t>
      </w:r>
      <w:r>
        <w:t>е</w:t>
      </w:r>
      <w:r>
        <w:rPr>
          <w:lang w:val="it-IT"/>
        </w:rPr>
        <w:t xml:space="preserve"> </w:t>
      </w:r>
      <w:r>
        <w:t>приоритет</w:t>
      </w:r>
      <w:r>
        <w:rPr>
          <w:lang w:val="it-IT"/>
        </w:rPr>
        <w:t xml:space="preserve"> </w:t>
      </w:r>
      <w:r>
        <w:t>за</w:t>
      </w:r>
      <w:r>
        <w:rPr>
          <w:lang w:val="it-IT"/>
        </w:rPr>
        <w:t xml:space="preserve"> </w:t>
      </w:r>
      <w:r>
        <w:t>Комисията</w:t>
      </w:r>
      <w:r>
        <w:rPr>
          <w:lang w:val="it-IT"/>
        </w:rPr>
        <w:t xml:space="preserve">, </w:t>
      </w:r>
      <w:r>
        <w:t>както</w:t>
      </w:r>
      <w:r>
        <w:rPr>
          <w:lang w:val="it-IT"/>
        </w:rPr>
        <w:t xml:space="preserve"> </w:t>
      </w:r>
      <w:r>
        <w:t>е</w:t>
      </w:r>
      <w:r>
        <w:rPr>
          <w:lang w:val="it-IT"/>
        </w:rPr>
        <w:t xml:space="preserve"> </w:t>
      </w:r>
      <w:r>
        <w:t>посочено</w:t>
      </w:r>
      <w:r>
        <w:rPr>
          <w:lang w:val="it-IT"/>
        </w:rPr>
        <w:t xml:space="preserve"> </w:t>
      </w:r>
      <w:r>
        <w:t>в</w:t>
      </w:r>
      <w:r>
        <w:rPr>
          <w:lang w:val="it-IT"/>
        </w:rPr>
        <w:t xml:space="preserve"> </w:t>
      </w:r>
      <w:r>
        <w:t>нейния</w:t>
      </w:r>
      <w:r>
        <w:rPr>
          <w:lang w:val="it-IT"/>
        </w:rPr>
        <w:t xml:space="preserve"> </w:t>
      </w:r>
      <w:r>
        <w:t>Доклад</w:t>
      </w:r>
      <w:r>
        <w:rPr>
          <w:lang w:val="it-IT"/>
        </w:rPr>
        <w:t xml:space="preserve"> </w:t>
      </w:r>
      <w:r>
        <w:t>за</w:t>
      </w:r>
      <w:r>
        <w:rPr>
          <w:lang w:val="it-IT"/>
        </w:rPr>
        <w:t xml:space="preserve"> </w:t>
      </w:r>
      <w:r>
        <w:t>гражданството</w:t>
      </w:r>
      <w:r>
        <w:rPr>
          <w:lang w:val="it-IT"/>
        </w:rPr>
        <w:t xml:space="preserve"> </w:t>
      </w:r>
      <w:r>
        <w:t>на</w:t>
      </w:r>
      <w:r>
        <w:rPr>
          <w:lang w:val="it-IT"/>
        </w:rPr>
        <w:t xml:space="preserve"> </w:t>
      </w:r>
      <w:r>
        <w:t>ЕС</w:t>
      </w:r>
      <w:r>
        <w:rPr>
          <w:lang w:val="it-IT"/>
        </w:rPr>
        <w:t xml:space="preserve"> </w:t>
      </w:r>
      <w:r>
        <w:t>за</w:t>
      </w:r>
      <w:r>
        <w:rPr>
          <w:lang w:val="it-IT"/>
        </w:rPr>
        <w:t xml:space="preserve"> 2017 </w:t>
      </w:r>
      <w:r>
        <w:t>г</w:t>
      </w:r>
      <w:r>
        <w:rPr>
          <w:lang w:val="it-IT"/>
        </w:rPr>
        <w:t xml:space="preserve">., COM(2017) 30 </w:t>
      </w:r>
      <w:proofErr w:type="spellStart"/>
      <w:r>
        <w:rPr>
          <w:lang w:val="it-IT"/>
        </w:rPr>
        <w:t>final</w:t>
      </w:r>
      <w:proofErr w:type="spellEnd"/>
      <w:r>
        <w:rPr>
          <w:lang w:val="it-IT"/>
        </w:rPr>
        <w:t xml:space="preserve">/2 </w:t>
      </w:r>
      <w:r>
        <w:t>от</w:t>
      </w:r>
      <w:r>
        <w:rPr>
          <w:lang w:val="it-IT"/>
        </w:rPr>
        <w:t xml:space="preserve"> 31.1.2017 </w:t>
      </w:r>
      <w:r>
        <w:t>г</w:t>
      </w:r>
      <w:r>
        <w:rPr>
          <w:lang w:val="it-IT"/>
        </w:rPr>
        <w:t>.</w:t>
      </w:r>
    </w:p>
  </w:footnote>
  <w:footnote w:id="10">
    <w:p w:rsidR="00222FCC" w:rsidRDefault="00FD122A">
      <w:pPr>
        <w:pStyle w:val="FootnoteText"/>
        <w:rPr>
          <w:lang w:val="it-IT"/>
        </w:rPr>
      </w:pPr>
      <w:r>
        <w:rPr>
          <w:rStyle w:val="FootnoteReference"/>
        </w:rPr>
        <w:footnoteRef/>
      </w:r>
      <w:r>
        <w:rPr>
          <w:lang w:val="it-IT"/>
        </w:rPr>
        <w:tab/>
      </w:r>
      <w:r>
        <w:t>Програма</w:t>
      </w:r>
      <w:r>
        <w:rPr>
          <w:lang w:val="it-IT"/>
        </w:rPr>
        <w:t xml:space="preserve"> „</w:t>
      </w:r>
      <w:r>
        <w:t>Еразъм</w:t>
      </w:r>
      <w:r>
        <w:rPr>
          <w:lang w:val="it-IT"/>
        </w:rPr>
        <w:t xml:space="preserve">+“, </w:t>
      </w:r>
      <w:r>
        <w:t>Програмата</w:t>
      </w:r>
      <w:r>
        <w:rPr>
          <w:lang w:val="it-IT"/>
        </w:rPr>
        <w:t xml:space="preserve"> </w:t>
      </w:r>
      <w:r>
        <w:t>за</w:t>
      </w:r>
      <w:r>
        <w:rPr>
          <w:lang w:val="it-IT"/>
        </w:rPr>
        <w:t xml:space="preserve"> </w:t>
      </w:r>
      <w:r>
        <w:t>заетост</w:t>
      </w:r>
      <w:r>
        <w:rPr>
          <w:lang w:val="it-IT"/>
        </w:rPr>
        <w:t xml:space="preserve"> </w:t>
      </w:r>
      <w:r>
        <w:t>и</w:t>
      </w:r>
      <w:r>
        <w:rPr>
          <w:lang w:val="it-IT"/>
        </w:rPr>
        <w:t xml:space="preserve"> </w:t>
      </w:r>
      <w:r>
        <w:t>социални</w:t>
      </w:r>
      <w:r>
        <w:rPr>
          <w:lang w:val="it-IT"/>
        </w:rPr>
        <w:t xml:space="preserve"> </w:t>
      </w:r>
      <w:r>
        <w:t>иновации</w:t>
      </w:r>
      <w:r>
        <w:rPr>
          <w:lang w:val="it-IT"/>
        </w:rPr>
        <w:t xml:space="preserve">, </w:t>
      </w:r>
      <w:r>
        <w:t>Европейски</w:t>
      </w:r>
      <w:r>
        <w:rPr>
          <w:lang w:val="it-IT"/>
        </w:rPr>
        <w:t xml:space="preserve"> </w:t>
      </w:r>
      <w:r>
        <w:t>социален</w:t>
      </w:r>
      <w:r>
        <w:rPr>
          <w:lang w:val="it-IT"/>
        </w:rPr>
        <w:t xml:space="preserve"> </w:t>
      </w:r>
      <w:r>
        <w:t>фонд</w:t>
      </w:r>
      <w:r>
        <w:rPr>
          <w:lang w:val="it-IT"/>
        </w:rPr>
        <w:t xml:space="preserve">, </w:t>
      </w:r>
      <w:r>
        <w:t>Механизъм</w:t>
      </w:r>
      <w:r>
        <w:rPr>
          <w:lang w:val="it-IT"/>
        </w:rPr>
        <w:t xml:space="preserve"> </w:t>
      </w:r>
      <w:r>
        <w:t>за</w:t>
      </w:r>
      <w:r>
        <w:rPr>
          <w:lang w:val="it-IT"/>
        </w:rPr>
        <w:t xml:space="preserve"> </w:t>
      </w:r>
      <w:r>
        <w:t>гражданска</w:t>
      </w:r>
      <w:r>
        <w:rPr>
          <w:lang w:val="it-IT"/>
        </w:rPr>
        <w:t xml:space="preserve"> </w:t>
      </w:r>
      <w:r>
        <w:t>защита</w:t>
      </w:r>
      <w:r>
        <w:rPr>
          <w:lang w:val="it-IT"/>
        </w:rPr>
        <w:t xml:space="preserve"> </w:t>
      </w:r>
      <w:r>
        <w:t>на</w:t>
      </w:r>
      <w:r>
        <w:rPr>
          <w:lang w:val="it-IT"/>
        </w:rPr>
        <w:t xml:space="preserve"> </w:t>
      </w:r>
      <w:r>
        <w:t>Съюза</w:t>
      </w:r>
      <w:r>
        <w:rPr>
          <w:lang w:val="it-IT"/>
        </w:rPr>
        <w:t xml:space="preserve">, </w:t>
      </w:r>
      <w:r>
        <w:t>Програма</w:t>
      </w:r>
      <w:r>
        <w:rPr>
          <w:lang w:val="it-IT"/>
        </w:rPr>
        <w:t xml:space="preserve"> LIFE, </w:t>
      </w:r>
      <w:r>
        <w:t>Европейски</w:t>
      </w:r>
      <w:r>
        <w:rPr>
          <w:lang w:val="it-IT"/>
        </w:rPr>
        <w:t xml:space="preserve"> </w:t>
      </w:r>
      <w:r>
        <w:t>земеделски</w:t>
      </w:r>
      <w:r>
        <w:rPr>
          <w:lang w:val="it-IT"/>
        </w:rPr>
        <w:t xml:space="preserve"> </w:t>
      </w:r>
      <w:r>
        <w:t>фонд</w:t>
      </w:r>
      <w:r>
        <w:rPr>
          <w:lang w:val="it-IT"/>
        </w:rPr>
        <w:t xml:space="preserve"> </w:t>
      </w:r>
      <w:r>
        <w:t>за</w:t>
      </w:r>
      <w:r>
        <w:rPr>
          <w:lang w:val="it-IT"/>
        </w:rPr>
        <w:t xml:space="preserve"> </w:t>
      </w:r>
      <w:r>
        <w:t>развитие</w:t>
      </w:r>
      <w:r>
        <w:rPr>
          <w:lang w:val="it-IT"/>
        </w:rPr>
        <w:t xml:space="preserve"> </w:t>
      </w:r>
      <w:r>
        <w:t>на</w:t>
      </w:r>
      <w:r>
        <w:rPr>
          <w:lang w:val="it-IT"/>
        </w:rPr>
        <w:t xml:space="preserve"> </w:t>
      </w:r>
      <w:r>
        <w:t>селските</w:t>
      </w:r>
      <w:r>
        <w:rPr>
          <w:lang w:val="it-IT"/>
        </w:rPr>
        <w:t xml:space="preserve"> </w:t>
      </w:r>
      <w:r>
        <w:t>райони</w:t>
      </w:r>
      <w:r>
        <w:rPr>
          <w:lang w:val="it-IT"/>
        </w:rPr>
        <w:t xml:space="preserve">. </w:t>
      </w:r>
    </w:p>
  </w:footnote>
  <w:footnote w:id="11">
    <w:p w:rsidR="00222FCC" w:rsidRDefault="00FD122A">
      <w:pPr>
        <w:pStyle w:val="FootnoteText"/>
        <w:rPr>
          <w:lang w:val="it-IT"/>
        </w:rPr>
      </w:pPr>
      <w:r>
        <w:rPr>
          <w:rStyle w:val="FootnoteReference"/>
        </w:rPr>
        <w:footnoteRef/>
      </w:r>
      <w:r>
        <w:rPr>
          <w:lang w:val="it-IT"/>
        </w:rPr>
        <w:tab/>
      </w:r>
      <w:r>
        <w:t>Като</w:t>
      </w:r>
      <w:r>
        <w:rPr>
          <w:lang w:val="it-IT"/>
        </w:rPr>
        <w:t xml:space="preserve"> </w:t>
      </w:r>
      <w:r>
        <w:t>например</w:t>
      </w:r>
      <w:r>
        <w:rPr>
          <w:lang w:val="it-IT"/>
        </w:rPr>
        <w:t xml:space="preserve"> </w:t>
      </w:r>
      <w:r>
        <w:t>Фонд</w:t>
      </w:r>
      <w:r>
        <w:rPr>
          <w:lang w:val="it-IT"/>
        </w:rPr>
        <w:t xml:space="preserve"> „</w:t>
      </w:r>
      <w:r>
        <w:t>Убежище</w:t>
      </w:r>
      <w:r>
        <w:rPr>
          <w:lang w:val="it-IT"/>
        </w:rPr>
        <w:t xml:space="preserve">, </w:t>
      </w:r>
      <w:r>
        <w:t>миграция</w:t>
      </w:r>
      <w:r>
        <w:rPr>
          <w:lang w:val="it-IT"/>
        </w:rPr>
        <w:t xml:space="preserve"> </w:t>
      </w:r>
      <w:r>
        <w:t>и</w:t>
      </w:r>
      <w:r>
        <w:rPr>
          <w:lang w:val="it-IT"/>
        </w:rPr>
        <w:t xml:space="preserve"> </w:t>
      </w:r>
      <w:r>
        <w:t>интеграция</w:t>
      </w:r>
      <w:r>
        <w:rPr>
          <w:lang w:val="it-IT"/>
        </w:rPr>
        <w:t xml:space="preserve">“, </w:t>
      </w:r>
      <w:r>
        <w:t>програмата</w:t>
      </w:r>
      <w:r>
        <w:rPr>
          <w:lang w:val="it-IT"/>
        </w:rPr>
        <w:t xml:space="preserve"> „</w:t>
      </w:r>
      <w:r>
        <w:t>Европа</w:t>
      </w:r>
      <w:r>
        <w:rPr>
          <w:lang w:val="it-IT"/>
        </w:rPr>
        <w:t xml:space="preserve"> </w:t>
      </w:r>
      <w:r>
        <w:t>за</w:t>
      </w:r>
      <w:r>
        <w:rPr>
          <w:lang w:val="it-IT"/>
        </w:rPr>
        <w:t xml:space="preserve"> </w:t>
      </w:r>
      <w:r>
        <w:t>гражданите</w:t>
      </w:r>
      <w:r>
        <w:rPr>
          <w:lang w:val="it-IT"/>
        </w:rPr>
        <w:t xml:space="preserve">“, </w:t>
      </w:r>
      <w:r>
        <w:t>Европейския</w:t>
      </w:r>
      <w:r>
        <w:rPr>
          <w:lang w:val="it-IT"/>
        </w:rPr>
        <w:t xml:space="preserve"> </w:t>
      </w:r>
      <w:r>
        <w:t>фонд</w:t>
      </w:r>
      <w:r>
        <w:rPr>
          <w:lang w:val="it-IT"/>
        </w:rPr>
        <w:t xml:space="preserve"> </w:t>
      </w:r>
      <w:r>
        <w:t>за</w:t>
      </w:r>
      <w:r>
        <w:rPr>
          <w:lang w:val="it-IT"/>
        </w:rPr>
        <w:t xml:space="preserve"> </w:t>
      </w:r>
      <w:r>
        <w:t>регионално</w:t>
      </w:r>
      <w:r>
        <w:rPr>
          <w:lang w:val="it-IT"/>
        </w:rPr>
        <w:t xml:space="preserve"> </w:t>
      </w:r>
      <w:r>
        <w:t>развитие</w:t>
      </w:r>
      <w:r>
        <w:rPr>
          <w:lang w:val="it-IT"/>
        </w:rPr>
        <w:t xml:space="preserve">, </w:t>
      </w:r>
      <w:r>
        <w:t>програмата</w:t>
      </w:r>
      <w:r>
        <w:rPr>
          <w:lang w:val="it-IT"/>
        </w:rPr>
        <w:t xml:space="preserve"> „</w:t>
      </w:r>
      <w:r>
        <w:t>Здраве</w:t>
      </w:r>
      <w:r>
        <w:rPr>
          <w:lang w:val="it-IT"/>
        </w:rPr>
        <w:t xml:space="preserve">“, </w:t>
      </w:r>
      <w:r>
        <w:t>като</w:t>
      </w:r>
      <w:r>
        <w:rPr>
          <w:lang w:val="it-IT"/>
        </w:rPr>
        <w:t xml:space="preserve"> </w:t>
      </w:r>
      <w:r>
        <w:t>този</w:t>
      </w:r>
      <w:r>
        <w:rPr>
          <w:lang w:val="it-IT"/>
        </w:rPr>
        <w:t xml:space="preserve"> </w:t>
      </w:r>
      <w:r>
        <w:t>списък</w:t>
      </w:r>
      <w:r>
        <w:rPr>
          <w:lang w:val="it-IT"/>
        </w:rPr>
        <w:t xml:space="preserve"> </w:t>
      </w:r>
      <w:r>
        <w:t>не</w:t>
      </w:r>
      <w:r>
        <w:rPr>
          <w:lang w:val="it-IT"/>
        </w:rPr>
        <w:t xml:space="preserve"> </w:t>
      </w:r>
      <w:r>
        <w:t>е</w:t>
      </w:r>
      <w:r>
        <w:rPr>
          <w:lang w:val="it-IT"/>
        </w:rPr>
        <w:t xml:space="preserve"> </w:t>
      </w:r>
      <w:r>
        <w:t>изчерпателен</w:t>
      </w:r>
      <w:r>
        <w:rPr>
          <w:lang w:val="it-IT"/>
        </w:rPr>
        <w:t>.</w:t>
      </w:r>
    </w:p>
  </w:footnote>
  <w:footnote w:id="12">
    <w:p w:rsidR="00222FCC" w:rsidRDefault="00FD122A">
      <w:pPr>
        <w:pStyle w:val="FootnoteText"/>
        <w:rPr>
          <w:lang w:val="nl-NL"/>
        </w:rPr>
      </w:pPr>
      <w:r>
        <w:rPr>
          <w:rStyle w:val="FootnoteReference"/>
        </w:rPr>
        <w:footnoteRef/>
      </w:r>
      <w:r>
        <w:rPr>
          <w:lang w:val="nl-NL"/>
        </w:rPr>
        <w:tab/>
        <w:t>http://ec.europa.eu/justice/fundamental-rights/charter/index_en.htm“ (2012/C 326/02) (</w:t>
      </w:r>
      <w:r>
        <w:t>ОВ</w:t>
      </w:r>
      <w:r>
        <w:rPr>
          <w:lang w:val="nl-NL"/>
        </w:rPr>
        <w:t xml:space="preserve"> C 326, 2</w:t>
      </w:r>
      <w:r>
        <w:rPr>
          <w:lang w:val="nl-NL"/>
        </w:rPr>
        <w:t>6.10.2012 </w:t>
      </w:r>
      <w:r>
        <w:t>г</w:t>
      </w:r>
      <w:r>
        <w:rPr>
          <w:lang w:val="nl-NL"/>
        </w:rPr>
        <w:t xml:space="preserve">., </w:t>
      </w:r>
      <w:proofErr w:type="spellStart"/>
      <w:r>
        <w:t>ст</w:t>
      </w:r>
      <w:proofErr w:type="spellEnd"/>
      <w:r>
        <w:rPr>
          <w:lang w:val="nl-NL"/>
        </w:rPr>
        <w:t>p. 391).</w:t>
      </w:r>
    </w:p>
  </w:footnote>
  <w:footnote w:id="13">
    <w:p w:rsidR="00222FCC" w:rsidRDefault="00FD122A">
      <w:pPr>
        <w:pStyle w:val="FootnoteText"/>
        <w:rPr>
          <w:lang w:val="nl-NL"/>
        </w:rPr>
      </w:pPr>
      <w:r>
        <w:rPr>
          <w:rStyle w:val="FootnoteReference"/>
        </w:rPr>
        <w:footnoteRef/>
      </w:r>
      <w:r>
        <w:rPr>
          <w:lang w:val="nl-NL"/>
        </w:rPr>
        <w:tab/>
      </w:r>
      <w:r>
        <w:t>Регламент</w:t>
      </w:r>
      <w:r>
        <w:rPr>
          <w:lang w:val="nl-NL"/>
        </w:rPr>
        <w:t> (</w:t>
      </w:r>
      <w:r>
        <w:t>ЕО</w:t>
      </w:r>
      <w:r>
        <w:rPr>
          <w:lang w:val="nl-NL"/>
        </w:rPr>
        <w:t xml:space="preserve">) № 58/2003 </w:t>
      </w:r>
      <w:r>
        <w:t>на</w:t>
      </w:r>
      <w:r>
        <w:rPr>
          <w:lang w:val="nl-NL"/>
        </w:rPr>
        <w:t xml:space="preserve"> </w:t>
      </w:r>
      <w:r>
        <w:t>Съвета</w:t>
      </w:r>
      <w:r>
        <w:rPr>
          <w:lang w:val="nl-NL"/>
        </w:rPr>
        <w:t xml:space="preserve"> </w:t>
      </w:r>
      <w:r>
        <w:t>от</w:t>
      </w:r>
      <w:r>
        <w:rPr>
          <w:lang w:val="nl-NL"/>
        </w:rPr>
        <w:t xml:space="preserve"> 19 </w:t>
      </w:r>
      <w:r>
        <w:t>декември</w:t>
      </w:r>
      <w:r>
        <w:rPr>
          <w:lang w:val="nl-NL"/>
        </w:rPr>
        <w:t> 2002 </w:t>
      </w:r>
      <w:r>
        <w:t>г</w:t>
      </w:r>
      <w:r>
        <w:rPr>
          <w:lang w:val="nl-NL"/>
        </w:rPr>
        <w:t xml:space="preserve">. </w:t>
      </w:r>
      <w:r>
        <w:t>относно</w:t>
      </w:r>
      <w:r>
        <w:rPr>
          <w:lang w:val="nl-NL"/>
        </w:rPr>
        <w:t xml:space="preserve"> </w:t>
      </w:r>
      <w:r>
        <w:t>установяването</w:t>
      </w:r>
      <w:r>
        <w:rPr>
          <w:lang w:val="nl-NL"/>
        </w:rPr>
        <w:t xml:space="preserve"> </w:t>
      </w:r>
      <w:r>
        <w:t>на</w:t>
      </w:r>
      <w:r>
        <w:rPr>
          <w:lang w:val="nl-NL"/>
        </w:rPr>
        <w:t xml:space="preserve"> </w:t>
      </w:r>
      <w:r>
        <w:t>статута</w:t>
      </w:r>
      <w:r>
        <w:rPr>
          <w:lang w:val="nl-NL"/>
        </w:rPr>
        <w:t xml:space="preserve"> </w:t>
      </w:r>
      <w:r>
        <w:t>на</w:t>
      </w:r>
      <w:r>
        <w:rPr>
          <w:lang w:val="nl-NL"/>
        </w:rPr>
        <w:t xml:space="preserve"> </w:t>
      </w:r>
      <w:r>
        <w:t>изпълнителните</w:t>
      </w:r>
      <w:r>
        <w:rPr>
          <w:lang w:val="nl-NL"/>
        </w:rPr>
        <w:t xml:space="preserve"> </w:t>
      </w:r>
      <w:r>
        <w:t>агенции</w:t>
      </w:r>
      <w:r>
        <w:rPr>
          <w:lang w:val="nl-NL"/>
        </w:rPr>
        <w:t xml:space="preserve">, </w:t>
      </w:r>
      <w:r>
        <w:t>отговарящи</w:t>
      </w:r>
      <w:r>
        <w:rPr>
          <w:lang w:val="nl-NL"/>
        </w:rPr>
        <w:t xml:space="preserve"> </w:t>
      </w:r>
      <w:r>
        <w:t>за</w:t>
      </w:r>
      <w:r>
        <w:rPr>
          <w:lang w:val="nl-NL"/>
        </w:rPr>
        <w:t xml:space="preserve"> </w:t>
      </w:r>
      <w:r>
        <w:t>някои</w:t>
      </w:r>
      <w:r>
        <w:rPr>
          <w:lang w:val="nl-NL"/>
        </w:rPr>
        <w:t xml:space="preserve"> </w:t>
      </w:r>
      <w:r>
        <w:t>задачи</w:t>
      </w:r>
      <w:r>
        <w:rPr>
          <w:lang w:val="nl-NL"/>
        </w:rPr>
        <w:t xml:space="preserve"> </w:t>
      </w:r>
      <w:r>
        <w:t>по</w:t>
      </w:r>
      <w:r>
        <w:rPr>
          <w:lang w:val="nl-NL"/>
        </w:rPr>
        <w:t xml:space="preserve"> </w:t>
      </w:r>
      <w:r>
        <w:t>управлението</w:t>
      </w:r>
      <w:r>
        <w:rPr>
          <w:lang w:val="nl-NL"/>
        </w:rPr>
        <w:t xml:space="preserve"> </w:t>
      </w:r>
      <w:r>
        <w:t>на</w:t>
      </w:r>
      <w:r>
        <w:rPr>
          <w:lang w:val="nl-NL"/>
        </w:rPr>
        <w:t xml:space="preserve"> </w:t>
      </w:r>
      <w:r>
        <w:t>програмите</w:t>
      </w:r>
      <w:r>
        <w:rPr>
          <w:lang w:val="nl-NL"/>
        </w:rPr>
        <w:t xml:space="preserve"> </w:t>
      </w:r>
      <w:r>
        <w:t>на</w:t>
      </w:r>
      <w:r>
        <w:rPr>
          <w:lang w:val="nl-NL"/>
        </w:rPr>
        <w:t xml:space="preserve"> </w:t>
      </w:r>
      <w:r>
        <w:t>Общността</w:t>
      </w:r>
      <w:r>
        <w:rPr>
          <w:lang w:val="nl-NL"/>
        </w:rPr>
        <w:t xml:space="preserve">, </w:t>
      </w:r>
      <w:r>
        <w:t>ОВ</w:t>
      </w:r>
      <w:r>
        <w:rPr>
          <w:lang w:val="nl-NL"/>
        </w:rPr>
        <w:t xml:space="preserve"> L 011, 16.1.2003 </w:t>
      </w:r>
      <w:r>
        <w:t>г</w:t>
      </w:r>
      <w:r>
        <w:rPr>
          <w:lang w:val="nl-NL"/>
        </w:rPr>
        <w:t xml:space="preserve">., </w:t>
      </w:r>
      <w:proofErr w:type="spellStart"/>
      <w:r>
        <w:t>стр</w:t>
      </w:r>
      <w:proofErr w:type="spellEnd"/>
      <w:r>
        <w:rPr>
          <w:lang w:val="nl-NL"/>
        </w:rPr>
        <w:t>. 1.</w:t>
      </w:r>
    </w:p>
  </w:footnote>
  <w:footnote w:id="14">
    <w:p w:rsidR="00222FCC" w:rsidRDefault="00FD122A">
      <w:pPr>
        <w:pStyle w:val="FootnoteText"/>
        <w:rPr>
          <w:lang w:val="nl-NL"/>
        </w:rPr>
      </w:pPr>
      <w:r>
        <w:rPr>
          <w:rStyle w:val="FootnoteReference"/>
        </w:rPr>
        <w:footnoteRef/>
      </w:r>
      <w:r>
        <w:rPr>
          <w:lang w:val="nl-NL"/>
        </w:rPr>
        <w:tab/>
      </w:r>
      <w:r>
        <w:t>Регламент</w:t>
      </w:r>
      <w:r>
        <w:rPr>
          <w:lang w:val="nl-NL"/>
        </w:rPr>
        <w:t> (</w:t>
      </w:r>
      <w:r>
        <w:t>ЕС</w:t>
      </w:r>
      <w:r>
        <w:rPr>
          <w:lang w:val="nl-NL"/>
        </w:rPr>
        <w:t xml:space="preserve">) № 182/2011 </w:t>
      </w:r>
      <w:r>
        <w:t>на</w:t>
      </w:r>
      <w:r>
        <w:rPr>
          <w:lang w:val="nl-NL"/>
        </w:rPr>
        <w:t xml:space="preserve"> </w:t>
      </w:r>
      <w:r>
        <w:t>Европейския</w:t>
      </w:r>
      <w:r>
        <w:rPr>
          <w:lang w:val="nl-NL"/>
        </w:rPr>
        <w:t xml:space="preserve"> </w:t>
      </w:r>
      <w:r>
        <w:t>парламент</w:t>
      </w:r>
      <w:r>
        <w:rPr>
          <w:lang w:val="nl-NL"/>
        </w:rPr>
        <w:t xml:space="preserve"> </w:t>
      </w:r>
      <w:r>
        <w:t>и</w:t>
      </w:r>
      <w:r>
        <w:rPr>
          <w:lang w:val="nl-NL"/>
        </w:rPr>
        <w:t xml:space="preserve"> </w:t>
      </w:r>
      <w:r>
        <w:t>на</w:t>
      </w:r>
      <w:r>
        <w:rPr>
          <w:lang w:val="nl-NL"/>
        </w:rPr>
        <w:t xml:space="preserve"> </w:t>
      </w:r>
      <w:r>
        <w:t>Съвета</w:t>
      </w:r>
      <w:r>
        <w:rPr>
          <w:lang w:val="nl-NL"/>
        </w:rPr>
        <w:t xml:space="preserve"> </w:t>
      </w:r>
      <w:r>
        <w:t>от</w:t>
      </w:r>
      <w:r>
        <w:rPr>
          <w:lang w:val="nl-NL"/>
        </w:rPr>
        <w:t xml:space="preserve"> 16 </w:t>
      </w:r>
      <w:r>
        <w:t>февруари</w:t>
      </w:r>
      <w:r>
        <w:rPr>
          <w:lang w:val="nl-NL"/>
        </w:rPr>
        <w:t> 2011 </w:t>
      </w:r>
      <w:r>
        <w:t>г</w:t>
      </w:r>
      <w:r>
        <w:rPr>
          <w:lang w:val="nl-NL"/>
        </w:rPr>
        <w:t xml:space="preserve">. </w:t>
      </w:r>
      <w:r>
        <w:t>за</w:t>
      </w:r>
      <w:r>
        <w:rPr>
          <w:lang w:val="nl-NL"/>
        </w:rPr>
        <w:t xml:space="preserve"> </w:t>
      </w:r>
      <w:r>
        <w:t>установяване</w:t>
      </w:r>
      <w:r>
        <w:rPr>
          <w:lang w:val="nl-NL"/>
        </w:rPr>
        <w:t xml:space="preserve"> </w:t>
      </w:r>
      <w:r>
        <w:t>на</w:t>
      </w:r>
      <w:r>
        <w:rPr>
          <w:lang w:val="nl-NL"/>
        </w:rPr>
        <w:t xml:space="preserve"> </w:t>
      </w:r>
      <w:r>
        <w:t>общите</w:t>
      </w:r>
      <w:r>
        <w:rPr>
          <w:lang w:val="nl-NL"/>
        </w:rPr>
        <w:t xml:space="preserve"> </w:t>
      </w:r>
      <w:r>
        <w:t>правила</w:t>
      </w:r>
      <w:r>
        <w:rPr>
          <w:lang w:val="nl-NL"/>
        </w:rPr>
        <w:t xml:space="preserve"> </w:t>
      </w:r>
      <w:r>
        <w:t>и</w:t>
      </w:r>
      <w:r>
        <w:rPr>
          <w:lang w:val="nl-NL"/>
        </w:rPr>
        <w:t xml:space="preserve"> </w:t>
      </w:r>
      <w:r>
        <w:t>принципи</w:t>
      </w:r>
      <w:r>
        <w:rPr>
          <w:lang w:val="nl-NL"/>
        </w:rPr>
        <w:t xml:space="preserve"> </w:t>
      </w:r>
      <w:r>
        <w:t>относно</w:t>
      </w:r>
      <w:r>
        <w:rPr>
          <w:lang w:val="nl-NL"/>
        </w:rPr>
        <w:t xml:space="preserve"> </w:t>
      </w:r>
      <w:r>
        <w:t>реда</w:t>
      </w:r>
      <w:r>
        <w:rPr>
          <w:lang w:val="nl-NL"/>
        </w:rPr>
        <w:t xml:space="preserve"> </w:t>
      </w:r>
      <w:r>
        <w:t>и</w:t>
      </w:r>
      <w:r>
        <w:rPr>
          <w:lang w:val="nl-NL"/>
        </w:rPr>
        <w:t xml:space="preserve"> </w:t>
      </w:r>
      <w:r>
        <w:t>условията</w:t>
      </w:r>
      <w:r>
        <w:rPr>
          <w:lang w:val="nl-NL"/>
        </w:rPr>
        <w:t xml:space="preserve"> </w:t>
      </w:r>
      <w:r>
        <w:t>за</w:t>
      </w:r>
      <w:r>
        <w:rPr>
          <w:lang w:val="nl-NL"/>
        </w:rPr>
        <w:t xml:space="preserve"> </w:t>
      </w:r>
      <w:r>
        <w:t>контрол</w:t>
      </w:r>
      <w:r>
        <w:rPr>
          <w:lang w:val="nl-NL"/>
        </w:rPr>
        <w:t xml:space="preserve"> </w:t>
      </w:r>
      <w:r>
        <w:t>от</w:t>
      </w:r>
      <w:r>
        <w:rPr>
          <w:lang w:val="nl-NL"/>
        </w:rPr>
        <w:t xml:space="preserve"> </w:t>
      </w:r>
      <w:r>
        <w:t>страна</w:t>
      </w:r>
      <w:r>
        <w:rPr>
          <w:lang w:val="nl-NL"/>
        </w:rPr>
        <w:t xml:space="preserve"> </w:t>
      </w:r>
      <w:r>
        <w:t>на</w:t>
      </w:r>
      <w:r>
        <w:rPr>
          <w:lang w:val="nl-NL"/>
        </w:rPr>
        <w:t xml:space="preserve"> </w:t>
      </w:r>
      <w:r>
        <w:t>държавите</w:t>
      </w:r>
      <w:r>
        <w:rPr>
          <w:lang w:val="nl-NL"/>
        </w:rPr>
        <w:t xml:space="preserve"> </w:t>
      </w:r>
      <w:r>
        <w:t>членки</w:t>
      </w:r>
      <w:r>
        <w:rPr>
          <w:lang w:val="nl-NL"/>
        </w:rPr>
        <w:t xml:space="preserve"> </w:t>
      </w:r>
      <w:r>
        <w:t>върху</w:t>
      </w:r>
      <w:r>
        <w:rPr>
          <w:lang w:val="nl-NL"/>
        </w:rPr>
        <w:t xml:space="preserve"> </w:t>
      </w:r>
      <w:r>
        <w:t>упражняването</w:t>
      </w:r>
      <w:r>
        <w:rPr>
          <w:lang w:val="nl-NL"/>
        </w:rPr>
        <w:t xml:space="preserve"> </w:t>
      </w:r>
      <w:r>
        <w:t>на</w:t>
      </w:r>
      <w:r>
        <w:rPr>
          <w:lang w:val="nl-NL"/>
        </w:rPr>
        <w:t xml:space="preserve"> </w:t>
      </w:r>
      <w:r>
        <w:t>изпълнителните</w:t>
      </w:r>
      <w:r>
        <w:rPr>
          <w:lang w:val="nl-NL"/>
        </w:rPr>
        <w:t xml:space="preserve"> </w:t>
      </w:r>
      <w:r>
        <w:t>правомощия</w:t>
      </w:r>
      <w:r>
        <w:rPr>
          <w:lang w:val="nl-NL"/>
        </w:rPr>
        <w:t xml:space="preserve"> </w:t>
      </w:r>
      <w:r>
        <w:t>от</w:t>
      </w:r>
      <w:r>
        <w:rPr>
          <w:lang w:val="nl-NL"/>
        </w:rPr>
        <w:t xml:space="preserve"> </w:t>
      </w:r>
      <w:r>
        <w:t>страна</w:t>
      </w:r>
      <w:r>
        <w:rPr>
          <w:lang w:val="nl-NL"/>
        </w:rPr>
        <w:t xml:space="preserve"> </w:t>
      </w:r>
      <w:r>
        <w:t>на</w:t>
      </w:r>
      <w:r>
        <w:rPr>
          <w:lang w:val="nl-NL"/>
        </w:rPr>
        <w:t xml:space="preserve"> </w:t>
      </w:r>
      <w:r>
        <w:t>Комисията</w:t>
      </w:r>
      <w:r>
        <w:rPr>
          <w:lang w:val="nl-NL"/>
        </w:rPr>
        <w:t xml:space="preserve">, </w:t>
      </w:r>
      <w:r>
        <w:t>ОВ</w:t>
      </w:r>
      <w:r>
        <w:rPr>
          <w:lang w:val="nl-NL"/>
        </w:rPr>
        <w:t xml:space="preserve"> L 55, 28.2.2011 </w:t>
      </w:r>
      <w:r>
        <w:t>г</w:t>
      </w:r>
      <w:r>
        <w:rPr>
          <w:lang w:val="nl-NL"/>
        </w:rPr>
        <w:t xml:space="preserve">., </w:t>
      </w:r>
      <w:proofErr w:type="spellStart"/>
      <w:r>
        <w:t>стр</w:t>
      </w:r>
      <w:proofErr w:type="spellEnd"/>
      <w:r>
        <w:rPr>
          <w:lang w:val="nl-NL"/>
        </w:rPr>
        <w:t>. 13.</w:t>
      </w:r>
    </w:p>
  </w:footnote>
  <w:footnote w:id="15">
    <w:p w:rsidR="00222FCC" w:rsidRDefault="00FD122A">
      <w:pPr>
        <w:pStyle w:val="FootnoteText"/>
        <w:rPr>
          <w:lang w:val="nl-NL"/>
        </w:rPr>
      </w:pPr>
      <w:r>
        <w:rPr>
          <w:rStyle w:val="FootnoteReference"/>
        </w:rPr>
        <w:footnoteRef/>
      </w:r>
      <w:r>
        <w:rPr>
          <w:lang w:val="nl-NL"/>
        </w:rPr>
        <w:tab/>
      </w:r>
      <w:r>
        <w:t>ОВ</w:t>
      </w:r>
      <w:r>
        <w:rPr>
          <w:lang w:val="nl-NL"/>
        </w:rPr>
        <w:t xml:space="preserve"> C […], […] </w:t>
      </w:r>
      <w:r>
        <w:t>г</w:t>
      </w:r>
      <w:r>
        <w:rPr>
          <w:lang w:val="nl-NL"/>
        </w:rPr>
        <w:t xml:space="preserve">., </w:t>
      </w:r>
      <w:proofErr w:type="spellStart"/>
      <w:r>
        <w:t>стр</w:t>
      </w:r>
      <w:proofErr w:type="spellEnd"/>
      <w:r>
        <w:rPr>
          <w:lang w:val="nl-NL"/>
        </w:rPr>
        <w:t>. […].</w:t>
      </w:r>
    </w:p>
  </w:footnote>
  <w:footnote w:id="16">
    <w:p w:rsidR="00222FCC" w:rsidRDefault="00FD122A">
      <w:pPr>
        <w:pStyle w:val="FootnoteText"/>
        <w:rPr>
          <w:lang w:val="nl-NL"/>
        </w:rPr>
      </w:pPr>
      <w:r>
        <w:rPr>
          <w:rStyle w:val="FootnoteReference"/>
        </w:rPr>
        <w:footnoteRef/>
      </w:r>
      <w:r>
        <w:rPr>
          <w:lang w:val="nl-NL"/>
        </w:rPr>
        <w:tab/>
      </w:r>
      <w:r>
        <w:t>ОВ</w:t>
      </w:r>
      <w:r>
        <w:rPr>
          <w:lang w:val="nl-NL"/>
        </w:rPr>
        <w:t xml:space="preserve"> C […], […] </w:t>
      </w:r>
      <w:r>
        <w:t>г</w:t>
      </w:r>
      <w:r>
        <w:rPr>
          <w:lang w:val="nl-NL"/>
        </w:rPr>
        <w:t xml:space="preserve">., </w:t>
      </w:r>
      <w:proofErr w:type="spellStart"/>
      <w:r>
        <w:t>стр</w:t>
      </w:r>
      <w:proofErr w:type="spellEnd"/>
      <w:r>
        <w:rPr>
          <w:lang w:val="nl-NL"/>
        </w:rPr>
        <w:t>. […].</w:t>
      </w:r>
    </w:p>
  </w:footnote>
  <w:footnote w:id="17">
    <w:p w:rsidR="00222FCC" w:rsidRDefault="00FD122A">
      <w:pPr>
        <w:pStyle w:val="FootnoteText"/>
        <w:rPr>
          <w:lang w:val="nl-NL"/>
        </w:rPr>
      </w:pPr>
      <w:r>
        <w:rPr>
          <w:rStyle w:val="FootnoteReference"/>
        </w:rPr>
        <w:footnoteRef/>
      </w:r>
      <w:r>
        <w:rPr>
          <w:lang w:val="nl-NL"/>
        </w:rPr>
        <w:tab/>
      </w:r>
      <w:r>
        <w:t>Позиция</w:t>
      </w:r>
      <w:r>
        <w:rPr>
          <w:lang w:val="nl-NL"/>
        </w:rPr>
        <w:t xml:space="preserve"> </w:t>
      </w:r>
      <w:r>
        <w:t>на</w:t>
      </w:r>
      <w:r>
        <w:rPr>
          <w:lang w:val="nl-NL"/>
        </w:rPr>
        <w:t xml:space="preserve"> </w:t>
      </w:r>
      <w:r>
        <w:t>Европейския</w:t>
      </w:r>
      <w:r>
        <w:rPr>
          <w:lang w:val="nl-NL"/>
        </w:rPr>
        <w:t xml:space="preserve"> </w:t>
      </w:r>
      <w:r>
        <w:t>парламент</w:t>
      </w:r>
      <w:r>
        <w:rPr>
          <w:lang w:val="nl-NL"/>
        </w:rPr>
        <w:t xml:space="preserve"> </w:t>
      </w:r>
      <w:r>
        <w:t>от</w:t>
      </w:r>
      <w:r>
        <w:rPr>
          <w:lang w:val="nl-NL"/>
        </w:rPr>
        <w:t xml:space="preserve"> [...] </w:t>
      </w:r>
      <w:r>
        <w:t>г</w:t>
      </w:r>
      <w:r>
        <w:rPr>
          <w:lang w:val="nl-NL"/>
        </w:rPr>
        <w:t>. (</w:t>
      </w:r>
      <w:r>
        <w:t>все</w:t>
      </w:r>
      <w:r>
        <w:rPr>
          <w:lang w:val="nl-NL"/>
        </w:rPr>
        <w:t xml:space="preserve"> </w:t>
      </w:r>
      <w:r>
        <w:t>още</w:t>
      </w:r>
      <w:r>
        <w:rPr>
          <w:lang w:val="nl-NL"/>
        </w:rPr>
        <w:t xml:space="preserve"> </w:t>
      </w:r>
      <w:r>
        <w:t>непубликувана</w:t>
      </w:r>
      <w:r>
        <w:rPr>
          <w:lang w:val="nl-NL"/>
        </w:rPr>
        <w:t xml:space="preserve"> </w:t>
      </w:r>
      <w:r>
        <w:t>в</w:t>
      </w:r>
      <w:r>
        <w:rPr>
          <w:lang w:val="nl-NL"/>
        </w:rPr>
        <w:t xml:space="preserve"> </w:t>
      </w:r>
      <w:r>
        <w:t>Официален</w:t>
      </w:r>
      <w:r>
        <w:rPr>
          <w:lang w:val="nl-NL"/>
        </w:rPr>
        <w:t xml:space="preserve"> </w:t>
      </w:r>
      <w:r>
        <w:t>вестник</w:t>
      </w:r>
      <w:r>
        <w:rPr>
          <w:lang w:val="nl-NL"/>
        </w:rPr>
        <w:t xml:space="preserve">) </w:t>
      </w:r>
      <w:r>
        <w:t>и</w:t>
      </w:r>
      <w:r>
        <w:rPr>
          <w:lang w:val="nl-NL"/>
        </w:rPr>
        <w:t xml:space="preserve"> </w:t>
      </w:r>
      <w:r>
        <w:t>решение</w:t>
      </w:r>
      <w:r>
        <w:rPr>
          <w:lang w:val="nl-NL"/>
        </w:rPr>
        <w:t xml:space="preserve"> </w:t>
      </w:r>
      <w:r>
        <w:t>на</w:t>
      </w:r>
      <w:r>
        <w:rPr>
          <w:lang w:val="nl-NL"/>
        </w:rPr>
        <w:t xml:space="preserve"> </w:t>
      </w:r>
      <w:r>
        <w:t>Съвета</w:t>
      </w:r>
      <w:r>
        <w:rPr>
          <w:lang w:val="nl-NL"/>
        </w:rPr>
        <w:t xml:space="preserve"> </w:t>
      </w:r>
      <w:r>
        <w:t>от</w:t>
      </w:r>
      <w:r>
        <w:rPr>
          <w:lang w:val="nl-NL"/>
        </w:rPr>
        <w:t xml:space="preserve"> [...] </w:t>
      </w:r>
      <w:r>
        <w:t>г</w:t>
      </w:r>
      <w:r>
        <w:rPr>
          <w:lang w:val="nl-NL"/>
        </w:rPr>
        <w:t>. (</w:t>
      </w:r>
      <w:r>
        <w:t>все</w:t>
      </w:r>
      <w:r>
        <w:rPr>
          <w:lang w:val="nl-NL"/>
        </w:rPr>
        <w:t xml:space="preserve"> </w:t>
      </w:r>
      <w:r>
        <w:t>още</w:t>
      </w:r>
      <w:r>
        <w:rPr>
          <w:lang w:val="nl-NL"/>
        </w:rPr>
        <w:t xml:space="preserve"> </w:t>
      </w:r>
      <w:r>
        <w:t>непубликувано</w:t>
      </w:r>
      <w:r>
        <w:rPr>
          <w:lang w:val="nl-NL"/>
        </w:rPr>
        <w:t xml:space="preserve"> </w:t>
      </w:r>
      <w:r>
        <w:t>в</w:t>
      </w:r>
      <w:r>
        <w:rPr>
          <w:lang w:val="nl-NL"/>
        </w:rPr>
        <w:t xml:space="preserve"> </w:t>
      </w:r>
      <w:r>
        <w:t>Оф</w:t>
      </w:r>
      <w:r>
        <w:t>ициален</w:t>
      </w:r>
      <w:r>
        <w:rPr>
          <w:lang w:val="nl-NL"/>
        </w:rPr>
        <w:t xml:space="preserve"> </w:t>
      </w:r>
      <w:r>
        <w:t>вестник</w:t>
      </w:r>
      <w:r>
        <w:rPr>
          <w:lang w:val="nl-NL"/>
        </w:rPr>
        <w:t>),</w:t>
      </w:r>
    </w:p>
  </w:footnote>
  <w:footnote w:id="18">
    <w:p w:rsidR="00222FCC" w:rsidRDefault="00FD122A">
      <w:pPr>
        <w:pStyle w:val="FootnoteText"/>
        <w:rPr>
          <w:lang w:val="nl-NL"/>
        </w:rPr>
      </w:pPr>
      <w:r>
        <w:rPr>
          <w:rStyle w:val="FootnoteReference"/>
        </w:rPr>
        <w:footnoteRef/>
      </w:r>
      <w:r>
        <w:rPr>
          <w:lang w:val="nl-NL"/>
        </w:rPr>
        <w:tab/>
      </w:r>
      <w:r>
        <w:t>Обръщение</w:t>
      </w:r>
      <w:r>
        <w:rPr>
          <w:lang w:val="nl-NL"/>
        </w:rPr>
        <w:t xml:space="preserve"> </w:t>
      </w:r>
      <w:r>
        <w:t>за</w:t>
      </w:r>
      <w:r>
        <w:rPr>
          <w:lang w:val="nl-NL"/>
        </w:rPr>
        <w:t xml:space="preserve"> </w:t>
      </w:r>
      <w:r>
        <w:t>състоянието</w:t>
      </w:r>
      <w:r>
        <w:rPr>
          <w:lang w:val="nl-NL"/>
        </w:rPr>
        <w:t xml:space="preserve"> </w:t>
      </w:r>
      <w:r>
        <w:t>на</w:t>
      </w:r>
      <w:r>
        <w:rPr>
          <w:lang w:val="nl-NL"/>
        </w:rPr>
        <w:t xml:space="preserve"> </w:t>
      </w:r>
      <w:r>
        <w:t>Съюза</w:t>
      </w:r>
      <w:r>
        <w:rPr>
          <w:lang w:val="nl-NL"/>
        </w:rPr>
        <w:t xml:space="preserve"> 2016 </w:t>
      </w:r>
      <w:r>
        <w:t>г</w:t>
      </w:r>
      <w:r>
        <w:rPr>
          <w:lang w:val="nl-NL"/>
        </w:rPr>
        <w:t xml:space="preserve">.: </w:t>
      </w:r>
      <w:r>
        <w:t>Към</w:t>
      </w:r>
      <w:r>
        <w:rPr>
          <w:lang w:val="nl-NL"/>
        </w:rPr>
        <w:t xml:space="preserve"> </w:t>
      </w:r>
      <w:r>
        <w:t>по</w:t>
      </w:r>
      <w:r>
        <w:rPr>
          <w:lang w:val="nl-NL"/>
        </w:rPr>
        <w:t>-</w:t>
      </w:r>
      <w:r>
        <w:t>добра</w:t>
      </w:r>
      <w:r>
        <w:rPr>
          <w:lang w:val="nl-NL"/>
        </w:rPr>
        <w:t xml:space="preserve"> </w:t>
      </w:r>
      <w:r>
        <w:t>Европа</w:t>
      </w:r>
      <w:r>
        <w:rPr>
          <w:lang w:val="nl-NL"/>
        </w:rPr>
        <w:t xml:space="preserve"> — </w:t>
      </w:r>
      <w:r>
        <w:t>Европа</w:t>
      </w:r>
      <w:r>
        <w:rPr>
          <w:lang w:val="nl-NL"/>
        </w:rPr>
        <w:t xml:space="preserve">, </w:t>
      </w:r>
      <w:r>
        <w:t>която</w:t>
      </w:r>
      <w:r>
        <w:rPr>
          <w:lang w:val="nl-NL"/>
        </w:rPr>
        <w:t xml:space="preserve"> </w:t>
      </w:r>
      <w:r>
        <w:t>закриля</w:t>
      </w:r>
      <w:r>
        <w:rPr>
          <w:lang w:val="nl-NL"/>
        </w:rPr>
        <w:t xml:space="preserve">, </w:t>
      </w:r>
      <w:r>
        <w:t>предоставя</w:t>
      </w:r>
      <w:r>
        <w:rPr>
          <w:lang w:val="nl-NL"/>
        </w:rPr>
        <w:t xml:space="preserve"> </w:t>
      </w:r>
      <w:r>
        <w:t>възможности</w:t>
      </w:r>
      <w:r>
        <w:rPr>
          <w:lang w:val="nl-NL"/>
        </w:rPr>
        <w:t xml:space="preserve"> </w:t>
      </w:r>
      <w:r>
        <w:t>и</w:t>
      </w:r>
      <w:r>
        <w:rPr>
          <w:lang w:val="nl-NL"/>
        </w:rPr>
        <w:t xml:space="preserve"> </w:t>
      </w:r>
      <w:r>
        <w:t>защитава</w:t>
      </w:r>
      <w:r>
        <w:rPr>
          <w:lang w:val="nl-NL"/>
        </w:rPr>
        <w:t>, IP/16/3042 (http://europa.eu/</w:t>
      </w:r>
      <w:proofErr w:type="spellStart"/>
      <w:r>
        <w:rPr>
          <w:lang w:val="nl-NL"/>
        </w:rPr>
        <w:t>rapid</w:t>
      </w:r>
      <w:proofErr w:type="spellEnd"/>
      <w:r>
        <w:rPr>
          <w:lang w:val="nl-NL"/>
        </w:rPr>
        <w:t>/press-release_IP-16-3042_en.htm).</w:t>
      </w:r>
    </w:p>
  </w:footnote>
  <w:footnote w:id="19">
    <w:p w:rsidR="00222FCC" w:rsidRDefault="00FD122A">
      <w:pPr>
        <w:pStyle w:val="FootnoteText"/>
        <w:rPr>
          <w:lang w:val="nl-NL"/>
        </w:rPr>
      </w:pPr>
      <w:r>
        <w:rPr>
          <w:rStyle w:val="FootnoteReference"/>
        </w:rPr>
        <w:footnoteRef/>
      </w:r>
      <w:r>
        <w:rPr>
          <w:lang w:val="nl-NL"/>
        </w:rPr>
        <w:tab/>
      </w:r>
      <w:r>
        <w:t>Съобщение</w:t>
      </w:r>
      <w:r>
        <w:rPr>
          <w:lang w:val="nl-NL"/>
        </w:rPr>
        <w:t xml:space="preserve"> </w:t>
      </w:r>
      <w:r>
        <w:t>на</w:t>
      </w:r>
      <w:r>
        <w:rPr>
          <w:lang w:val="nl-NL"/>
        </w:rPr>
        <w:t xml:space="preserve"> </w:t>
      </w:r>
      <w:r>
        <w:t>Комисията</w:t>
      </w:r>
      <w:r>
        <w:rPr>
          <w:lang w:val="nl-NL"/>
        </w:rPr>
        <w:t xml:space="preserve"> </w:t>
      </w:r>
      <w:r>
        <w:t>до</w:t>
      </w:r>
      <w:r>
        <w:rPr>
          <w:lang w:val="nl-NL"/>
        </w:rPr>
        <w:t xml:space="preserve"> </w:t>
      </w:r>
      <w:r>
        <w:t>Европейския</w:t>
      </w:r>
      <w:r>
        <w:rPr>
          <w:lang w:val="nl-NL"/>
        </w:rPr>
        <w:t xml:space="preserve"> </w:t>
      </w:r>
      <w:r>
        <w:t>парламент</w:t>
      </w:r>
      <w:r>
        <w:rPr>
          <w:lang w:val="nl-NL"/>
        </w:rPr>
        <w:t xml:space="preserve">, </w:t>
      </w:r>
      <w:r>
        <w:t>Съвета</w:t>
      </w:r>
      <w:r>
        <w:rPr>
          <w:lang w:val="nl-NL"/>
        </w:rPr>
        <w:t xml:space="preserve">, </w:t>
      </w:r>
      <w:r>
        <w:t>Икономическия</w:t>
      </w:r>
      <w:r>
        <w:rPr>
          <w:lang w:val="nl-NL"/>
        </w:rPr>
        <w:t xml:space="preserve"> </w:t>
      </w:r>
      <w:r>
        <w:t>и</w:t>
      </w:r>
      <w:r>
        <w:rPr>
          <w:lang w:val="nl-NL"/>
        </w:rPr>
        <w:t xml:space="preserve"> </w:t>
      </w:r>
      <w:r>
        <w:t>социален</w:t>
      </w:r>
      <w:r>
        <w:rPr>
          <w:lang w:val="nl-NL"/>
        </w:rPr>
        <w:t xml:space="preserve"> </w:t>
      </w:r>
      <w:r>
        <w:t>комитет</w:t>
      </w:r>
      <w:r>
        <w:rPr>
          <w:lang w:val="nl-NL"/>
        </w:rPr>
        <w:t xml:space="preserve"> </w:t>
      </w:r>
      <w:r>
        <w:t>и</w:t>
      </w:r>
      <w:r>
        <w:rPr>
          <w:lang w:val="nl-NL"/>
        </w:rPr>
        <w:t xml:space="preserve"> </w:t>
      </w:r>
      <w:r>
        <w:t>Комитета</w:t>
      </w:r>
      <w:r>
        <w:rPr>
          <w:lang w:val="nl-NL"/>
        </w:rPr>
        <w:t xml:space="preserve"> </w:t>
      </w:r>
      <w:r>
        <w:t>на</w:t>
      </w:r>
      <w:r>
        <w:rPr>
          <w:lang w:val="nl-NL"/>
        </w:rPr>
        <w:t xml:space="preserve"> </w:t>
      </w:r>
      <w:r>
        <w:t>регионите</w:t>
      </w:r>
      <w:r>
        <w:rPr>
          <w:lang w:val="nl-NL"/>
        </w:rPr>
        <w:t xml:space="preserve"> „</w:t>
      </w:r>
      <w:r>
        <w:t>Европейски</w:t>
      </w:r>
      <w:r>
        <w:rPr>
          <w:lang w:val="nl-NL"/>
        </w:rPr>
        <w:t xml:space="preserve"> </w:t>
      </w:r>
      <w:r>
        <w:t>корпус</w:t>
      </w:r>
      <w:r>
        <w:rPr>
          <w:lang w:val="nl-NL"/>
        </w:rPr>
        <w:t xml:space="preserve"> </w:t>
      </w:r>
      <w:r>
        <w:t>за</w:t>
      </w:r>
      <w:r>
        <w:rPr>
          <w:lang w:val="nl-NL"/>
        </w:rPr>
        <w:t xml:space="preserve"> </w:t>
      </w:r>
      <w:r>
        <w:t>солидарност</w:t>
      </w:r>
      <w:r>
        <w:rPr>
          <w:lang w:val="nl-NL"/>
        </w:rPr>
        <w:t xml:space="preserve">“, COM(2016) 942 </w:t>
      </w:r>
      <w:proofErr w:type="spellStart"/>
      <w:r>
        <w:rPr>
          <w:lang w:val="nl-NL"/>
        </w:rPr>
        <w:t>final</w:t>
      </w:r>
      <w:proofErr w:type="spellEnd"/>
      <w:r>
        <w:rPr>
          <w:lang w:val="nl-NL"/>
        </w:rPr>
        <w:t xml:space="preserve"> </w:t>
      </w:r>
      <w:r>
        <w:t>от</w:t>
      </w:r>
      <w:r>
        <w:rPr>
          <w:lang w:val="nl-NL"/>
        </w:rPr>
        <w:t xml:space="preserve"> 7.12.2016 </w:t>
      </w:r>
      <w:r>
        <w:t>г</w:t>
      </w:r>
      <w:r>
        <w:rPr>
          <w:lang w:val="nl-NL"/>
        </w:rPr>
        <w:t>.</w:t>
      </w:r>
    </w:p>
  </w:footnote>
  <w:footnote w:id="20">
    <w:p w:rsidR="00222FCC" w:rsidRDefault="00FD122A">
      <w:pPr>
        <w:pStyle w:val="FootnoteText"/>
        <w:rPr>
          <w:lang w:val="nl-NL"/>
        </w:rPr>
      </w:pPr>
      <w:r>
        <w:rPr>
          <w:rStyle w:val="FootnoteReference"/>
        </w:rPr>
        <w:footnoteRef/>
      </w:r>
      <w:r>
        <w:rPr>
          <w:lang w:val="nl-NL"/>
        </w:rPr>
        <w:tab/>
      </w:r>
      <w:r>
        <w:t>Препоръка</w:t>
      </w:r>
      <w:r>
        <w:rPr>
          <w:lang w:val="nl-NL"/>
        </w:rPr>
        <w:t xml:space="preserve"> </w:t>
      </w:r>
      <w:r>
        <w:t>на</w:t>
      </w:r>
      <w:r>
        <w:rPr>
          <w:lang w:val="nl-NL"/>
        </w:rPr>
        <w:t xml:space="preserve"> </w:t>
      </w:r>
      <w:r>
        <w:t>Съвета</w:t>
      </w:r>
      <w:r>
        <w:rPr>
          <w:lang w:val="nl-NL"/>
        </w:rPr>
        <w:t xml:space="preserve"> </w:t>
      </w:r>
      <w:r>
        <w:t>от</w:t>
      </w:r>
      <w:r>
        <w:rPr>
          <w:lang w:val="nl-NL"/>
        </w:rPr>
        <w:t xml:space="preserve"> 22 </w:t>
      </w:r>
      <w:r>
        <w:t>април</w:t>
      </w:r>
      <w:r>
        <w:rPr>
          <w:lang w:val="nl-NL"/>
        </w:rPr>
        <w:t> 2013 </w:t>
      </w:r>
      <w:r>
        <w:t>г</w:t>
      </w:r>
      <w:r>
        <w:rPr>
          <w:lang w:val="nl-NL"/>
        </w:rPr>
        <w:t xml:space="preserve">. </w:t>
      </w:r>
      <w:r>
        <w:t>за</w:t>
      </w:r>
      <w:r>
        <w:rPr>
          <w:lang w:val="nl-NL"/>
        </w:rPr>
        <w:t xml:space="preserve"> </w:t>
      </w:r>
      <w:r>
        <w:t>създаване</w:t>
      </w:r>
      <w:r>
        <w:rPr>
          <w:lang w:val="nl-NL"/>
        </w:rPr>
        <w:t xml:space="preserve"> </w:t>
      </w:r>
      <w:r>
        <w:t>на</w:t>
      </w:r>
      <w:r>
        <w:rPr>
          <w:lang w:val="nl-NL"/>
        </w:rPr>
        <w:t xml:space="preserve"> „</w:t>
      </w:r>
      <w:r>
        <w:t>Гаранция</w:t>
      </w:r>
      <w:r>
        <w:rPr>
          <w:lang w:val="nl-NL"/>
        </w:rPr>
        <w:t xml:space="preserve"> </w:t>
      </w:r>
      <w:r>
        <w:t>за</w:t>
      </w:r>
      <w:r>
        <w:rPr>
          <w:lang w:val="nl-NL"/>
        </w:rPr>
        <w:t xml:space="preserve"> </w:t>
      </w:r>
      <w:proofErr w:type="spellStart"/>
      <w:r>
        <w:t>младежта</w:t>
      </w:r>
      <w:proofErr w:type="spellEnd"/>
      <w:r>
        <w:rPr>
          <w:lang w:val="nl-NL"/>
        </w:rPr>
        <w:t>“ (2013/C 120/01).</w:t>
      </w:r>
    </w:p>
  </w:footnote>
  <w:footnote w:id="21">
    <w:p w:rsidR="00222FCC" w:rsidRDefault="00FD122A">
      <w:pPr>
        <w:pStyle w:val="FootnoteText"/>
        <w:rPr>
          <w:lang w:val="nl-NL"/>
        </w:rPr>
      </w:pPr>
      <w:r>
        <w:rPr>
          <w:rStyle w:val="FootnoteReference"/>
        </w:rPr>
        <w:footnoteRef/>
      </w:r>
      <w:r>
        <w:rPr>
          <w:lang w:val="nl-NL"/>
        </w:rPr>
        <w:tab/>
      </w:r>
      <w:r>
        <w:t>Регламент</w:t>
      </w:r>
      <w:r>
        <w:rPr>
          <w:lang w:val="nl-NL"/>
        </w:rPr>
        <w:t> (</w:t>
      </w:r>
      <w:r>
        <w:t>ЕС</w:t>
      </w:r>
      <w:r>
        <w:rPr>
          <w:lang w:val="nl-NL"/>
        </w:rPr>
        <w:t xml:space="preserve">) № 1288/2013 </w:t>
      </w:r>
      <w:r>
        <w:t>на</w:t>
      </w:r>
      <w:r>
        <w:rPr>
          <w:lang w:val="nl-NL"/>
        </w:rPr>
        <w:t xml:space="preserve"> </w:t>
      </w:r>
      <w:r>
        <w:t>Европейския</w:t>
      </w:r>
      <w:r>
        <w:rPr>
          <w:lang w:val="nl-NL"/>
        </w:rPr>
        <w:t xml:space="preserve"> </w:t>
      </w:r>
      <w:r>
        <w:t>парламент</w:t>
      </w:r>
      <w:r>
        <w:rPr>
          <w:lang w:val="nl-NL"/>
        </w:rPr>
        <w:t xml:space="preserve"> </w:t>
      </w:r>
      <w:r>
        <w:t>и</w:t>
      </w:r>
      <w:r>
        <w:rPr>
          <w:lang w:val="nl-NL"/>
        </w:rPr>
        <w:t xml:space="preserve"> </w:t>
      </w:r>
      <w:r>
        <w:t>на</w:t>
      </w:r>
      <w:r>
        <w:rPr>
          <w:lang w:val="nl-NL"/>
        </w:rPr>
        <w:t xml:space="preserve"> </w:t>
      </w:r>
      <w:r>
        <w:t>Съвета</w:t>
      </w:r>
      <w:r>
        <w:rPr>
          <w:lang w:val="nl-NL"/>
        </w:rPr>
        <w:t xml:space="preserve"> </w:t>
      </w:r>
      <w:r>
        <w:t>от</w:t>
      </w:r>
      <w:r>
        <w:rPr>
          <w:lang w:val="nl-NL"/>
        </w:rPr>
        <w:t xml:space="preserve"> 11 </w:t>
      </w:r>
      <w:r>
        <w:t>декември</w:t>
      </w:r>
      <w:r>
        <w:rPr>
          <w:lang w:val="nl-NL"/>
        </w:rPr>
        <w:t> 2013 </w:t>
      </w:r>
      <w:r>
        <w:t>г</w:t>
      </w:r>
      <w:r>
        <w:rPr>
          <w:lang w:val="nl-NL"/>
        </w:rPr>
        <w:t xml:space="preserve">. </w:t>
      </w:r>
      <w:r>
        <w:t>за</w:t>
      </w:r>
      <w:r>
        <w:rPr>
          <w:lang w:val="nl-NL"/>
        </w:rPr>
        <w:t xml:space="preserve"> </w:t>
      </w:r>
      <w:r>
        <w:t>създаване</w:t>
      </w:r>
      <w:r>
        <w:rPr>
          <w:lang w:val="nl-NL"/>
        </w:rPr>
        <w:t xml:space="preserve"> </w:t>
      </w:r>
      <w:r>
        <w:t>на</w:t>
      </w:r>
      <w:r>
        <w:rPr>
          <w:lang w:val="nl-NL"/>
        </w:rPr>
        <w:t xml:space="preserve"> „</w:t>
      </w:r>
      <w:r>
        <w:t>Еразъм</w:t>
      </w:r>
      <w:r>
        <w:rPr>
          <w:lang w:val="nl-NL"/>
        </w:rPr>
        <w:t xml:space="preserve">+“: </w:t>
      </w:r>
      <w:r>
        <w:t>програма</w:t>
      </w:r>
      <w:r>
        <w:rPr>
          <w:lang w:val="nl-NL"/>
        </w:rPr>
        <w:t xml:space="preserve"> </w:t>
      </w:r>
      <w:r>
        <w:t>на</w:t>
      </w:r>
      <w:r>
        <w:rPr>
          <w:lang w:val="nl-NL"/>
        </w:rPr>
        <w:t xml:space="preserve"> </w:t>
      </w:r>
      <w:r>
        <w:t>Съюза</w:t>
      </w:r>
      <w:r>
        <w:rPr>
          <w:lang w:val="nl-NL"/>
        </w:rPr>
        <w:t xml:space="preserve"> </w:t>
      </w:r>
      <w:r>
        <w:t>в</w:t>
      </w:r>
      <w:r>
        <w:rPr>
          <w:lang w:val="nl-NL"/>
        </w:rPr>
        <w:t xml:space="preserve"> </w:t>
      </w:r>
      <w:r>
        <w:t>областта</w:t>
      </w:r>
      <w:r>
        <w:rPr>
          <w:lang w:val="nl-NL"/>
        </w:rPr>
        <w:t xml:space="preserve"> </w:t>
      </w:r>
      <w:r>
        <w:t>на</w:t>
      </w:r>
      <w:r>
        <w:rPr>
          <w:lang w:val="nl-NL"/>
        </w:rPr>
        <w:t xml:space="preserve"> </w:t>
      </w:r>
      <w:r>
        <w:t>образованието</w:t>
      </w:r>
      <w:r>
        <w:rPr>
          <w:lang w:val="nl-NL"/>
        </w:rPr>
        <w:t xml:space="preserve">, </w:t>
      </w:r>
      <w:r>
        <w:t>обучението</w:t>
      </w:r>
      <w:r>
        <w:rPr>
          <w:lang w:val="nl-NL"/>
        </w:rPr>
        <w:t xml:space="preserve">, </w:t>
      </w:r>
      <w:proofErr w:type="spellStart"/>
      <w:r>
        <w:t>младежта</w:t>
      </w:r>
      <w:proofErr w:type="spellEnd"/>
      <w:r>
        <w:rPr>
          <w:lang w:val="nl-NL"/>
        </w:rPr>
        <w:t xml:space="preserve"> </w:t>
      </w:r>
      <w:r>
        <w:t>и</w:t>
      </w:r>
      <w:r>
        <w:rPr>
          <w:lang w:val="nl-NL"/>
        </w:rPr>
        <w:t xml:space="preserve"> </w:t>
      </w:r>
      <w:r>
        <w:t>спорта</w:t>
      </w:r>
      <w:r>
        <w:rPr>
          <w:lang w:val="nl-NL"/>
        </w:rPr>
        <w:t xml:space="preserve"> </w:t>
      </w:r>
      <w:r>
        <w:t>и</w:t>
      </w:r>
      <w:r>
        <w:rPr>
          <w:lang w:val="nl-NL"/>
        </w:rPr>
        <w:t xml:space="preserve"> </w:t>
      </w:r>
      <w:r>
        <w:t>за</w:t>
      </w:r>
      <w:r>
        <w:rPr>
          <w:lang w:val="nl-NL"/>
        </w:rPr>
        <w:t xml:space="preserve"> </w:t>
      </w:r>
      <w:r>
        <w:t>отмяна</w:t>
      </w:r>
      <w:r>
        <w:rPr>
          <w:lang w:val="nl-NL"/>
        </w:rPr>
        <w:t xml:space="preserve"> </w:t>
      </w:r>
      <w:r>
        <w:t>на</w:t>
      </w:r>
      <w:r>
        <w:rPr>
          <w:lang w:val="nl-NL"/>
        </w:rPr>
        <w:t xml:space="preserve"> </w:t>
      </w:r>
      <w:r>
        <w:t>решения</w:t>
      </w:r>
      <w:r>
        <w:rPr>
          <w:lang w:val="nl-NL"/>
        </w:rPr>
        <w:t xml:space="preserve"> № 1719/2006/</w:t>
      </w:r>
      <w:r>
        <w:t>ЕО</w:t>
      </w:r>
      <w:r>
        <w:rPr>
          <w:lang w:val="nl-NL"/>
        </w:rPr>
        <w:t>, № 1720/2006/</w:t>
      </w:r>
      <w:r>
        <w:t>ЕО</w:t>
      </w:r>
      <w:r>
        <w:rPr>
          <w:lang w:val="nl-NL"/>
        </w:rPr>
        <w:t xml:space="preserve"> </w:t>
      </w:r>
      <w:r>
        <w:t>и</w:t>
      </w:r>
      <w:r>
        <w:rPr>
          <w:lang w:val="nl-NL"/>
        </w:rPr>
        <w:t xml:space="preserve"> № 1298/20</w:t>
      </w:r>
      <w:r>
        <w:rPr>
          <w:lang w:val="nl-NL"/>
        </w:rPr>
        <w:t>08/</w:t>
      </w:r>
      <w:r>
        <w:t>ЕО</w:t>
      </w:r>
      <w:r>
        <w:rPr>
          <w:lang w:val="nl-NL"/>
        </w:rPr>
        <w:t>, OB L 347, 20.12.2013 </w:t>
      </w:r>
      <w:r>
        <w:t>г</w:t>
      </w:r>
      <w:r>
        <w:rPr>
          <w:lang w:val="nl-NL"/>
        </w:rPr>
        <w:t xml:space="preserve">., </w:t>
      </w:r>
      <w:proofErr w:type="spellStart"/>
      <w:r>
        <w:t>стр</w:t>
      </w:r>
      <w:proofErr w:type="spellEnd"/>
      <w:r>
        <w:rPr>
          <w:lang w:val="nl-NL"/>
        </w:rPr>
        <w:t>. 50.</w:t>
      </w:r>
    </w:p>
  </w:footnote>
  <w:footnote w:id="22">
    <w:p w:rsidR="00222FCC" w:rsidRDefault="00FD122A">
      <w:pPr>
        <w:pStyle w:val="FootnoteText"/>
        <w:rPr>
          <w:szCs w:val="24"/>
          <w:lang w:val="nl-NL"/>
        </w:rPr>
      </w:pPr>
      <w:r>
        <w:rPr>
          <w:rStyle w:val="FootnoteReference"/>
        </w:rPr>
        <w:footnoteRef/>
      </w:r>
      <w:r>
        <w:rPr>
          <w:lang w:val="nl-NL"/>
        </w:rPr>
        <w:tab/>
      </w:r>
      <w:r>
        <w:t>Препоръка</w:t>
      </w:r>
      <w:r>
        <w:rPr>
          <w:lang w:val="nl-NL"/>
        </w:rPr>
        <w:t xml:space="preserve"> </w:t>
      </w:r>
      <w:r>
        <w:t>на</w:t>
      </w:r>
      <w:r>
        <w:rPr>
          <w:lang w:val="nl-NL"/>
        </w:rPr>
        <w:t xml:space="preserve"> </w:t>
      </w:r>
      <w:r>
        <w:t>Съвета</w:t>
      </w:r>
      <w:r>
        <w:rPr>
          <w:lang w:val="nl-NL"/>
        </w:rPr>
        <w:t xml:space="preserve"> </w:t>
      </w:r>
      <w:r>
        <w:t>от</w:t>
      </w:r>
      <w:r>
        <w:rPr>
          <w:lang w:val="nl-NL"/>
        </w:rPr>
        <w:t xml:space="preserve"> 10 </w:t>
      </w:r>
      <w:r>
        <w:t>март</w:t>
      </w:r>
      <w:r>
        <w:rPr>
          <w:lang w:val="nl-NL"/>
        </w:rPr>
        <w:t> 2014 </w:t>
      </w:r>
      <w:r>
        <w:t>г</w:t>
      </w:r>
      <w:r>
        <w:rPr>
          <w:lang w:val="nl-NL"/>
        </w:rPr>
        <w:t xml:space="preserve">. </w:t>
      </w:r>
      <w:r>
        <w:t>относно</w:t>
      </w:r>
      <w:r>
        <w:rPr>
          <w:lang w:val="nl-NL"/>
        </w:rPr>
        <w:t xml:space="preserve"> </w:t>
      </w:r>
      <w:r>
        <w:t>рамка</w:t>
      </w:r>
      <w:r>
        <w:rPr>
          <w:lang w:val="nl-NL"/>
        </w:rPr>
        <w:t xml:space="preserve"> </w:t>
      </w:r>
      <w:r>
        <w:t>за</w:t>
      </w:r>
      <w:r>
        <w:rPr>
          <w:lang w:val="nl-NL"/>
        </w:rPr>
        <w:t xml:space="preserve"> </w:t>
      </w:r>
      <w:r>
        <w:t>качество</w:t>
      </w:r>
      <w:r>
        <w:rPr>
          <w:lang w:val="nl-NL"/>
        </w:rPr>
        <w:t xml:space="preserve"> </w:t>
      </w:r>
      <w:r>
        <w:t>на</w:t>
      </w:r>
      <w:r>
        <w:rPr>
          <w:lang w:val="nl-NL"/>
        </w:rPr>
        <w:t xml:space="preserve"> </w:t>
      </w:r>
      <w:r>
        <w:t>стажовете</w:t>
      </w:r>
      <w:r>
        <w:rPr>
          <w:lang w:val="nl-NL"/>
        </w:rPr>
        <w:t xml:space="preserve">, </w:t>
      </w:r>
      <w:r>
        <w:t>ОВ</w:t>
      </w:r>
      <w:r>
        <w:rPr>
          <w:lang w:val="nl-NL"/>
        </w:rPr>
        <w:t xml:space="preserve"> C 88, 27.3.2014 </w:t>
      </w:r>
      <w:r>
        <w:t>г</w:t>
      </w:r>
      <w:r>
        <w:rPr>
          <w:lang w:val="nl-NL"/>
        </w:rPr>
        <w:t xml:space="preserve">., </w:t>
      </w:r>
      <w:proofErr w:type="spellStart"/>
      <w:r>
        <w:t>стр</w:t>
      </w:r>
      <w:proofErr w:type="spellEnd"/>
      <w:r>
        <w:rPr>
          <w:lang w:val="nl-NL"/>
        </w:rPr>
        <w:t>. 1.</w:t>
      </w:r>
    </w:p>
  </w:footnote>
  <w:footnote w:id="23">
    <w:p w:rsidR="00222FCC" w:rsidRDefault="00FD122A">
      <w:pPr>
        <w:pStyle w:val="FootnoteText"/>
        <w:rPr>
          <w:lang w:val="nl-NL"/>
        </w:rPr>
      </w:pPr>
      <w:r>
        <w:rPr>
          <w:rStyle w:val="FootnoteReference"/>
        </w:rPr>
        <w:footnoteRef/>
      </w:r>
      <w:r>
        <w:rPr>
          <w:lang w:val="nl-NL"/>
        </w:rPr>
        <w:tab/>
      </w:r>
      <w:r>
        <w:t>Препоръка</w:t>
      </w:r>
      <w:r>
        <w:rPr>
          <w:lang w:val="nl-NL"/>
        </w:rPr>
        <w:t xml:space="preserve"> </w:t>
      </w:r>
      <w:r>
        <w:t>на</w:t>
      </w:r>
      <w:r>
        <w:rPr>
          <w:lang w:val="nl-NL"/>
        </w:rPr>
        <w:t xml:space="preserve"> </w:t>
      </w:r>
      <w:r>
        <w:t>Съвета</w:t>
      </w:r>
      <w:r>
        <w:rPr>
          <w:lang w:val="nl-NL"/>
        </w:rPr>
        <w:t xml:space="preserve"> </w:t>
      </w:r>
      <w:r>
        <w:t>от</w:t>
      </w:r>
      <w:r>
        <w:rPr>
          <w:lang w:val="nl-NL"/>
        </w:rPr>
        <w:t xml:space="preserve"> 20 </w:t>
      </w:r>
      <w:r>
        <w:t>декември</w:t>
      </w:r>
      <w:r>
        <w:rPr>
          <w:lang w:val="nl-NL"/>
        </w:rPr>
        <w:t> 2012 </w:t>
      </w:r>
      <w:r>
        <w:t>г</w:t>
      </w:r>
      <w:r>
        <w:rPr>
          <w:lang w:val="nl-NL"/>
        </w:rPr>
        <w:t xml:space="preserve">. </w:t>
      </w:r>
      <w:r>
        <w:t>относно</w:t>
      </w:r>
      <w:r>
        <w:rPr>
          <w:lang w:val="nl-NL"/>
        </w:rPr>
        <w:t xml:space="preserve"> </w:t>
      </w:r>
      <w:proofErr w:type="spellStart"/>
      <w:r>
        <w:t>валидирането</w:t>
      </w:r>
      <w:proofErr w:type="spellEnd"/>
      <w:r>
        <w:rPr>
          <w:lang w:val="nl-NL"/>
        </w:rPr>
        <w:t xml:space="preserve"> </w:t>
      </w:r>
      <w:r>
        <w:t>на</w:t>
      </w:r>
      <w:r>
        <w:rPr>
          <w:lang w:val="nl-NL"/>
        </w:rPr>
        <w:t xml:space="preserve"> </w:t>
      </w:r>
      <w:r>
        <w:t>неформалното</w:t>
      </w:r>
      <w:r>
        <w:rPr>
          <w:lang w:val="nl-NL"/>
        </w:rPr>
        <w:t xml:space="preserve"> </w:t>
      </w:r>
      <w:r>
        <w:t>и</w:t>
      </w:r>
      <w:r>
        <w:rPr>
          <w:lang w:val="nl-NL"/>
        </w:rPr>
        <w:t xml:space="preserve"> </w:t>
      </w:r>
      <w:r>
        <w:t>самостоятелното</w:t>
      </w:r>
      <w:r>
        <w:rPr>
          <w:lang w:val="nl-NL"/>
        </w:rPr>
        <w:t xml:space="preserve"> </w:t>
      </w:r>
      <w:r>
        <w:t>учене</w:t>
      </w:r>
      <w:r>
        <w:rPr>
          <w:lang w:val="nl-NL"/>
        </w:rPr>
        <w:t>, O</w:t>
      </w:r>
      <w:r>
        <w:t>В</w:t>
      </w:r>
      <w:r>
        <w:rPr>
          <w:lang w:val="nl-NL"/>
        </w:rPr>
        <w:t xml:space="preserve"> C 398, 22.12.2012 </w:t>
      </w:r>
      <w:r>
        <w:t>г</w:t>
      </w:r>
      <w:r>
        <w:rPr>
          <w:lang w:val="nl-NL"/>
        </w:rPr>
        <w:t xml:space="preserve">., </w:t>
      </w:r>
      <w:proofErr w:type="spellStart"/>
      <w:r>
        <w:t>стр</w:t>
      </w:r>
      <w:proofErr w:type="spellEnd"/>
      <w:r>
        <w:rPr>
          <w:lang w:val="nl-NL"/>
        </w:rPr>
        <w:t>. 1.</w:t>
      </w:r>
    </w:p>
  </w:footnote>
  <w:footnote w:id="24">
    <w:p w:rsidR="00222FCC" w:rsidRDefault="00FD122A">
      <w:pPr>
        <w:pStyle w:val="FootnoteText"/>
        <w:rPr>
          <w:lang w:val="nl-NL"/>
        </w:rPr>
      </w:pPr>
      <w:r>
        <w:rPr>
          <w:rStyle w:val="FootnoteReference"/>
        </w:rPr>
        <w:footnoteRef/>
      </w:r>
      <w:r>
        <w:rPr>
          <w:lang w:val="nl-NL"/>
        </w:rPr>
        <w:tab/>
      </w:r>
      <w:proofErr w:type="spellStart"/>
      <w:r>
        <w:t>Междуинституционално</w:t>
      </w:r>
      <w:proofErr w:type="spellEnd"/>
      <w:r>
        <w:rPr>
          <w:lang w:val="nl-NL"/>
        </w:rPr>
        <w:t xml:space="preserve"> </w:t>
      </w:r>
      <w:r>
        <w:t>споразумение</w:t>
      </w:r>
      <w:r>
        <w:rPr>
          <w:lang w:val="nl-NL"/>
        </w:rPr>
        <w:t xml:space="preserve"> </w:t>
      </w:r>
      <w:r>
        <w:t>от</w:t>
      </w:r>
      <w:r>
        <w:rPr>
          <w:lang w:val="nl-NL"/>
        </w:rPr>
        <w:t xml:space="preserve"> 2 </w:t>
      </w:r>
      <w:r>
        <w:t>декември</w:t>
      </w:r>
      <w:r>
        <w:rPr>
          <w:lang w:val="nl-NL"/>
        </w:rPr>
        <w:t> 2013 </w:t>
      </w:r>
      <w:r>
        <w:t>г</w:t>
      </w:r>
      <w:r>
        <w:rPr>
          <w:lang w:val="nl-NL"/>
        </w:rPr>
        <w:t xml:space="preserve">. </w:t>
      </w:r>
      <w:r>
        <w:t>между</w:t>
      </w:r>
      <w:r>
        <w:rPr>
          <w:lang w:val="nl-NL"/>
        </w:rPr>
        <w:t xml:space="preserve"> </w:t>
      </w:r>
      <w:r>
        <w:t>Европейския</w:t>
      </w:r>
      <w:r>
        <w:rPr>
          <w:lang w:val="nl-NL"/>
        </w:rPr>
        <w:t xml:space="preserve"> </w:t>
      </w:r>
      <w:r>
        <w:t>парламент</w:t>
      </w:r>
      <w:r>
        <w:rPr>
          <w:lang w:val="nl-NL"/>
        </w:rPr>
        <w:t xml:space="preserve">, </w:t>
      </w:r>
      <w:r>
        <w:t>Съвета</w:t>
      </w:r>
      <w:r>
        <w:rPr>
          <w:lang w:val="nl-NL"/>
        </w:rPr>
        <w:t xml:space="preserve"> </w:t>
      </w:r>
      <w:r>
        <w:t>и</w:t>
      </w:r>
      <w:r>
        <w:rPr>
          <w:lang w:val="nl-NL"/>
        </w:rPr>
        <w:t xml:space="preserve"> </w:t>
      </w:r>
      <w:r>
        <w:t>Комисията</w:t>
      </w:r>
      <w:r>
        <w:rPr>
          <w:lang w:val="nl-NL"/>
        </w:rPr>
        <w:t xml:space="preserve"> </w:t>
      </w:r>
      <w:r>
        <w:t>относно</w:t>
      </w:r>
      <w:r>
        <w:rPr>
          <w:lang w:val="nl-NL"/>
        </w:rPr>
        <w:t xml:space="preserve"> </w:t>
      </w:r>
      <w:r>
        <w:t>бюджетната</w:t>
      </w:r>
      <w:r>
        <w:rPr>
          <w:lang w:val="nl-NL"/>
        </w:rPr>
        <w:t xml:space="preserve"> </w:t>
      </w:r>
      <w:r>
        <w:t>дисциплина</w:t>
      </w:r>
      <w:r>
        <w:rPr>
          <w:lang w:val="nl-NL"/>
        </w:rPr>
        <w:t xml:space="preserve">, </w:t>
      </w:r>
      <w:r>
        <w:t>сътрудничеството</w:t>
      </w:r>
      <w:r>
        <w:rPr>
          <w:lang w:val="nl-NL"/>
        </w:rPr>
        <w:t xml:space="preserve"> </w:t>
      </w:r>
      <w:r>
        <w:t>по</w:t>
      </w:r>
      <w:r>
        <w:rPr>
          <w:lang w:val="nl-NL"/>
        </w:rPr>
        <w:t xml:space="preserve"> </w:t>
      </w:r>
      <w:r>
        <w:t>бюджетни</w:t>
      </w:r>
      <w:r>
        <w:rPr>
          <w:lang w:val="nl-NL"/>
        </w:rPr>
        <w:t xml:space="preserve"> </w:t>
      </w:r>
      <w:r>
        <w:t>въпроси</w:t>
      </w:r>
      <w:r>
        <w:rPr>
          <w:lang w:val="nl-NL"/>
        </w:rPr>
        <w:t xml:space="preserve"> </w:t>
      </w:r>
      <w:r>
        <w:t>и</w:t>
      </w:r>
      <w:r>
        <w:rPr>
          <w:lang w:val="nl-NL"/>
        </w:rPr>
        <w:t xml:space="preserve"> </w:t>
      </w:r>
      <w:r>
        <w:t>доброто</w:t>
      </w:r>
      <w:r>
        <w:rPr>
          <w:lang w:val="nl-NL"/>
        </w:rPr>
        <w:t xml:space="preserve"> </w:t>
      </w:r>
      <w:r>
        <w:t>финансово</w:t>
      </w:r>
      <w:r>
        <w:rPr>
          <w:lang w:val="nl-NL"/>
        </w:rPr>
        <w:t xml:space="preserve"> </w:t>
      </w:r>
      <w:r>
        <w:t>управление</w:t>
      </w:r>
      <w:r>
        <w:rPr>
          <w:lang w:val="nl-NL"/>
        </w:rPr>
        <w:t xml:space="preserve">, </w:t>
      </w:r>
      <w:r>
        <w:t>ОВ</w:t>
      </w:r>
      <w:r>
        <w:rPr>
          <w:lang w:val="nl-NL"/>
        </w:rPr>
        <w:t xml:space="preserve"> C 373, 20.12.2013 </w:t>
      </w:r>
      <w:r>
        <w:t>г</w:t>
      </w:r>
      <w:r>
        <w:rPr>
          <w:lang w:val="nl-NL"/>
        </w:rPr>
        <w:t xml:space="preserve">., </w:t>
      </w:r>
      <w:proofErr w:type="spellStart"/>
      <w:r>
        <w:t>стр</w:t>
      </w:r>
      <w:proofErr w:type="spellEnd"/>
      <w:r>
        <w:rPr>
          <w:lang w:val="nl-NL"/>
        </w:rPr>
        <w:t>. 1.</w:t>
      </w:r>
    </w:p>
  </w:footnote>
  <w:footnote w:id="25">
    <w:p w:rsidR="00222FCC" w:rsidRDefault="00FD122A">
      <w:pPr>
        <w:pStyle w:val="FootnoteText"/>
        <w:rPr>
          <w:lang w:val="nl-NL"/>
        </w:rPr>
      </w:pPr>
      <w:r>
        <w:rPr>
          <w:rStyle w:val="FootnoteReference"/>
        </w:rPr>
        <w:footnoteRef/>
      </w:r>
      <w:r>
        <w:rPr>
          <w:lang w:val="nl-NL"/>
        </w:rPr>
        <w:tab/>
      </w:r>
      <w:r>
        <w:t>Физическите</w:t>
      </w:r>
      <w:r>
        <w:rPr>
          <w:lang w:val="nl-NL"/>
        </w:rPr>
        <w:t xml:space="preserve"> </w:t>
      </w:r>
      <w:r>
        <w:t>лица</w:t>
      </w:r>
      <w:r>
        <w:rPr>
          <w:lang w:val="nl-NL"/>
        </w:rPr>
        <w:t xml:space="preserve"> </w:t>
      </w:r>
      <w:r>
        <w:t>от</w:t>
      </w:r>
      <w:r>
        <w:rPr>
          <w:lang w:val="nl-NL"/>
        </w:rPr>
        <w:t xml:space="preserve"> </w:t>
      </w:r>
      <w:r>
        <w:t>отвъдморски</w:t>
      </w:r>
      <w:r>
        <w:rPr>
          <w:lang w:val="nl-NL"/>
        </w:rPr>
        <w:t xml:space="preserve"> </w:t>
      </w:r>
      <w:r>
        <w:t>страни</w:t>
      </w:r>
      <w:r>
        <w:rPr>
          <w:lang w:val="nl-NL"/>
        </w:rPr>
        <w:t xml:space="preserve"> </w:t>
      </w:r>
      <w:r>
        <w:t>и</w:t>
      </w:r>
      <w:r>
        <w:rPr>
          <w:lang w:val="nl-NL"/>
        </w:rPr>
        <w:t xml:space="preserve"> </w:t>
      </w:r>
      <w:r>
        <w:t>територии</w:t>
      </w:r>
      <w:r>
        <w:rPr>
          <w:lang w:val="nl-NL"/>
        </w:rPr>
        <w:t xml:space="preserve"> (</w:t>
      </w:r>
      <w:r>
        <w:t>ОСТ</w:t>
      </w:r>
      <w:r>
        <w:rPr>
          <w:lang w:val="nl-NL"/>
        </w:rPr>
        <w:t xml:space="preserve">) </w:t>
      </w:r>
      <w:r>
        <w:t>и</w:t>
      </w:r>
      <w:r>
        <w:rPr>
          <w:lang w:val="nl-NL"/>
        </w:rPr>
        <w:t xml:space="preserve"> </w:t>
      </w:r>
      <w:r>
        <w:t>компетентните</w:t>
      </w:r>
      <w:r>
        <w:rPr>
          <w:lang w:val="nl-NL"/>
        </w:rPr>
        <w:t xml:space="preserve"> </w:t>
      </w:r>
      <w:r>
        <w:t>органи</w:t>
      </w:r>
      <w:r>
        <w:rPr>
          <w:lang w:val="nl-NL"/>
        </w:rPr>
        <w:t xml:space="preserve"> </w:t>
      </w:r>
      <w:r>
        <w:t>и</w:t>
      </w:r>
      <w:r>
        <w:rPr>
          <w:lang w:val="nl-NL"/>
        </w:rPr>
        <w:t xml:space="preserve"> </w:t>
      </w:r>
      <w:r>
        <w:t>публични</w:t>
      </w:r>
      <w:r>
        <w:rPr>
          <w:lang w:val="nl-NL"/>
        </w:rPr>
        <w:t xml:space="preserve"> </w:t>
      </w:r>
      <w:r>
        <w:t>и</w:t>
      </w:r>
      <w:r>
        <w:rPr>
          <w:lang w:val="nl-NL"/>
        </w:rPr>
        <w:t>/</w:t>
      </w:r>
      <w:r>
        <w:t>или</w:t>
      </w:r>
      <w:r>
        <w:rPr>
          <w:lang w:val="nl-NL"/>
        </w:rPr>
        <w:t xml:space="preserve"> </w:t>
      </w:r>
      <w:r>
        <w:t>частни</w:t>
      </w:r>
      <w:r>
        <w:rPr>
          <w:lang w:val="nl-NL"/>
        </w:rPr>
        <w:t xml:space="preserve"> </w:t>
      </w:r>
      <w:r>
        <w:t>институции</w:t>
      </w:r>
      <w:r>
        <w:rPr>
          <w:lang w:val="nl-NL"/>
        </w:rPr>
        <w:t xml:space="preserve"> </w:t>
      </w:r>
      <w:r>
        <w:t>на</w:t>
      </w:r>
      <w:r>
        <w:rPr>
          <w:lang w:val="nl-NL"/>
        </w:rPr>
        <w:t xml:space="preserve"> </w:t>
      </w:r>
      <w:r>
        <w:t>ОСТ</w:t>
      </w:r>
      <w:r>
        <w:rPr>
          <w:lang w:val="nl-NL"/>
        </w:rPr>
        <w:t xml:space="preserve"> </w:t>
      </w:r>
      <w:r>
        <w:t>могат</w:t>
      </w:r>
      <w:r>
        <w:rPr>
          <w:lang w:val="nl-NL"/>
        </w:rPr>
        <w:t xml:space="preserve"> </w:t>
      </w:r>
      <w:r>
        <w:t>да</w:t>
      </w:r>
      <w:r>
        <w:rPr>
          <w:lang w:val="nl-NL"/>
        </w:rPr>
        <w:t xml:space="preserve"> </w:t>
      </w:r>
      <w:r>
        <w:t>участват</w:t>
      </w:r>
      <w:r>
        <w:rPr>
          <w:lang w:val="nl-NL"/>
        </w:rPr>
        <w:t xml:space="preserve"> </w:t>
      </w:r>
      <w:r>
        <w:t>в</w:t>
      </w:r>
      <w:r>
        <w:rPr>
          <w:lang w:val="nl-NL"/>
        </w:rPr>
        <w:t xml:space="preserve"> </w:t>
      </w:r>
      <w:r>
        <w:t>програмите</w:t>
      </w:r>
      <w:r>
        <w:rPr>
          <w:lang w:val="nl-NL"/>
        </w:rPr>
        <w:t xml:space="preserve"> </w:t>
      </w:r>
      <w:r>
        <w:t>в</w:t>
      </w:r>
      <w:r>
        <w:rPr>
          <w:lang w:val="nl-NL"/>
        </w:rPr>
        <w:t xml:space="preserve"> </w:t>
      </w:r>
      <w:r>
        <w:t>съответствие</w:t>
      </w:r>
      <w:r>
        <w:rPr>
          <w:lang w:val="nl-NL"/>
        </w:rPr>
        <w:t xml:space="preserve"> </w:t>
      </w:r>
      <w:r>
        <w:t>с</w:t>
      </w:r>
      <w:r>
        <w:rPr>
          <w:lang w:val="nl-NL"/>
        </w:rPr>
        <w:t xml:space="preserve"> </w:t>
      </w:r>
      <w:r>
        <w:t>Решение</w:t>
      </w:r>
      <w:r>
        <w:rPr>
          <w:lang w:val="nl-NL"/>
        </w:rPr>
        <w:t xml:space="preserve"> </w:t>
      </w:r>
      <w:r>
        <w:t>на</w:t>
      </w:r>
      <w:r>
        <w:rPr>
          <w:lang w:val="nl-NL"/>
        </w:rPr>
        <w:t xml:space="preserve"> </w:t>
      </w:r>
      <w:r>
        <w:t>Съвета</w:t>
      </w:r>
      <w:r>
        <w:rPr>
          <w:lang w:val="nl-NL"/>
        </w:rPr>
        <w:t xml:space="preserve"> № 2001/822/</w:t>
      </w:r>
      <w:r>
        <w:t>ЕО</w:t>
      </w:r>
      <w:r>
        <w:rPr>
          <w:lang w:val="nl-NL"/>
        </w:rPr>
        <w:t xml:space="preserve"> </w:t>
      </w:r>
      <w:r>
        <w:t>от</w:t>
      </w:r>
      <w:r>
        <w:rPr>
          <w:lang w:val="nl-NL"/>
        </w:rPr>
        <w:t xml:space="preserve"> 27 </w:t>
      </w:r>
      <w:r>
        <w:t>ноември</w:t>
      </w:r>
      <w:r>
        <w:rPr>
          <w:lang w:val="nl-NL"/>
        </w:rPr>
        <w:t> 2001 </w:t>
      </w:r>
      <w:r>
        <w:t>г</w:t>
      </w:r>
      <w:r>
        <w:rPr>
          <w:lang w:val="nl-NL"/>
        </w:rPr>
        <w:t xml:space="preserve">. </w:t>
      </w:r>
      <w:r>
        <w:t>за</w:t>
      </w:r>
      <w:r>
        <w:rPr>
          <w:lang w:val="nl-NL"/>
        </w:rPr>
        <w:t xml:space="preserve"> </w:t>
      </w:r>
      <w:r>
        <w:t>асоцииране</w:t>
      </w:r>
      <w:r>
        <w:rPr>
          <w:lang w:val="nl-NL"/>
        </w:rPr>
        <w:t xml:space="preserve"> </w:t>
      </w:r>
      <w:r>
        <w:t>на</w:t>
      </w:r>
      <w:r>
        <w:rPr>
          <w:lang w:val="nl-NL"/>
        </w:rPr>
        <w:t xml:space="preserve"> </w:t>
      </w:r>
      <w:r>
        <w:t>отвъдморските</w:t>
      </w:r>
      <w:r>
        <w:rPr>
          <w:lang w:val="nl-NL"/>
        </w:rPr>
        <w:t xml:space="preserve"> </w:t>
      </w:r>
      <w:r>
        <w:t>страни</w:t>
      </w:r>
      <w:r>
        <w:rPr>
          <w:lang w:val="nl-NL"/>
        </w:rPr>
        <w:t xml:space="preserve"> </w:t>
      </w:r>
      <w:r>
        <w:t>и</w:t>
      </w:r>
      <w:r>
        <w:rPr>
          <w:lang w:val="nl-NL"/>
        </w:rPr>
        <w:t xml:space="preserve"> </w:t>
      </w:r>
      <w:r>
        <w:t>територии</w:t>
      </w:r>
      <w:r>
        <w:rPr>
          <w:lang w:val="nl-NL"/>
        </w:rPr>
        <w:t xml:space="preserve"> </w:t>
      </w:r>
      <w:r>
        <w:t>към</w:t>
      </w:r>
      <w:r>
        <w:rPr>
          <w:lang w:val="nl-NL"/>
        </w:rPr>
        <w:t xml:space="preserve"> </w:t>
      </w:r>
      <w:r>
        <w:t>Европейската</w:t>
      </w:r>
      <w:r>
        <w:rPr>
          <w:lang w:val="nl-NL"/>
        </w:rPr>
        <w:t xml:space="preserve"> </w:t>
      </w:r>
      <w:r>
        <w:t>общност</w:t>
      </w:r>
      <w:r>
        <w:rPr>
          <w:lang w:val="nl-NL"/>
        </w:rPr>
        <w:t xml:space="preserve">, </w:t>
      </w:r>
      <w:r>
        <w:t>ОВ</w:t>
      </w:r>
      <w:r>
        <w:rPr>
          <w:lang w:val="nl-NL"/>
        </w:rPr>
        <w:t xml:space="preserve"> L314, 30.11.2001 </w:t>
      </w:r>
      <w:r>
        <w:t>г</w:t>
      </w:r>
      <w:r>
        <w:rPr>
          <w:lang w:val="nl-NL"/>
        </w:rPr>
        <w:t xml:space="preserve">., </w:t>
      </w:r>
      <w:proofErr w:type="spellStart"/>
      <w:r>
        <w:t>стр</w:t>
      </w:r>
      <w:proofErr w:type="spellEnd"/>
      <w:r>
        <w:rPr>
          <w:lang w:val="nl-NL"/>
        </w:rPr>
        <w:t>. 1.</w:t>
      </w:r>
    </w:p>
  </w:footnote>
  <w:footnote w:id="26">
    <w:p w:rsidR="00222FCC" w:rsidRDefault="00FD122A">
      <w:pPr>
        <w:pStyle w:val="FootnoteText"/>
        <w:rPr>
          <w:lang w:val="nl-NL"/>
        </w:rPr>
      </w:pPr>
      <w:r>
        <w:rPr>
          <w:rStyle w:val="FootnoteReference"/>
        </w:rPr>
        <w:footnoteRef/>
      </w:r>
      <w:r>
        <w:rPr>
          <w:lang w:val="nl-NL"/>
        </w:rPr>
        <w:tab/>
      </w:r>
      <w:r>
        <w:t>Регламент</w:t>
      </w:r>
      <w:r>
        <w:rPr>
          <w:lang w:val="nl-NL"/>
        </w:rPr>
        <w:t> (</w:t>
      </w:r>
      <w:r>
        <w:t>ЕС</w:t>
      </w:r>
      <w:r>
        <w:rPr>
          <w:lang w:val="nl-NL"/>
        </w:rPr>
        <w:t xml:space="preserve">) № 182/2011 </w:t>
      </w:r>
      <w:r>
        <w:t>на</w:t>
      </w:r>
      <w:r>
        <w:rPr>
          <w:lang w:val="nl-NL"/>
        </w:rPr>
        <w:t xml:space="preserve"> </w:t>
      </w:r>
      <w:r>
        <w:t>Европейския</w:t>
      </w:r>
      <w:r>
        <w:rPr>
          <w:lang w:val="nl-NL"/>
        </w:rPr>
        <w:t xml:space="preserve"> </w:t>
      </w:r>
      <w:r>
        <w:t>парламент</w:t>
      </w:r>
      <w:r>
        <w:rPr>
          <w:lang w:val="nl-NL"/>
        </w:rPr>
        <w:t xml:space="preserve"> </w:t>
      </w:r>
      <w:r>
        <w:t>и</w:t>
      </w:r>
      <w:r>
        <w:rPr>
          <w:lang w:val="nl-NL"/>
        </w:rPr>
        <w:t xml:space="preserve"> </w:t>
      </w:r>
      <w:r>
        <w:t>на</w:t>
      </w:r>
      <w:r>
        <w:rPr>
          <w:lang w:val="nl-NL"/>
        </w:rPr>
        <w:t xml:space="preserve"> </w:t>
      </w:r>
      <w:r>
        <w:t>Съвета</w:t>
      </w:r>
      <w:r>
        <w:rPr>
          <w:lang w:val="nl-NL"/>
        </w:rPr>
        <w:t xml:space="preserve"> </w:t>
      </w:r>
      <w:r>
        <w:t>от</w:t>
      </w:r>
      <w:r>
        <w:rPr>
          <w:lang w:val="nl-NL"/>
        </w:rPr>
        <w:t xml:space="preserve"> 16 </w:t>
      </w:r>
      <w:r>
        <w:t>февруари</w:t>
      </w:r>
      <w:r>
        <w:rPr>
          <w:lang w:val="nl-NL"/>
        </w:rPr>
        <w:t> 2011 </w:t>
      </w:r>
      <w:r>
        <w:t>г</w:t>
      </w:r>
      <w:r>
        <w:rPr>
          <w:lang w:val="nl-NL"/>
        </w:rPr>
        <w:t xml:space="preserve">. </w:t>
      </w:r>
      <w:r>
        <w:t>за</w:t>
      </w:r>
      <w:r>
        <w:rPr>
          <w:lang w:val="nl-NL"/>
        </w:rPr>
        <w:t xml:space="preserve"> </w:t>
      </w:r>
      <w:r>
        <w:t>установяване</w:t>
      </w:r>
      <w:r>
        <w:rPr>
          <w:lang w:val="nl-NL"/>
        </w:rPr>
        <w:t xml:space="preserve"> </w:t>
      </w:r>
      <w:r>
        <w:t>на</w:t>
      </w:r>
      <w:r>
        <w:rPr>
          <w:lang w:val="nl-NL"/>
        </w:rPr>
        <w:t xml:space="preserve"> </w:t>
      </w:r>
      <w:r>
        <w:t>общите</w:t>
      </w:r>
      <w:r>
        <w:rPr>
          <w:lang w:val="nl-NL"/>
        </w:rPr>
        <w:t xml:space="preserve"> </w:t>
      </w:r>
      <w:r>
        <w:t>правила</w:t>
      </w:r>
      <w:r>
        <w:rPr>
          <w:lang w:val="nl-NL"/>
        </w:rPr>
        <w:t xml:space="preserve"> </w:t>
      </w:r>
      <w:r>
        <w:t>и</w:t>
      </w:r>
      <w:r>
        <w:rPr>
          <w:lang w:val="nl-NL"/>
        </w:rPr>
        <w:t xml:space="preserve"> </w:t>
      </w:r>
      <w:r>
        <w:t>принципи</w:t>
      </w:r>
      <w:r>
        <w:rPr>
          <w:lang w:val="nl-NL"/>
        </w:rPr>
        <w:t xml:space="preserve"> </w:t>
      </w:r>
      <w:r>
        <w:t>относно</w:t>
      </w:r>
      <w:r>
        <w:rPr>
          <w:lang w:val="nl-NL"/>
        </w:rPr>
        <w:t xml:space="preserve"> </w:t>
      </w:r>
      <w:r>
        <w:t>реда</w:t>
      </w:r>
      <w:r>
        <w:rPr>
          <w:lang w:val="nl-NL"/>
        </w:rPr>
        <w:t xml:space="preserve"> </w:t>
      </w:r>
      <w:r>
        <w:t>и</w:t>
      </w:r>
      <w:r>
        <w:rPr>
          <w:lang w:val="nl-NL"/>
        </w:rPr>
        <w:t xml:space="preserve"> </w:t>
      </w:r>
      <w:r>
        <w:t>условията</w:t>
      </w:r>
      <w:r>
        <w:rPr>
          <w:lang w:val="nl-NL"/>
        </w:rPr>
        <w:t xml:space="preserve"> </w:t>
      </w:r>
      <w:r>
        <w:t>за</w:t>
      </w:r>
      <w:r>
        <w:rPr>
          <w:lang w:val="nl-NL"/>
        </w:rPr>
        <w:t xml:space="preserve"> </w:t>
      </w:r>
      <w:r>
        <w:t>контрол</w:t>
      </w:r>
      <w:r>
        <w:rPr>
          <w:lang w:val="nl-NL"/>
        </w:rPr>
        <w:t xml:space="preserve"> </w:t>
      </w:r>
      <w:r>
        <w:t>от</w:t>
      </w:r>
      <w:r>
        <w:rPr>
          <w:lang w:val="nl-NL"/>
        </w:rPr>
        <w:t xml:space="preserve"> </w:t>
      </w:r>
      <w:r>
        <w:t>страна</w:t>
      </w:r>
      <w:r>
        <w:rPr>
          <w:lang w:val="nl-NL"/>
        </w:rPr>
        <w:t xml:space="preserve"> </w:t>
      </w:r>
      <w:r>
        <w:t>на</w:t>
      </w:r>
      <w:r>
        <w:rPr>
          <w:lang w:val="nl-NL"/>
        </w:rPr>
        <w:t xml:space="preserve"> </w:t>
      </w:r>
      <w:r>
        <w:t>държавите</w:t>
      </w:r>
      <w:r>
        <w:rPr>
          <w:lang w:val="nl-NL"/>
        </w:rPr>
        <w:t xml:space="preserve"> </w:t>
      </w:r>
      <w:r>
        <w:t>членки</w:t>
      </w:r>
      <w:r>
        <w:rPr>
          <w:lang w:val="nl-NL"/>
        </w:rPr>
        <w:t xml:space="preserve"> </w:t>
      </w:r>
      <w:r>
        <w:t>върху</w:t>
      </w:r>
      <w:r>
        <w:rPr>
          <w:lang w:val="nl-NL"/>
        </w:rPr>
        <w:t xml:space="preserve"> </w:t>
      </w:r>
      <w:r>
        <w:t>упражняването</w:t>
      </w:r>
      <w:r>
        <w:rPr>
          <w:lang w:val="nl-NL"/>
        </w:rPr>
        <w:t xml:space="preserve"> </w:t>
      </w:r>
      <w:r>
        <w:t>на</w:t>
      </w:r>
      <w:r>
        <w:rPr>
          <w:lang w:val="nl-NL"/>
        </w:rPr>
        <w:t xml:space="preserve"> </w:t>
      </w:r>
      <w:r>
        <w:t>изпълнителните</w:t>
      </w:r>
      <w:r>
        <w:rPr>
          <w:lang w:val="nl-NL"/>
        </w:rPr>
        <w:t xml:space="preserve"> </w:t>
      </w:r>
      <w:r>
        <w:t>правомощия</w:t>
      </w:r>
      <w:r>
        <w:rPr>
          <w:lang w:val="nl-NL"/>
        </w:rPr>
        <w:t xml:space="preserve"> </w:t>
      </w:r>
      <w:r>
        <w:t>от</w:t>
      </w:r>
      <w:r>
        <w:rPr>
          <w:lang w:val="nl-NL"/>
        </w:rPr>
        <w:t xml:space="preserve"> </w:t>
      </w:r>
      <w:r>
        <w:t>страна</w:t>
      </w:r>
      <w:r>
        <w:rPr>
          <w:lang w:val="nl-NL"/>
        </w:rPr>
        <w:t xml:space="preserve"> </w:t>
      </w:r>
      <w:r>
        <w:t>на</w:t>
      </w:r>
      <w:r>
        <w:rPr>
          <w:lang w:val="nl-NL"/>
        </w:rPr>
        <w:t xml:space="preserve"> </w:t>
      </w:r>
      <w:r>
        <w:t>Комисията</w:t>
      </w:r>
      <w:r>
        <w:rPr>
          <w:lang w:val="nl-NL"/>
        </w:rPr>
        <w:t xml:space="preserve">, </w:t>
      </w:r>
      <w:r>
        <w:t>ОВ</w:t>
      </w:r>
      <w:r>
        <w:rPr>
          <w:lang w:val="nl-NL"/>
        </w:rPr>
        <w:t xml:space="preserve"> L 55, 28.2.2011 </w:t>
      </w:r>
      <w:r>
        <w:t>г</w:t>
      </w:r>
      <w:r>
        <w:rPr>
          <w:lang w:val="nl-NL"/>
        </w:rPr>
        <w:t xml:space="preserve">., </w:t>
      </w:r>
      <w:proofErr w:type="spellStart"/>
      <w:r>
        <w:t>стр</w:t>
      </w:r>
      <w:proofErr w:type="spellEnd"/>
      <w:r>
        <w:rPr>
          <w:lang w:val="nl-NL"/>
        </w:rPr>
        <w:t>. 13.</w:t>
      </w:r>
    </w:p>
  </w:footnote>
  <w:footnote w:id="27">
    <w:p w:rsidR="00222FCC" w:rsidRDefault="00FD122A">
      <w:pPr>
        <w:pStyle w:val="FootnoteText"/>
        <w:rPr>
          <w:lang w:val="nl-NL"/>
        </w:rPr>
      </w:pPr>
      <w:r>
        <w:rPr>
          <w:rStyle w:val="FootnoteReference"/>
        </w:rPr>
        <w:footnoteRef/>
      </w:r>
      <w:r>
        <w:rPr>
          <w:lang w:val="nl-NL"/>
        </w:rPr>
        <w:tab/>
      </w:r>
      <w:r>
        <w:t>Регламент</w:t>
      </w:r>
      <w:r>
        <w:rPr>
          <w:lang w:val="nl-NL"/>
        </w:rPr>
        <w:t> (</w:t>
      </w:r>
      <w:r>
        <w:t>ЕС</w:t>
      </w:r>
      <w:r>
        <w:rPr>
          <w:lang w:val="nl-NL"/>
        </w:rPr>
        <w:t xml:space="preserve">, </w:t>
      </w:r>
      <w:proofErr w:type="spellStart"/>
      <w:r>
        <w:t>Евратом</w:t>
      </w:r>
      <w:proofErr w:type="spellEnd"/>
      <w:r>
        <w:rPr>
          <w:lang w:val="nl-NL"/>
        </w:rPr>
        <w:t xml:space="preserve">) № 966/2012 </w:t>
      </w:r>
      <w:r>
        <w:t>на</w:t>
      </w:r>
      <w:r>
        <w:rPr>
          <w:lang w:val="nl-NL"/>
        </w:rPr>
        <w:t xml:space="preserve"> </w:t>
      </w:r>
      <w:r>
        <w:t>Европейския</w:t>
      </w:r>
      <w:r>
        <w:rPr>
          <w:lang w:val="nl-NL"/>
        </w:rPr>
        <w:t xml:space="preserve"> </w:t>
      </w:r>
      <w:r>
        <w:t>парламент</w:t>
      </w:r>
      <w:r>
        <w:rPr>
          <w:lang w:val="nl-NL"/>
        </w:rPr>
        <w:t xml:space="preserve"> </w:t>
      </w:r>
      <w:r>
        <w:t>и</w:t>
      </w:r>
      <w:r>
        <w:rPr>
          <w:lang w:val="nl-NL"/>
        </w:rPr>
        <w:t xml:space="preserve"> </w:t>
      </w:r>
      <w:r>
        <w:t>на</w:t>
      </w:r>
      <w:r>
        <w:rPr>
          <w:lang w:val="nl-NL"/>
        </w:rPr>
        <w:t xml:space="preserve"> </w:t>
      </w:r>
      <w:r>
        <w:t>Съвета</w:t>
      </w:r>
      <w:r>
        <w:rPr>
          <w:lang w:val="nl-NL"/>
        </w:rPr>
        <w:t xml:space="preserve"> </w:t>
      </w:r>
      <w:r>
        <w:t>от</w:t>
      </w:r>
      <w:r>
        <w:rPr>
          <w:lang w:val="nl-NL"/>
        </w:rPr>
        <w:t xml:space="preserve"> 25 </w:t>
      </w:r>
      <w:r>
        <w:t>октомври</w:t>
      </w:r>
      <w:r>
        <w:rPr>
          <w:lang w:val="nl-NL"/>
        </w:rPr>
        <w:t> 2012 </w:t>
      </w:r>
      <w:r>
        <w:t>г</w:t>
      </w:r>
      <w:r>
        <w:rPr>
          <w:lang w:val="nl-NL"/>
        </w:rPr>
        <w:t xml:space="preserve">. </w:t>
      </w:r>
      <w:r>
        <w:t>относно</w:t>
      </w:r>
      <w:r>
        <w:rPr>
          <w:lang w:val="nl-NL"/>
        </w:rPr>
        <w:t xml:space="preserve"> </w:t>
      </w:r>
      <w:r>
        <w:t>финансовите</w:t>
      </w:r>
      <w:r>
        <w:rPr>
          <w:lang w:val="nl-NL"/>
        </w:rPr>
        <w:t xml:space="preserve"> </w:t>
      </w:r>
      <w:r>
        <w:t>правила</w:t>
      </w:r>
      <w:r>
        <w:rPr>
          <w:lang w:val="nl-NL"/>
        </w:rPr>
        <w:t xml:space="preserve">, </w:t>
      </w:r>
      <w:r>
        <w:t>приложими</w:t>
      </w:r>
      <w:r>
        <w:rPr>
          <w:lang w:val="nl-NL"/>
        </w:rPr>
        <w:t xml:space="preserve"> </w:t>
      </w:r>
      <w:r>
        <w:t>за</w:t>
      </w:r>
      <w:r>
        <w:rPr>
          <w:lang w:val="nl-NL"/>
        </w:rPr>
        <w:t xml:space="preserve"> </w:t>
      </w:r>
      <w:r>
        <w:t>общия</w:t>
      </w:r>
      <w:r>
        <w:rPr>
          <w:lang w:val="nl-NL"/>
        </w:rPr>
        <w:t xml:space="preserve"> </w:t>
      </w:r>
      <w:r>
        <w:t>бюджет</w:t>
      </w:r>
      <w:r>
        <w:rPr>
          <w:lang w:val="nl-NL"/>
        </w:rPr>
        <w:t xml:space="preserve"> </w:t>
      </w:r>
      <w:r>
        <w:t>на</w:t>
      </w:r>
      <w:r>
        <w:rPr>
          <w:lang w:val="nl-NL"/>
        </w:rPr>
        <w:t xml:space="preserve"> </w:t>
      </w:r>
      <w:r>
        <w:t>Съюза</w:t>
      </w:r>
      <w:r>
        <w:rPr>
          <w:lang w:val="nl-NL"/>
        </w:rPr>
        <w:t xml:space="preserve">, </w:t>
      </w:r>
      <w:r>
        <w:t>и</w:t>
      </w:r>
      <w:r>
        <w:rPr>
          <w:lang w:val="nl-NL"/>
        </w:rPr>
        <w:t xml:space="preserve"> </w:t>
      </w:r>
      <w:r>
        <w:t>за</w:t>
      </w:r>
      <w:r>
        <w:rPr>
          <w:lang w:val="nl-NL"/>
        </w:rPr>
        <w:t xml:space="preserve"> </w:t>
      </w:r>
      <w:r>
        <w:t>отмяна</w:t>
      </w:r>
      <w:r>
        <w:rPr>
          <w:lang w:val="nl-NL"/>
        </w:rPr>
        <w:t xml:space="preserve"> </w:t>
      </w:r>
      <w:r>
        <w:t>на</w:t>
      </w:r>
      <w:r>
        <w:rPr>
          <w:lang w:val="nl-NL"/>
        </w:rPr>
        <w:t xml:space="preserve"> </w:t>
      </w:r>
      <w:r>
        <w:t>Регламент</w:t>
      </w:r>
      <w:r>
        <w:rPr>
          <w:lang w:val="nl-NL"/>
        </w:rPr>
        <w:t> (</w:t>
      </w:r>
      <w:r>
        <w:t>ЕО</w:t>
      </w:r>
      <w:r>
        <w:rPr>
          <w:lang w:val="nl-NL"/>
        </w:rPr>
        <w:t xml:space="preserve">, </w:t>
      </w:r>
      <w:proofErr w:type="spellStart"/>
      <w:r>
        <w:t>Евратом</w:t>
      </w:r>
      <w:proofErr w:type="spellEnd"/>
      <w:r>
        <w:rPr>
          <w:lang w:val="nl-NL"/>
        </w:rPr>
        <w:t xml:space="preserve">) № 1605/2002 </w:t>
      </w:r>
      <w:r>
        <w:t>на</w:t>
      </w:r>
      <w:r>
        <w:rPr>
          <w:lang w:val="nl-NL"/>
        </w:rPr>
        <w:t xml:space="preserve"> </w:t>
      </w:r>
      <w:r>
        <w:t>Съвета</w:t>
      </w:r>
      <w:r>
        <w:rPr>
          <w:lang w:val="nl-NL"/>
        </w:rPr>
        <w:t xml:space="preserve">, </w:t>
      </w:r>
      <w:r>
        <w:t>ОВ</w:t>
      </w:r>
      <w:r>
        <w:rPr>
          <w:lang w:val="nl-NL"/>
        </w:rPr>
        <w:t> L 298, 26.10.2012 </w:t>
      </w:r>
      <w:r>
        <w:t>г</w:t>
      </w:r>
      <w:r>
        <w:rPr>
          <w:lang w:val="nl-NL"/>
        </w:rPr>
        <w:t xml:space="preserve">., </w:t>
      </w:r>
      <w:proofErr w:type="spellStart"/>
      <w:r>
        <w:t>стр</w:t>
      </w:r>
      <w:proofErr w:type="spellEnd"/>
      <w:r>
        <w:rPr>
          <w:lang w:val="nl-NL"/>
        </w:rPr>
        <w:t xml:space="preserve">. 1. </w:t>
      </w:r>
    </w:p>
  </w:footnote>
  <w:footnote w:id="28">
    <w:p w:rsidR="00222FCC" w:rsidRDefault="00FD122A">
      <w:pPr>
        <w:pStyle w:val="FootnoteText"/>
        <w:rPr>
          <w:lang w:val="nl-NL"/>
        </w:rPr>
      </w:pPr>
      <w:r>
        <w:rPr>
          <w:rStyle w:val="FootnoteReference"/>
        </w:rPr>
        <w:footnoteRef/>
      </w:r>
      <w:r>
        <w:rPr>
          <w:lang w:val="nl-NL"/>
        </w:rPr>
        <w:tab/>
      </w:r>
      <w:r>
        <w:t>Регламент</w:t>
      </w:r>
      <w:r>
        <w:rPr>
          <w:lang w:val="nl-NL"/>
        </w:rPr>
        <w:t xml:space="preserve"> (</w:t>
      </w:r>
      <w:r>
        <w:t>ЕС</w:t>
      </w:r>
      <w:r>
        <w:rPr>
          <w:lang w:val="nl-NL"/>
        </w:rPr>
        <w:t xml:space="preserve">) № 1293/2013 </w:t>
      </w:r>
      <w:r>
        <w:t>на</w:t>
      </w:r>
      <w:r>
        <w:rPr>
          <w:lang w:val="nl-NL"/>
        </w:rPr>
        <w:t xml:space="preserve"> </w:t>
      </w:r>
      <w:r>
        <w:t>Европейския</w:t>
      </w:r>
      <w:r>
        <w:rPr>
          <w:lang w:val="nl-NL"/>
        </w:rPr>
        <w:t xml:space="preserve"> </w:t>
      </w:r>
      <w:r>
        <w:t>парламент</w:t>
      </w:r>
      <w:r>
        <w:rPr>
          <w:lang w:val="nl-NL"/>
        </w:rPr>
        <w:t xml:space="preserve"> </w:t>
      </w:r>
      <w:r>
        <w:t>и</w:t>
      </w:r>
      <w:r>
        <w:rPr>
          <w:lang w:val="nl-NL"/>
        </w:rPr>
        <w:t xml:space="preserve"> </w:t>
      </w:r>
      <w:r>
        <w:t>на</w:t>
      </w:r>
      <w:r>
        <w:rPr>
          <w:lang w:val="nl-NL"/>
        </w:rPr>
        <w:t xml:space="preserve"> </w:t>
      </w:r>
      <w:r>
        <w:t>Съвета</w:t>
      </w:r>
      <w:r>
        <w:rPr>
          <w:lang w:val="nl-NL"/>
        </w:rPr>
        <w:t xml:space="preserve"> </w:t>
      </w:r>
      <w:r>
        <w:t>от</w:t>
      </w:r>
      <w:r>
        <w:rPr>
          <w:lang w:val="nl-NL"/>
        </w:rPr>
        <w:t xml:space="preserve"> 11 </w:t>
      </w:r>
      <w:r>
        <w:t>декември</w:t>
      </w:r>
      <w:r>
        <w:rPr>
          <w:lang w:val="nl-NL"/>
        </w:rPr>
        <w:t> 2013 </w:t>
      </w:r>
      <w:r>
        <w:t>г</w:t>
      </w:r>
      <w:r>
        <w:rPr>
          <w:lang w:val="nl-NL"/>
        </w:rPr>
        <w:t xml:space="preserve">. </w:t>
      </w:r>
      <w:r>
        <w:t>за</w:t>
      </w:r>
      <w:r>
        <w:rPr>
          <w:lang w:val="nl-NL"/>
        </w:rPr>
        <w:t xml:space="preserve"> </w:t>
      </w:r>
      <w:r>
        <w:t>създаване</w:t>
      </w:r>
      <w:r>
        <w:rPr>
          <w:lang w:val="nl-NL"/>
        </w:rPr>
        <w:t xml:space="preserve"> </w:t>
      </w:r>
      <w:r>
        <w:t>на</w:t>
      </w:r>
      <w:r>
        <w:rPr>
          <w:lang w:val="nl-NL"/>
        </w:rPr>
        <w:t xml:space="preserve"> </w:t>
      </w:r>
      <w:r>
        <w:t>Програма</w:t>
      </w:r>
      <w:r>
        <w:rPr>
          <w:lang w:val="nl-NL"/>
        </w:rPr>
        <w:t xml:space="preserve"> </w:t>
      </w:r>
      <w:r>
        <w:t>за</w:t>
      </w:r>
      <w:r>
        <w:rPr>
          <w:lang w:val="nl-NL"/>
        </w:rPr>
        <w:t xml:space="preserve"> </w:t>
      </w:r>
      <w:r>
        <w:t>околната</w:t>
      </w:r>
      <w:r>
        <w:rPr>
          <w:lang w:val="nl-NL"/>
        </w:rPr>
        <w:t xml:space="preserve"> </w:t>
      </w:r>
      <w:r>
        <w:t>среда</w:t>
      </w:r>
      <w:r>
        <w:rPr>
          <w:lang w:val="nl-NL"/>
        </w:rPr>
        <w:t xml:space="preserve"> </w:t>
      </w:r>
      <w:r>
        <w:t>и</w:t>
      </w:r>
      <w:r>
        <w:rPr>
          <w:lang w:val="nl-NL"/>
        </w:rPr>
        <w:t xml:space="preserve"> </w:t>
      </w:r>
      <w:r>
        <w:t>действията</w:t>
      </w:r>
      <w:r>
        <w:rPr>
          <w:lang w:val="nl-NL"/>
        </w:rPr>
        <w:t xml:space="preserve"> </w:t>
      </w:r>
      <w:r>
        <w:t>по</w:t>
      </w:r>
      <w:r>
        <w:rPr>
          <w:lang w:val="nl-NL"/>
        </w:rPr>
        <w:t xml:space="preserve"> </w:t>
      </w:r>
      <w:r>
        <w:t>климата</w:t>
      </w:r>
      <w:r>
        <w:rPr>
          <w:lang w:val="nl-NL"/>
        </w:rPr>
        <w:t xml:space="preserve"> (LIFE) </w:t>
      </w:r>
      <w:r>
        <w:t>и</w:t>
      </w:r>
      <w:r>
        <w:rPr>
          <w:lang w:val="nl-NL"/>
        </w:rPr>
        <w:t xml:space="preserve"> </w:t>
      </w:r>
      <w:r>
        <w:t>за</w:t>
      </w:r>
      <w:r>
        <w:rPr>
          <w:lang w:val="nl-NL"/>
        </w:rPr>
        <w:t xml:space="preserve"> </w:t>
      </w:r>
      <w:r>
        <w:t>отмяна</w:t>
      </w:r>
      <w:r>
        <w:rPr>
          <w:lang w:val="nl-NL"/>
        </w:rPr>
        <w:t xml:space="preserve"> </w:t>
      </w:r>
      <w:r>
        <w:t>на</w:t>
      </w:r>
      <w:r>
        <w:rPr>
          <w:lang w:val="nl-NL"/>
        </w:rPr>
        <w:t xml:space="preserve"> </w:t>
      </w:r>
      <w:r>
        <w:t>Регламент</w:t>
      </w:r>
      <w:r>
        <w:rPr>
          <w:lang w:val="nl-NL"/>
        </w:rPr>
        <w:t> (</w:t>
      </w:r>
      <w:r>
        <w:t>ЕО</w:t>
      </w:r>
      <w:r>
        <w:rPr>
          <w:lang w:val="nl-NL"/>
        </w:rPr>
        <w:t>) № 614/2007 (</w:t>
      </w:r>
      <w:r>
        <w:t>ОВ</w:t>
      </w:r>
      <w:r>
        <w:rPr>
          <w:lang w:val="nl-NL"/>
        </w:rPr>
        <w:t xml:space="preserve"> L 347, 20.12.2013 </w:t>
      </w:r>
      <w:r>
        <w:t>г</w:t>
      </w:r>
      <w:r>
        <w:rPr>
          <w:lang w:val="nl-NL"/>
        </w:rPr>
        <w:t xml:space="preserve">., </w:t>
      </w:r>
      <w:proofErr w:type="spellStart"/>
      <w:r>
        <w:t>стр</w:t>
      </w:r>
      <w:proofErr w:type="spellEnd"/>
      <w:r>
        <w:rPr>
          <w:lang w:val="nl-NL"/>
        </w:rPr>
        <w:t>. 185).</w:t>
      </w:r>
    </w:p>
  </w:footnote>
  <w:footnote w:id="29">
    <w:p w:rsidR="00222FCC" w:rsidRDefault="00FD122A">
      <w:pPr>
        <w:pStyle w:val="FootnoteText"/>
        <w:rPr>
          <w:lang w:val="nl-NL"/>
        </w:rPr>
      </w:pPr>
      <w:r>
        <w:rPr>
          <w:rStyle w:val="FootnoteReference"/>
        </w:rPr>
        <w:footnoteRef/>
      </w:r>
      <w:r>
        <w:rPr>
          <w:lang w:val="nl-NL"/>
        </w:rPr>
        <w:tab/>
      </w:r>
      <w:r>
        <w:t>Регламент</w:t>
      </w:r>
      <w:r>
        <w:rPr>
          <w:lang w:val="nl-NL"/>
        </w:rPr>
        <w:t xml:space="preserve"> (</w:t>
      </w:r>
      <w:r>
        <w:t>ЕС</w:t>
      </w:r>
      <w:r>
        <w:rPr>
          <w:lang w:val="nl-NL"/>
        </w:rPr>
        <w:t xml:space="preserve">) № 1303/2013 </w:t>
      </w:r>
      <w:r>
        <w:t>на</w:t>
      </w:r>
      <w:r>
        <w:rPr>
          <w:lang w:val="nl-NL"/>
        </w:rPr>
        <w:t xml:space="preserve"> </w:t>
      </w:r>
      <w:r>
        <w:t>Европейския</w:t>
      </w:r>
      <w:r>
        <w:rPr>
          <w:lang w:val="nl-NL"/>
        </w:rPr>
        <w:t xml:space="preserve"> </w:t>
      </w:r>
      <w:r>
        <w:t>парламент</w:t>
      </w:r>
      <w:r>
        <w:rPr>
          <w:lang w:val="nl-NL"/>
        </w:rPr>
        <w:t xml:space="preserve"> </w:t>
      </w:r>
      <w:r>
        <w:t>и</w:t>
      </w:r>
      <w:r>
        <w:rPr>
          <w:lang w:val="nl-NL"/>
        </w:rPr>
        <w:t xml:space="preserve"> </w:t>
      </w:r>
      <w:r>
        <w:t>на</w:t>
      </w:r>
      <w:r>
        <w:rPr>
          <w:lang w:val="nl-NL"/>
        </w:rPr>
        <w:t xml:space="preserve"> </w:t>
      </w:r>
      <w:r>
        <w:t>Съвета</w:t>
      </w:r>
      <w:r>
        <w:rPr>
          <w:lang w:val="nl-NL"/>
        </w:rPr>
        <w:t xml:space="preserve"> </w:t>
      </w:r>
      <w:r>
        <w:t>от</w:t>
      </w:r>
      <w:r>
        <w:rPr>
          <w:lang w:val="nl-NL"/>
        </w:rPr>
        <w:t xml:space="preserve"> 17 </w:t>
      </w:r>
      <w:r>
        <w:t>декември</w:t>
      </w:r>
      <w:r>
        <w:rPr>
          <w:lang w:val="nl-NL"/>
        </w:rPr>
        <w:t> 2013 </w:t>
      </w:r>
      <w:r>
        <w:t>г</w:t>
      </w:r>
      <w:r>
        <w:rPr>
          <w:lang w:val="nl-NL"/>
        </w:rPr>
        <w:t xml:space="preserve">. </w:t>
      </w:r>
      <w:r>
        <w:t>за</w:t>
      </w:r>
      <w:r>
        <w:rPr>
          <w:lang w:val="nl-NL"/>
        </w:rPr>
        <w:t xml:space="preserve"> </w:t>
      </w:r>
      <w:r>
        <w:t>определяне</w:t>
      </w:r>
      <w:r>
        <w:rPr>
          <w:lang w:val="nl-NL"/>
        </w:rPr>
        <w:t xml:space="preserve"> </w:t>
      </w:r>
      <w:r>
        <w:t>на</w:t>
      </w:r>
      <w:r>
        <w:rPr>
          <w:lang w:val="nl-NL"/>
        </w:rPr>
        <w:t xml:space="preserve"> </w:t>
      </w:r>
      <w:proofErr w:type="spellStart"/>
      <w:r>
        <w:t>о</w:t>
      </w:r>
      <w:r>
        <w:t>бщоприложими</w:t>
      </w:r>
      <w:proofErr w:type="spellEnd"/>
      <w:r>
        <w:rPr>
          <w:lang w:val="nl-NL"/>
        </w:rPr>
        <w:t xml:space="preserve"> </w:t>
      </w:r>
      <w:r>
        <w:t>разпоредби</w:t>
      </w:r>
      <w:r>
        <w:rPr>
          <w:lang w:val="nl-NL"/>
        </w:rPr>
        <w:t xml:space="preserve"> </w:t>
      </w:r>
      <w:r>
        <w:t>за</w:t>
      </w:r>
      <w:r>
        <w:rPr>
          <w:lang w:val="nl-NL"/>
        </w:rPr>
        <w:t xml:space="preserve"> </w:t>
      </w:r>
      <w:r>
        <w:t>Европейския</w:t>
      </w:r>
      <w:r>
        <w:rPr>
          <w:lang w:val="nl-NL"/>
        </w:rPr>
        <w:t xml:space="preserve"> </w:t>
      </w:r>
      <w:r>
        <w:t>фонд</w:t>
      </w:r>
      <w:r>
        <w:rPr>
          <w:lang w:val="nl-NL"/>
        </w:rPr>
        <w:t xml:space="preserve"> </w:t>
      </w:r>
      <w:r>
        <w:t>за</w:t>
      </w:r>
      <w:r>
        <w:rPr>
          <w:lang w:val="nl-NL"/>
        </w:rPr>
        <w:t xml:space="preserve"> </w:t>
      </w:r>
      <w:r>
        <w:t>регионално</w:t>
      </w:r>
      <w:r>
        <w:rPr>
          <w:lang w:val="nl-NL"/>
        </w:rPr>
        <w:t xml:space="preserve"> </w:t>
      </w:r>
      <w:r>
        <w:t>развитие</w:t>
      </w:r>
      <w:r>
        <w:rPr>
          <w:lang w:val="nl-NL"/>
        </w:rPr>
        <w:t xml:space="preserve">, </w:t>
      </w:r>
      <w:r>
        <w:t>Европейския</w:t>
      </w:r>
      <w:r>
        <w:rPr>
          <w:lang w:val="nl-NL"/>
        </w:rPr>
        <w:t xml:space="preserve"> </w:t>
      </w:r>
      <w:r>
        <w:t>социален</w:t>
      </w:r>
      <w:r>
        <w:rPr>
          <w:lang w:val="nl-NL"/>
        </w:rPr>
        <w:t xml:space="preserve"> </w:t>
      </w:r>
      <w:r>
        <w:t>фонд</w:t>
      </w:r>
      <w:r>
        <w:rPr>
          <w:lang w:val="nl-NL"/>
        </w:rPr>
        <w:t xml:space="preserve">, </w:t>
      </w:r>
      <w:proofErr w:type="spellStart"/>
      <w:r>
        <w:t>Кохезионния</w:t>
      </w:r>
      <w:proofErr w:type="spellEnd"/>
      <w:r>
        <w:rPr>
          <w:lang w:val="nl-NL"/>
        </w:rPr>
        <w:t xml:space="preserve"> </w:t>
      </w:r>
      <w:r>
        <w:t>фонд</w:t>
      </w:r>
      <w:r>
        <w:rPr>
          <w:lang w:val="nl-NL"/>
        </w:rPr>
        <w:t xml:space="preserve">, </w:t>
      </w:r>
      <w:r>
        <w:t>Европейския</w:t>
      </w:r>
      <w:r>
        <w:rPr>
          <w:lang w:val="nl-NL"/>
        </w:rPr>
        <w:t xml:space="preserve"> </w:t>
      </w:r>
      <w:r>
        <w:t>земеделски</w:t>
      </w:r>
      <w:r>
        <w:rPr>
          <w:lang w:val="nl-NL"/>
        </w:rPr>
        <w:t xml:space="preserve"> </w:t>
      </w:r>
      <w:r>
        <w:t>фонд</w:t>
      </w:r>
      <w:r>
        <w:rPr>
          <w:lang w:val="nl-NL"/>
        </w:rPr>
        <w:t xml:space="preserve"> </w:t>
      </w:r>
      <w:r>
        <w:t>за</w:t>
      </w:r>
      <w:r>
        <w:rPr>
          <w:lang w:val="nl-NL"/>
        </w:rPr>
        <w:t xml:space="preserve"> </w:t>
      </w:r>
      <w:r>
        <w:t>развитие</w:t>
      </w:r>
      <w:r>
        <w:rPr>
          <w:lang w:val="nl-NL"/>
        </w:rPr>
        <w:t xml:space="preserve"> </w:t>
      </w:r>
      <w:r>
        <w:t>на</w:t>
      </w:r>
      <w:r>
        <w:rPr>
          <w:lang w:val="nl-NL"/>
        </w:rPr>
        <w:t xml:space="preserve"> </w:t>
      </w:r>
      <w:r>
        <w:t>селските</w:t>
      </w:r>
      <w:r>
        <w:rPr>
          <w:lang w:val="nl-NL"/>
        </w:rPr>
        <w:t xml:space="preserve"> </w:t>
      </w:r>
      <w:r>
        <w:t>райони</w:t>
      </w:r>
      <w:r>
        <w:rPr>
          <w:lang w:val="nl-NL"/>
        </w:rPr>
        <w:t xml:space="preserve"> </w:t>
      </w:r>
      <w:r>
        <w:t>и</w:t>
      </w:r>
      <w:r>
        <w:rPr>
          <w:lang w:val="nl-NL"/>
        </w:rPr>
        <w:t xml:space="preserve"> </w:t>
      </w:r>
      <w:r>
        <w:t>Европейския</w:t>
      </w:r>
      <w:r>
        <w:rPr>
          <w:lang w:val="nl-NL"/>
        </w:rPr>
        <w:t xml:space="preserve"> </w:t>
      </w:r>
      <w:r>
        <w:t>фонд</w:t>
      </w:r>
      <w:r>
        <w:rPr>
          <w:lang w:val="nl-NL"/>
        </w:rPr>
        <w:t xml:space="preserve"> </w:t>
      </w:r>
      <w:r>
        <w:t>за</w:t>
      </w:r>
      <w:r>
        <w:rPr>
          <w:lang w:val="nl-NL"/>
        </w:rPr>
        <w:t xml:space="preserve"> </w:t>
      </w:r>
      <w:r>
        <w:t>морско</w:t>
      </w:r>
      <w:r>
        <w:rPr>
          <w:lang w:val="nl-NL"/>
        </w:rPr>
        <w:t xml:space="preserve"> </w:t>
      </w:r>
      <w:r>
        <w:t>дело</w:t>
      </w:r>
      <w:r>
        <w:rPr>
          <w:lang w:val="nl-NL"/>
        </w:rPr>
        <w:t xml:space="preserve"> </w:t>
      </w:r>
      <w:r>
        <w:t>и</w:t>
      </w:r>
      <w:r>
        <w:rPr>
          <w:lang w:val="nl-NL"/>
        </w:rPr>
        <w:t xml:space="preserve"> </w:t>
      </w:r>
      <w:r>
        <w:t>рибарство</w:t>
      </w:r>
      <w:r>
        <w:rPr>
          <w:lang w:val="nl-NL"/>
        </w:rPr>
        <w:t xml:space="preserve"> </w:t>
      </w:r>
      <w:r>
        <w:t>и</w:t>
      </w:r>
      <w:r>
        <w:rPr>
          <w:lang w:val="nl-NL"/>
        </w:rPr>
        <w:t xml:space="preserve"> </w:t>
      </w:r>
      <w:r>
        <w:t>за</w:t>
      </w:r>
      <w:r>
        <w:rPr>
          <w:lang w:val="nl-NL"/>
        </w:rPr>
        <w:t xml:space="preserve"> </w:t>
      </w:r>
      <w:r>
        <w:t>определяне</w:t>
      </w:r>
      <w:r>
        <w:rPr>
          <w:lang w:val="nl-NL"/>
        </w:rPr>
        <w:t xml:space="preserve"> </w:t>
      </w:r>
      <w:r>
        <w:t>на</w:t>
      </w:r>
      <w:r>
        <w:rPr>
          <w:lang w:val="nl-NL"/>
        </w:rPr>
        <w:t xml:space="preserve"> </w:t>
      </w:r>
      <w:r>
        <w:t>общи</w:t>
      </w:r>
      <w:r>
        <w:rPr>
          <w:lang w:val="nl-NL"/>
        </w:rPr>
        <w:t xml:space="preserve"> </w:t>
      </w:r>
      <w:r>
        <w:t>разпоредби</w:t>
      </w:r>
      <w:r>
        <w:rPr>
          <w:lang w:val="nl-NL"/>
        </w:rPr>
        <w:t xml:space="preserve"> </w:t>
      </w:r>
      <w:r>
        <w:t>за</w:t>
      </w:r>
      <w:r>
        <w:rPr>
          <w:lang w:val="nl-NL"/>
        </w:rPr>
        <w:t xml:space="preserve"> </w:t>
      </w:r>
      <w:r>
        <w:t>Европейския</w:t>
      </w:r>
      <w:r>
        <w:rPr>
          <w:lang w:val="nl-NL"/>
        </w:rPr>
        <w:t xml:space="preserve"> </w:t>
      </w:r>
      <w:r>
        <w:t>фонд</w:t>
      </w:r>
      <w:r>
        <w:rPr>
          <w:lang w:val="nl-NL"/>
        </w:rPr>
        <w:t xml:space="preserve"> </w:t>
      </w:r>
      <w:r>
        <w:t>за</w:t>
      </w:r>
      <w:r>
        <w:rPr>
          <w:lang w:val="nl-NL"/>
        </w:rPr>
        <w:t xml:space="preserve"> </w:t>
      </w:r>
      <w:r>
        <w:t>регионално</w:t>
      </w:r>
      <w:r>
        <w:rPr>
          <w:lang w:val="nl-NL"/>
        </w:rPr>
        <w:t xml:space="preserve"> </w:t>
      </w:r>
      <w:r>
        <w:t>развитие</w:t>
      </w:r>
      <w:r>
        <w:rPr>
          <w:lang w:val="nl-NL"/>
        </w:rPr>
        <w:t xml:space="preserve">, </w:t>
      </w:r>
      <w:r>
        <w:t>Европейския</w:t>
      </w:r>
      <w:r>
        <w:rPr>
          <w:lang w:val="nl-NL"/>
        </w:rPr>
        <w:t xml:space="preserve"> </w:t>
      </w:r>
      <w:r>
        <w:t>социален</w:t>
      </w:r>
      <w:r>
        <w:rPr>
          <w:lang w:val="nl-NL"/>
        </w:rPr>
        <w:t xml:space="preserve"> </w:t>
      </w:r>
      <w:r>
        <w:t>фонд</w:t>
      </w:r>
      <w:r>
        <w:rPr>
          <w:lang w:val="nl-NL"/>
        </w:rPr>
        <w:t xml:space="preserve">, </w:t>
      </w:r>
      <w:proofErr w:type="spellStart"/>
      <w:r>
        <w:t>Кохезионния</w:t>
      </w:r>
      <w:proofErr w:type="spellEnd"/>
      <w:r>
        <w:rPr>
          <w:lang w:val="nl-NL"/>
        </w:rPr>
        <w:t xml:space="preserve"> </w:t>
      </w:r>
      <w:r>
        <w:t>фонд</w:t>
      </w:r>
      <w:r>
        <w:rPr>
          <w:lang w:val="nl-NL"/>
        </w:rPr>
        <w:t xml:space="preserve"> </w:t>
      </w:r>
      <w:r>
        <w:t>и</w:t>
      </w:r>
      <w:r>
        <w:rPr>
          <w:lang w:val="nl-NL"/>
        </w:rPr>
        <w:t xml:space="preserve"> </w:t>
      </w:r>
      <w:r>
        <w:t>Европейския</w:t>
      </w:r>
      <w:r>
        <w:rPr>
          <w:lang w:val="nl-NL"/>
        </w:rPr>
        <w:t xml:space="preserve"> </w:t>
      </w:r>
      <w:r>
        <w:t>фонд</w:t>
      </w:r>
      <w:r>
        <w:rPr>
          <w:lang w:val="nl-NL"/>
        </w:rPr>
        <w:t xml:space="preserve"> </w:t>
      </w:r>
      <w:r>
        <w:t>за</w:t>
      </w:r>
      <w:r>
        <w:rPr>
          <w:lang w:val="nl-NL"/>
        </w:rPr>
        <w:t xml:space="preserve"> </w:t>
      </w:r>
      <w:r>
        <w:t>морско</w:t>
      </w:r>
      <w:r>
        <w:rPr>
          <w:lang w:val="nl-NL"/>
        </w:rPr>
        <w:t xml:space="preserve"> </w:t>
      </w:r>
      <w:r>
        <w:t>дело</w:t>
      </w:r>
      <w:r>
        <w:rPr>
          <w:lang w:val="nl-NL"/>
        </w:rPr>
        <w:t xml:space="preserve"> </w:t>
      </w:r>
      <w:r>
        <w:t>и</w:t>
      </w:r>
      <w:r>
        <w:rPr>
          <w:lang w:val="nl-NL"/>
        </w:rPr>
        <w:t xml:space="preserve"> </w:t>
      </w:r>
      <w:r>
        <w:t>рибарство</w:t>
      </w:r>
      <w:r>
        <w:rPr>
          <w:lang w:val="nl-NL"/>
        </w:rPr>
        <w:t xml:space="preserve">, </w:t>
      </w:r>
      <w:r>
        <w:t>и</w:t>
      </w:r>
      <w:r>
        <w:rPr>
          <w:lang w:val="nl-NL"/>
        </w:rPr>
        <w:t xml:space="preserve"> </w:t>
      </w:r>
      <w:r>
        <w:t>за</w:t>
      </w:r>
      <w:r>
        <w:rPr>
          <w:lang w:val="nl-NL"/>
        </w:rPr>
        <w:t xml:space="preserve"> </w:t>
      </w:r>
      <w:r>
        <w:t>отмяна</w:t>
      </w:r>
      <w:r>
        <w:rPr>
          <w:lang w:val="nl-NL"/>
        </w:rPr>
        <w:t xml:space="preserve"> </w:t>
      </w:r>
      <w:r>
        <w:t>на</w:t>
      </w:r>
      <w:r>
        <w:rPr>
          <w:lang w:val="nl-NL"/>
        </w:rPr>
        <w:t xml:space="preserve"> </w:t>
      </w:r>
      <w:r>
        <w:t>Регламент</w:t>
      </w:r>
      <w:r>
        <w:rPr>
          <w:lang w:val="nl-NL"/>
        </w:rPr>
        <w:t> (</w:t>
      </w:r>
      <w:r>
        <w:t>ЕО</w:t>
      </w:r>
      <w:r>
        <w:rPr>
          <w:lang w:val="nl-NL"/>
        </w:rPr>
        <w:t xml:space="preserve">) № 1083/2006 </w:t>
      </w:r>
      <w:r>
        <w:t>на</w:t>
      </w:r>
      <w:r>
        <w:rPr>
          <w:lang w:val="nl-NL"/>
        </w:rPr>
        <w:t xml:space="preserve"> </w:t>
      </w:r>
      <w:r>
        <w:t>Съвета</w:t>
      </w:r>
      <w:r>
        <w:rPr>
          <w:lang w:val="nl-NL"/>
        </w:rPr>
        <w:t xml:space="preserve"> (</w:t>
      </w:r>
      <w:r>
        <w:t>ОВ</w:t>
      </w:r>
      <w:r>
        <w:rPr>
          <w:lang w:val="nl-NL"/>
        </w:rPr>
        <w:t xml:space="preserve"> L 347, 20.12.2013 </w:t>
      </w:r>
      <w:r>
        <w:t>г</w:t>
      </w:r>
      <w:r>
        <w:rPr>
          <w:lang w:val="nl-NL"/>
        </w:rPr>
        <w:t xml:space="preserve">., </w:t>
      </w:r>
      <w:proofErr w:type="spellStart"/>
      <w:r>
        <w:t>стр</w:t>
      </w:r>
      <w:proofErr w:type="spellEnd"/>
      <w:r>
        <w:rPr>
          <w:lang w:val="nl-NL"/>
        </w:rPr>
        <w:t>. 320).</w:t>
      </w:r>
    </w:p>
  </w:footnote>
  <w:footnote w:id="30">
    <w:p w:rsidR="00222FCC" w:rsidRDefault="00FD122A">
      <w:pPr>
        <w:pStyle w:val="FootnoteText"/>
        <w:rPr>
          <w:lang w:val="nl-NL"/>
        </w:rPr>
      </w:pPr>
      <w:r>
        <w:rPr>
          <w:rStyle w:val="FootnoteReference"/>
        </w:rPr>
        <w:footnoteRef/>
      </w:r>
      <w:r>
        <w:rPr>
          <w:lang w:val="nl-NL"/>
        </w:rPr>
        <w:tab/>
      </w:r>
      <w:r>
        <w:t>Регламент</w:t>
      </w:r>
      <w:r>
        <w:rPr>
          <w:lang w:val="nl-NL"/>
        </w:rPr>
        <w:t> (</w:t>
      </w:r>
      <w:r>
        <w:t>ЕС</w:t>
      </w:r>
      <w:r>
        <w:rPr>
          <w:lang w:val="nl-NL"/>
        </w:rPr>
        <w:t xml:space="preserve">) № 1305/2013 </w:t>
      </w:r>
      <w:r>
        <w:t>на</w:t>
      </w:r>
      <w:r>
        <w:rPr>
          <w:lang w:val="nl-NL"/>
        </w:rPr>
        <w:t xml:space="preserve"> </w:t>
      </w:r>
      <w:r>
        <w:t>Европейския</w:t>
      </w:r>
      <w:r>
        <w:rPr>
          <w:lang w:val="nl-NL"/>
        </w:rPr>
        <w:t xml:space="preserve"> </w:t>
      </w:r>
      <w:r>
        <w:t>парламент</w:t>
      </w:r>
      <w:r>
        <w:rPr>
          <w:lang w:val="nl-NL"/>
        </w:rPr>
        <w:t xml:space="preserve"> </w:t>
      </w:r>
      <w:r>
        <w:t>и</w:t>
      </w:r>
      <w:r>
        <w:rPr>
          <w:lang w:val="nl-NL"/>
        </w:rPr>
        <w:t xml:space="preserve"> </w:t>
      </w:r>
      <w:r>
        <w:t>на</w:t>
      </w:r>
      <w:r>
        <w:rPr>
          <w:lang w:val="nl-NL"/>
        </w:rPr>
        <w:t xml:space="preserve"> </w:t>
      </w:r>
      <w:r>
        <w:t>Съвета</w:t>
      </w:r>
      <w:r>
        <w:rPr>
          <w:lang w:val="nl-NL"/>
        </w:rPr>
        <w:t xml:space="preserve"> </w:t>
      </w:r>
      <w:r>
        <w:t>от</w:t>
      </w:r>
      <w:r>
        <w:rPr>
          <w:lang w:val="nl-NL"/>
        </w:rPr>
        <w:t xml:space="preserve"> 17 </w:t>
      </w:r>
      <w:r>
        <w:t>декември</w:t>
      </w:r>
      <w:r>
        <w:rPr>
          <w:lang w:val="nl-NL"/>
        </w:rPr>
        <w:t xml:space="preserve"> 2013 </w:t>
      </w:r>
      <w:r>
        <w:t>г</w:t>
      </w:r>
      <w:r>
        <w:rPr>
          <w:lang w:val="nl-NL"/>
        </w:rPr>
        <w:t xml:space="preserve">. </w:t>
      </w:r>
      <w:r>
        <w:t>относно</w:t>
      </w:r>
      <w:r>
        <w:rPr>
          <w:lang w:val="nl-NL"/>
        </w:rPr>
        <w:t xml:space="preserve"> </w:t>
      </w:r>
      <w:r>
        <w:t>подпомагане</w:t>
      </w:r>
      <w:r>
        <w:rPr>
          <w:lang w:val="nl-NL"/>
        </w:rPr>
        <w:t xml:space="preserve"> </w:t>
      </w:r>
      <w:r>
        <w:t>на</w:t>
      </w:r>
      <w:r>
        <w:rPr>
          <w:lang w:val="nl-NL"/>
        </w:rPr>
        <w:t xml:space="preserve"> </w:t>
      </w:r>
      <w:r>
        <w:t>развитието</w:t>
      </w:r>
      <w:r>
        <w:rPr>
          <w:lang w:val="nl-NL"/>
        </w:rPr>
        <w:t xml:space="preserve"> </w:t>
      </w:r>
      <w:r>
        <w:t>на</w:t>
      </w:r>
      <w:r>
        <w:rPr>
          <w:lang w:val="nl-NL"/>
        </w:rPr>
        <w:t xml:space="preserve"> </w:t>
      </w:r>
      <w:r>
        <w:t>селските</w:t>
      </w:r>
      <w:r>
        <w:rPr>
          <w:lang w:val="nl-NL"/>
        </w:rPr>
        <w:t xml:space="preserve"> </w:t>
      </w:r>
      <w:r>
        <w:t>райони</w:t>
      </w:r>
      <w:r>
        <w:rPr>
          <w:lang w:val="nl-NL"/>
        </w:rPr>
        <w:t xml:space="preserve"> </w:t>
      </w:r>
      <w:r>
        <w:t>от</w:t>
      </w:r>
      <w:r>
        <w:rPr>
          <w:lang w:val="nl-NL"/>
        </w:rPr>
        <w:t xml:space="preserve"> </w:t>
      </w:r>
      <w:r>
        <w:t>Европейския</w:t>
      </w:r>
      <w:r>
        <w:rPr>
          <w:lang w:val="nl-NL"/>
        </w:rPr>
        <w:t xml:space="preserve"> </w:t>
      </w:r>
      <w:r>
        <w:t>земеделски</w:t>
      </w:r>
      <w:r>
        <w:rPr>
          <w:lang w:val="nl-NL"/>
        </w:rPr>
        <w:t xml:space="preserve"> </w:t>
      </w:r>
      <w:r>
        <w:t>фонд</w:t>
      </w:r>
      <w:r>
        <w:rPr>
          <w:lang w:val="nl-NL"/>
        </w:rPr>
        <w:t xml:space="preserve"> </w:t>
      </w:r>
      <w:r>
        <w:t>за</w:t>
      </w:r>
      <w:r>
        <w:rPr>
          <w:lang w:val="nl-NL"/>
        </w:rPr>
        <w:t xml:space="preserve"> </w:t>
      </w:r>
      <w:r>
        <w:t>развитие</w:t>
      </w:r>
      <w:r>
        <w:rPr>
          <w:lang w:val="nl-NL"/>
        </w:rPr>
        <w:t xml:space="preserve"> </w:t>
      </w:r>
      <w:r>
        <w:t>на</w:t>
      </w:r>
      <w:r>
        <w:rPr>
          <w:lang w:val="nl-NL"/>
        </w:rPr>
        <w:t xml:space="preserve"> </w:t>
      </w:r>
      <w:r>
        <w:t>селските</w:t>
      </w:r>
      <w:r>
        <w:rPr>
          <w:lang w:val="nl-NL"/>
        </w:rPr>
        <w:t xml:space="preserve"> </w:t>
      </w:r>
      <w:r>
        <w:t>райони</w:t>
      </w:r>
      <w:r>
        <w:rPr>
          <w:lang w:val="nl-NL"/>
        </w:rPr>
        <w:t xml:space="preserve"> (</w:t>
      </w:r>
      <w:r>
        <w:t>ЕЗФРСР</w:t>
      </w:r>
      <w:r>
        <w:rPr>
          <w:lang w:val="nl-NL"/>
        </w:rPr>
        <w:t xml:space="preserve">) </w:t>
      </w:r>
      <w:r>
        <w:t>и</w:t>
      </w:r>
      <w:r>
        <w:rPr>
          <w:lang w:val="nl-NL"/>
        </w:rPr>
        <w:t xml:space="preserve"> </w:t>
      </w:r>
      <w:r>
        <w:t>за</w:t>
      </w:r>
      <w:r>
        <w:rPr>
          <w:lang w:val="nl-NL"/>
        </w:rPr>
        <w:t xml:space="preserve"> </w:t>
      </w:r>
      <w:r>
        <w:t>отмяна</w:t>
      </w:r>
      <w:r>
        <w:rPr>
          <w:lang w:val="nl-NL"/>
        </w:rPr>
        <w:t xml:space="preserve"> </w:t>
      </w:r>
      <w:r>
        <w:t>на</w:t>
      </w:r>
      <w:r>
        <w:rPr>
          <w:lang w:val="nl-NL"/>
        </w:rPr>
        <w:t xml:space="preserve"> </w:t>
      </w:r>
      <w:r>
        <w:t>Регламент</w:t>
      </w:r>
      <w:r>
        <w:rPr>
          <w:lang w:val="nl-NL"/>
        </w:rPr>
        <w:t> (</w:t>
      </w:r>
      <w:r>
        <w:t>ЕО</w:t>
      </w:r>
      <w:r>
        <w:rPr>
          <w:lang w:val="nl-NL"/>
        </w:rPr>
        <w:t xml:space="preserve">) № 1698/2005 </w:t>
      </w:r>
      <w:r>
        <w:t>на</w:t>
      </w:r>
      <w:r>
        <w:rPr>
          <w:lang w:val="nl-NL"/>
        </w:rPr>
        <w:t xml:space="preserve"> </w:t>
      </w:r>
      <w:r>
        <w:t>Съвета</w:t>
      </w:r>
      <w:r>
        <w:rPr>
          <w:lang w:val="nl-NL"/>
        </w:rPr>
        <w:t xml:space="preserve"> (</w:t>
      </w:r>
      <w:r>
        <w:t>ОВ</w:t>
      </w:r>
      <w:r>
        <w:rPr>
          <w:lang w:val="nl-NL"/>
        </w:rPr>
        <w:t> L 347, 20.12.2013 </w:t>
      </w:r>
      <w:r>
        <w:t>г</w:t>
      </w:r>
      <w:r>
        <w:rPr>
          <w:lang w:val="nl-NL"/>
        </w:rPr>
        <w:t xml:space="preserve">., </w:t>
      </w:r>
      <w:proofErr w:type="spellStart"/>
      <w:r>
        <w:t>стр</w:t>
      </w:r>
      <w:proofErr w:type="spellEnd"/>
      <w:r>
        <w:rPr>
          <w:lang w:val="nl-NL"/>
        </w:rPr>
        <w:t>. 487).</w:t>
      </w:r>
    </w:p>
  </w:footnote>
  <w:footnote w:id="31">
    <w:p w:rsidR="00222FCC" w:rsidRDefault="00FD122A">
      <w:pPr>
        <w:pStyle w:val="FootnoteText"/>
        <w:rPr>
          <w:lang w:val="nl-NL"/>
        </w:rPr>
      </w:pPr>
      <w:r>
        <w:rPr>
          <w:rStyle w:val="FootnoteReference"/>
        </w:rPr>
        <w:footnoteRef/>
      </w:r>
      <w:r>
        <w:rPr>
          <w:lang w:val="nl-NL"/>
        </w:rPr>
        <w:tab/>
      </w:r>
      <w:r>
        <w:rPr>
          <w:rStyle w:val="Strong"/>
          <w:b w:val="0"/>
        </w:rPr>
        <w:t>Регламент</w:t>
      </w:r>
      <w:r>
        <w:rPr>
          <w:rStyle w:val="Strong"/>
          <w:b w:val="0"/>
          <w:lang w:val="nl-NL"/>
        </w:rPr>
        <w:t> (</w:t>
      </w:r>
      <w:r>
        <w:rPr>
          <w:rStyle w:val="Strong"/>
          <w:b w:val="0"/>
        </w:rPr>
        <w:t>ЕС</w:t>
      </w:r>
      <w:r>
        <w:rPr>
          <w:rStyle w:val="Strong"/>
          <w:b w:val="0"/>
          <w:lang w:val="nl-NL"/>
        </w:rPr>
        <w:t xml:space="preserve">) № 1306/2013 </w:t>
      </w:r>
      <w:r>
        <w:rPr>
          <w:rStyle w:val="Strong"/>
          <w:b w:val="0"/>
        </w:rPr>
        <w:t>на</w:t>
      </w:r>
      <w:r>
        <w:rPr>
          <w:rStyle w:val="Strong"/>
          <w:b w:val="0"/>
          <w:lang w:val="nl-NL"/>
        </w:rPr>
        <w:t xml:space="preserve"> </w:t>
      </w:r>
      <w:r>
        <w:rPr>
          <w:rStyle w:val="Strong"/>
          <w:b w:val="0"/>
        </w:rPr>
        <w:t>Европейския</w:t>
      </w:r>
      <w:r>
        <w:rPr>
          <w:rStyle w:val="Strong"/>
          <w:b w:val="0"/>
          <w:lang w:val="nl-NL"/>
        </w:rPr>
        <w:t xml:space="preserve"> </w:t>
      </w:r>
      <w:r>
        <w:rPr>
          <w:rStyle w:val="Strong"/>
          <w:b w:val="0"/>
        </w:rPr>
        <w:t>парламент</w:t>
      </w:r>
      <w:r>
        <w:rPr>
          <w:rStyle w:val="Strong"/>
          <w:b w:val="0"/>
          <w:lang w:val="nl-NL"/>
        </w:rPr>
        <w:t xml:space="preserve"> </w:t>
      </w:r>
      <w:r>
        <w:rPr>
          <w:rStyle w:val="Strong"/>
          <w:b w:val="0"/>
        </w:rPr>
        <w:t>и</w:t>
      </w:r>
      <w:r>
        <w:rPr>
          <w:rStyle w:val="Strong"/>
          <w:b w:val="0"/>
          <w:lang w:val="nl-NL"/>
        </w:rPr>
        <w:t xml:space="preserve"> </w:t>
      </w:r>
      <w:r>
        <w:rPr>
          <w:rStyle w:val="Strong"/>
          <w:b w:val="0"/>
        </w:rPr>
        <w:t>на</w:t>
      </w:r>
      <w:r>
        <w:rPr>
          <w:rStyle w:val="Strong"/>
          <w:b w:val="0"/>
          <w:lang w:val="nl-NL"/>
        </w:rPr>
        <w:t xml:space="preserve"> </w:t>
      </w:r>
      <w:r>
        <w:rPr>
          <w:rStyle w:val="Strong"/>
          <w:b w:val="0"/>
        </w:rPr>
        <w:t>Съвета</w:t>
      </w:r>
      <w:r>
        <w:rPr>
          <w:rStyle w:val="Strong"/>
          <w:b w:val="0"/>
          <w:lang w:val="nl-NL"/>
        </w:rPr>
        <w:t xml:space="preserve"> </w:t>
      </w:r>
      <w:r>
        <w:rPr>
          <w:rStyle w:val="Strong"/>
          <w:b w:val="0"/>
        </w:rPr>
        <w:t>от</w:t>
      </w:r>
      <w:r>
        <w:rPr>
          <w:rStyle w:val="Strong"/>
          <w:b w:val="0"/>
          <w:lang w:val="nl-NL"/>
        </w:rPr>
        <w:t xml:space="preserve"> 17 </w:t>
      </w:r>
      <w:r>
        <w:rPr>
          <w:rStyle w:val="Strong"/>
          <w:b w:val="0"/>
        </w:rPr>
        <w:t>декември</w:t>
      </w:r>
      <w:r>
        <w:rPr>
          <w:rStyle w:val="Strong"/>
          <w:b w:val="0"/>
          <w:lang w:val="nl-NL"/>
        </w:rPr>
        <w:t> 2013 </w:t>
      </w:r>
      <w:r>
        <w:rPr>
          <w:rStyle w:val="Strong"/>
          <w:b w:val="0"/>
        </w:rPr>
        <w:t>г</w:t>
      </w:r>
      <w:r>
        <w:rPr>
          <w:rStyle w:val="Strong"/>
          <w:b w:val="0"/>
          <w:lang w:val="nl-NL"/>
        </w:rPr>
        <w:t xml:space="preserve">. </w:t>
      </w:r>
      <w:r>
        <w:rPr>
          <w:rStyle w:val="Strong"/>
          <w:b w:val="0"/>
        </w:rPr>
        <w:t>относно</w:t>
      </w:r>
      <w:r>
        <w:rPr>
          <w:rStyle w:val="Strong"/>
          <w:b w:val="0"/>
          <w:lang w:val="nl-NL"/>
        </w:rPr>
        <w:t xml:space="preserve"> </w:t>
      </w:r>
      <w:r>
        <w:rPr>
          <w:rStyle w:val="Strong"/>
          <w:b w:val="0"/>
        </w:rPr>
        <w:t>финансирането</w:t>
      </w:r>
      <w:r>
        <w:rPr>
          <w:rStyle w:val="Strong"/>
          <w:b w:val="0"/>
          <w:lang w:val="nl-NL"/>
        </w:rPr>
        <w:t xml:space="preserve">, </w:t>
      </w:r>
      <w:r>
        <w:rPr>
          <w:rStyle w:val="Strong"/>
          <w:b w:val="0"/>
        </w:rPr>
        <w:t>управлението</w:t>
      </w:r>
      <w:r>
        <w:rPr>
          <w:rStyle w:val="Strong"/>
          <w:b w:val="0"/>
          <w:lang w:val="nl-NL"/>
        </w:rPr>
        <w:t xml:space="preserve"> </w:t>
      </w:r>
      <w:r>
        <w:rPr>
          <w:rStyle w:val="Strong"/>
          <w:b w:val="0"/>
        </w:rPr>
        <w:t>и</w:t>
      </w:r>
      <w:r>
        <w:rPr>
          <w:rStyle w:val="Strong"/>
          <w:b w:val="0"/>
          <w:lang w:val="nl-NL"/>
        </w:rPr>
        <w:t xml:space="preserve"> </w:t>
      </w:r>
      <w:r>
        <w:rPr>
          <w:rStyle w:val="Strong"/>
          <w:b w:val="0"/>
        </w:rPr>
        <w:t>мониторинга</w:t>
      </w:r>
      <w:r>
        <w:rPr>
          <w:rStyle w:val="Strong"/>
          <w:b w:val="0"/>
          <w:lang w:val="nl-NL"/>
        </w:rPr>
        <w:t xml:space="preserve"> </w:t>
      </w:r>
      <w:r>
        <w:rPr>
          <w:rStyle w:val="Strong"/>
          <w:b w:val="0"/>
        </w:rPr>
        <w:t>на</w:t>
      </w:r>
      <w:r>
        <w:rPr>
          <w:rStyle w:val="Strong"/>
          <w:b w:val="0"/>
          <w:lang w:val="nl-NL"/>
        </w:rPr>
        <w:t xml:space="preserve"> </w:t>
      </w:r>
      <w:r>
        <w:rPr>
          <w:rStyle w:val="Strong"/>
          <w:b w:val="0"/>
        </w:rPr>
        <w:t>общата</w:t>
      </w:r>
      <w:r>
        <w:rPr>
          <w:rStyle w:val="Strong"/>
          <w:b w:val="0"/>
          <w:lang w:val="nl-NL"/>
        </w:rPr>
        <w:t xml:space="preserve"> </w:t>
      </w:r>
      <w:r>
        <w:rPr>
          <w:rStyle w:val="Strong"/>
          <w:b w:val="0"/>
        </w:rPr>
        <w:t>селскостопанска</w:t>
      </w:r>
      <w:r>
        <w:rPr>
          <w:rStyle w:val="Strong"/>
          <w:b w:val="0"/>
          <w:lang w:val="nl-NL"/>
        </w:rPr>
        <w:t xml:space="preserve"> </w:t>
      </w:r>
      <w:r>
        <w:rPr>
          <w:rStyle w:val="Strong"/>
          <w:b w:val="0"/>
        </w:rPr>
        <w:t>политика</w:t>
      </w:r>
      <w:r>
        <w:rPr>
          <w:rStyle w:val="Strong"/>
          <w:b w:val="0"/>
          <w:lang w:val="nl-NL"/>
        </w:rPr>
        <w:t xml:space="preserve"> </w:t>
      </w:r>
      <w:r>
        <w:rPr>
          <w:rStyle w:val="Strong"/>
          <w:b w:val="0"/>
        </w:rPr>
        <w:t>и</w:t>
      </w:r>
      <w:r>
        <w:rPr>
          <w:rStyle w:val="Strong"/>
          <w:b w:val="0"/>
          <w:lang w:val="nl-NL"/>
        </w:rPr>
        <w:t xml:space="preserve"> </w:t>
      </w:r>
      <w:r>
        <w:rPr>
          <w:rStyle w:val="Strong"/>
          <w:b w:val="0"/>
        </w:rPr>
        <w:t>за</w:t>
      </w:r>
      <w:r>
        <w:rPr>
          <w:rStyle w:val="Strong"/>
          <w:b w:val="0"/>
          <w:lang w:val="nl-NL"/>
        </w:rPr>
        <w:t xml:space="preserve"> </w:t>
      </w:r>
      <w:r>
        <w:rPr>
          <w:rStyle w:val="Strong"/>
          <w:b w:val="0"/>
        </w:rPr>
        <w:t>отмяна</w:t>
      </w:r>
      <w:r>
        <w:rPr>
          <w:rStyle w:val="Strong"/>
          <w:b w:val="0"/>
          <w:lang w:val="nl-NL"/>
        </w:rPr>
        <w:t xml:space="preserve"> </w:t>
      </w:r>
      <w:r>
        <w:rPr>
          <w:rStyle w:val="Strong"/>
          <w:b w:val="0"/>
        </w:rPr>
        <w:t>на</w:t>
      </w:r>
      <w:r>
        <w:rPr>
          <w:rStyle w:val="Strong"/>
          <w:b w:val="0"/>
          <w:lang w:val="nl-NL"/>
        </w:rPr>
        <w:t xml:space="preserve"> </w:t>
      </w:r>
      <w:r>
        <w:rPr>
          <w:rStyle w:val="Strong"/>
          <w:b w:val="0"/>
        </w:rPr>
        <w:t>регламенти</w:t>
      </w:r>
      <w:r>
        <w:rPr>
          <w:rStyle w:val="Strong"/>
          <w:b w:val="0"/>
          <w:lang w:val="nl-NL"/>
        </w:rPr>
        <w:t xml:space="preserve"> (</w:t>
      </w:r>
      <w:r>
        <w:rPr>
          <w:rStyle w:val="Strong"/>
          <w:b w:val="0"/>
        </w:rPr>
        <w:t>ЕИО</w:t>
      </w:r>
      <w:r>
        <w:rPr>
          <w:rStyle w:val="Strong"/>
          <w:b w:val="0"/>
          <w:lang w:val="nl-NL"/>
        </w:rPr>
        <w:t>) № 352/78, (</w:t>
      </w:r>
      <w:r>
        <w:rPr>
          <w:rStyle w:val="Strong"/>
          <w:b w:val="0"/>
        </w:rPr>
        <w:t>ЕО</w:t>
      </w:r>
      <w:r>
        <w:rPr>
          <w:rStyle w:val="Strong"/>
          <w:b w:val="0"/>
          <w:lang w:val="nl-NL"/>
        </w:rPr>
        <w:t>) № 165/94, (</w:t>
      </w:r>
      <w:r>
        <w:rPr>
          <w:rStyle w:val="Strong"/>
          <w:b w:val="0"/>
        </w:rPr>
        <w:t>ЕО</w:t>
      </w:r>
      <w:r>
        <w:rPr>
          <w:rStyle w:val="Strong"/>
          <w:b w:val="0"/>
          <w:lang w:val="nl-NL"/>
        </w:rPr>
        <w:t xml:space="preserve">) </w:t>
      </w:r>
      <w:r>
        <w:rPr>
          <w:rStyle w:val="Strong"/>
          <w:b w:val="0"/>
          <w:lang w:val="nl-NL"/>
        </w:rPr>
        <w:t>№ 2799/98, (</w:t>
      </w:r>
      <w:r>
        <w:rPr>
          <w:rStyle w:val="Strong"/>
          <w:b w:val="0"/>
        </w:rPr>
        <w:t>ЕО</w:t>
      </w:r>
      <w:r>
        <w:rPr>
          <w:rStyle w:val="Strong"/>
          <w:b w:val="0"/>
          <w:lang w:val="nl-NL"/>
        </w:rPr>
        <w:t>) № 814/2000, (</w:t>
      </w:r>
      <w:r>
        <w:rPr>
          <w:rStyle w:val="Strong"/>
          <w:b w:val="0"/>
        </w:rPr>
        <w:t>ЕО</w:t>
      </w:r>
      <w:r>
        <w:rPr>
          <w:rStyle w:val="Strong"/>
          <w:b w:val="0"/>
          <w:lang w:val="nl-NL"/>
        </w:rPr>
        <w:t xml:space="preserve">) № 1290/2005 </w:t>
      </w:r>
      <w:r>
        <w:rPr>
          <w:rStyle w:val="Strong"/>
          <w:b w:val="0"/>
        </w:rPr>
        <w:t>и</w:t>
      </w:r>
      <w:r>
        <w:rPr>
          <w:rStyle w:val="Strong"/>
          <w:b w:val="0"/>
          <w:lang w:val="nl-NL"/>
        </w:rPr>
        <w:t xml:space="preserve"> (</w:t>
      </w:r>
      <w:r>
        <w:rPr>
          <w:rStyle w:val="Strong"/>
          <w:b w:val="0"/>
        </w:rPr>
        <w:t>ЕО</w:t>
      </w:r>
      <w:r>
        <w:rPr>
          <w:rStyle w:val="Strong"/>
          <w:b w:val="0"/>
          <w:lang w:val="nl-NL"/>
        </w:rPr>
        <w:t xml:space="preserve">) № 485/2008 </w:t>
      </w:r>
      <w:r>
        <w:rPr>
          <w:rStyle w:val="Strong"/>
          <w:b w:val="0"/>
        </w:rPr>
        <w:t>на</w:t>
      </w:r>
      <w:r>
        <w:rPr>
          <w:rStyle w:val="Strong"/>
          <w:b w:val="0"/>
          <w:lang w:val="nl-NL"/>
        </w:rPr>
        <w:t xml:space="preserve"> </w:t>
      </w:r>
      <w:r>
        <w:rPr>
          <w:rStyle w:val="Strong"/>
          <w:b w:val="0"/>
        </w:rPr>
        <w:t>Съвета</w:t>
      </w:r>
      <w:r>
        <w:rPr>
          <w:rStyle w:val="Strong"/>
          <w:b w:val="0"/>
          <w:lang w:val="nl-NL"/>
        </w:rPr>
        <w:t xml:space="preserve"> (</w:t>
      </w:r>
      <w:r>
        <w:t>ОВ</w:t>
      </w:r>
      <w:r>
        <w:rPr>
          <w:lang w:val="nl-NL"/>
        </w:rPr>
        <w:t xml:space="preserve"> L 347, 20.12.2013 </w:t>
      </w:r>
      <w:r>
        <w:t>г</w:t>
      </w:r>
      <w:r>
        <w:rPr>
          <w:lang w:val="nl-NL"/>
        </w:rPr>
        <w:t xml:space="preserve">., </w:t>
      </w:r>
      <w:proofErr w:type="spellStart"/>
      <w:r>
        <w:t>стр</w:t>
      </w:r>
      <w:proofErr w:type="spellEnd"/>
      <w:r>
        <w:rPr>
          <w:lang w:val="nl-NL"/>
        </w:rPr>
        <w:t>. 549).</w:t>
      </w:r>
    </w:p>
  </w:footnote>
  <w:footnote w:id="32">
    <w:p w:rsidR="00222FCC" w:rsidRDefault="00FD122A">
      <w:pPr>
        <w:pStyle w:val="FootnoteText"/>
        <w:rPr>
          <w:lang w:val="nl-NL"/>
        </w:rPr>
      </w:pPr>
      <w:r>
        <w:rPr>
          <w:rStyle w:val="FootnoteReference"/>
        </w:rPr>
        <w:footnoteRef/>
      </w:r>
      <w:r>
        <w:rPr>
          <w:lang w:val="nl-NL"/>
        </w:rPr>
        <w:tab/>
      </w:r>
      <w:r>
        <w:t>Решение</w:t>
      </w:r>
      <w:r>
        <w:rPr>
          <w:lang w:val="nl-NL"/>
        </w:rPr>
        <w:t xml:space="preserve"> № 1313/2013/</w:t>
      </w:r>
      <w:r>
        <w:t>ЕС</w:t>
      </w:r>
      <w:r>
        <w:rPr>
          <w:lang w:val="nl-NL"/>
        </w:rPr>
        <w:t xml:space="preserve"> </w:t>
      </w:r>
      <w:r>
        <w:t>на</w:t>
      </w:r>
      <w:r>
        <w:rPr>
          <w:lang w:val="nl-NL"/>
        </w:rPr>
        <w:t xml:space="preserve"> </w:t>
      </w:r>
      <w:r>
        <w:t>Европейския</w:t>
      </w:r>
      <w:r>
        <w:rPr>
          <w:lang w:val="nl-NL"/>
        </w:rPr>
        <w:t xml:space="preserve"> </w:t>
      </w:r>
      <w:r>
        <w:t>парламент</w:t>
      </w:r>
      <w:r>
        <w:rPr>
          <w:lang w:val="nl-NL"/>
        </w:rPr>
        <w:t xml:space="preserve"> </w:t>
      </w:r>
      <w:r>
        <w:t>и</w:t>
      </w:r>
      <w:r>
        <w:rPr>
          <w:lang w:val="nl-NL"/>
        </w:rPr>
        <w:t xml:space="preserve"> </w:t>
      </w:r>
      <w:r>
        <w:t>на</w:t>
      </w:r>
      <w:r>
        <w:rPr>
          <w:lang w:val="nl-NL"/>
        </w:rPr>
        <w:t xml:space="preserve"> </w:t>
      </w:r>
      <w:r>
        <w:t>Съвета</w:t>
      </w:r>
      <w:r>
        <w:rPr>
          <w:lang w:val="nl-NL"/>
        </w:rPr>
        <w:t xml:space="preserve"> </w:t>
      </w:r>
      <w:r>
        <w:t>от</w:t>
      </w:r>
      <w:r>
        <w:rPr>
          <w:lang w:val="nl-NL"/>
        </w:rPr>
        <w:t xml:space="preserve"> 17 </w:t>
      </w:r>
      <w:r>
        <w:t>декември</w:t>
      </w:r>
      <w:r>
        <w:rPr>
          <w:lang w:val="nl-NL"/>
        </w:rPr>
        <w:t> 2013 </w:t>
      </w:r>
      <w:r>
        <w:t>г</w:t>
      </w:r>
      <w:r>
        <w:rPr>
          <w:lang w:val="nl-NL"/>
        </w:rPr>
        <w:t xml:space="preserve">. </w:t>
      </w:r>
      <w:r>
        <w:t>относно</w:t>
      </w:r>
      <w:r>
        <w:rPr>
          <w:lang w:val="nl-NL"/>
        </w:rPr>
        <w:t xml:space="preserve"> </w:t>
      </w:r>
      <w:r>
        <w:t>Механизъм</w:t>
      </w:r>
      <w:r>
        <w:rPr>
          <w:lang w:val="nl-NL"/>
        </w:rPr>
        <w:t xml:space="preserve"> </w:t>
      </w:r>
      <w:r>
        <w:t>за</w:t>
      </w:r>
      <w:r>
        <w:rPr>
          <w:lang w:val="nl-NL"/>
        </w:rPr>
        <w:t xml:space="preserve"> </w:t>
      </w:r>
      <w:r>
        <w:t>гражданска</w:t>
      </w:r>
      <w:r>
        <w:rPr>
          <w:lang w:val="nl-NL"/>
        </w:rPr>
        <w:t xml:space="preserve"> </w:t>
      </w:r>
      <w:r>
        <w:t>защита</w:t>
      </w:r>
      <w:r>
        <w:rPr>
          <w:lang w:val="nl-NL"/>
        </w:rPr>
        <w:t xml:space="preserve"> </w:t>
      </w:r>
      <w:r>
        <w:t>на</w:t>
      </w:r>
      <w:r>
        <w:rPr>
          <w:lang w:val="nl-NL"/>
        </w:rPr>
        <w:t xml:space="preserve"> </w:t>
      </w:r>
      <w:r>
        <w:t>Съюза</w:t>
      </w:r>
      <w:r>
        <w:rPr>
          <w:lang w:val="nl-NL"/>
        </w:rPr>
        <w:t xml:space="preserve"> (</w:t>
      </w:r>
      <w:r>
        <w:t>ОВ</w:t>
      </w:r>
      <w:r>
        <w:rPr>
          <w:lang w:val="nl-NL"/>
        </w:rPr>
        <w:t xml:space="preserve"> L 347, 20.12.2013 </w:t>
      </w:r>
      <w:r>
        <w:t>г</w:t>
      </w:r>
      <w:r>
        <w:rPr>
          <w:lang w:val="nl-NL"/>
        </w:rPr>
        <w:t xml:space="preserve">., </w:t>
      </w:r>
      <w:proofErr w:type="spellStart"/>
      <w:r>
        <w:t>стр</w:t>
      </w:r>
      <w:proofErr w:type="spellEnd"/>
      <w:r>
        <w:rPr>
          <w:lang w:val="nl-NL"/>
        </w:rPr>
        <w:t>. 924).</w:t>
      </w:r>
    </w:p>
  </w:footnote>
  <w:footnote w:id="33">
    <w:p w:rsidR="00222FCC" w:rsidRDefault="00FD122A">
      <w:pPr>
        <w:pStyle w:val="FootnoteText"/>
        <w:rPr>
          <w:lang w:val="nl-NL"/>
        </w:rPr>
      </w:pPr>
      <w:r>
        <w:rPr>
          <w:rStyle w:val="FootnoteReference"/>
        </w:rPr>
        <w:footnoteRef/>
      </w:r>
      <w:r>
        <w:rPr>
          <w:lang w:val="nl-NL"/>
        </w:rPr>
        <w:tab/>
      </w:r>
      <w:r>
        <w:t>Като</w:t>
      </w:r>
      <w:r>
        <w:rPr>
          <w:lang w:val="nl-NL"/>
        </w:rPr>
        <w:t xml:space="preserve"> </w:t>
      </w:r>
      <w:r>
        <w:t>общ</w:t>
      </w:r>
      <w:r>
        <w:rPr>
          <w:lang w:val="nl-NL"/>
        </w:rPr>
        <w:t xml:space="preserve"> </w:t>
      </w:r>
      <w:r>
        <w:t>принцип</w:t>
      </w:r>
      <w:r>
        <w:rPr>
          <w:lang w:val="nl-NL"/>
        </w:rPr>
        <w:t xml:space="preserve"> — </w:t>
      </w:r>
      <w:r>
        <w:t>дейност</w:t>
      </w:r>
      <w:r>
        <w:rPr>
          <w:lang w:val="nl-NL"/>
        </w:rPr>
        <w:t xml:space="preserve">, </w:t>
      </w:r>
      <w:r>
        <w:t>изпълнявана</w:t>
      </w:r>
      <w:r>
        <w:rPr>
          <w:lang w:val="nl-NL"/>
        </w:rPr>
        <w:t xml:space="preserve"> </w:t>
      </w:r>
      <w:r>
        <w:t>без</w:t>
      </w:r>
      <w:r>
        <w:rPr>
          <w:lang w:val="nl-NL"/>
        </w:rPr>
        <w:t xml:space="preserve"> </w:t>
      </w:r>
      <w:r>
        <w:t>прекъсване</w:t>
      </w:r>
      <w:r>
        <w:rPr>
          <w:lang w:val="nl-NL"/>
        </w:rPr>
        <w:t xml:space="preserve">, </w:t>
      </w:r>
      <w:r>
        <w:t>пет</w:t>
      </w:r>
      <w:r>
        <w:rPr>
          <w:lang w:val="nl-NL"/>
        </w:rPr>
        <w:t xml:space="preserve"> </w:t>
      </w:r>
      <w:r>
        <w:t>дни</w:t>
      </w:r>
      <w:r>
        <w:rPr>
          <w:lang w:val="nl-NL"/>
        </w:rPr>
        <w:t xml:space="preserve"> </w:t>
      </w:r>
      <w:r>
        <w:t>в</w:t>
      </w:r>
      <w:r>
        <w:rPr>
          <w:lang w:val="nl-NL"/>
        </w:rPr>
        <w:t xml:space="preserve"> </w:t>
      </w:r>
      <w:r>
        <w:t>седмицата</w:t>
      </w:r>
      <w:r>
        <w:rPr>
          <w:lang w:val="nl-NL"/>
        </w:rPr>
        <w:t xml:space="preserve"> </w:t>
      </w:r>
      <w:r>
        <w:t>и</w:t>
      </w:r>
      <w:r>
        <w:rPr>
          <w:lang w:val="nl-NL"/>
        </w:rPr>
        <w:t xml:space="preserve"> </w:t>
      </w:r>
      <w:r>
        <w:t>седем</w:t>
      </w:r>
      <w:r>
        <w:rPr>
          <w:lang w:val="nl-NL"/>
        </w:rPr>
        <w:t xml:space="preserve"> </w:t>
      </w:r>
      <w:r>
        <w:t>часа</w:t>
      </w:r>
      <w:r>
        <w:rPr>
          <w:lang w:val="nl-NL"/>
        </w:rPr>
        <w:t xml:space="preserve"> </w:t>
      </w:r>
      <w:r>
        <w:t>на</w:t>
      </w:r>
      <w:r>
        <w:rPr>
          <w:lang w:val="nl-NL"/>
        </w:rPr>
        <w:t xml:space="preserve"> </w:t>
      </w:r>
      <w:r>
        <w:t>ден</w:t>
      </w:r>
      <w:r>
        <w:rPr>
          <w:lang w:val="nl-NL"/>
        </w:rPr>
        <w:t>.</w:t>
      </w:r>
    </w:p>
  </w:footnote>
  <w:footnote w:id="34">
    <w:p w:rsidR="00222FCC" w:rsidRDefault="00FD122A">
      <w:pPr>
        <w:pStyle w:val="FootnoteText"/>
        <w:rPr>
          <w:lang w:val="nl-NL"/>
        </w:rPr>
      </w:pPr>
      <w:r>
        <w:rPr>
          <w:rStyle w:val="FootnoteReference"/>
        </w:rPr>
        <w:footnoteRef/>
      </w:r>
      <w:r>
        <w:rPr>
          <w:lang w:val="nl-NL"/>
        </w:rPr>
        <w:tab/>
      </w:r>
      <w:r>
        <w:t>Този</w:t>
      </w:r>
      <w:r>
        <w:rPr>
          <w:lang w:val="nl-NL"/>
        </w:rPr>
        <w:t xml:space="preserve"> </w:t>
      </w:r>
      <w:r>
        <w:t>финансов</w:t>
      </w:r>
      <w:r>
        <w:rPr>
          <w:lang w:val="nl-NL"/>
        </w:rPr>
        <w:t xml:space="preserve"> </w:t>
      </w:r>
      <w:r>
        <w:t>пакет</w:t>
      </w:r>
      <w:r>
        <w:rPr>
          <w:lang w:val="nl-NL"/>
        </w:rPr>
        <w:t xml:space="preserve"> </w:t>
      </w:r>
      <w:r>
        <w:t>представлява</w:t>
      </w:r>
      <w:r>
        <w:rPr>
          <w:lang w:val="nl-NL"/>
        </w:rPr>
        <w:t xml:space="preserve"> </w:t>
      </w:r>
      <w:r>
        <w:rPr>
          <w:i/>
        </w:rPr>
        <w:t>основната</w:t>
      </w:r>
      <w:r>
        <w:rPr>
          <w:i/>
          <w:lang w:val="nl-NL"/>
        </w:rPr>
        <w:t xml:space="preserve"> </w:t>
      </w:r>
      <w:r>
        <w:rPr>
          <w:i/>
        </w:rPr>
        <w:t>референтна</w:t>
      </w:r>
      <w:r>
        <w:rPr>
          <w:i/>
          <w:lang w:val="nl-NL"/>
        </w:rPr>
        <w:t xml:space="preserve"> </w:t>
      </w:r>
      <w:r>
        <w:rPr>
          <w:i/>
        </w:rPr>
        <w:t>сума</w:t>
      </w:r>
      <w:r>
        <w:rPr>
          <w:lang w:val="nl-NL"/>
        </w:rPr>
        <w:t xml:space="preserve"> </w:t>
      </w:r>
      <w:r>
        <w:t>по</w:t>
      </w:r>
      <w:r>
        <w:rPr>
          <w:lang w:val="nl-NL"/>
        </w:rPr>
        <w:t xml:space="preserve"> </w:t>
      </w:r>
      <w:r>
        <w:t>смисъла</w:t>
      </w:r>
      <w:r>
        <w:rPr>
          <w:lang w:val="nl-NL"/>
        </w:rPr>
        <w:t xml:space="preserve"> </w:t>
      </w:r>
      <w:r>
        <w:t>на</w:t>
      </w:r>
      <w:r>
        <w:rPr>
          <w:lang w:val="nl-NL"/>
        </w:rPr>
        <w:t xml:space="preserve"> </w:t>
      </w:r>
      <w:r>
        <w:t>точка</w:t>
      </w:r>
      <w:r>
        <w:rPr>
          <w:lang w:val="nl-NL"/>
        </w:rPr>
        <w:t xml:space="preserve"> 17 </w:t>
      </w:r>
      <w:r>
        <w:t>от</w:t>
      </w:r>
      <w:r>
        <w:rPr>
          <w:lang w:val="nl-NL"/>
        </w:rPr>
        <w:t xml:space="preserve"> </w:t>
      </w:r>
      <w:proofErr w:type="spellStart"/>
      <w:r>
        <w:t>Междуинституционалното</w:t>
      </w:r>
      <w:proofErr w:type="spellEnd"/>
      <w:r>
        <w:rPr>
          <w:lang w:val="nl-NL"/>
        </w:rPr>
        <w:t xml:space="preserve"> </w:t>
      </w:r>
      <w:r>
        <w:t>споразумение</w:t>
      </w:r>
      <w:r>
        <w:rPr>
          <w:lang w:val="nl-NL"/>
        </w:rPr>
        <w:t xml:space="preserve"> (2013/C 373/01) </w:t>
      </w:r>
      <w:r>
        <w:t>между</w:t>
      </w:r>
      <w:r>
        <w:rPr>
          <w:lang w:val="nl-NL"/>
        </w:rPr>
        <w:t xml:space="preserve"> </w:t>
      </w:r>
      <w:r>
        <w:t>Европейския</w:t>
      </w:r>
      <w:r>
        <w:rPr>
          <w:lang w:val="nl-NL"/>
        </w:rPr>
        <w:t xml:space="preserve"> </w:t>
      </w:r>
      <w:r>
        <w:t>парламент</w:t>
      </w:r>
      <w:r>
        <w:rPr>
          <w:lang w:val="nl-NL"/>
        </w:rPr>
        <w:t xml:space="preserve">, </w:t>
      </w:r>
      <w:r>
        <w:t>Съвета</w:t>
      </w:r>
      <w:r>
        <w:rPr>
          <w:lang w:val="nl-NL"/>
        </w:rPr>
        <w:t xml:space="preserve"> </w:t>
      </w:r>
      <w:r>
        <w:t>и</w:t>
      </w:r>
      <w:r>
        <w:rPr>
          <w:lang w:val="nl-NL"/>
        </w:rPr>
        <w:t xml:space="preserve"> </w:t>
      </w:r>
      <w:r>
        <w:t>Комисията</w:t>
      </w:r>
      <w:r>
        <w:rPr>
          <w:lang w:val="nl-NL"/>
        </w:rPr>
        <w:t xml:space="preserve"> </w:t>
      </w:r>
      <w:r>
        <w:t>относно</w:t>
      </w:r>
      <w:r>
        <w:rPr>
          <w:lang w:val="nl-NL"/>
        </w:rPr>
        <w:t xml:space="preserve"> </w:t>
      </w:r>
      <w:r>
        <w:t>бюджетната</w:t>
      </w:r>
      <w:r>
        <w:rPr>
          <w:lang w:val="nl-NL"/>
        </w:rPr>
        <w:t xml:space="preserve"> </w:t>
      </w:r>
      <w:r>
        <w:t>дисциплина</w:t>
      </w:r>
      <w:r>
        <w:rPr>
          <w:lang w:val="nl-NL"/>
        </w:rPr>
        <w:t xml:space="preserve">, </w:t>
      </w:r>
      <w:r>
        <w:t>сътрудничеството</w:t>
      </w:r>
      <w:r>
        <w:rPr>
          <w:lang w:val="nl-NL"/>
        </w:rPr>
        <w:t xml:space="preserve"> </w:t>
      </w:r>
      <w:r>
        <w:t>по</w:t>
      </w:r>
      <w:r>
        <w:rPr>
          <w:lang w:val="nl-NL"/>
        </w:rPr>
        <w:t xml:space="preserve"> </w:t>
      </w:r>
      <w:r>
        <w:t>бюджетни</w:t>
      </w:r>
      <w:r>
        <w:rPr>
          <w:lang w:val="nl-NL"/>
        </w:rPr>
        <w:t xml:space="preserve"> </w:t>
      </w:r>
      <w:r>
        <w:t>въпроси</w:t>
      </w:r>
      <w:r>
        <w:rPr>
          <w:lang w:val="nl-NL"/>
        </w:rPr>
        <w:t xml:space="preserve"> </w:t>
      </w:r>
      <w:r>
        <w:t>и</w:t>
      </w:r>
      <w:r>
        <w:rPr>
          <w:lang w:val="nl-NL"/>
        </w:rPr>
        <w:t xml:space="preserve"> </w:t>
      </w:r>
      <w:r>
        <w:t>доброто</w:t>
      </w:r>
      <w:r>
        <w:rPr>
          <w:lang w:val="nl-NL"/>
        </w:rPr>
        <w:t xml:space="preserve"> </w:t>
      </w:r>
      <w:r>
        <w:t>финансово</w:t>
      </w:r>
      <w:r>
        <w:rPr>
          <w:lang w:val="nl-NL"/>
        </w:rPr>
        <w:t xml:space="preserve"> </w:t>
      </w:r>
      <w:r>
        <w:t>управление</w:t>
      </w:r>
      <w:r>
        <w:rPr>
          <w:lang w:val="nl-NL"/>
        </w:rPr>
        <w:t>.</w:t>
      </w:r>
    </w:p>
  </w:footnote>
  <w:footnote w:id="35">
    <w:p w:rsidR="00222FCC" w:rsidRDefault="00FD122A">
      <w:pPr>
        <w:pStyle w:val="FootnoteText"/>
        <w:rPr>
          <w:lang w:val="nl-NL"/>
        </w:rPr>
      </w:pPr>
      <w:r>
        <w:rPr>
          <w:rStyle w:val="FootnoteReference"/>
        </w:rPr>
        <w:footnoteRef/>
      </w:r>
      <w:r>
        <w:rPr>
          <w:lang w:val="nl-NL"/>
        </w:rPr>
        <w:tab/>
      </w:r>
      <w:r>
        <w:t>Делегиран</w:t>
      </w:r>
      <w:r>
        <w:rPr>
          <w:lang w:val="nl-NL"/>
        </w:rPr>
        <w:t xml:space="preserve"> </w:t>
      </w:r>
      <w:r>
        <w:t>регламент</w:t>
      </w:r>
      <w:r>
        <w:rPr>
          <w:lang w:val="nl-NL"/>
        </w:rPr>
        <w:t xml:space="preserve"> (</w:t>
      </w:r>
      <w:r>
        <w:t>ЕС</w:t>
      </w:r>
      <w:r>
        <w:rPr>
          <w:lang w:val="nl-NL"/>
        </w:rPr>
        <w:t xml:space="preserve">) № 1268/2012 </w:t>
      </w:r>
      <w:r>
        <w:t>на</w:t>
      </w:r>
      <w:r>
        <w:rPr>
          <w:lang w:val="nl-NL"/>
        </w:rPr>
        <w:t xml:space="preserve"> </w:t>
      </w:r>
      <w:r>
        <w:t>Комисията</w:t>
      </w:r>
      <w:r>
        <w:rPr>
          <w:lang w:val="nl-NL"/>
        </w:rPr>
        <w:t xml:space="preserve"> </w:t>
      </w:r>
      <w:r>
        <w:t>от</w:t>
      </w:r>
      <w:r>
        <w:rPr>
          <w:lang w:val="nl-NL"/>
        </w:rPr>
        <w:t xml:space="preserve"> 29 </w:t>
      </w:r>
      <w:r>
        <w:t>октомври</w:t>
      </w:r>
      <w:r>
        <w:rPr>
          <w:lang w:val="nl-NL"/>
        </w:rPr>
        <w:t> 2012 </w:t>
      </w:r>
      <w:r>
        <w:t>г</w:t>
      </w:r>
      <w:r>
        <w:rPr>
          <w:lang w:val="nl-NL"/>
        </w:rPr>
        <w:t xml:space="preserve">. </w:t>
      </w:r>
      <w:r>
        <w:t>относно</w:t>
      </w:r>
      <w:r>
        <w:rPr>
          <w:lang w:val="nl-NL"/>
        </w:rPr>
        <w:t xml:space="preserve"> </w:t>
      </w:r>
      <w:r>
        <w:t>правилат</w:t>
      </w:r>
      <w:r>
        <w:t>а</w:t>
      </w:r>
      <w:r>
        <w:rPr>
          <w:lang w:val="nl-NL"/>
        </w:rPr>
        <w:t xml:space="preserve"> </w:t>
      </w:r>
      <w:r>
        <w:t>за</w:t>
      </w:r>
      <w:r>
        <w:rPr>
          <w:lang w:val="nl-NL"/>
        </w:rPr>
        <w:t xml:space="preserve"> </w:t>
      </w:r>
      <w:r>
        <w:t>прилагане</w:t>
      </w:r>
      <w:r>
        <w:rPr>
          <w:lang w:val="nl-NL"/>
        </w:rPr>
        <w:t xml:space="preserve"> </w:t>
      </w:r>
      <w:r>
        <w:t>на</w:t>
      </w:r>
      <w:r>
        <w:rPr>
          <w:lang w:val="nl-NL"/>
        </w:rPr>
        <w:t xml:space="preserve"> </w:t>
      </w:r>
      <w:r>
        <w:t>Регламент</w:t>
      </w:r>
      <w:r>
        <w:rPr>
          <w:lang w:val="nl-NL"/>
        </w:rPr>
        <w:t xml:space="preserve"> (</w:t>
      </w:r>
      <w:r>
        <w:t>ЕС</w:t>
      </w:r>
      <w:r>
        <w:rPr>
          <w:lang w:val="nl-NL"/>
        </w:rPr>
        <w:t xml:space="preserve">, </w:t>
      </w:r>
      <w:proofErr w:type="spellStart"/>
      <w:r>
        <w:t>Евратом</w:t>
      </w:r>
      <w:proofErr w:type="spellEnd"/>
      <w:r>
        <w:rPr>
          <w:lang w:val="nl-NL"/>
        </w:rPr>
        <w:t xml:space="preserve">) № 966/2012 </w:t>
      </w:r>
      <w:r>
        <w:t>на</w:t>
      </w:r>
      <w:r>
        <w:rPr>
          <w:lang w:val="nl-NL"/>
        </w:rPr>
        <w:t xml:space="preserve"> </w:t>
      </w:r>
      <w:r>
        <w:t>Европейския</w:t>
      </w:r>
      <w:r>
        <w:rPr>
          <w:lang w:val="nl-NL"/>
        </w:rPr>
        <w:t xml:space="preserve"> </w:t>
      </w:r>
      <w:r>
        <w:t>парламент</w:t>
      </w:r>
      <w:r>
        <w:rPr>
          <w:lang w:val="nl-NL"/>
        </w:rPr>
        <w:t xml:space="preserve"> </w:t>
      </w:r>
      <w:r>
        <w:t>и</w:t>
      </w:r>
      <w:r>
        <w:rPr>
          <w:lang w:val="nl-NL"/>
        </w:rPr>
        <w:t xml:space="preserve"> </w:t>
      </w:r>
      <w:r>
        <w:t>на</w:t>
      </w:r>
      <w:r>
        <w:rPr>
          <w:lang w:val="nl-NL"/>
        </w:rPr>
        <w:t xml:space="preserve"> </w:t>
      </w:r>
      <w:r>
        <w:t>Съвета</w:t>
      </w:r>
      <w:r>
        <w:rPr>
          <w:lang w:val="nl-NL"/>
        </w:rPr>
        <w:t xml:space="preserve"> </w:t>
      </w:r>
      <w:r>
        <w:t>относно</w:t>
      </w:r>
      <w:r>
        <w:rPr>
          <w:lang w:val="nl-NL"/>
        </w:rPr>
        <w:t xml:space="preserve"> </w:t>
      </w:r>
      <w:r>
        <w:t>финансовите</w:t>
      </w:r>
      <w:r>
        <w:rPr>
          <w:lang w:val="nl-NL"/>
        </w:rPr>
        <w:t xml:space="preserve"> </w:t>
      </w:r>
      <w:r>
        <w:t>правила</w:t>
      </w:r>
      <w:r>
        <w:rPr>
          <w:lang w:val="nl-NL"/>
        </w:rPr>
        <w:t xml:space="preserve">, </w:t>
      </w:r>
      <w:r>
        <w:t>приложими</w:t>
      </w:r>
      <w:r>
        <w:rPr>
          <w:lang w:val="nl-NL"/>
        </w:rPr>
        <w:t xml:space="preserve"> </w:t>
      </w:r>
      <w:r>
        <w:t>за</w:t>
      </w:r>
      <w:r>
        <w:rPr>
          <w:lang w:val="nl-NL"/>
        </w:rPr>
        <w:t xml:space="preserve"> </w:t>
      </w:r>
      <w:r>
        <w:t>общия</w:t>
      </w:r>
      <w:r>
        <w:rPr>
          <w:lang w:val="nl-NL"/>
        </w:rPr>
        <w:t xml:space="preserve"> </w:t>
      </w:r>
      <w:r>
        <w:t>бюджет</w:t>
      </w:r>
      <w:r>
        <w:rPr>
          <w:lang w:val="nl-NL"/>
        </w:rPr>
        <w:t xml:space="preserve"> </w:t>
      </w:r>
      <w:r>
        <w:t>на</w:t>
      </w:r>
      <w:r>
        <w:rPr>
          <w:lang w:val="nl-NL"/>
        </w:rPr>
        <w:t xml:space="preserve"> </w:t>
      </w:r>
      <w:r>
        <w:t>Съюза</w:t>
      </w:r>
      <w:r>
        <w:rPr>
          <w:lang w:val="nl-NL"/>
        </w:rPr>
        <w:t xml:space="preserve">, </w:t>
      </w:r>
      <w:r>
        <w:t>ОВ</w:t>
      </w:r>
      <w:r>
        <w:rPr>
          <w:lang w:val="nl-NL"/>
        </w:rPr>
        <w:t> L 362, 31.12.2012 </w:t>
      </w:r>
      <w:r>
        <w:t>г</w:t>
      </w:r>
      <w:r>
        <w:rPr>
          <w:lang w:val="nl-NL"/>
        </w:rPr>
        <w:t xml:space="preserve">., </w:t>
      </w:r>
      <w:proofErr w:type="spellStart"/>
      <w:r>
        <w:t>стр</w:t>
      </w:r>
      <w:proofErr w:type="spellEnd"/>
      <w:r>
        <w:rPr>
          <w:lang w:val="nl-NL"/>
        </w:rPr>
        <w:t>. 1.</w:t>
      </w:r>
    </w:p>
  </w:footnote>
  <w:footnote w:id="36">
    <w:p w:rsidR="00222FCC" w:rsidRDefault="00FD122A">
      <w:pPr>
        <w:pStyle w:val="FootnoteText"/>
        <w:rPr>
          <w:lang w:val="nl-NL"/>
        </w:rPr>
      </w:pPr>
      <w:r>
        <w:rPr>
          <w:rStyle w:val="FootnoteReference"/>
        </w:rPr>
        <w:footnoteRef/>
      </w:r>
      <w:r>
        <w:rPr>
          <w:lang w:val="nl-NL"/>
        </w:rPr>
        <w:tab/>
      </w:r>
      <w:r>
        <w:t>Регламент</w:t>
      </w:r>
      <w:r>
        <w:rPr>
          <w:lang w:val="nl-NL"/>
        </w:rPr>
        <w:t> (</w:t>
      </w:r>
      <w:proofErr w:type="spellStart"/>
      <w:r>
        <w:t>Евратом</w:t>
      </w:r>
      <w:proofErr w:type="spellEnd"/>
      <w:r>
        <w:rPr>
          <w:lang w:val="nl-NL"/>
        </w:rPr>
        <w:t xml:space="preserve">, </w:t>
      </w:r>
      <w:r>
        <w:t>ЕО</w:t>
      </w:r>
      <w:r>
        <w:rPr>
          <w:lang w:val="nl-NL"/>
        </w:rPr>
        <w:t xml:space="preserve">) № 2185/96 </w:t>
      </w:r>
      <w:r>
        <w:t>на</w:t>
      </w:r>
      <w:r>
        <w:rPr>
          <w:lang w:val="nl-NL"/>
        </w:rPr>
        <w:t xml:space="preserve"> </w:t>
      </w:r>
      <w:r>
        <w:t>Съвета</w:t>
      </w:r>
      <w:r>
        <w:rPr>
          <w:lang w:val="nl-NL"/>
        </w:rPr>
        <w:t xml:space="preserve"> </w:t>
      </w:r>
      <w:r>
        <w:t>от</w:t>
      </w:r>
      <w:r>
        <w:rPr>
          <w:lang w:val="nl-NL"/>
        </w:rPr>
        <w:t xml:space="preserve"> 11 </w:t>
      </w:r>
      <w:r>
        <w:t>ноември</w:t>
      </w:r>
      <w:r>
        <w:rPr>
          <w:lang w:val="nl-NL"/>
        </w:rPr>
        <w:t> 1996 </w:t>
      </w:r>
      <w:r>
        <w:t>г</w:t>
      </w:r>
      <w:r>
        <w:rPr>
          <w:lang w:val="nl-NL"/>
        </w:rPr>
        <w:t xml:space="preserve">. </w:t>
      </w:r>
      <w:r>
        <w:t>относно</w:t>
      </w:r>
      <w:r>
        <w:rPr>
          <w:lang w:val="nl-NL"/>
        </w:rPr>
        <w:t xml:space="preserve"> </w:t>
      </w:r>
      <w:r>
        <w:t>контрола</w:t>
      </w:r>
      <w:r>
        <w:rPr>
          <w:lang w:val="nl-NL"/>
        </w:rPr>
        <w:t xml:space="preserve"> </w:t>
      </w:r>
      <w:r>
        <w:t>и</w:t>
      </w:r>
      <w:r>
        <w:rPr>
          <w:lang w:val="nl-NL"/>
        </w:rPr>
        <w:t xml:space="preserve"> </w:t>
      </w:r>
      <w:r>
        <w:t>проверките</w:t>
      </w:r>
      <w:r>
        <w:rPr>
          <w:lang w:val="nl-NL"/>
        </w:rPr>
        <w:t xml:space="preserve"> </w:t>
      </w:r>
      <w:r>
        <w:t>на</w:t>
      </w:r>
      <w:r>
        <w:rPr>
          <w:lang w:val="nl-NL"/>
        </w:rPr>
        <w:t xml:space="preserve"> </w:t>
      </w:r>
      <w:r>
        <w:t>място</w:t>
      </w:r>
      <w:r>
        <w:rPr>
          <w:lang w:val="nl-NL"/>
        </w:rPr>
        <w:t xml:space="preserve">, </w:t>
      </w:r>
      <w:r>
        <w:t>извършвани</w:t>
      </w:r>
      <w:r>
        <w:rPr>
          <w:lang w:val="nl-NL"/>
        </w:rPr>
        <w:t xml:space="preserve"> </w:t>
      </w:r>
      <w:r>
        <w:t>от</w:t>
      </w:r>
      <w:r>
        <w:rPr>
          <w:lang w:val="nl-NL"/>
        </w:rPr>
        <w:t xml:space="preserve"> </w:t>
      </w:r>
      <w:r>
        <w:t>Комисията</w:t>
      </w:r>
      <w:r>
        <w:rPr>
          <w:lang w:val="nl-NL"/>
        </w:rPr>
        <w:t xml:space="preserve"> </w:t>
      </w:r>
      <w:r>
        <w:t>за</w:t>
      </w:r>
      <w:r>
        <w:rPr>
          <w:lang w:val="nl-NL"/>
        </w:rPr>
        <w:t xml:space="preserve"> </w:t>
      </w:r>
      <w:r>
        <w:t>защита</w:t>
      </w:r>
      <w:r>
        <w:rPr>
          <w:lang w:val="nl-NL"/>
        </w:rPr>
        <w:t xml:space="preserve"> </w:t>
      </w:r>
      <w:r>
        <w:t>на</w:t>
      </w:r>
      <w:r>
        <w:rPr>
          <w:lang w:val="nl-NL"/>
        </w:rPr>
        <w:t xml:space="preserve"> </w:t>
      </w:r>
      <w:r>
        <w:t>финансовите</w:t>
      </w:r>
      <w:r>
        <w:rPr>
          <w:lang w:val="nl-NL"/>
        </w:rPr>
        <w:t xml:space="preserve"> </w:t>
      </w:r>
      <w:r>
        <w:t>интереси</w:t>
      </w:r>
      <w:r>
        <w:rPr>
          <w:lang w:val="nl-NL"/>
        </w:rPr>
        <w:t xml:space="preserve"> </w:t>
      </w:r>
      <w:r>
        <w:t>на</w:t>
      </w:r>
      <w:r>
        <w:rPr>
          <w:lang w:val="nl-NL"/>
        </w:rPr>
        <w:t xml:space="preserve"> </w:t>
      </w:r>
      <w:r>
        <w:t>Европейските</w:t>
      </w:r>
      <w:r>
        <w:rPr>
          <w:lang w:val="nl-NL"/>
        </w:rPr>
        <w:t xml:space="preserve"> </w:t>
      </w:r>
      <w:r>
        <w:t>общности</w:t>
      </w:r>
      <w:r>
        <w:rPr>
          <w:lang w:val="nl-NL"/>
        </w:rPr>
        <w:t xml:space="preserve"> </w:t>
      </w:r>
      <w:r>
        <w:t>срещу</w:t>
      </w:r>
      <w:r>
        <w:rPr>
          <w:lang w:val="nl-NL"/>
        </w:rPr>
        <w:t xml:space="preserve"> </w:t>
      </w:r>
      <w:r>
        <w:t>измами</w:t>
      </w:r>
      <w:r>
        <w:rPr>
          <w:lang w:val="nl-NL"/>
        </w:rPr>
        <w:t xml:space="preserve"> </w:t>
      </w:r>
      <w:r>
        <w:t>и</w:t>
      </w:r>
      <w:r>
        <w:rPr>
          <w:lang w:val="nl-NL"/>
        </w:rPr>
        <w:t xml:space="preserve"> </w:t>
      </w:r>
      <w:r>
        <w:t>други</w:t>
      </w:r>
      <w:r>
        <w:rPr>
          <w:lang w:val="nl-NL"/>
        </w:rPr>
        <w:t xml:space="preserve"> </w:t>
      </w:r>
      <w:r>
        <w:t>нередности</w:t>
      </w:r>
      <w:r>
        <w:rPr>
          <w:lang w:val="nl-NL"/>
        </w:rPr>
        <w:t>, OB L 292, 15.11.1996 </w:t>
      </w:r>
      <w:r>
        <w:t>г</w:t>
      </w:r>
      <w:r>
        <w:rPr>
          <w:lang w:val="nl-NL"/>
        </w:rPr>
        <w:t xml:space="preserve">., </w:t>
      </w:r>
      <w:proofErr w:type="spellStart"/>
      <w:r>
        <w:t>стр</w:t>
      </w:r>
      <w:proofErr w:type="spellEnd"/>
      <w:r>
        <w:rPr>
          <w:lang w:val="nl-NL"/>
        </w:rPr>
        <w:t>. 2.</w:t>
      </w:r>
    </w:p>
  </w:footnote>
  <w:footnote w:id="37">
    <w:p w:rsidR="00222FCC" w:rsidRDefault="00FD122A">
      <w:pPr>
        <w:pStyle w:val="FootnoteText"/>
        <w:rPr>
          <w:lang w:val="nl-NL"/>
        </w:rPr>
      </w:pPr>
      <w:r>
        <w:rPr>
          <w:rStyle w:val="FootnoteReference"/>
        </w:rPr>
        <w:footnoteRef/>
      </w:r>
      <w:r>
        <w:rPr>
          <w:lang w:val="nl-NL"/>
        </w:rPr>
        <w:tab/>
      </w:r>
      <w:r>
        <w:t>Съгласно</w:t>
      </w:r>
      <w:r>
        <w:rPr>
          <w:lang w:val="nl-NL"/>
        </w:rPr>
        <w:t xml:space="preserve"> </w:t>
      </w:r>
      <w:r>
        <w:t>член</w:t>
      </w:r>
      <w:r>
        <w:rPr>
          <w:lang w:val="nl-NL"/>
        </w:rPr>
        <w:t xml:space="preserve"> 54, </w:t>
      </w:r>
      <w:r>
        <w:t>параграф</w:t>
      </w:r>
      <w:r>
        <w:rPr>
          <w:lang w:val="nl-NL"/>
        </w:rPr>
        <w:t xml:space="preserve"> 2, </w:t>
      </w:r>
      <w:r>
        <w:t>буква</w:t>
      </w:r>
      <w:r>
        <w:rPr>
          <w:lang w:val="nl-NL"/>
        </w:rPr>
        <w:t> </w:t>
      </w:r>
      <w:r>
        <w:t>а</w:t>
      </w:r>
      <w:r>
        <w:rPr>
          <w:lang w:val="nl-NL"/>
        </w:rPr>
        <w:t xml:space="preserve">) </w:t>
      </w:r>
      <w:r>
        <w:t>или</w:t>
      </w:r>
      <w:r>
        <w:rPr>
          <w:lang w:val="nl-NL"/>
        </w:rPr>
        <w:t xml:space="preserve"> </w:t>
      </w:r>
      <w:r>
        <w:t>б</w:t>
      </w:r>
      <w:r>
        <w:rPr>
          <w:lang w:val="nl-NL"/>
        </w:rPr>
        <w:t xml:space="preserve">) </w:t>
      </w:r>
      <w:r>
        <w:t>от</w:t>
      </w:r>
      <w:r>
        <w:rPr>
          <w:lang w:val="nl-NL"/>
        </w:rPr>
        <w:t xml:space="preserve"> </w:t>
      </w:r>
      <w:r>
        <w:t>Финансовия</w:t>
      </w:r>
      <w:r>
        <w:rPr>
          <w:lang w:val="nl-NL"/>
        </w:rPr>
        <w:t xml:space="preserve"> </w:t>
      </w:r>
      <w:r>
        <w:t>регламент</w:t>
      </w:r>
      <w:r>
        <w:rPr>
          <w:lang w:val="nl-NL"/>
        </w:rPr>
        <w:t>.</w:t>
      </w:r>
    </w:p>
  </w:footnote>
  <w:footnote w:id="38">
    <w:p w:rsidR="00222FCC" w:rsidRDefault="00FD122A">
      <w:pPr>
        <w:pStyle w:val="FootnoteText"/>
        <w:rPr>
          <w:lang w:val="nl-NL"/>
        </w:rPr>
      </w:pPr>
      <w:r>
        <w:rPr>
          <w:rStyle w:val="FootnoteReference"/>
        </w:rPr>
        <w:footnoteRef/>
      </w:r>
      <w:r>
        <w:rPr>
          <w:lang w:val="nl-NL"/>
        </w:rPr>
        <w:tab/>
      </w:r>
      <w:r>
        <w:t>Подробности</w:t>
      </w:r>
      <w:r>
        <w:rPr>
          <w:lang w:val="nl-NL"/>
        </w:rPr>
        <w:t xml:space="preserve"> </w:t>
      </w:r>
      <w:r>
        <w:t>във</w:t>
      </w:r>
      <w:r>
        <w:rPr>
          <w:lang w:val="nl-NL"/>
        </w:rPr>
        <w:t xml:space="preserve"> </w:t>
      </w:r>
      <w:r>
        <w:t>връзка</w:t>
      </w:r>
      <w:r>
        <w:rPr>
          <w:lang w:val="nl-NL"/>
        </w:rPr>
        <w:t xml:space="preserve"> </w:t>
      </w:r>
      <w:r>
        <w:t>с</w:t>
      </w:r>
      <w:r>
        <w:rPr>
          <w:lang w:val="nl-NL"/>
        </w:rPr>
        <w:t xml:space="preserve"> </w:t>
      </w:r>
      <w:r>
        <w:t>методите</w:t>
      </w:r>
      <w:r>
        <w:rPr>
          <w:lang w:val="nl-NL"/>
        </w:rPr>
        <w:t xml:space="preserve"> </w:t>
      </w:r>
      <w:r>
        <w:t>на</w:t>
      </w:r>
      <w:r>
        <w:rPr>
          <w:lang w:val="nl-NL"/>
        </w:rPr>
        <w:t xml:space="preserve"> </w:t>
      </w:r>
      <w:r>
        <w:t>управление</w:t>
      </w:r>
      <w:r>
        <w:rPr>
          <w:lang w:val="nl-NL"/>
        </w:rPr>
        <w:t xml:space="preserve"> </w:t>
      </w:r>
      <w:r>
        <w:t>и</w:t>
      </w:r>
      <w:r>
        <w:rPr>
          <w:lang w:val="nl-NL"/>
        </w:rPr>
        <w:t xml:space="preserve"> </w:t>
      </w:r>
      <w:r>
        <w:t>позоваванията</w:t>
      </w:r>
      <w:r>
        <w:rPr>
          <w:lang w:val="nl-NL"/>
        </w:rPr>
        <w:t xml:space="preserve"> </w:t>
      </w:r>
      <w:r>
        <w:t>на</w:t>
      </w:r>
      <w:r>
        <w:rPr>
          <w:lang w:val="nl-NL"/>
        </w:rPr>
        <w:t xml:space="preserve"> </w:t>
      </w:r>
      <w:r>
        <w:t>Финансовия</w:t>
      </w:r>
      <w:r>
        <w:rPr>
          <w:lang w:val="nl-NL"/>
        </w:rPr>
        <w:t xml:space="preserve"> </w:t>
      </w:r>
      <w:r>
        <w:t>регламент</w:t>
      </w:r>
      <w:r>
        <w:rPr>
          <w:lang w:val="nl-NL"/>
        </w:rPr>
        <w:t xml:space="preserve"> </w:t>
      </w:r>
      <w:r>
        <w:t>могат</w:t>
      </w:r>
      <w:r>
        <w:rPr>
          <w:lang w:val="nl-NL"/>
        </w:rPr>
        <w:t xml:space="preserve"> </w:t>
      </w:r>
      <w:r>
        <w:t>да</w:t>
      </w:r>
      <w:r>
        <w:rPr>
          <w:lang w:val="nl-NL"/>
        </w:rPr>
        <w:t xml:space="preserve"> </w:t>
      </w:r>
      <w:r>
        <w:t>бъдат</w:t>
      </w:r>
      <w:r>
        <w:rPr>
          <w:lang w:val="nl-NL"/>
        </w:rPr>
        <w:t xml:space="preserve"> </w:t>
      </w:r>
      <w:r>
        <w:t>намерени</w:t>
      </w:r>
      <w:r>
        <w:rPr>
          <w:lang w:val="nl-NL"/>
        </w:rPr>
        <w:t xml:space="preserve"> </w:t>
      </w:r>
      <w:r>
        <w:t>на</w:t>
      </w:r>
      <w:r>
        <w:rPr>
          <w:lang w:val="nl-NL"/>
        </w:rPr>
        <w:t xml:space="preserve"> </w:t>
      </w:r>
      <w:r>
        <w:t>уебсайта</w:t>
      </w:r>
      <w:r>
        <w:rPr>
          <w:lang w:val="nl-NL"/>
        </w:rPr>
        <w:t xml:space="preserve"> </w:t>
      </w:r>
      <w:proofErr w:type="spellStart"/>
      <w:r>
        <w:rPr>
          <w:lang w:val="nl-NL"/>
        </w:rPr>
        <w:t>BudgWeb</w:t>
      </w:r>
      <w:proofErr w:type="spellEnd"/>
      <w:r>
        <w:rPr>
          <w:lang w:val="nl-NL"/>
        </w:rPr>
        <w:t xml:space="preserve">: </w:t>
      </w:r>
      <w:hyperlink r:id="rId1">
        <w:r>
          <w:rPr>
            <w:rStyle w:val="Hyperlink"/>
            <w:color w:val="auto"/>
          </w:rPr>
          <w:t>https://myin</w:t>
        </w:r>
        <w:r>
          <w:rPr>
            <w:rStyle w:val="Hyperlink"/>
            <w:color w:val="auto"/>
          </w:rPr>
          <w:t>tracomm.ec.europa.eu/budgweb/EN/man/budgmanag/Pages/budgmanag.aspx</w:t>
        </w:r>
      </w:hyperlink>
      <w:r>
        <w:rPr>
          <w:lang w:val="nl-NL"/>
        </w:rPr>
        <w:t xml:space="preserve"> </w:t>
      </w:r>
    </w:p>
  </w:footnote>
  <w:footnote w:id="39">
    <w:p w:rsidR="00222FCC" w:rsidRDefault="00FD122A">
      <w:pPr>
        <w:pStyle w:val="FootnoteText"/>
        <w:rPr>
          <w:lang w:val="nl-NL"/>
        </w:rPr>
      </w:pPr>
      <w:r>
        <w:rPr>
          <w:rStyle w:val="FootnoteReference"/>
        </w:rPr>
        <w:footnoteRef/>
      </w:r>
      <w:r>
        <w:rPr>
          <w:lang w:val="nl-NL"/>
        </w:rPr>
        <w:tab/>
      </w:r>
      <w:r>
        <w:t>Техническа</w:t>
      </w:r>
      <w:r>
        <w:rPr>
          <w:lang w:val="nl-NL"/>
        </w:rPr>
        <w:t xml:space="preserve"> </w:t>
      </w:r>
      <w:r>
        <w:t>и</w:t>
      </w:r>
      <w:r>
        <w:rPr>
          <w:lang w:val="nl-NL"/>
        </w:rPr>
        <w:t>/</w:t>
      </w:r>
      <w:r>
        <w:t>или</w:t>
      </w:r>
      <w:r>
        <w:rPr>
          <w:lang w:val="nl-NL"/>
        </w:rPr>
        <w:t xml:space="preserve"> </w:t>
      </w:r>
      <w:r>
        <w:t>административна</w:t>
      </w:r>
      <w:r>
        <w:rPr>
          <w:lang w:val="nl-NL"/>
        </w:rPr>
        <w:t xml:space="preserve"> </w:t>
      </w:r>
      <w:r>
        <w:t>помощ</w:t>
      </w:r>
      <w:r>
        <w:rPr>
          <w:lang w:val="nl-NL"/>
        </w:rPr>
        <w:t xml:space="preserve"> </w:t>
      </w:r>
      <w:r>
        <w:t>и</w:t>
      </w:r>
      <w:r>
        <w:rPr>
          <w:lang w:val="nl-NL"/>
        </w:rPr>
        <w:t xml:space="preserve"> </w:t>
      </w:r>
      <w:r>
        <w:t>разходи</w:t>
      </w:r>
      <w:r>
        <w:rPr>
          <w:lang w:val="nl-NL"/>
        </w:rPr>
        <w:t xml:space="preserve"> </w:t>
      </w:r>
      <w:r>
        <w:t>в</w:t>
      </w:r>
      <w:r>
        <w:rPr>
          <w:lang w:val="nl-NL"/>
        </w:rPr>
        <w:t xml:space="preserve"> </w:t>
      </w:r>
      <w:r>
        <w:t>подкрепа</w:t>
      </w:r>
      <w:r>
        <w:rPr>
          <w:lang w:val="nl-NL"/>
        </w:rPr>
        <w:t xml:space="preserve"> </w:t>
      </w:r>
      <w:r>
        <w:t>на</w:t>
      </w:r>
      <w:r>
        <w:rPr>
          <w:lang w:val="nl-NL"/>
        </w:rPr>
        <w:t xml:space="preserve"> </w:t>
      </w:r>
      <w:r>
        <w:t>изпълнението</w:t>
      </w:r>
      <w:r>
        <w:rPr>
          <w:lang w:val="nl-NL"/>
        </w:rPr>
        <w:t xml:space="preserve"> </w:t>
      </w:r>
      <w:r>
        <w:t>на</w:t>
      </w:r>
      <w:r>
        <w:rPr>
          <w:lang w:val="nl-NL"/>
        </w:rPr>
        <w:t xml:space="preserve"> </w:t>
      </w:r>
      <w:r>
        <w:t>програми</w:t>
      </w:r>
      <w:r>
        <w:rPr>
          <w:lang w:val="nl-NL"/>
        </w:rPr>
        <w:t xml:space="preserve"> </w:t>
      </w:r>
      <w:r>
        <w:t>и</w:t>
      </w:r>
      <w:r>
        <w:rPr>
          <w:lang w:val="nl-NL"/>
        </w:rPr>
        <w:t>/</w:t>
      </w:r>
      <w:r>
        <w:t>или</w:t>
      </w:r>
      <w:r>
        <w:rPr>
          <w:lang w:val="nl-NL"/>
        </w:rPr>
        <w:t xml:space="preserve"> </w:t>
      </w:r>
      <w:r>
        <w:t>дейности</w:t>
      </w:r>
      <w:r>
        <w:rPr>
          <w:lang w:val="nl-NL"/>
        </w:rPr>
        <w:t xml:space="preserve"> </w:t>
      </w:r>
      <w:r>
        <w:t>на</w:t>
      </w:r>
      <w:r>
        <w:rPr>
          <w:lang w:val="nl-NL"/>
        </w:rPr>
        <w:t xml:space="preserve"> </w:t>
      </w:r>
      <w:r>
        <w:t>ЕС</w:t>
      </w:r>
      <w:r>
        <w:rPr>
          <w:lang w:val="nl-NL"/>
        </w:rPr>
        <w:t xml:space="preserve"> (</w:t>
      </w:r>
      <w:r>
        <w:t>предишни</w:t>
      </w:r>
      <w:r>
        <w:rPr>
          <w:lang w:val="nl-NL"/>
        </w:rPr>
        <w:t xml:space="preserve"> </w:t>
      </w:r>
      <w:r>
        <w:t>редове</w:t>
      </w:r>
      <w:r>
        <w:rPr>
          <w:lang w:val="nl-NL"/>
        </w:rPr>
        <w:t xml:space="preserve"> BA), </w:t>
      </w:r>
      <w:r>
        <w:t>непреки</w:t>
      </w:r>
      <w:r>
        <w:rPr>
          <w:lang w:val="nl-NL"/>
        </w:rPr>
        <w:t xml:space="preserve"> </w:t>
      </w:r>
      <w:r>
        <w:t>научни</w:t>
      </w:r>
      <w:r>
        <w:rPr>
          <w:lang w:val="nl-NL"/>
        </w:rPr>
        <w:t xml:space="preserve"> </w:t>
      </w:r>
      <w:r>
        <w:t>изследвания</w:t>
      </w:r>
      <w:r>
        <w:rPr>
          <w:lang w:val="nl-NL"/>
        </w:rPr>
        <w:t xml:space="preserve">, </w:t>
      </w:r>
      <w:r>
        <w:t>преки</w:t>
      </w:r>
      <w:r>
        <w:rPr>
          <w:lang w:val="nl-NL"/>
        </w:rPr>
        <w:t xml:space="preserve"> </w:t>
      </w:r>
      <w:r>
        <w:t>научни</w:t>
      </w:r>
      <w:r>
        <w:rPr>
          <w:lang w:val="nl-NL"/>
        </w:rPr>
        <w:t xml:space="preserve"> </w:t>
      </w:r>
      <w:r>
        <w:t>изследвания</w:t>
      </w:r>
      <w:r>
        <w:rPr>
          <w:lang w:val="nl-NL"/>
        </w:rPr>
        <w:t>.</w:t>
      </w:r>
    </w:p>
  </w:footnote>
  <w:footnote w:id="40">
    <w:p w:rsidR="00222FCC" w:rsidRDefault="00FD122A">
      <w:pPr>
        <w:pStyle w:val="FootnoteText"/>
        <w:rPr>
          <w:lang w:val="nl-NL"/>
        </w:rPr>
      </w:pPr>
      <w:r>
        <w:rPr>
          <w:rStyle w:val="FootnoteReference"/>
        </w:rPr>
        <w:footnoteRef/>
      </w:r>
      <w:r>
        <w:rPr>
          <w:lang w:val="nl-NL"/>
        </w:rPr>
        <w:tab/>
      </w:r>
      <w:r>
        <w:t>Техническа</w:t>
      </w:r>
      <w:r>
        <w:rPr>
          <w:lang w:val="nl-NL"/>
        </w:rPr>
        <w:t xml:space="preserve"> </w:t>
      </w:r>
      <w:r>
        <w:t>и</w:t>
      </w:r>
      <w:r>
        <w:rPr>
          <w:lang w:val="nl-NL"/>
        </w:rPr>
        <w:t>/</w:t>
      </w:r>
      <w:r>
        <w:t>или</w:t>
      </w:r>
      <w:r>
        <w:rPr>
          <w:lang w:val="nl-NL"/>
        </w:rPr>
        <w:t xml:space="preserve"> </w:t>
      </w:r>
      <w:r>
        <w:t>административна</w:t>
      </w:r>
      <w:r>
        <w:rPr>
          <w:lang w:val="nl-NL"/>
        </w:rPr>
        <w:t xml:space="preserve"> </w:t>
      </w:r>
      <w:r>
        <w:t>помощ</w:t>
      </w:r>
      <w:r>
        <w:rPr>
          <w:lang w:val="nl-NL"/>
        </w:rPr>
        <w:t xml:space="preserve"> </w:t>
      </w:r>
      <w:r>
        <w:t>и</w:t>
      </w:r>
      <w:r>
        <w:rPr>
          <w:lang w:val="nl-NL"/>
        </w:rPr>
        <w:t xml:space="preserve"> </w:t>
      </w:r>
      <w:r>
        <w:t>разходи</w:t>
      </w:r>
      <w:r>
        <w:rPr>
          <w:lang w:val="nl-NL"/>
        </w:rPr>
        <w:t xml:space="preserve"> </w:t>
      </w:r>
      <w:r>
        <w:t>в</w:t>
      </w:r>
      <w:r>
        <w:rPr>
          <w:lang w:val="nl-NL"/>
        </w:rPr>
        <w:t xml:space="preserve"> </w:t>
      </w:r>
      <w:r>
        <w:t>подкрепа</w:t>
      </w:r>
      <w:r>
        <w:rPr>
          <w:lang w:val="nl-NL"/>
        </w:rPr>
        <w:t xml:space="preserve"> </w:t>
      </w:r>
      <w:r>
        <w:t>на</w:t>
      </w:r>
      <w:r>
        <w:rPr>
          <w:lang w:val="nl-NL"/>
        </w:rPr>
        <w:t xml:space="preserve"> </w:t>
      </w:r>
      <w:r>
        <w:t>изпълнението</w:t>
      </w:r>
      <w:r>
        <w:rPr>
          <w:lang w:val="nl-NL"/>
        </w:rPr>
        <w:t xml:space="preserve"> </w:t>
      </w:r>
      <w:r>
        <w:t>на</w:t>
      </w:r>
      <w:r>
        <w:rPr>
          <w:lang w:val="nl-NL"/>
        </w:rPr>
        <w:t xml:space="preserve"> </w:t>
      </w:r>
      <w:r>
        <w:t>програми</w:t>
      </w:r>
      <w:r>
        <w:rPr>
          <w:lang w:val="nl-NL"/>
        </w:rPr>
        <w:t xml:space="preserve"> </w:t>
      </w:r>
      <w:r>
        <w:t>и</w:t>
      </w:r>
      <w:r>
        <w:rPr>
          <w:lang w:val="nl-NL"/>
        </w:rPr>
        <w:t>/</w:t>
      </w:r>
      <w:r>
        <w:t>или</w:t>
      </w:r>
      <w:r>
        <w:rPr>
          <w:lang w:val="nl-NL"/>
        </w:rPr>
        <w:t xml:space="preserve"> </w:t>
      </w:r>
      <w:r>
        <w:t>дейности</w:t>
      </w:r>
      <w:r>
        <w:rPr>
          <w:lang w:val="nl-NL"/>
        </w:rPr>
        <w:t xml:space="preserve"> </w:t>
      </w:r>
      <w:r>
        <w:t>на</w:t>
      </w:r>
      <w:r>
        <w:rPr>
          <w:lang w:val="nl-NL"/>
        </w:rPr>
        <w:t xml:space="preserve"> </w:t>
      </w:r>
      <w:r>
        <w:t>ЕС</w:t>
      </w:r>
      <w:r>
        <w:rPr>
          <w:lang w:val="nl-NL"/>
        </w:rPr>
        <w:t xml:space="preserve"> (</w:t>
      </w:r>
      <w:r>
        <w:t>предишни</w:t>
      </w:r>
      <w:r>
        <w:rPr>
          <w:lang w:val="nl-NL"/>
        </w:rPr>
        <w:t xml:space="preserve"> </w:t>
      </w:r>
      <w:r>
        <w:t>редове</w:t>
      </w:r>
      <w:r>
        <w:rPr>
          <w:lang w:val="nl-NL"/>
        </w:rPr>
        <w:t xml:space="preserve"> BA), </w:t>
      </w:r>
      <w:r>
        <w:t>непреки</w:t>
      </w:r>
      <w:r>
        <w:rPr>
          <w:lang w:val="nl-NL"/>
        </w:rPr>
        <w:t xml:space="preserve"> </w:t>
      </w:r>
      <w:r>
        <w:t>научни</w:t>
      </w:r>
      <w:r>
        <w:rPr>
          <w:lang w:val="nl-NL"/>
        </w:rPr>
        <w:t xml:space="preserve"> </w:t>
      </w:r>
      <w:r>
        <w:t>изследвания</w:t>
      </w:r>
      <w:r>
        <w:rPr>
          <w:lang w:val="nl-NL"/>
        </w:rPr>
        <w:t xml:space="preserve">, </w:t>
      </w:r>
      <w:r>
        <w:t>преки</w:t>
      </w:r>
      <w:r>
        <w:rPr>
          <w:lang w:val="nl-NL"/>
        </w:rPr>
        <w:t xml:space="preserve"> </w:t>
      </w:r>
      <w:r>
        <w:t>научни</w:t>
      </w:r>
      <w:r>
        <w:rPr>
          <w:lang w:val="nl-NL"/>
        </w:rPr>
        <w:t xml:space="preserve"> </w:t>
      </w:r>
      <w:r>
        <w:t>изследвания</w:t>
      </w:r>
      <w:r>
        <w:rPr>
          <w:lang w:val="nl-NL"/>
        </w:rPr>
        <w:t>.</w:t>
      </w:r>
    </w:p>
  </w:footnote>
  <w:footnote w:id="41">
    <w:p w:rsidR="00222FCC" w:rsidRDefault="00FD122A">
      <w:pPr>
        <w:pStyle w:val="FootnoteText"/>
        <w:rPr>
          <w:lang w:val="nl-NL"/>
        </w:rPr>
      </w:pPr>
      <w:r>
        <w:rPr>
          <w:rStyle w:val="FootnoteReference"/>
        </w:rPr>
        <w:footnoteRef/>
      </w:r>
      <w:r>
        <w:rPr>
          <w:lang w:val="nl-NL"/>
        </w:rPr>
        <w:tab/>
      </w:r>
      <w:r>
        <w:t>Техническа</w:t>
      </w:r>
      <w:r>
        <w:rPr>
          <w:lang w:val="nl-NL"/>
        </w:rPr>
        <w:t xml:space="preserve"> </w:t>
      </w:r>
      <w:r>
        <w:t>и</w:t>
      </w:r>
      <w:r>
        <w:rPr>
          <w:lang w:val="nl-NL"/>
        </w:rPr>
        <w:t>/</w:t>
      </w:r>
      <w:r>
        <w:t>или</w:t>
      </w:r>
      <w:r>
        <w:rPr>
          <w:lang w:val="nl-NL"/>
        </w:rPr>
        <w:t xml:space="preserve"> </w:t>
      </w:r>
      <w:r>
        <w:t>административна</w:t>
      </w:r>
      <w:r>
        <w:rPr>
          <w:lang w:val="nl-NL"/>
        </w:rPr>
        <w:t xml:space="preserve"> </w:t>
      </w:r>
      <w:r>
        <w:t>помощ</w:t>
      </w:r>
      <w:r>
        <w:rPr>
          <w:lang w:val="nl-NL"/>
        </w:rPr>
        <w:t xml:space="preserve"> </w:t>
      </w:r>
      <w:r>
        <w:t>и</w:t>
      </w:r>
      <w:r>
        <w:rPr>
          <w:lang w:val="nl-NL"/>
        </w:rPr>
        <w:t xml:space="preserve"> </w:t>
      </w:r>
      <w:r>
        <w:t>разходи</w:t>
      </w:r>
      <w:r>
        <w:rPr>
          <w:lang w:val="nl-NL"/>
        </w:rPr>
        <w:t xml:space="preserve"> </w:t>
      </w:r>
      <w:r>
        <w:t>в</w:t>
      </w:r>
      <w:r>
        <w:rPr>
          <w:lang w:val="nl-NL"/>
        </w:rPr>
        <w:t xml:space="preserve"> </w:t>
      </w:r>
      <w:r>
        <w:t>подкрепа</w:t>
      </w:r>
      <w:r>
        <w:rPr>
          <w:lang w:val="nl-NL"/>
        </w:rPr>
        <w:t xml:space="preserve"> </w:t>
      </w:r>
      <w:r>
        <w:t>на</w:t>
      </w:r>
      <w:r>
        <w:rPr>
          <w:lang w:val="nl-NL"/>
        </w:rPr>
        <w:t xml:space="preserve"> </w:t>
      </w:r>
      <w:r>
        <w:t>изпълнението</w:t>
      </w:r>
      <w:r>
        <w:rPr>
          <w:lang w:val="nl-NL"/>
        </w:rPr>
        <w:t xml:space="preserve"> </w:t>
      </w:r>
      <w:r>
        <w:t>на</w:t>
      </w:r>
      <w:r>
        <w:rPr>
          <w:lang w:val="nl-NL"/>
        </w:rPr>
        <w:t xml:space="preserve"> </w:t>
      </w:r>
      <w:r>
        <w:t>програми</w:t>
      </w:r>
      <w:r>
        <w:rPr>
          <w:lang w:val="nl-NL"/>
        </w:rPr>
        <w:t xml:space="preserve"> </w:t>
      </w:r>
      <w:r>
        <w:t>и</w:t>
      </w:r>
      <w:r>
        <w:rPr>
          <w:lang w:val="nl-NL"/>
        </w:rPr>
        <w:t>/</w:t>
      </w:r>
      <w:r>
        <w:t>или</w:t>
      </w:r>
      <w:r>
        <w:rPr>
          <w:lang w:val="nl-NL"/>
        </w:rPr>
        <w:t xml:space="preserve"> </w:t>
      </w:r>
      <w:r>
        <w:t>дейности</w:t>
      </w:r>
      <w:r>
        <w:rPr>
          <w:lang w:val="nl-NL"/>
        </w:rPr>
        <w:t xml:space="preserve"> </w:t>
      </w:r>
      <w:r>
        <w:t>на</w:t>
      </w:r>
      <w:r>
        <w:rPr>
          <w:lang w:val="nl-NL"/>
        </w:rPr>
        <w:t xml:space="preserve"> </w:t>
      </w:r>
      <w:r>
        <w:t>ЕС</w:t>
      </w:r>
      <w:r>
        <w:rPr>
          <w:lang w:val="nl-NL"/>
        </w:rPr>
        <w:t xml:space="preserve"> (</w:t>
      </w:r>
      <w:r>
        <w:t>предишни</w:t>
      </w:r>
      <w:r>
        <w:rPr>
          <w:lang w:val="nl-NL"/>
        </w:rPr>
        <w:t xml:space="preserve"> </w:t>
      </w:r>
      <w:r>
        <w:t>редове</w:t>
      </w:r>
      <w:r>
        <w:rPr>
          <w:lang w:val="nl-NL"/>
        </w:rPr>
        <w:t xml:space="preserve"> BA), </w:t>
      </w:r>
      <w:r>
        <w:t>непреки</w:t>
      </w:r>
      <w:r>
        <w:rPr>
          <w:lang w:val="nl-NL"/>
        </w:rPr>
        <w:t xml:space="preserve"> </w:t>
      </w:r>
      <w:r>
        <w:t>научни</w:t>
      </w:r>
      <w:r>
        <w:rPr>
          <w:lang w:val="nl-NL"/>
        </w:rPr>
        <w:t xml:space="preserve"> </w:t>
      </w:r>
      <w:r>
        <w:t>изследвания</w:t>
      </w:r>
      <w:r>
        <w:rPr>
          <w:lang w:val="nl-NL"/>
        </w:rPr>
        <w:t xml:space="preserve">, </w:t>
      </w:r>
      <w:r>
        <w:t>преки</w:t>
      </w:r>
      <w:r>
        <w:rPr>
          <w:lang w:val="nl-NL"/>
        </w:rPr>
        <w:t xml:space="preserve"> </w:t>
      </w:r>
      <w:r>
        <w:t>научни</w:t>
      </w:r>
      <w:r>
        <w:rPr>
          <w:lang w:val="nl-NL"/>
        </w:rPr>
        <w:t xml:space="preserve"> </w:t>
      </w:r>
      <w:r>
        <w:t>изследвания</w:t>
      </w:r>
      <w:r>
        <w:rPr>
          <w:lang w:val="nl-NL"/>
        </w:rPr>
        <w:t>.</w:t>
      </w:r>
    </w:p>
  </w:footnote>
  <w:footnote w:id="42">
    <w:p w:rsidR="00222FCC" w:rsidRDefault="00FD122A">
      <w:pPr>
        <w:pStyle w:val="FootnoteText"/>
        <w:rPr>
          <w:lang w:val="nl-NL"/>
        </w:rPr>
      </w:pPr>
      <w:r>
        <w:rPr>
          <w:rStyle w:val="FootnoteReference"/>
        </w:rPr>
        <w:footnoteRef/>
      </w:r>
      <w:r>
        <w:rPr>
          <w:lang w:val="nl-NL"/>
        </w:rPr>
        <w:tab/>
      </w:r>
      <w:r>
        <w:t>Техническа</w:t>
      </w:r>
      <w:r>
        <w:rPr>
          <w:lang w:val="nl-NL"/>
        </w:rPr>
        <w:t xml:space="preserve"> </w:t>
      </w:r>
      <w:r>
        <w:t>и</w:t>
      </w:r>
      <w:r>
        <w:rPr>
          <w:lang w:val="nl-NL"/>
        </w:rPr>
        <w:t>/</w:t>
      </w:r>
      <w:r>
        <w:t>или</w:t>
      </w:r>
      <w:r>
        <w:rPr>
          <w:lang w:val="nl-NL"/>
        </w:rPr>
        <w:t xml:space="preserve"> </w:t>
      </w:r>
      <w:r>
        <w:t>административна</w:t>
      </w:r>
      <w:r>
        <w:rPr>
          <w:lang w:val="nl-NL"/>
        </w:rPr>
        <w:t xml:space="preserve"> </w:t>
      </w:r>
      <w:r>
        <w:t>помощ</w:t>
      </w:r>
      <w:r>
        <w:rPr>
          <w:lang w:val="nl-NL"/>
        </w:rPr>
        <w:t xml:space="preserve"> </w:t>
      </w:r>
      <w:r>
        <w:t>и</w:t>
      </w:r>
      <w:r>
        <w:rPr>
          <w:lang w:val="nl-NL"/>
        </w:rPr>
        <w:t xml:space="preserve"> </w:t>
      </w:r>
      <w:r>
        <w:t>разходи</w:t>
      </w:r>
      <w:r>
        <w:rPr>
          <w:lang w:val="nl-NL"/>
        </w:rPr>
        <w:t xml:space="preserve"> </w:t>
      </w:r>
      <w:r>
        <w:t>в</w:t>
      </w:r>
      <w:r>
        <w:rPr>
          <w:lang w:val="nl-NL"/>
        </w:rPr>
        <w:t xml:space="preserve"> </w:t>
      </w:r>
      <w:r>
        <w:t>подкрепа</w:t>
      </w:r>
      <w:r>
        <w:rPr>
          <w:lang w:val="nl-NL"/>
        </w:rPr>
        <w:t xml:space="preserve"> </w:t>
      </w:r>
      <w:r>
        <w:t>на</w:t>
      </w:r>
      <w:r>
        <w:rPr>
          <w:lang w:val="nl-NL"/>
        </w:rPr>
        <w:t xml:space="preserve"> </w:t>
      </w:r>
      <w:r>
        <w:t>изпълнението</w:t>
      </w:r>
      <w:r>
        <w:rPr>
          <w:lang w:val="nl-NL"/>
        </w:rPr>
        <w:t xml:space="preserve"> </w:t>
      </w:r>
      <w:r>
        <w:t>на</w:t>
      </w:r>
      <w:r>
        <w:rPr>
          <w:lang w:val="nl-NL"/>
        </w:rPr>
        <w:t xml:space="preserve"> </w:t>
      </w:r>
      <w:r>
        <w:t>програми</w:t>
      </w:r>
      <w:r>
        <w:rPr>
          <w:lang w:val="nl-NL"/>
        </w:rPr>
        <w:t xml:space="preserve"> </w:t>
      </w:r>
      <w:r>
        <w:t>и</w:t>
      </w:r>
      <w:r>
        <w:rPr>
          <w:lang w:val="nl-NL"/>
        </w:rPr>
        <w:t>/</w:t>
      </w:r>
      <w:r>
        <w:t>или</w:t>
      </w:r>
      <w:r>
        <w:rPr>
          <w:lang w:val="nl-NL"/>
        </w:rPr>
        <w:t xml:space="preserve"> </w:t>
      </w:r>
      <w:r>
        <w:t>дейности</w:t>
      </w:r>
      <w:r>
        <w:rPr>
          <w:lang w:val="nl-NL"/>
        </w:rPr>
        <w:t xml:space="preserve"> </w:t>
      </w:r>
      <w:r>
        <w:t>на</w:t>
      </w:r>
      <w:r>
        <w:rPr>
          <w:lang w:val="nl-NL"/>
        </w:rPr>
        <w:t xml:space="preserve"> </w:t>
      </w:r>
      <w:r>
        <w:t>ЕС</w:t>
      </w:r>
      <w:r>
        <w:rPr>
          <w:lang w:val="nl-NL"/>
        </w:rPr>
        <w:t xml:space="preserve"> (</w:t>
      </w:r>
      <w:r>
        <w:t>предишни</w:t>
      </w:r>
      <w:r>
        <w:rPr>
          <w:lang w:val="nl-NL"/>
        </w:rPr>
        <w:t xml:space="preserve"> </w:t>
      </w:r>
      <w:r>
        <w:t>редове</w:t>
      </w:r>
      <w:r>
        <w:rPr>
          <w:lang w:val="nl-NL"/>
        </w:rPr>
        <w:t xml:space="preserve"> BA), </w:t>
      </w:r>
      <w:r>
        <w:t>н</w:t>
      </w:r>
      <w:r>
        <w:t>епреки</w:t>
      </w:r>
      <w:r>
        <w:rPr>
          <w:lang w:val="nl-NL"/>
        </w:rPr>
        <w:t xml:space="preserve"> </w:t>
      </w:r>
      <w:r>
        <w:t>научни</w:t>
      </w:r>
      <w:r>
        <w:rPr>
          <w:lang w:val="nl-NL"/>
        </w:rPr>
        <w:t xml:space="preserve"> </w:t>
      </w:r>
      <w:r>
        <w:t>изследвания</w:t>
      </w:r>
      <w:r>
        <w:rPr>
          <w:lang w:val="nl-NL"/>
        </w:rPr>
        <w:t xml:space="preserve">, </w:t>
      </w:r>
      <w:r>
        <w:t>преки</w:t>
      </w:r>
      <w:r>
        <w:rPr>
          <w:lang w:val="nl-NL"/>
        </w:rPr>
        <w:t xml:space="preserve"> </w:t>
      </w:r>
      <w:r>
        <w:t>научни</w:t>
      </w:r>
      <w:r>
        <w:rPr>
          <w:lang w:val="nl-NL"/>
        </w:rPr>
        <w:t xml:space="preserve"> </w:t>
      </w:r>
      <w:r>
        <w:t>изследвания</w:t>
      </w:r>
      <w:r>
        <w:rPr>
          <w:lang w:val="nl-NL"/>
        </w:rPr>
        <w:t>.</w:t>
      </w:r>
    </w:p>
  </w:footnote>
  <w:footnote w:id="43">
    <w:p w:rsidR="00222FCC" w:rsidRDefault="00FD122A">
      <w:pPr>
        <w:pStyle w:val="FootnoteText"/>
        <w:rPr>
          <w:lang w:val="nl-NL"/>
        </w:rPr>
      </w:pPr>
      <w:r>
        <w:rPr>
          <w:rStyle w:val="FootnoteReference"/>
        </w:rPr>
        <w:footnoteRef/>
      </w:r>
      <w:r>
        <w:rPr>
          <w:lang w:val="nl-NL"/>
        </w:rPr>
        <w:tab/>
      </w:r>
      <w:r>
        <w:t>Техническа</w:t>
      </w:r>
      <w:r>
        <w:rPr>
          <w:lang w:val="nl-NL"/>
        </w:rPr>
        <w:t xml:space="preserve"> </w:t>
      </w:r>
      <w:r>
        <w:t>и</w:t>
      </w:r>
      <w:r>
        <w:rPr>
          <w:lang w:val="nl-NL"/>
        </w:rPr>
        <w:t>/</w:t>
      </w:r>
      <w:r>
        <w:t>или</w:t>
      </w:r>
      <w:r>
        <w:rPr>
          <w:lang w:val="nl-NL"/>
        </w:rPr>
        <w:t xml:space="preserve"> </w:t>
      </w:r>
      <w:r>
        <w:t>административна</w:t>
      </w:r>
      <w:r>
        <w:rPr>
          <w:lang w:val="nl-NL"/>
        </w:rPr>
        <w:t xml:space="preserve"> </w:t>
      </w:r>
      <w:r>
        <w:t>помощ</w:t>
      </w:r>
      <w:r>
        <w:rPr>
          <w:lang w:val="nl-NL"/>
        </w:rPr>
        <w:t xml:space="preserve"> </w:t>
      </w:r>
      <w:r>
        <w:t>и</w:t>
      </w:r>
      <w:r>
        <w:rPr>
          <w:lang w:val="nl-NL"/>
        </w:rPr>
        <w:t xml:space="preserve"> </w:t>
      </w:r>
      <w:r>
        <w:t>разходи</w:t>
      </w:r>
      <w:r>
        <w:rPr>
          <w:lang w:val="nl-NL"/>
        </w:rPr>
        <w:t xml:space="preserve"> </w:t>
      </w:r>
      <w:r>
        <w:t>в</w:t>
      </w:r>
      <w:r>
        <w:rPr>
          <w:lang w:val="nl-NL"/>
        </w:rPr>
        <w:t xml:space="preserve"> </w:t>
      </w:r>
      <w:r>
        <w:t>подкрепа</w:t>
      </w:r>
      <w:r>
        <w:rPr>
          <w:lang w:val="nl-NL"/>
        </w:rPr>
        <w:t xml:space="preserve"> </w:t>
      </w:r>
      <w:r>
        <w:t>на</w:t>
      </w:r>
      <w:r>
        <w:rPr>
          <w:lang w:val="nl-NL"/>
        </w:rPr>
        <w:t xml:space="preserve"> </w:t>
      </w:r>
      <w:r>
        <w:t>изпълнението</w:t>
      </w:r>
      <w:r>
        <w:rPr>
          <w:lang w:val="nl-NL"/>
        </w:rPr>
        <w:t xml:space="preserve"> </w:t>
      </w:r>
      <w:r>
        <w:t>на</w:t>
      </w:r>
      <w:r>
        <w:rPr>
          <w:lang w:val="nl-NL"/>
        </w:rPr>
        <w:t xml:space="preserve"> </w:t>
      </w:r>
      <w:r>
        <w:t>програми</w:t>
      </w:r>
      <w:r>
        <w:rPr>
          <w:lang w:val="nl-NL"/>
        </w:rPr>
        <w:t xml:space="preserve"> </w:t>
      </w:r>
      <w:r>
        <w:t>и</w:t>
      </w:r>
      <w:r>
        <w:rPr>
          <w:lang w:val="nl-NL"/>
        </w:rPr>
        <w:t>/</w:t>
      </w:r>
      <w:r>
        <w:t>или</w:t>
      </w:r>
      <w:r>
        <w:rPr>
          <w:lang w:val="nl-NL"/>
        </w:rPr>
        <w:t xml:space="preserve"> </w:t>
      </w:r>
      <w:r>
        <w:t>дейности</w:t>
      </w:r>
      <w:r>
        <w:rPr>
          <w:lang w:val="nl-NL"/>
        </w:rPr>
        <w:t xml:space="preserve"> </w:t>
      </w:r>
      <w:r>
        <w:t>на</w:t>
      </w:r>
      <w:r>
        <w:rPr>
          <w:lang w:val="nl-NL"/>
        </w:rPr>
        <w:t xml:space="preserve"> </w:t>
      </w:r>
      <w:r>
        <w:t>ЕС</w:t>
      </w:r>
      <w:r>
        <w:rPr>
          <w:lang w:val="nl-NL"/>
        </w:rPr>
        <w:t xml:space="preserve"> (</w:t>
      </w:r>
      <w:r>
        <w:t>предишни</w:t>
      </w:r>
      <w:r>
        <w:rPr>
          <w:lang w:val="nl-NL"/>
        </w:rPr>
        <w:t xml:space="preserve"> </w:t>
      </w:r>
      <w:r>
        <w:t>редове</w:t>
      </w:r>
      <w:r>
        <w:rPr>
          <w:lang w:val="nl-NL"/>
        </w:rPr>
        <w:t xml:space="preserve"> BA), </w:t>
      </w:r>
      <w:r>
        <w:t>непреки</w:t>
      </w:r>
      <w:r>
        <w:rPr>
          <w:lang w:val="nl-NL"/>
        </w:rPr>
        <w:t xml:space="preserve"> </w:t>
      </w:r>
      <w:r>
        <w:t>научни</w:t>
      </w:r>
      <w:r>
        <w:rPr>
          <w:lang w:val="nl-NL"/>
        </w:rPr>
        <w:t xml:space="preserve"> </w:t>
      </w:r>
      <w:r>
        <w:t>изследвания</w:t>
      </w:r>
      <w:r>
        <w:rPr>
          <w:lang w:val="nl-NL"/>
        </w:rPr>
        <w:t xml:space="preserve">, </w:t>
      </w:r>
      <w:r>
        <w:t>преки</w:t>
      </w:r>
      <w:r>
        <w:rPr>
          <w:lang w:val="nl-NL"/>
        </w:rPr>
        <w:t xml:space="preserve"> </w:t>
      </w:r>
      <w:r>
        <w:t>научни</w:t>
      </w:r>
      <w:r>
        <w:rPr>
          <w:lang w:val="nl-NL"/>
        </w:rPr>
        <w:t xml:space="preserve"> </w:t>
      </w:r>
      <w:r>
        <w:t>изследвания</w:t>
      </w:r>
      <w:r>
        <w:rPr>
          <w:lang w:val="nl-NL"/>
        </w:rPr>
        <w:t>.</w:t>
      </w:r>
    </w:p>
  </w:footnote>
  <w:footnote w:id="44">
    <w:p w:rsidR="00222FCC" w:rsidRDefault="00FD122A">
      <w:pPr>
        <w:pStyle w:val="FootnoteText"/>
        <w:rPr>
          <w:lang w:val="nl-NL"/>
        </w:rPr>
      </w:pPr>
      <w:r>
        <w:rPr>
          <w:rStyle w:val="FootnoteReference"/>
        </w:rPr>
        <w:footnoteRef/>
      </w:r>
      <w:r>
        <w:rPr>
          <w:lang w:val="nl-NL"/>
        </w:rPr>
        <w:tab/>
      </w:r>
      <w:r>
        <w:t>ДНП</w:t>
      </w:r>
      <w:r>
        <w:rPr>
          <w:lang w:val="nl-NL"/>
        </w:rPr>
        <w:t xml:space="preserve"> = </w:t>
      </w:r>
      <w:r>
        <w:t>договорно</w:t>
      </w:r>
      <w:r>
        <w:rPr>
          <w:lang w:val="nl-NL"/>
        </w:rPr>
        <w:t xml:space="preserve"> </w:t>
      </w:r>
      <w:r>
        <w:t>нает</w:t>
      </w:r>
      <w:r>
        <w:rPr>
          <w:lang w:val="nl-NL"/>
        </w:rPr>
        <w:t xml:space="preserve"> </w:t>
      </w:r>
      <w:r>
        <w:t>персонал</w:t>
      </w:r>
      <w:r>
        <w:rPr>
          <w:lang w:val="nl-NL"/>
        </w:rPr>
        <w:t xml:space="preserve">; </w:t>
      </w:r>
      <w:r>
        <w:t>МП</w:t>
      </w:r>
      <w:r>
        <w:rPr>
          <w:lang w:val="nl-NL"/>
        </w:rPr>
        <w:t xml:space="preserve"> = </w:t>
      </w:r>
      <w:r>
        <w:t>местен</w:t>
      </w:r>
      <w:r>
        <w:rPr>
          <w:lang w:val="nl-NL"/>
        </w:rPr>
        <w:t xml:space="preserve"> </w:t>
      </w:r>
      <w:r>
        <w:t>персонал</w:t>
      </w:r>
      <w:r>
        <w:rPr>
          <w:lang w:val="nl-NL"/>
        </w:rPr>
        <w:t xml:space="preserve">; </w:t>
      </w:r>
      <w:r>
        <w:t>КНЕ</w:t>
      </w:r>
      <w:r>
        <w:rPr>
          <w:lang w:val="nl-NL"/>
        </w:rPr>
        <w:t xml:space="preserve"> = </w:t>
      </w:r>
      <w:r>
        <w:t>командирован</w:t>
      </w:r>
      <w:r>
        <w:rPr>
          <w:lang w:val="nl-NL"/>
        </w:rPr>
        <w:t xml:space="preserve"> </w:t>
      </w:r>
      <w:r>
        <w:t>национален</w:t>
      </w:r>
      <w:r>
        <w:rPr>
          <w:lang w:val="nl-NL"/>
        </w:rPr>
        <w:t xml:space="preserve"> </w:t>
      </w:r>
      <w:r>
        <w:t>експерт</w:t>
      </w:r>
      <w:r>
        <w:rPr>
          <w:lang w:val="nl-NL"/>
        </w:rPr>
        <w:t xml:space="preserve">; </w:t>
      </w:r>
      <w:r>
        <w:t>ПНА</w:t>
      </w:r>
      <w:r>
        <w:rPr>
          <w:lang w:val="nl-NL"/>
        </w:rPr>
        <w:t xml:space="preserve"> = </w:t>
      </w:r>
      <w:r>
        <w:t>персонал</w:t>
      </w:r>
      <w:r>
        <w:rPr>
          <w:lang w:val="nl-NL"/>
        </w:rPr>
        <w:t xml:space="preserve">, </w:t>
      </w:r>
      <w:r>
        <w:t>нает</w:t>
      </w:r>
      <w:r>
        <w:rPr>
          <w:lang w:val="nl-NL"/>
        </w:rPr>
        <w:t xml:space="preserve"> </w:t>
      </w:r>
      <w:r>
        <w:t>чрез</w:t>
      </w:r>
      <w:r>
        <w:rPr>
          <w:lang w:val="nl-NL"/>
        </w:rPr>
        <w:t xml:space="preserve"> </w:t>
      </w:r>
      <w:r>
        <w:t>агенции</w:t>
      </w:r>
      <w:r>
        <w:rPr>
          <w:lang w:val="nl-NL"/>
        </w:rPr>
        <w:t xml:space="preserve"> </w:t>
      </w:r>
      <w:r>
        <w:t>за</w:t>
      </w:r>
      <w:r>
        <w:rPr>
          <w:lang w:val="nl-NL"/>
        </w:rPr>
        <w:t xml:space="preserve"> </w:t>
      </w:r>
      <w:r>
        <w:t>временна</w:t>
      </w:r>
      <w:r>
        <w:rPr>
          <w:lang w:val="nl-NL"/>
        </w:rPr>
        <w:t xml:space="preserve"> </w:t>
      </w:r>
      <w:r>
        <w:t>заетост</w:t>
      </w:r>
      <w:r>
        <w:rPr>
          <w:lang w:val="nl-NL"/>
        </w:rPr>
        <w:t xml:space="preserve">; </w:t>
      </w:r>
      <w:r>
        <w:t>МЕД</w:t>
      </w:r>
      <w:r>
        <w:rPr>
          <w:lang w:val="nl-NL"/>
        </w:rPr>
        <w:t xml:space="preserve"> = </w:t>
      </w:r>
      <w:r>
        <w:t>младши</w:t>
      </w:r>
      <w:r>
        <w:rPr>
          <w:lang w:val="nl-NL"/>
        </w:rPr>
        <w:t xml:space="preserve"> </w:t>
      </w:r>
      <w:r>
        <w:t>експерт</w:t>
      </w:r>
      <w:r>
        <w:rPr>
          <w:lang w:val="nl-NL"/>
        </w:rPr>
        <w:t xml:space="preserve"> </w:t>
      </w:r>
      <w:r>
        <w:t>в</w:t>
      </w:r>
      <w:r>
        <w:rPr>
          <w:lang w:val="nl-NL"/>
        </w:rPr>
        <w:t xml:space="preserve"> </w:t>
      </w:r>
      <w:r>
        <w:t>делегация</w:t>
      </w:r>
      <w:r>
        <w:rPr>
          <w:lang w:val="nl-NL"/>
        </w:rPr>
        <w:t xml:space="preserve">. </w:t>
      </w:r>
    </w:p>
  </w:footnote>
  <w:footnote w:id="45">
    <w:p w:rsidR="00222FCC" w:rsidRDefault="00FD122A">
      <w:pPr>
        <w:pStyle w:val="FootnoteText"/>
        <w:rPr>
          <w:lang w:val="nl-NL"/>
        </w:rPr>
      </w:pPr>
      <w:r>
        <w:rPr>
          <w:rStyle w:val="FootnoteReference"/>
        </w:rPr>
        <w:footnoteRef/>
      </w:r>
      <w:r>
        <w:rPr>
          <w:lang w:val="nl-NL"/>
        </w:rPr>
        <w:tab/>
      </w:r>
      <w:proofErr w:type="spellStart"/>
      <w:r>
        <w:t>Подтаван</w:t>
      </w:r>
      <w:proofErr w:type="spellEnd"/>
      <w:r>
        <w:rPr>
          <w:lang w:val="nl-NL"/>
        </w:rPr>
        <w:t xml:space="preserve"> </w:t>
      </w:r>
      <w:r>
        <w:t>за</w:t>
      </w:r>
      <w:r>
        <w:rPr>
          <w:lang w:val="nl-NL"/>
        </w:rPr>
        <w:t xml:space="preserve"> </w:t>
      </w:r>
      <w:r>
        <w:t>външния</w:t>
      </w:r>
      <w:r>
        <w:rPr>
          <w:lang w:val="nl-NL"/>
        </w:rPr>
        <w:t xml:space="preserve"> </w:t>
      </w:r>
      <w:r>
        <w:t>персонал</w:t>
      </w:r>
      <w:r>
        <w:rPr>
          <w:lang w:val="nl-NL"/>
        </w:rPr>
        <w:t xml:space="preserve">, </w:t>
      </w:r>
      <w:r>
        <w:t>покрит</w:t>
      </w:r>
      <w:r>
        <w:rPr>
          <w:lang w:val="nl-NL"/>
        </w:rPr>
        <w:t xml:space="preserve"> </w:t>
      </w:r>
      <w:r>
        <w:t>с</w:t>
      </w:r>
      <w:r>
        <w:rPr>
          <w:lang w:val="nl-NL"/>
        </w:rPr>
        <w:t xml:space="preserve"> </w:t>
      </w:r>
      <w:r>
        <w:t>бюджетните</w:t>
      </w:r>
      <w:r>
        <w:rPr>
          <w:lang w:val="nl-NL"/>
        </w:rPr>
        <w:t xml:space="preserve"> </w:t>
      </w:r>
      <w:r>
        <w:t>кредити</w:t>
      </w:r>
      <w:r>
        <w:rPr>
          <w:lang w:val="nl-NL"/>
        </w:rPr>
        <w:t xml:space="preserve"> </w:t>
      </w:r>
      <w:r>
        <w:t>за</w:t>
      </w:r>
      <w:r>
        <w:rPr>
          <w:lang w:val="nl-NL"/>
        </w:rPr>
        <w:t xml:space="preserve"> </w:t>
      </w:r>
      <w:r>
        <w:t>оперативни</w:t>
      </w:r>
      <w:r>
        <w:rPr>
          <w:lang w:val="nl-NL"/>
        </w:rPr>
        <w:t xml:space="preserve"> </w:t>
      </w:r>
      <w:r>
        <w:t>разходи</w:t>
      </w:r>
      <w:r>
        <w:rPr>
          <w:lang w:val="nl-NL"/>
        </w:rPr>
        <w:t xml:space="preserve"> (</w:t>
      </w:r>
      <w:r>
        <w:t>предишни</w:t>
      </w:r>
      <w:r>
        <w:rPr>
          <w:lang w:val="nl-NL"/>
        </w:rPr>
        <w:t xml:space="preserve"> </w:t>
      </w:r>
      <w:r>
        <w:t>редове</w:t>
      </w:r>
      <w:r>
        <w:rPr>
          <w:lang w:val="nl-NL"/>
        </w:rPr>
        <w:t xml:space="preserve"> BA).</w:t>
      </w:r>
    </w:p>
  </w:footnote>
  <w:footnote w:id="46">
    <w:p w:rsidR="00222FCC" w:rsidRDefault="00FD122A">
      <w:pPr>
        <w:pStyle w:val="FootnoteText"/>
        <w:ind w:left="284" w:hanging="284"/>
        <w:rPr>
          <w:lang w:val="nl-NL"/>
        </w:rPr>
      </w:pPr>
      <w:r>
        <w:rPr>
          <w:rStyle w:val="FootnoteReference"/>
        </w:rPr>
        <w:footnoteRef/>
      </w:r>
      <w:r>
        <w:rPr>
          <w:lang w:val="nl-NL"/>
        </w:rPr>
        <w:tab/>
      </w:r>
      <w:r>
        <w:t>Регламент</w:t>
      </w:r>
      <w:r>
        <w:rPr>
          <w:lang w:val="nl-NL"/>
        </w:rPr>
        <w:t xml:space="preserve"> (EC, </w:t>
      </w:r>
      <w:proofErr w:type="spellStart"/>
      <w:r>
        <w:t>Евратом</w:t>
      </w:r>
      <w:proofErr w:type="spellEnd"/>
      <w:r>
        <w:rPr>
          <w:lang w:val="nl-NL"/>
        </w:rPr>
        <w:t xml:space="preserve">) № 1311/2013 </w:t>
      </w:r>
      <w:r>
        <w:t>на</w:t>
      </w:r>
      <w:r>
        <w:rPr>
          <w:lang w:val="nl-NL"/>
        </w:rPr>
        <w:t xml:space="preserve"> </w:t>
      </w:r>
      <w:r>
        <w:t>Съвета</w:t>
      </w:r>
      <w:r>
        <w:rPr>
          <w:lang w:val="nl-NL"/>
        </w:rPr>
        <w:t xml:space="preserve"> </w:t>
      </w:r>
      <w:r>
        <w:t>от</w:t>
      </w:r>
      <w:r>
        <w:rPr>
          <w:lang w:val="nl-NL"/>
        </w:rPr>
        <w:t xml:space="preserve"> 2 </w:t>
      </w:r>
      <w:r>
        <w:t>декември</w:t>
      </w:r>
      <w:r>
        <w:rPr>
          <w:lang w:val="nl-NL"/>
        </w:rPr>
        <w:t> 2013 </w:t>
      </w:r>
      <w:r>
        <w:t>г</w:t>
      </w:r>
      <w:r>
        <w:rPr>
          <w:lang w:val="nl-NL"/>
        </w:rPr>
        <w:t xml:space="preserve">. </w:t>
      </w:r>
      <w:r>
        <w:t>за</w:t>
      </w:r>
      <w:r>
        <w:rPr>
          <w:lang w:val="nl-NL"/>
        </w:rPr>
        <w:t xml:space="preserve"> </w:t>
      </w:r>
      <w:r>
        <w:t>определяне</w:t>
      </w:r>
      <w:r>
        <w:rPr>
          <w:lang w:val="nl-NL"/>
        </w:rPr>
        <w:t xml:space="preserve"> </w:t>
      </w:r>
      <w:r>
        <w:t>на</w:t>
      </w:r>
      <w:r>
        <w:rPr>
          <w:lang w:val="nl-NL"/>
        </w:rPr>
        <w:t xml:space="preserve"> </w:t>
      </w:r>
      <w:r>
        <w:t>многогодишната</w:t>
      </w:r>
      <w:r>
        <w:rPr>
          <w:lang w:val="nl-NL"/>
        </w:rPr>
        <w:t xml:space="preserve"> </w:t>
      </w:r>
      <w:r>
        <w:t>финансова</w:t>
      </w:r>
      <w:r>
        <w:rPr>
          <w:lang w:val="nl-NL"/>
        </w:rPr>
        <w:t xml:space="preserve"> </w:t>
      </w:r>
      <w:r>
        <w:t>рамка</w:t>
      </w:r>
      <w:r>
        <w:rPr>
          <w:lang w:val="nl-NL"/>
        </w:rPr>
        <w:t xml:space="preserve"> </w:t>
      </w:r>
      <w:r>
        <w:t>за</w:t>
      </w:r>
      <w:r>
        <w:rPr>
          <w:lang w:val="nl-NL"/>
        </w:rPr>
        <w:t xml:space="preserve"> </w:t>
      </w:r>
      <w:r>
        <w:t>годините</w:t>
      </w:r>
      <w:r>
        <w:rPr>
          <w:lang w:val="nl-NL"/>
        </w:rPr>
        <w:t xml:space="preserve"> 2014—2020, </w:t>
      </w:r>
      <w:r>
        <w:t>ОВ</w:t>
      </w:r>
      <w:r>
        <w:rPr>
          <w:lang w:val="nl-NL"/>
        </w:rPr>
        <w:t xml:space="preserve"> L 347, 20.12.2013 </w:t>
      </w:r>
      <w:r>
        <w:t>г</w:t>
      </w:r>
      <w:r>
        <w:rPr>
          <w:lang w:val="nl-NL"/>
        </w:rPr>
        <w:t xml:space="preserve">., </w:t>
      </w:r>
      <w:proofErr w:type="spellStart"/>
      <w:r>
        <w:t>стр</w:t>
      </w:r>
      <w:proofErr w:type="spellEnd"/>
      <w:r>
        <w:rPr>
          <w:lang w:val="nl-NL"/>
        </w:rPr>
        <w:t>. 884.</w:t>
      </w:r>
    </w:p>
  </w:footnote>
  <w:footnote w:id="47">
    <w:p w:rsidR="00222FCC" w:rsidRDefault="00FD122A">
      <w:pPr>
        <w:pStyle w:val="FootnoteText"/>
        <w:tabs>
          <w:tab w:val="left" w:pos="284"/>
          <w:tab w:val="left" w:pos="426"/>
        </w:tabs>
        <w:ind w:left="284" w:hanging="284"/>
        <w:rPr>
          <w:lang w:val="nl-NL"/>
        </w:rPr>
      </w:pPr>
      <w:r>
        <w:rPr>
          <w:rStyle w:val="FootnoteReference"/>
        </w:rPr>
        <w:footnoteRef/>
      </w:r>
      <w:r>
        <w:rPr>
          <w:lang w:val="nl-NL"/>
        </w:rPr>
        <w:tab/>
      </w:r>
      <w:r>
        <w:t>Както</w:t>
      </w:r>
      <w:r>
        <w:rPr>
          <w:lang w:val="nl-NL"/>
        </w:rPr>
        <w:t xml:space="preserve"> </w:t>
      </w:r>
      <w:r>
        <w:t>е</w:t>
      </w:r>
      <w:r>
        <w:rPr>
          <w:lang w:val="nl-NL"/>
        </w:rPr>
        <w:t xml:space="preserve"> </w:t>
      </w:r>
      <w:r>
        <w:t>посочено</w:t>
      </w:r>
      <w:r>
        <w:rPr>
          <w:lang w:val="nl-NL"/>
        </w:rPr>
        <w:t xml:space="preserve"> </w:t>
      </w:r>
      <w:r>
        <w:t>в</w:t>
      </w:r>
      <w:r>
        <w:rPr>
          <w:lang w:val="nl-NL"/>
        </w:rPr>
        <w:t xml:space="preserve"> </w:t>
      </w:r>
      <w:r>
        <w:t>раздел</w:t>
      </w:r>
      <w:r>
        <w:rPr>
          <w:lang w:val="nl-NL"/>
        </w:rPr>
        <w:t xml:space="preserve"> 3.1, </w:t>
      </w:r>
      <w:r>
        <w:t>първоначално</w:t>
      </w:r>
      <w:r>
        <w:rPr>
          <w:lang w:val="nl-NL"/>
        </w:rPr>
        <w:t xml:space="preserve"> </w:t>
      </w:r>
      <w:r>
        <w:t>участието</w:t>
      </w:r>
      <w:r>
        <w:rPr>
          <w:lang w:val="nl-NL"/>
        </w:rPr>
        <w:t xml:space="preserve"> </w:t>
      </w:r>
      <w:r>
        <w:t>в</w:t>
      </w:r>
      <w:r>
        <w:rPr>
          <w:lang w:val="nl-NL"/>
        </w:rPr>
        <w:t xml:space="preserve"> </w:t>
      </w:r>
      <w:r>
        <w:t>Европейския</w:t>
      </w:r>
      <w:r>
        <w:rPr>
          <w:lang w:val="nl-NL"/>
        </w:rPr>
        <w:t xml:space="preserve"> </w:t>
      </w:r>
      <w:r>
        <w:t>корпус</w:t>
      </w:r>
      <w:r>
        <w:rPr>
          <w:lang w:val="nl-NL"/>
        </w:rPr>
        <w:t xml:space="preserve"> </w:t>
      </w:r>
      <w:r>
        <w:t>за</w:t>
      </w:r>
      <w:r>
        <w:rPr>
          <w:lang w:val="nl-NL"/>
        </w:rPr>
        <w:t xml:space="preserve"> </w:t>
      </w:r>
      <w:r>
        <w:t>солидарност</w:t>
      </w:r>
      <w:r>
        <w:rPr>
          <w:lang w:val="nl-NL"/>
        </w:rPr>
        <w:t xml:space="preserve"> </w:t>
      </w:r>
      <w:r>
        <w:t>е</w:t>
      </w:r>
      <w:r>
        <w:rPr>
          <w:lang w:val="nl-NL"/>
        </w:rPr>
        <w:t xml:space="preserve"> </w:t>
      </w:r>
      <w:r>
        <w:t>предвидено</w:t>
      </w:r>
      <w:r>
        <w:rPr>
          <w:lang w:val="nl-NL"/>
        </w:rPr>
        <w:t xml:space="preserve"> </w:t>
      </w:r>
      <w:r>
        <w:t>за</w:t>
      </w:r>
      <w:r>
        <w:rPr>
          <w:lang w:val="nl-NL"/>
        </w:rPr>
        <w:t xml:space="preserve"> </w:t>
      </w:r>
      <w:r>
        <w:t>държави</w:t>
      </w:r>
      <w:r>
        <w:rPr>
          <w:lang w:val="nl-NL"/>
        </w:rPr>
        <w:t xml:space="preserve"> — </w:t>
      </w:r>
      <w:r>
        <w:t>членки</w:t>
      </w:r>
      <w:r>
        <w:rPr>
          <w:lang w:val="nl-NL"/>
        </w:rPr>
        <w:t xml:space="preserve"> </w:t>
      </w:r>
      <w:r>
        <w:t>на</w:t>
      </w:r>
      <w:r>
        <w:rPr>
          <w:lang w:val="nl-NL"/>
        </w:rPr>
        <w:t xml:space="preserve"> </w:t>
      </w:r>
      <w:r>
        <w:t>Европейския</w:t>
      </w:r>
      <w:r>
        <w:rPr>
          <w:lang w:val="nl-NL"/>
        </w:rPr>
        <w:t xml:space="preserve"> </w:t>
      </w:r>
      <w:r>
        <w:t>съюз</w:t>
      </w:r>
      <w:r>
        <w:rPr>
          <w:lang w:val="nl-NL"/>
        </w:rPr>
        <w:t xml:space="preserve">. </w:t>
      </w:r>
      <w:r>
        <w:t>На</w:t>
      </w:r>
      <w:r>
        <w:rPr>
          <w:lang w:val="nl-NL"/>
        </w:rPr>
        <w:t xml:space="preserve"> </w:t>
      </w:r>
      <w:r>
        <w:t>следващ</w:t>
      </w:r>
      <w:r>
        <w:rPr>
          <w:lang w:val="nl-NL"/>
        </w:rPr>
        <w:t xml:space="preserve"> </w:t>
      </w:r>
      <w:r>
        <w:t>етап</w:t>
      </w:r>
      <w:r>
        <w:rPr>
          <w:lang w:val="nl-NL"/>
        </w:rPr>
        <w:t xml:space="preserve"> </w:t>
      </w:r>
      <w:r>
        <w:t>участието</w:t>
      </w:r>
      <w:r>
        <w:rPr>
          <w:lang w:val="nl-NL"/>
        </w:rPr>
        <w:t xml:space="preserve"> </w:t>
      </w:r>
      <w:r>
        <w:t>може</w:t>
      </w:r>
      <w:r>
        <w:rPr>
          <w:lang w:val="nl-NL"/>
        </w:rPr>
        <w:t xml:space="preserve"> </w:t>
      </w:r>
      <w:r>
        <w:t>да</w:t>
      </w:r>
      <w:r>
        <w:rPr>
          <w:lang w:val="nl-NL"/>
        </w:rPr>
        <w:t xml:space="preserve"> </w:t>
      </w:r>
      <w:r>
        <w:t>обхване</w:t>
      </w:r>
      <w:r>
        <w:rPr>
          <w:lang w:val="nl-NL"/>
        </w:rPr>
        <w:t xml:space="preserve"> </w:t>
      </w:r>
      <w:r>
        <w:t>и</w:t>
      </w:r>
      <w:r>
        <w:rPr>
          <w:lang w:val="nl-NL"/>
        </w:rPr>
        <w:t xml:space="preserve"> </w:t>
      </w:r>
      <w:r>
        <w:t>други</w:t>
      </w:r>
      <w:r>
        <w:rPr>
          <w:lang w:val="nl-NL"/>
        </w:rPr>
        <w:t xml:space="preserve"> </w:t>
      </w:r>
      <w:r>
        <w:t>държави</w:t>
      </w:r>
      <w:r>
        <w:rPr>
          <w:lang w:val="nl-NL"/>
        </w:rPr>
        <w:t xml:space="preserve"> </w:t>
      </w:r>
      <w:r>
        <w:t>въз</w:t>
      </w:r>
      <w:r>
        <w:rPr>
          <w:lang w:val="nl-NL"/>
        </w:rPr>
        <w:t xml:space="preserve"> </w:t>
      </w:r>
      <w:r>
        <w:t>основа</w:t>
      </w:r>
      <w:r>
        <w:rPr>
          <w:lang w:val="nl-NL"/>
        </w:rPr>
        <w:t xml:space="preserve"> </w:t>
      </w:r>
      <w:r>
        <w:t>на</w:t>
      </w:r>
      <w:r>
        <w:rPr>
          <w:lang w:val="nl-NL"/>
        </w:rPr>
        <w:t xml:space="preserve"> </w:t>
      </w:r>
      <w:r>
        <w:t>двустранни</w:t>
      </w:r>
      <w:r>
        <w:rPr>
          <w:lang w:val="nl-NL"/>
        </w:rPr>
        <w:t xml:space="preserve"> </w:t>
      </w:r>
      <w:r>
        <w:t>споразумения</w:t>
      </w:r>
      <w:r>
        <w:rPr>
          <w:lang w:val="nl-NL"/>
        </w:rPr>
        <w:t xml:space="preserve"> </w:t>
      </w:r>
      <w:r>
        <w:t>както</w:t>
      </w:r>
      <w:r>
        <w:rPr>
          <w:lang w:val="nl-NL"/>
        </w:rPr>
        <w:t xml:space="preserve"> </w:t>
      </w:r>
      <w:r>
        <w:t>е</w:t>
      </w:r>
      <w:r>
        <w:rPr>
          <w:lang w:val="nl-NL"/>
        </w:rPr>
        <w:t xml:space="preserve"> </w:t>
      </w:r>
      <w:r>
        <w:t>посочено</w:t>
      </w:r>
      <w:r>
        <w:rPr>
          <w:lang w:val="nl-NL"/>
        </w:rPr>
        <w:t xml:space="preserve"> </w:t>
      </w:r>
      <w:r>
        <w:t>в</w:t>
      </w:r>
      <w:r>
        <w:rPr>
          <w:lang w:val="nl-NL"/>
        </w:rPr>
        <w:t xml:space="preserve"> </w:t>
      </w:r>
      <w:r>
        <w:t>член</w:t>
      </w:r>
      <w:r>
        <w:rPr>
          <w:lang w:val="nl-NL"/>
        </w:rPr>
        <w:t xml:space="preserve"> 11 </w:t>
      </w:r>
      <w:r>
        <w:t>от</w:t>
      </w:r>
      <w:r>
        <w:rPr>
          <w:lang w:val="nl-NL"/>
        </w:rPr>
        <w:t xml:space="preserve"> </w:t>
      </w:r>
      <w:r>
        <w:t>настоящото</w:t>
      </w:r>
      <w:r>
        <w:rPr>
          <w:lang w:val="nl-NL"/>
        </w:rPr>
        <w:t xml:space="preserve"> </w:t>
      </w:r>
      <w:r>
        <w:t>законодателно</w:t>
      </w:r>
      <w:r>
        <w:rPr>
          <w:lang w:val="nl-NL"/>
        </w:rPr>
        <w:t xml:space="preserve"> </w:t>
      </w:r>
      <w:r>
        <w:t>предл</w:t>
      </w:r>
      <w:r>
        <w:t>ожение</w:t>
      </w:r>
      <w:r>
        <w:rPr>
          <w:lang w:val="nl-NL"/>
        </w:rPr>
        <w:t>.</w:t>
      </w:r>
    </w:p>
  </w:footnote>
  <w:footnote w:id="48">
    <w:p w:rsidR="00222FCC" w:rsidRDefault="00FD122A">
      <w:pPr>
        <w:pStyle w:val="FootnoteText"/>
        <w:rPr>
          <w:lang w:val="nl-NL"/>
        </w:rPr>
      </w:pPr>
      <w:r>
        <w:rPr>
          <w:rStyle w:val="FootnoteReference"/>
        </w:rPr>
        <w:footnoteRef/>
      </w:r>
      <w:r>
        <w:rPr>
          <w:lang w:val="nl-NL"/>
        </w:rPr>
        <w:tab/>
      </w:r>
      <w:r>
        <w:t>Що</w:t>
      </w:r>
      <w:r>
        <w:rPr>
          <w:lang w:val="nl-NL"/>
        </w:rPr>
        <w:t xml:space="preserve"> </w:t>
      </w:r>
      <w:r>
        <w:t>се</w:t>
      </w:r>
      <w:r>
        <w:rPr>
          <w:lang w:val="nl-NL"/>
        </w:rPr>
        <w:t xml:space="preserve"> </w:t>
      </w:r>
      <w:r>
        <w:t>отнася</w:t>
      </w:r>
      <w:r>
        <w:rPr>
          <w:lang w:val="nl-NL"/>
        </w:rPr>
        <w:t xml:space="preserve"> </w:t>
      </w:r>
      <w:r>
        <w:t>до</w:t>
      </w:r>
      <w:r>
        <w:rPr>
          <w:lang w:val="nl-NL"/>
        </w:rPr>
        <w:t xml:space="preserve"> </w:t>
      </w:r>
      <w:r>
        <w:t>традиционните</w:t>
      </w:r>
      <w:r>
        <w:rPr>
          <w:lang w:val="nl-NL"/>
        </w:rPr>
        <w:t xml:space="preserve"> </w:t>
      </w:r>
      <w:r>
        <w:t>собствени</w:t>
      </w:r>
      <w:r>
        <w:rPr>
          <w:lang w:val="nl-NL"/>
        </w:rPr>
        <w:t xml:space="preserve"> </w:t>
      </w:r>
      <w:r>
        <w:t>ресурси</w:t>
      </w:r>
      <w:r>
        <w:rPr>
          <w:lang w:val="nl-NL"/>
        </w:rPr>
        <w:t xml:space="preserve"> (</w:t>
      </w:r>
      <w:r>
        <w:t>мита</w:t>
      </w:r>
      <w:r>
        <w:rPr>
          <w:lang w:val="nl-NL"/>
        </w:rPr>
        <w:t xml:space="preserve">, </w:t>
      </w:r>
      <w:r>
        <w:t>налози</w:t>
      </w:r>
      <w:r>
        <w:rPr>
          <w:lang w:val="nl-NL"/>
        </w:rPr>
        <w:t xml:space="preserve"> </w:t>
      </w:r>
      <w:r>
        <w:t>върху</w:t>
      </w:r>
      <w:r>
        <w:rPr>
          <w:lang w:val="nl-NL"/>
        </w:rPr>
        <w:t xml:space="preserve"> </w:t>
      </w:r>
      <w:r>
        <w:t>захарта</w:t>
      </w:r>
      <w:r>
        <w:rPr>
          <w:lang w:val="nl-NL"/>
        </w:rPr>
        <w:t xml:space="preserve">), </w:t>
      </w:r>
      <w:r>
        <w:t>посочените</w:t>
      </w:r>
      <w:r>
        <w:rPr>
          <w:lang w:val="nl-NL"/>
        </w:rPr>
        <w:t xml:space="preserve"> </w:t>
      </w:r>
      <w:r>
        <w:t>суми</w:t>
      </w:r>
      <w:r>
        <w:rPr>
          <w:lang w:val="nl-NL"/>
        </w:rPr>
        <w:t xml:space="preserve"> </w:t>
      </w:r>
      <w:r>
        <w:t>трябва</w:t>
      </w:r>
      <w:r>
        <w:rPr>
          <w:lang w:val="nl-NL"/>
        </w:rPr>
        <w:t xml:space="preserve"> </w:t>
      </w:r>
      <w:r>
        <w:t>да</w:t>
      </w:r>
      <w:r>
        <w:rPr>
          <w:lang w:val="nl-NL"/>
        </w:rPr>
        <w:t xml:space="preserve"> </w:t>
      </w:r>
      <w:r>
        <w:t>бъдат</w:t>
      </w:r>
      <w:r>
        <w:rPr>
          <w:lang w:val="nl-NL"/>
        </w:rPr>
        <w:t xml:space="preserve"> </w:t>
      </w:r>
      <w:r>
        <w:t>нетни</w:t>
      </w:r>
      <w:r>
        <w:rPr>
          <w:lang w:val="nl-NL"/>
        </w:rPr>
        <w:t xml:space="preserve">, </w:t>
      </w:r>
      <w:r>
        <w:t>т</w:t>
      </w:r>
      <w:r>
        <w:rPr>
          <w:lang w:val="nl-NL"/>
        </w:rPr>
        <w:t>.</w:t>
      </w:r>
      <w:r>
        <w:t>е</w:t>
      </w:r>
      <w:r>
        <w:rPr>
          <w:lang w:val="nl-NL"/>
        </w:rPr>
        <w:t xml:space="preserve">. </w:t>
      </w:r>
      <w:r>
        <w:t>брутни</w:t>
      </w:r>
      <w:r>
        <w:rPr>
          <w:lang w:val="nl-NL"/>
        </w:rPr>
        <w:t xml:space="preserve"> </w:t>
      </w:r>
      <w:r>
        <w:t>суми</w:t>
      </w:r>
      <w:r>
        <w:rPr>
          <w:lang w:val="nl-NL"/>
        </w:rPr>
        <w:t xml:space="preserve">, </w:t>
      </w:r>
      <w:r>
        <w:t>от</w:t>
      </w:r>
      <w:r>
        <w:rPr>
          <w:lang w:val="nl-NL"/>
        </w:rPr>
        <w:t xml:space="preserve"> </w:t>
      </w:r>
      <w:r>
        <w:t>които</w:t>
      </w:r>
      <w:r>
        <w:rPr>
          <w:lang w:val="nl-NL"/>
        </w:rPr>
        <w:t xml:space="preserve"> </w:t>
      </w:r>
      <w:r>
        <w:t>са</w:t>
      </w:r>
      <w:r>
        <w:rPr>
          <w:lang w:val="nl-NL"/>
        </w:rPr>
        <w:t xml:space="preserve"> </w:t>
      </w:r>
      <w:r>
        <w:t>приспаднати</w:t>
      </w:r>
      <w:r>
        <w:rPr>
          <w:lang w:val="nl-NL"/>
        </w:rPr>
        <w:t xml:space="preserve"> 25 % </w:t>
      </w:r>
      <w:r>
        <w:t>за</w:t>
      </w:r>
      <w:r>
        <w:rPr>
          <w:lang w:val="nl-NL"/>
        </w:rPr>
        <w:t xml:space="preserve"> </w:t>
      </w:r>
      <w:r>
        <w:t>разходи</w:t>
      </w:r>
      <w:r>
        <w:rPr>
          <w:lang w:val="nl-NL"/>
        </w:rPr>
        <w:t xml:space="preserve"> </w:t>
      </w:r>
      <w:r>
        <w:t>по</w:t>
      </w:r>
      <w:r>
        <w:rPr>
          <w:lang w:val="nl-NL"/>
        </w:rPr>
        <w:t xml:space="preserve"> </w:t>
      </w:r>
      <w:r>
        <w:t>събирането</w:t>
      </w:r>
      <w:r>
        <w:rPr>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CC" w:rsidRDefault="00222FCC">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CC" w:rsidRDefault="00222FCC">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707C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4EC3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F0A5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3262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1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743B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F8E320"/>
    <w:lvl w:ilvl="0">
      <w:start w:val="1"/>
      <w:numFmt w:val="decimal"/>
      <w:pStyle w:val="ListNumber"/>
      <w:lvlText w:val="%1."/>
      <w:lvlJc w:val="left"/>
      <w:pPr>
        <w:tabs>
          <w:tab w:val="num" w:pos="360"/>
        </w:tabs>
        <w:ind w:left="360" w:hanging="360"/>
      </w:pPr>
    </w:lvl>
  </w:abstractNum>
  <w:abstractNum w:abstractNumId="7">
    <w:nsid w:val="FFFFFF89"/>
    <w:multiLevelType w:val="singleLevel"/>
    <w:tmpl w:val="C1685E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7BA5E17"/>
    <w:multiLevelType w:val="hybridMultilevel"/>
    <w:tmpl w:val="7954F6F2"/>
    <w:lvl w:ilvl="0" w:tplc="6CB0284A">
      <w:start w:val="1"/>
      <w:numFmt w:val="bullet"/>
      <w:pStyle w:val="AARsimplelis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BA54E09"/>
    <w:multiLevelType w:val="hybridMultilevel"/>
    <w:tmpl w:val="082E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EA322CC"/>
    <w:multiLevelType w:val="hybridMultilevel"/>
    <w:tmpl w:val="03D43E9A"/>
    <w:name w:val="9,856379E-02"/>
    <w:lvl w:ilvl="0" w:tplc="16C4BFC4">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1">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num>
  <w:num w:numId="12">
    <w:abstractNumId w:val="15"/>
  </w:num>
  <w:num w:numId="13">
    <w:abstractNumId w:val="21"/>
  </w:num>
  <w:num w:numId="14">
    <w:abstractNumId w:val="2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7"/>
  </w:num>
  <w:num w:numId="42">
    <w:abstractNumId w:val="27"/>
  </w:num>
  <w:num w:numId="43">
    <w:abstractNumId w:val="14"/>
  </w:num>
  <w:num w:numId="44">
    <w:abstractNumId w:val="18"/>
  </w:num>
  <w:num w:numId="45">
    <w:abstractNumId w:val="12"/>
  </w:num>
  <w:num w:numId="46">
    <w:abstractNumId w:val="26"/>
  </w:num>
  <w:num w:numId="47">
    <w:abstractNumId w:val="10"/>
  </w:num>
  <w:num w:numId="48">
    <w:abstractNumId w:val="19"/>
  </w:num>
  <w:num w:numId="49">
    <w:abstractNumId w:val="23"/>
  </w:num>
  <w:num w:numId="50">
    <w:abstractNumId w:val="24"/>
  </w:num>
  <w:num w:numId="51">
    <w:abstractNumId w:val="13"/>
  </w:num>
  <w:num w:numId="52">
    <w:abstractNumId w:val="22"/>
  </w:num>
  <w:num w:numId="53">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attachedTemplate r:id="rId1"/>
  <w:defaultTabStop w:val="720"/>
  <w:hyphenationZone w:val="283"/>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1 14:42: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98E3EE2CCBDC4F219B0345483AD7EB3B"/>
    <w:docVar w:name="LW_CROSSREFERENCE" w:val="{SWD(2017) 166 final}_x000b_{SWD(2017) 167 final}_x000b_{SWD(2017) 168 final}"/>
    <w:docVar w:name="LW_DocType" w:val="COM"/>
    <w:docVar w:name="LW_EMISSION" w:val="30.5.2017"/>
    <w:docVar w:name="LW_EMISSION_ISODATE" w:val="2017-05-3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2"/>
    <w:docVar w:name="LW_REF.II.NEW.CP_YEAR" w:val="2017"/>
    <w:docVar w:name="LW_REF.INST.NEW" w:val="COM"/>
    <w:docVar w:name="LW_REF.INST.NEW_ADOPTED" w:val="final"/>
    <w:docVar w:name="LW_REF.INST.NEW_TEXT" w:val="(2017) 262"/>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7?\u1088?\u1072?\u1074?\u1085?\u1072?\u1090?\u1072? \u1088?\u1072?\u1084?\u1082?\u1072? \u1085?\u1072? \u1045?\u1074?\u1088?\u1086?\u1087?\u1077?\u1081?\u1089?\u1082?\u1080?\u1103? \u1082?\u1086?\u1088?\u1087?\u1091?\u1089? \u1079?\u1072? \u1089?\u1086?\u1083?\u1080?\u1076?\u1072?\u1088?\u1085?\u1086?\u1089?\u1090? \u1080? \u1079?\u1072? \u1080?\u1079?\u1084?\u1077?\u1085?\u1077?\u1085?\u1080?\u1077? \u1085?\u1072? \u1088?\u1077?\u1075?\u1083?\u1072?\u1084?\u1077?\u1085?\u1090?\u1080? (\u1045?\u1057?) \u8470? 1288/2013, (\u1045?\u1057?) \u8470? 1293/2013, (\u1045?\u1057?) \u8470? 1303/2013, (\u1045?\u1057?) \u8470? 1305/2013, (\u1045?\u1057?) \u8470? 1306/2013 \u1080? \u1056?\u1077?\u1096?\u1077?\u1085?\u1080?\u1077? \u8470? 1313/2013/\u1045?\u1057?"/>
    <w:docVar w:name="LW_TYPE.DOC.CP" w:val="\u1056?\u1045?\u1043?\u1051?\u1040?\u1052?\u1045?\u1053?\u1058? \u1053?\u1040? \u1045?\u1042?\u1056?\u1054?\u1055?\u1045?\u1049?\u1057?\u1050?\u1048?\u1071? \u1055?\u1040?\u1056?\u1051?\u1040?\u1052?\u1045?\u1053?\u1058? \u1048? \u1053?\u1040? \u1057?\u1066?\u1042?\u1045?\u1058?\u1040?"/>
  </w:docVars>
  <w:rsids>
    <w:rsidRoot w:val="00222FCC"/>
    <w:rsid w:val="00222FCC"/>
    <w:rsid w:val="00FD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paragraph" w:customStyle="1" w:styleId="ListBullet1">
    <w:name w:val="List Bullet 1"/>
    <w:basedOn w:val="Normal"/>
    <w:pPr>
      <w:numPr>
        <w:numId w:val="11"/>
      </w:numPr>
    </w:pPr>
    <w:rPr>
      <w:rFonts w:eastAsia="Times New Roman"/>
    </w:rPr>
  </w:style>
  <w:style w:type="paragraph" w:customStyle="1" w:styleId="ListDash">
    <w:name w:val="List Dash"/>
    <w:basedOn w:val="Normal"/>
    <w:pPr>
      <w:numPr>
        <w:numId w:val="12"/>
      </w:numPr>
    </w:pPr>
    <w:rPr>
      <w:rFonts w:eastAsia="Times New Roman"/>
    </w:rPr>
  </w:style>
  <w:style w:type="paragraph" w:customStyle="1" w:styleId="ListDash1">
    <w:name w:val="List Dash 1"/>
    <w:basedOn w:val="Normal"/>
    <w:pPr>
      <w:numPr>
        <w:numId w:val="13"/>
      </w:numPr>
    </w:pPr>
    <w:rPr>
      <w:rFonts w:eastAsia="Times New Roman"/>
    </w:rPr>
  </w:style>
  <w:style w:type="paragraph" w:customStyle="1" w:styleId="ListDash2">
    <w:name w:val="List Dash 2"/>
    <w:basedOn w:val="Normal"/>
    <w:pPr>
      <w:numPr>
        <w:numId w:val="1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CommentReference">
    <w:name w:val="annotation reference"/>
    <w:uiPriority w:val="99"/>
    <w:rPr>
      <w:rFonts w:cs="Times New Roman"/>
      <w:sz w:val="16"/>
      <w:szCs w:val="16"/>
      <w:lang w:val="bg-BG" w:eastAsia="bg-BG"/>
    </w:rPr>
  </w:style>
  <w:style w:type="paragraph" w:styleId="CommentText">
    <w:name w:val="annotation text"/>
    <w:basedOn w:val="Normal"/>
    <w:link w:val="CommentTextChar"/>
    <w:uiPriority w:val="99"/>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bg-BG" w:eastAsia="bg-BG"/>
    </w:rPr>
  </w:style>
  <w:style w:type="character" w:styleId="Hyperlink">
    <w:name w:val="Hyperlink"/>
    <w:rPr>
      <w:rFonts w:cs="Times New Roman"/>
      <w:color w:val="0000FF"/>
      <w:u w:val="single"/>
      <w:lang w:val="bg-BG" w:eastAsia="bg-BG"/>
    </w:rPr>
  </w:style>
  <w:style w:type="paragraph" w:styleId="BalloonText">
    <w:name w:val="Balloon Text"/>
    <w:basedOn w:val="Normal"/>
    <w:link w:val="BalloonTextChar"/>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bg-BG" w:eastAsia="bg-BG"/>
    </w:rPr>
  </w:style>
  <w:style w:type="character" w:styleId="FollowedHyperlink">
    <w:name w:val="FollowedHyperlink"/>
    <w:rPr>
      <w:color w:val="800080"/>
      <w:u w:val="single"/>
    </w:rPr>
  </w:style>
  <w:style w:type="paragraph" w:customStyle="1" w:styleId="Normal1">
    <w:name w:val="Normal1"/>
    <w:basedOn w:val="Normal"/>
    <w:pPr>
      <w:spacing w:after="0"/>
    </w:pPr>
    <w:rPr>
      <w:rFonts w:eastAsia="Times New Roman"/>
      <w:szCs w:val="24"/>
    </w:rPr>
  </w:style>
  <w:style w:type="table" w:styleId="TableGrid">
    <w:name w:val="Table Grid"/>
    <w:aliases w:val="Document Table"/>
    <w:basedOn w:val="TableNormal"/>
    <w:uiPriority w:val="5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aragraph,List Paragraph1,Lijstalinea,Bullet List Paragraph,Lettre d'introduction,1st level - Bullet List Paragraph,Bulletpoints,Heading 2_sj,List Paragraph_Sections,Paragraphe EI,Paragraphe de liste1,EC,Table of contents numbered"/>
    <w:basedOn w:val="Normal"/>
    <w:link w:val="ListParagraphChar"/>
    <w:uiPriority w:val="34"/>
    <w:qFormat/>
    <w:pPr>
      <w:numPr>
        <w:numId w:val="17"/>
      </w:numPr>
      <w:spacing w:before="0" w:after="0"/>
      <w:jc w:val="left"/>
    </w:pPr>
    <w:rPr>
      <w:rFonts w:ascii="Verdana" w:eastAsia="Calibri" w:hAnsi="Verdana" w:cs="Calibri"/>
      <w:b/>
      <w:i/>
      <w:sz w:val="20"/>
    </w:rPr>
  </w:style>
  <w:style w:type="paragraph" w:customStyle="1" w:styleId="AARsimplelist">
    <w:name w:val="AAR simple list"/>
    <w:basedOn w:val="Normal"/>
    <w:link w:val="AARsimplelistChar"/>
    <w:qFormat/>
    <w:pPr>
      <w:widowControl w:val="0"/>
      <w:numPr>
        <w:numId w:val="16"/>
      </w:numPr>
      <w:autoSpaceDE w:val="0"/>
      <w:autoSpaceDN w:val="0"/>
      <w:adjustRightInd w:val="0"/>
      <w:spacing w:before="0" w:line="240" w:lineRule="atLeast"/>
      <w:ind w:right="1"/>
    </w:pPr>
    <w:rPr>
      <w:rFonts w:ascii="Verdana" w:eastAsia="Times New Roman" w:hAnsi="Verdana"/>
      <w:sz w:val="20"/>
      <w:szCs w:val="24"/>
    </w:rPr>
  </w:style>
  <w:style w:type="character" w:customStyle="1" w:styleId="AARsimplelistChar">
    <w:name w:val="AAR simple list Char"/>
    <w:link w:val="AARsimplelist"/>
    <w:rPr>
      <w:rFonts w:ascii="Verdana" w:eastAsia="Times New Roman" w:hAnsi="Verdana" w:cs="Times New Roman"/>
      <w:sz w:val="20"/>
      <w:szCs w:val="24"/>
      <w:lang w:val="en-GB"/>
    </w:rPr>
  </w:style>
  <w:style w:type="character" w:customStyle="1" w:styleId="ListParagraphChar">
    <w:name w:val="List Paragraph Char"/>
    <w:aliases w:val="Bullet Paragraph Char,List Paragraph1 Char,Lijstalinea Char,Bullet List Paragraph Char,Lettre d'introduction Char,1st level - Bullet List Paragraph Char,Bulletpoints Char,Heading 2_sj Char,List Paragraph_Sections Char,EC Char"/>
    <w:basedOn w:val="DefaultParagraphFont"/>
    <w:link w:val="ListParagraph"/>
    <w:uiPriority w:val="34"/>
    <w:locked/>
    <w:rPr>
      <w:rFonts w:ascii="Verdana" w:eastAsia="Calibri" w:hAnsi="Verdana" w:cs="Calibri"/>
      <w:b/>
      <w:i/>
      <w:sz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paragraph" w:customStyle="1" w:styleId="ListBullet1">
    <w:name w:val="List Bullet 1"/>
    <w:basedOn w:val="Normal"/>
    <w:pPr>
      <w:numPr>
        <w:numId w:val="11"/>
      </w:numPr>
    </w:pPr>
    <w:rPr>
      <w:rFonts w:eastAsia="Times New Roman"/>
    </w:rPr>
  </w:style>
  <w:style w:type="paragraph" w:customStyle="1" w:styleId="ListDash">
    <w:name w:val="List Dash"/>
    <w:basedOn w:val="Normal"/>
    <w:pPr>
      <w:numPr>
        <w:numId w:val="12"/>
      </w:numPr>
    </w:pPr>
    <w:rPr>
      <w:rFonts w:eastAsia="Times New Roman"/>
    </w:rPr>
  </w:style>
  <w:style w:type="paragraph" w:customStyle="1" w:styleId="ListDash1">
    <w:name w:val="List Dash 1"/>
    <w:basedOn w:val="Normal"/>
    <w:pPr>
      <w:numPr>
        <w:numId w:val="13"/>
      </w:numPr>
    </w:pPr>
    <w:rPr>
      <w:rFonts w:eastAsia="Times New Roman"/>
    </w:rPr>
  </w:style>
  <w:style w:type="paragraph" w:customStyle="1" w:styleId="ListDash2">
    <w:name w:val="List Dash 2"/>
    <w:basedOn w:val="Normal"/>
    <w:pPr>
      <w:numPr>
        <w:numId w:val="1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CommentReference">
    <w:name w:val="annotation reference"/>
    <w:uiPriority w:val="99"/>
    <w:rPr>
      <w:rFonts w:cs="Times New Roman"/>
      <w:sz w:val="16"/>
      <w:szCs w:val="16"/>
      <w:lang w:val="bg-BG" w:eastAsia="bg-BG"/>
    </w:rPr>
  </w:style>
  <w:style w:type="paragraph" w:styleId="CommentText">
    <w:name w:val="annotation text"/>
    <w:basedOn w:val="Normal"/>
    <w:link w:val="CommentTextChar"/>
    <w:uiPriority w:val="99"/>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bg-BG" w:eastAsia="bg-BG"/>
    </w:rPr>
  </w:style>
  <w:style w:type="character" w:styleId="Hyperlink">
    <w:name w:val="Hyperlink"/>
    <w:rPr>
      <w:rFonts w:cs="Times New Roman"/>
      <w:color w:val="0000FF"/>
      <w:u w:val="single"/>
      <w:lang w:val="bg-BG" w:eastAsia="bg-BG"/>
    </w:rPr>
  </w:style>
  <w:style w:type="paragraph" w:styleId="BalloonText">
    <w:name w:val="Balloon Text"/>
    <w:basedOn w:val="Normal"/>
    <w:link w:val="BalloonTextChar"/>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bg-BG" w:eastAsia="bg-BG"/>
    </w:rPr>
  </w:style>
  <w:style w:type="character" w:styleId="FollowedHyperlink">
    <w:name w:val="FollowedHyperlink"/>
    <w:rPr>
      <w:color w:val="800080"/>
      <w:u w:val="single"/>
    </w:rPr>
  </w:style>
  <w:style w:type="paragraph" w:customStyle="1" w:styleId="Normal1">
    <w:name w:val="Normal1"/>
    <w:basedOn w:val="Normal"/>
    <w:pPr>
      <w:spacing w:after="0"/>
    </w:pPr>
    <w:rPr>
      <w:rFonts w:eastAsia="Times New Roman"/>
      <w:szCs w:val="24"/>
    </w:rPr>
  </w:style>
  <w:style w:type="table" w:styleId="TableGrid">
    <w:name w:val="Table Grid"/>
    <w:aliases w:val="Document Table"/>
    <w:basedOn w:val="TableNormal"/>
    <w:uiPriority w:val="5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aragraph,List Paragraph1,Lijstalinea,Bullet List Paragraph,Lettre d'introduction,1st level - Bullet List Paragraph,Bulletpoints,Heading 2_sj,List Paragraph_Sections,Paragraphe EI,Paragraphe de liste1,EC,Table of contents numbered"/>
    <w:basedOn w:val="Normal"/>
    <w:link w:val="ListParagraphChar"/>
    <w:uiPriority w:val="34"/>
    <w:qFormat/>
    <w:pPr>
      <w:numPr>
        <w:numId w:val="17"/>
      </w:numPr>
      <w:spacing w:before="0" w:after="0"/>
      <w:jc w:val="left"/>
    </w:pPr>
    <w:rPr>
      <w:rFonts w:ascii="Verdana" w:eastAsia="Calibri" w:hAnsi="Verdana" w:cs="Calibri"/>
      <w:b/>
      <w:i/>
      <w:sz w:val="20"/>
    </w:rPr>
  </w:style>
  <w:style w:type="paragraph" w:customStyle="1" w:styleId="AARsimplelist">
    <w:name w:val="AAR simple list"/>
    <w:basedOn w:val="Normal"/>
    <w:link w:val="AARsimplelistChar"/>
    <w:qFormat/>
    <w:pPr>
      <w:widowControl w:val="0"/>
      <w:numPr>
        <w:numId w:val="16"/>
      </w:numPr>
      <w:autoSpaceDE w:val="0"/>
      <w:autoSpaceDN w:val="0"/>
      <w:adjustRightInd w:val="0"/>
      <w:spacing w:before="0" w:line="240" w:lineRule="atLeast"/>
      <w:ind w:right="1"/>
    </w:pPr>
    <w:rPr>
      <w:rFonts w:ascii="Verdana" w:eastAsia="Times New Roman" w:hAnsi="Verdana"/>
      <w:sz w:val="20"/>
      <w:szCs w:val="24"/>
    </w:rPr>
  </w:style>
  <w:style w:type="character" w:customStyle="1" w:styleId="AARsimplelistChar">
    <w:name w:val="AAR simple list Char"/>
    <w:link w:val="AARsimplelist"/>
    <w:rPr>
      <w:rFonts w:ascii="Verdana" w:eastAsia="Times New Roman" w:hAnsi="Verdana" w:cs="Times New Roman"/>
      <w:sz w:val="20"/>
      <w:szCs w:val="24"/>
      <w:lang w:val="en-GB"/>
    </w:rPr>
  </w:style>
  <w:style w:type="character" w:customStyle="1" w:styleId="ListParagraphChar">
    <w:name w:val="List Paragraph Char"/>
    <w:aliases w:val="Bullet Paragraph Char,List Paragraph1 Char,Lijstalinea Char,Bullet List Paragraph Char,Lettre d'introduction Char,1st level - Bullet List Paragraph Char,Bulletpoints Char,Heading 2_sj Char,List Paragraph_Sections Char,EC Char"/>
    <w:basedOn w:val="DefaultParagraphFont"/>
    <w:link w:val="ListParagraph"/>
    <w:uiPriority w:val="34"/>
    <w:locked/>
    <w:rPr>
      <w:rFonts w:ascii="Verdana" w:eastAsia="Calibri" w:hAnsi="Verdana" w:cs="Calibri"/>
      <w:b/>
      <w:i/>
      <w:sz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605">
      <w:bodyDiv w:val="1"/>
      <w:marLeft w:val="0"/>
      <w:marRight w:val="0"/>
      <w:marTop w:val="0"/>
      <w:marBottom w:val="0"/>
      <w:divBdr>
        <w:top w:val="none" w:sz="0" w:space="0" w:color="auto"/>
        <w:left w:val="none" w:sz="0" w:space="0" w:color="auto"/>
        <w:bottom w:val="none" w:sz="0" w:space="0" w:color="auto"/>
        <w:right w:val="none" w:sz="0" w:space="0" w:color="auto"/>
      </w:divBdr>
    </w:div>
    <w:div w:id="41635847">
      <w:bodyDiv w:val="1"/>
      <w:marLeft w:val="0"/>
      <w:marRight w:val="0"/>
      <w:marTop w:val="0"/>
      <w:marBottom w:val="0"/>
      <w:divBdr>
        <w:top w:val="none" w:sz="0" w:space="0" w:color="auto"/>
        <w:left w:val="none" w:sz="0" w:space="0" w:color="auto"/>
        <w:bottom w:val="none" w:sz="0" w:space="0" w:color="auto"/>
        <w:right w:val="none" w:sz="0" w:space="0" w:color="auto"/>
      </w:divBdr>
      <w:divsChild>
        <w:div w:id="1409309480">
          <w:marLeft w:val="0"/>
          <w:marRight w:val="0"/>
          <w:marTop w:val="0"/>
          <w:marBottom w:val="0"/>
          <w:divBdr>
            <w:top w:val="none" w:sz="0" w:space="0" w:color="auto"/>
            <w:left w:val="none" w:sz="0" w:space="0" w:color="auto"/>
            <w:bottom w:val="none" w:sz="0" w:space="0" w:color="auto"/>
            <w:right w:val="none" w:sz="0" w:space="0" w:color="auto"/>
          </w:divBdr>
          <w:divsChild>
            <w:div w:id="731194926">
              <w:marLeft w:val="0"/>
              <w:marRight w:val="0"/>
              <w:marTop w:val="0"/>
              <w:marBottom w:val="0"/>
              <w:divBdr>
                <w:top w:val="none" w:sz="0" w:space="0" w:color="auto"/>
                <w:left w:val="none" w:sz="0" w:space="0" w:color="auto"/>
                <w:bottom w:val="none" w:sz="0" w:space="0" w:color="auto"/>
                <w:right w:val="none" w:sz="0" w:space="0" w:color="auto"/>
              </w:divBdr>
              <w:divsChild>
                <w:div w:id="1736397043">
                  <w:marLeft w:val="0"/>
                  <w:marRight w:val="0"/>
                  <w:marTop w:val="0"/>
                  <w:marBottom w:val="0"/>
                  <w:divBdr>
                    <w:top w:val="none" w:sz="0" w:space="0" w:color="auto"/>
                    <w:left w:val="none" w:sz="0" w:space="0" w:color="auto"/>
                    <w:bottom w:val="none" w:sz="0" w:space="0" w:color="auto"/>
                    <w:right w:val="none" w:sz="0" w:space="0" w:color="auto"/>
                  </w:divBdr>
                  <w:divsChild>
                    <w:div w:id="1142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5501">
      <w:bodyDiv w:val="1"/>
      <w:marLeft w:val="0"/>
      <w:marRight w:val="0"/>
      <w:marTop w:val="0"/>
      <w:marBottom w:val="0"/>
      <w:divBdr>
        <w:top w:val="none" w:sz="0" w:space="0" w:color="auto"/>
        <w:left w:val="none" w:sz="0" w:space="0" w:color="auto"/>
        <w:bottom w:val="none" w:sz="0" w:space="0" w:color="auto"/>
        <w:right w:val="none" w:sz="0" w:space="0" w:color="auto"/>
      </w:divBdr>
    </w:div>
    <w:div w:id="140663478">
      <w:bodyDiv w:val="1"/>
      <w:marLeft w:val="0"/>
      <w:marRight w:val="0"/>
      <w:marTop w:val="0"/>
      <w:marBottom w:val="0"/>
      <w:divBdr>
        <w:top w:val="none" w:sz="0" w:space="0" w:color="auto"/>
        <w:left w:val="none" w:sz="0" w:space="0" w:color="auto"/>
        <w:bottom w:val="none" w:sz="0" w:space="0" w:color="auto"/>
        <w:right w:val="none" w:sz="0" w:space="0" w:color="auto"/>
      </w:divBdr>
    </w:div>
    <w:div w:id="211311968">
      <w:bodyDiv w:val="1"/>
      <w:marLeft w:val="0"/>
      <w:marRight w:val="0"/>
      <w:marTop w:val="0"/>
      <w:marBottom w:val="0"/>
      <w:divBdr>
        <w:top w:val="none" w:sz="0" w:space="0" w:color="auto"/>
        <w:left w:val="none" w:sz="0" w:space="0" w:color="auto"/>
        <w:bottom w:val="none" w:sz="0" w:space="0" w:color="auto"/>
        <w:right w:val="none" w:sz="0" w:space="0" w:color="auto"/>
      </w:divBdr>
    </w:div>
    <w:div w:id="228001848">
      <w:bodyDiv w:val="1"/>
      <w:marLeft w:val="0"/>
      <w:marRight w:val="0"/>
      <w:marTop w:val="0"/>
      <w:marBottom w:val="0"/>
      <w:divBdr>
        <w:top w:val="none" w:sz="0" w:space="0" w:color="auto"/>
        <w:left w:val="none" w:sz="0" w:space="0" w:color="auto"/>
        <w:bottom w:val="none" w:sz="0" w:space="0" w:color="auto"/>
        <w:right w:val="none" w:sz="0" w:space="0" w:color="auto"/>
      </w:divBdr>
    </w:div>
    <w:div w:id="315959294">
      <w:bodyDiv w:val="1"/>
      <w:marLeft w:val="0"/>
      <w:marRight w:val="0"/>
      <w:marTop w:val="0"/>
      <w:marBottom w:val="0"/>
      <w:divBdr>
        <w:top w:val="none" w:sz="0" w:space="0" w:color="auto"/>
        <w:left w:val="none" w:sz="0" w:space="0" w:color="auto"/>
        <w:bottom w:val="none" w:sz="0" w:space="0" w:color="auto"/>
        <w:right w:val="none" w:sz="0" w:space="0" w:color="auto"/>
      </w:divBdr>
    </w:div>
    <w:div w:id="409086386">
      <w:bodyDiv w:val="1"/>
      <w:marLeft w:val="0"/>
      <w:marRight w:val="0"/>
      <w:marTop w:val="0"/>
      <w:marBottom w:val="0"/>
      <w:divBdr>
        <w:top w:val="none" w:sz="0" w:space="0" w:color="auto"/>
        <w:left w:val="none" w:sz="0" w:space="0" w:color="auto"/>
        <w:bottom w:val="none" w:sz="0" w:space="0" w:color="auto"/>
        <w:right w:val="none" w:sz="0" w:space="0" w:color="auto"/>
      </w:divBdr>
    </w:div>
    <w:div w:id="493492252">
      <w:bodyDiv w:val="1"/>
      <w:marLeft w:val="0"/>
      <w:marRight w:val="0"/>
      <w:marTop w:val="0"/>
      <w:marBottom w:val="0"/>
      <w:divBdr>
        <w:top w:val="none" w:sz="0" w:space="0" w:color="auto"/>
        <w:left w:val="none" w:sz="0" w:space="0" w:color="auto"/>
        <w:bottom w:val="none" w:sz="0" w:space="0" w:color="auto"/>
        <w:right w:val="none" w:sz="0" w:space="0" w:color="auto"/>
      </w:divBdr>
    </w:div>
    <w:div w:id="703359909">
      <w:bodyDiv w:val="1"/>
      <w:marLeft w:val="0"/>
      <w:marRight w:val="0"/>
      <w:marTop w:val="0"/>
      <w:marBottom w:val="0"/>
      <w:divBdr>
        <w:top w:val="none" w:sz="0" w:space="0" w:color="auto"/>
        <w:left w:val="none" w:sz="0" w:space="0" w:color="auto"/>
        <w:bottom w:val="none" w:sz="0" w:space="0" w:color="auto"/>
        <w:right w:val="none" w:sz="0" w:space="0" w:color="auto"/>
      </w:divBdr>
    </w:div>
    <w:div w:id="752507635">
      <w:bodyDiv w:val="1"/>
      <w:marLeft w:val="0"/>
      <w:marRight w:val="0"/>
      <w:marTop w:val="0"/>
      <w:marBottom w:val="0"/>
      <w:divBdr>
        <w:top w:val="none" w:sz="0" w:space="0" w:color="auto"/>
        <w:left w:val="none" w:sz="0" w:space="0" w:color="auto"/>
        <w:bottom w:val="none" w:sz="0" w:space="0" w:color="auto"/>
        <w:right w:val="none" w:sz="0" w:space="0" w:color="auto"/>
      </w:divBdr>
    </w:div>
    <w:div w:id="782459285">
      <w:bodyDiv w:val="1"/>
      <w:marLeft w:val="0"/>
      <w:marRight w:val="0"/>
      <w:marTop w:val="0"/>
      <w:marBottom w:val="0"/>
      <w:divBdr>
        <w:top w:val="none" w:sz="0" w:space="0" w:color="auto"/>
        <w:left w:val="none" w:sz="0" w:space="0" w:color="auto"/>
        <w:bottom w:val="none" w:sz="0" w:space="0" w:color="auto"/>
        <w:right w:val="none" w:sz="0" w:space="0" w:color="auto"/>
      </w:divBdr>
    </w:div>
    <w:div w:id="933905927">
      <w:bodyDiv w:val="1"/>
      <w:marLeft w:val="0"/>
      <w:marRight w:val="0"/>
      <w:marTop w:val="0"/>
      <w:marBottom w:val="0"/>
      <w:divBdr>
        <w:top w:val="none" w:sz="0" w:space="0" w:color="auto"/>
        <w:left w:val="none" w:sz="0" w:space="0" w:color="auto"/>
        <w:bottom w:val="none" w:sz="0" w:space="0" w:color="auto"/>
        <w:right w:val="none" w:sz="0" w:space="0" w:color="auto"/>
      </w:divBdr>
    </w:div>
    <w:div w:id="1018972288">
      <w:bodyDiv w:val="1"/>
      <w:marLeft w:val="0"/>
      <w:marRight w:val="0"/>
      <w:marTop w:val="0"/>
      <w:marBottom w:val="0"/>
      <w:divBdr>
        <w:top w:val="none" w:sz="0" w:space="0" w:color="auto"/>
        <w:left w:val="none" w:sz="0" w:space="0" w:color="auto"/>
        <w:bottom w:val="none" w:sz="0" w:space="0" w:color="auto"/>
        <w:right w:val="none" w:sz="0" w:space="0" w:color="auto"/>
      </w:divBdr>
    </w:div>
    <w:div w:id="1204706602">
      <w:bodyDiv w:val="1"/>
      <w:marLeft w:val="0"/>
      <w:marRight w:val="0"/>
      <w:marTop w:val="0"/>
      <w:marBottom w:val="0"/>
      <w:divBdr>
        <w:top w:val="none" w:sz="0" w:space="0" w:color="auto"/>
        <w:left w:val="none" w:sz="0" w:space="0" w:color="auto"/>
        <w:bottom w:val="none" w:sz="0" w:space="0" w:color="auto"/>
        <w:right w:val="none" w:sz="0" w:space="0" w:color="auto"/>
      </w:divBdr>
    </w:div>
    <w:div w:id="1280255717">
      <w:bodyDiv w:val="1"/>
      <w:marLeft w:val="0"/>
      <w:marRight w:val="0"/>
      <w:marTop w:val="0"/>
      <w:marBottom w:val="0"/>
      <w:divBdr>
        <w:top w:val="none" w:sz="0" w:space="0" w:color="auto"/>
        <w:left w:val="none" w:sz="0" w:space="0" w:color="auto"/>
        <w:bottom w:val="none" w:sz="0" w:space="0" w:color="auto"/>
        <w:right w:val="none" w:sz="0" w:space="0" w:color="auto"/>
      </w:divBdr>
    </w:div>
    <w:div w:id="1353917794">
      <w:bodyDiv w:val="1"/>
      <w:marLeft w:val="0"/>
      <w:marRight w:val="0"/>
      <w:marTop w:val="0"/>
      <w:marBottom w:val="0"/>
      <w:divBdr>
        <w:top w:val="none" w:sz="0" w:space="0" w:color="auto"/>
        <w:left w:val="none" w:sz="0" w:space="0" w:color="auto"/>
        <w:bottom w:val="none" w:sz="0" w:space="0" w:color="auto"/>
        <w:right w:val="none" w:sz="0" w:space="0" w:color="auto"/>
      </w:divBdr>
    </w:div>
    <w:div w:id="1518733407">
      <w:bodyDiv w:val="1"/>
      <w:marLeft w:val="0"/>
      <w:marRight w:val="0"/>
      <w:marTop w:val="0"/>
      <w:marBottom w:val="0"/>
      <w:divBdr>
        <w:top w:val="none" w:sz="0" w:space="0" w:color="auto"/>
        <w:left w:val="none" w:sz="0" w:space="0" w:color="auto"/>
        <w:bottom w:val="none" w:sz="0" w:space="0" w:color="auto"/>
        <w:right w:val="none" w:sz="0" w:space="0" w:color="auto"/>
      </w:divBdr>
    </w:div>
    <w:div w:id="1589077464">
      <w:bodyDiv w:val="1"/>
      <w:marLeft w:val="0"/>
      <w:marRight w:val="0"/>
      <w:marTop w:val="0"/>
      <w:marBottom w:val="0"/>
      <w:divBdr>
        <w:top w:val="none" w:sz="0" w:space="0" w:color="auto"/>
        <w:left w:val="none" w:sz="0" w:space="0" w:color="auto"/>
        <w:bottom w:val="none" w:sz="0" w:space="0" w:color="auto"/>
        <w:right w:val="none" w:sz="0" w:space="0" w:color="auto"/>
      </w:divBdr>
    </w:div>
    <w:div w:id="1589148145">
      <w:bodyDiv w:val="1"/>
      <w:marLeft w:val="0"/>
      <w:marRight w:val="0"/>
      <w:marTop w:val="0"/>
      <w:marBottom w:val="0"/>
      <w:divBdr>
        <w:top w:val="none" w:sz="0" w:space="0" w:color="auto"/>
        <w:left w:val="none" w:sz="0" w:space="0" w:color="auto"/>
        <w:bottom w:val="none" w:sz="0" w:space="0" w:color="auto"/>
        <w:right w:val="none" w:sz="0" w:space="0" w:color="auto"/>
      </w:divBdr>
    </w:div>
    <w:div w:id="1634016023">
      <w:bodyDiv w:val="1"/>
      <w:marLeft w:val="0"/>
      <w:marRight w:val="0"/>
      <w:marTop w:val="0"/>
      <w:marBottom w:val="0"/>
      <w:divBdr>
        <w:top w:val="none" w:sz="0" w:space="0" w:color="auto"/>
        <w:left w:val="none" w:sz="0" w:space="0" w:color="auto"/>
        <w:bottom w:val="none" w:sz="0" w:space="0" w:color="auto"/>
        <w:right w:val="none" w:sz="0" w:space="0" w:color="auto"/>
      </w:divBdr>
    </w:div>
    <w:div w:id="1639413322">
      <w:bodyDiv w:val="1"/>
      <w:marLeft w:val="0"/>
      <w:marRight w:val="0"/>
      <w:marTop w:val="0"/>
      <w:marBottom w:val="0"/>
      <w:divBdr>
        <w:top w:val="none" w:sz="0" w:space="0" w:color="auto"/>
        <w:left w:val="none" w:sz="0" w:space="0" w:color="auto"/>
        <w:bottom w:val="none" w:sz="0" w:space="0" w:color="auto"/>
        <w:right w:val="none" w:sz="0" w:space="0" w:color="auto"/>
      </w:divBdr>
    </w:div>
    <w:div w:id="1775859379">
      <w:bodyDiv w:val="1"/>
      <w:marLeft w:val="0"/>
      <w:marRight w:val="0"/>
      <w:marTop w:val="0"/>
      <w:marBottom w:val="0"/>
      <w:divBdr>
        <w:top w:val="none" w:sz="0" w:space="0" w:color="auto"/>
        <w:left w:val="none" w:sz="0" w:space="0" w:color="auto"/>
        <w:bottom w:val="none" w:sz="0" w:space="0" w:color="auto"/>
        <w:right w:val="none" w:sz="0" w:space="0" w:color="auto"/>
      </w:divBdr>
    </w:div>
    <w:div w:id="188285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00640EC3EE94981CA0664FF0A323A" ma:contentTypeVersion="1" ma:contentTypeDescription="Create a new document." ma:contentTypeScope="" ma:versionID="f82a762356548a5da73dea206de67f6c">
  <xsd:schema xmlns:xsd="http://www.w3.org/2001/XMLSchema" xmlns:xs="http://www.w3.org/2001/XMLSchema" xmlns:p="http://schemas.microsoft.com/office/2006/metadata/properties" xmlns:ns2="1176458d-6774-40d6-b7d8-b9abf4f0ed2d" targetNamespace="http://schemas.microsoft.com/office/2006/metadata/properties" ma:root="true" ma:fieldsID="39ab09d6089b8bff09bdfe131f0bbd4b" ns2:_="">
    <xsd:import namespace="1176458d-6774-40d6-b7d8-b9abf4f0ed2d"/>
    <xsd:element name="properties">
      <xsd:complexType>
        <xsd:sequence>
          <xsd:element name="documentManagement">
            <xsd:complexType>
              <xsd:all>
                <xsd:element ref="ns2: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458d-6774-40d6-b7d8-b9abf4f0ed2d" elementFormDefault="qualified">
    <xsd:import namespace="http://schemas.microsoft.com/office/2006/documentManagement/types"/>
    <xsd:import namespace="http://schemas.microsoft.com/office/infopath/2007/PartnerControls"/>
    <xsd:element name="About" ma:index="8" ma:displayName="About" ma:default="Communication" ma:format="Dropdown" ma:internalName="About">
      <xsd:simpleType>
        <xsd:restriction base="dms:Choice">
          <xsd:enumeration value="Communication"/>
          <xsd:enumeration value="ISSG 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bout xmlns="1176458d-6774-40d6-b7d8-b9abf4f0ed2d">Communication</Abou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62195B93DC994C96A3A18DA2BD81C6" ma:contentTypeVersion="0" ma:contentTypeDescription="Create a new document." ma:contentTypeScope="" ma:versionID="910082ba5f2944b8b29dd9e9572fafce">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E885-CCF6-4547-B099-6B15FEDBA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458d-6774-40d6-b7d8-b9abf4f0e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8AAAA-3FA6-46E1-9E13-64BE70412D33}">
  <ds:schemaRefs>
    <ds:schemaRef ds:uri="http://purl.org/dc/elements/1.1/"/>
    <ds:schemaRef ds:uri="1176458d-6774-40d6-b7d8-b9abf4f0ed2d"/>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228FAC1-6CAB-4E34-A4B6-2DC47033B371}">
  <ds:schemaRefs>
    <ds:schemaRef ds:uri="http://schemas.microsoft.com/sharepoint/v3/contenttype/forms"/>
  </ds:schemaRefs>
</ds:datastoreItem>
</file>

<file path=customXml/itemProps4.xml><?xml version="1.0" encoding="utf-8"?>
<ds:datastoreItem xmlns:ds="http://schemas.openxmlformats.org/officeDocument/2006/customXml" ds:itemID="{129B8A38-7597-4B19-AA47-7E0C4B18A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FD0149D-71BA-4CAE-AA1B-E911C9F9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70</Pages>
  <Words>22415</Words>
  <Characters>127770</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ESC Draft Regulation LW -post ISC</vt:lpstr>
    </vt:vector>
  </TitlesOfParts>
  <Manager/>
  <Company/>
  <LinksUpToDate>false</LinksUpToDate>
  <CharactersWithSpaces>149886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 Draft Regulation LW -post ISC</dc:title>
  <dc:creator/>
  <cp:lastModifiedBy>WADHWANIA Nadia (MARE-EXT)</cp:lastModifiedBy>
  <cp:revision>20</cp:revision>
  <cp:lastPrinted>2017-05-12T15:44:00Z</cp:lastPrinted>
  <dcterms:created xsi:type="dcterms:W3CDTF">2017-05-30T15:37:00Z</dcterms:created>
  <dcterms:modified xsi:type="dcterms:W3CDTF">2017-06-01T13:00:00Z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0x010100F0F00640EC3EE94981CA0664FF0A323A</vt:lpwstr>
  </property>
  <property fmtid="{D5CDD505-2E9C-101B-9397-08002B2CF9AE}" pid="11" name="DQCStatus">
    <vt:lpwstr>Yellow (DQC version 03)</vt:lpwstr>
  </property>
</Properties>
</file>