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78DE8620E9B4F70A82715AA5D190231" style="width:450.75pt;height:509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РЕГЛАМЕНТ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за създаване на единен цифров портал за предоставяне на информация, процедури и услуги за оказване на съдействие и решаване на проблеми и за изменение на Регламент (ЕС) № 1024/2012</w:t>
      </w:r>
    </w:p>
    <w:p>
      <w:pPr>
        <w:pStyle w:val="Annexetitre"/>
        <w:rPr>
          <w:noProof/>
        </w:rPr>
      </w:pPr>
      <w:r>
        <w:rPr>
          <w:noProof/>
        </w:rPr>
        <w:t>ПРИЛОЖЕНИЕ I</w:t>
      </w:r>
      <w:r>
        <w:rPr>
          <w:noProof/>
        </w:rPr>
        <w:br/>
        <w:t>Списък на областите на информация от значение за гражданите и предприятията при упражняване на техните права във връзка с единния пазар, посочени в член 2, параграф 2, буква а)</w:t>
      </w:r>
    </w:p>
    <w:p>
      <w:pPr>
        <w:rPr>
          <w:noProof/>
        </w:rPr>
      </w:pPr>
    </w:p>
    <w:p>
      <w:pPr>
        <w:spacing w:before="0" w:after="200" w:line="276" w:lineRule="auto"/>
        <w:jc w:val="left"/>
        <w:rPr>
          <w:b/>
          <w:noProof/>
        </w:rPr>
      </w:pPr>
      <w:r>
        <w:rPr>
          <w:b/>
          <w:noProof/>
        </w:rPr>
        <w:t>Области на информация, свързани с гражданите: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>
        <w:tc>
          <w:tcPr>
            <w:tcW w:w="2235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Област</w:t>
            </w:r>
          </w:p>
        </w:tc>
        <w:tc>
          <w:tcPr>
            <w:tcW w:w="6804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ИНФОРМАЦИЯ ОТНОСНО ПРАВАТА, ЗАДЪЛЖЕНИЯТА И ПРАВИЛАТА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Пътуване в рамките на Съюза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документи, изисквани от граждани на Съюза, членове на техните семейства, които не са граждани на Съюза, непълнолетни, пътуващи сами, граждани на държави извън Съюза при пътуване зад граница в рамките на Съюза (лична карта, виза, паспорт)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права и задължения на лицата, пътуващи със самолет, влак, кораб и автобус в Съюза и извън него, и на лицата, които закупуват туристически пакети или свързани пътнически услуги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съдействие в случай на намалена подвижност при пътуване в Съюза и извън него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пренасяне на животни, растения, алкохол, тютюневи изделия, цигари и други стоки при пътуване в Съюза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гласови повиквания и изпращане и получаване на електронни съобщения и на електронни данни в рамките на Съюза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Работа и пенсиониране в рамките на Съюза 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търсене на работа в друга държава членка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започване на работа в друга държава членка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признаване на квалификации с оглед на работа в друга държава членка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данъчно облагане в друга държава членка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условия на труд (включително работно време, платен отпуск, право на отпуск, права и задължения във връзка с извънреден труд, медицински прегледи, прекратяване на договори, уволнение и съкращения)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равно третиране (правила за недопускане на дискриминация на работното място, равно заплащане за мъжете и жените, равно заплащане на наети лица на срочни или на безсрочни трудови договори)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задължения във връзка със здравето и безопасността по отношение на различните видове дейности 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социалноосигурителни права и задължения в Съюза, включително свързаните с получаването на пенсии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Превозни средства в Съюза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временно или постоянно прехвърляне на моторно превозно средство в друга държава членка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придобиване и подновяване на свидетелство за управление на МПС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сключване на задължителна застраховка на моторно превозно средство 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закупуване и продажба на моторно превозно средство в друга държава членка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даване под наем на моторно превозно средство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национални правила за движение и изисквания по отношение на водачите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Пребиваване в друга държава членка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8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временно или постоянно преместване в друга държава членка 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участие в общински избори и в избори за Европейския парламент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изисквания за издаването на карти за пребиваване на гражданите на Съюза и членовете на техните семейства, включително членове на семействата, които не са граждани на Съюза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Образование или стаж в друга държава членка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посещаване на училище в друга държава членка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следване в университет в друга държава членка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доброволческа дейност в друга държава членка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стаж в друга държава членка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провеждане на изследователска дейност в друга държава членка като част от образователна програма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Здравеопазване 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медицинско лечение в друга държава членка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закупуване онлайн или лично на предписани </w:t>
            </w:r>
            <w:r>
              <w:rPr>
                <w:noProof/>
              </w:rPr>
              <w:lastRenderedPageBreak/>
              <w:t xml:space="preserve">фармацевтични продукти в държава членка, различна от тази, в която е издадена рецептата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Трансгранични права, задължения и правила относно семейството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 xml:space="preserve"> раждане, попечителство над непълнолетни деца, родителски права и задължения, задължения за издръжка по отношение на деца в трансгранично семейно положение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съжителство на лица с различно гражданство (брак, раздяла, развод, права във връзка с придобитото през брака имущество, права за съжителство)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права във връзка с наследство в друга държава членка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Потребители в трансгранични ситуации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закупуване онлайн или лично на стоки и услуги от друга държава членка (включително финансови) 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притежаване на банкова сметка в друга държава членка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ползване на комунално-битови услуги, като снабдяване с газ, електроенергия, вода, далекосъобщителни услуги и интернет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плащания, включително кредитни преводи, закъснения при трансгранични плащания 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права на потребителите и гаранции, свързани с покупки на стоки и услуги 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b/>
          <w:noProof/>
        </w:rPr>
        <w:t>Области на информация, свързани с предприятията</w:t>
      </w:r>
      <w:r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>
        <w:tc>
          <w:tcPr>
            <w:tcW w:w="2235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Област</w:t>
            </w:r>
          </w:p>
        </w:tc>
        <w:tc>
          <w:tcPr>
            <w:tcW w:w="6804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ИНФОРМАЦИЯ ОТНОСНО ПРАВАТА, ЗАДЪЛЖЕНИЯТА И ПРАВИЛАТА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Започване, извършване и приключване на стопанска дейност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регистриране на стопанска дейност (регистрационни процедури и правни форми за извършването на стопанска дейност)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права върху интелектуалната собственост (подаване на заявление за патент, регистриране на търговска марка, чертеж или дизайн, получаване на лиценз за възпроизвеждане)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справедливост и прозрачност при търговските практики, включително права на потребителите и гаранции във връзка с продажбата на стоки и услуги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предлагане на онлайн услуги за трансгранични плащания при продажбата на стоки и услуги онлайн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права и задължения, произтичащи от договорното право, включително лихви за забава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производства по несъстоятелност и ликвидация на дружества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кредитно застраховане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сливания на дружества или продажба на предприятие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Персонал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условия на труд (включително работно време, платен отпуск, право на отпуск, права и задължения във връзка с извънреден труд, медицински прегледи, прекратяване на договори, уволнения и съкращения)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социалноосигурителни права и задължения в Съюза (регистрация като работодател, регистрация на служители, уведомяване на служител за изтичането на договор, плащане на социалноосигурителни вноски, права и задължения във връзка с пенсии)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наемане на работа на работници в други държави членки (командироване на работници, правила относно свободното предоставяне на услуги, изисквания по отношение на пребиваването на работниците)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равно третиране (правила за недопускане на дискриминация на работното място, равно заплащане за мъжете и жените, равно заплащане на наети лица на срочни или на безсрочни трудови договори)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правила относно представителството на персонала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Данъци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ДДС: информация относно общите правила, ставките и освобождаванията от данък, регистриране по ДДС и заплащане на данъка, възстановяване на заплатен данък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акцизи: информация относно общите правила, ставките и освобождаванията 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други данъци: плащане, ставки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Стоки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получаване на маркировка „CE“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 определяне на приложимите стандарти, технически спецификации и сертифициране на продукти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взаимно признаване на продукти, спрямо които не се прилагат спецификации на Съюза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изисквания по отношение на класирането, етикетирането и опаковането на опасни химични вещества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продажби от разстояние и извън търговския обект: информация, която трябва да се предоставя предварително на клиентите, писмено потвърждение на </w:t>
            </w:r>
            <w:r>
              <w:rPr>
                <w:noProof/>
              </w:rPr>
              <w:lastRenderedPageBreak/>
              <w:t>договор, отказ от договор, доставяне на стоките, други специфични задължения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дефектни продукти: права на потребителите и гаранции, следпродажбени отговорности, способи за обезщетяване на увредено лице 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сертифициране, етикетиране (EMAS, енергийни етикети, екопроектиране, екомаркировка на ЕС)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рециклиране и управление на отпадъците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Услуги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придобиване на лицензи, разрешения или разрешителни с оглед на започването на стопанска дейност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уведомяване на властите за трансгранични дейности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признаване на професионални квалификации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Финансиране на стопанска дейност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получаване на достъп до финансиране на равнището на Съюза, включително програми на Съюза за финансиране и безвъзмездни средства за стопанска дейност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получаване на достъп до финансиране на национално равнище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инициативи, насочени към предприемачите (организирани обмени за нови предприемачи, програми за наставничество и т.н.)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Обществени поръчки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участие в търгове за обществени поръчки: правила и процедури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представяне на оферта онлайн в отговор на покана за участие в търг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съобщаване на нередности във връзка с тръжната процедура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Здравословни и безопасни условия на труд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задължения във връзка със здравето и безопасността по отношение на различните видове дейности, включително предотвратяване на рисковете, информация и обучение 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  <w:r>
        <w:rPr>
          <w:noProof/>
        </w:rPr>
        <w:br/>
        <w:t>Процедури, посочени в член 5, параграф 2</w:t>
      </w:r>
    </w:p>
    <w:p>
      <w:pPr>
        <w:rPr>
          <w:b/>
          <w:noProof/>
        </w:rPr>
      </w:pPr>
    </w:p>
    <w:tbl>
      <w:tblPr>
        <w:tblStyle w:val="TableGrid1"/>
        <w:tblW w:w="9997" w:type="dxa"/>
        <w:tblLook w:val="04A0" w:firstRow="1" w:lastRow="0" w:firstColumn="1" w:lastColumn="0" w:noHBand="0" w:noVBand="1"/>
      </w:tblPr>
      <w:tblGrid>
        <w:gridCol w:w="2118"/>
        <w:gridCol w:w="3707"/>
        <w:gridCol w:w="4172"/>
      </w:tblGrid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Свързани с живота събития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Процедури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Очакван резултат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 xml:space="preserve">Раждане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Искане за издаване на акт за раждане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Акт за раждане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Образование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Кандидатстване за стипендия за обучение, отпускана от публична институция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Решение по молбата за отпускане на стипендия</w:t>
            </w:r>
          </w:p>
        </w:tc>
      </w:tr>
      <w:tr>
        <w:trPr>
          <w:trHeight w:val="1350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Работа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Регистрация за получаване на социалноосигурителни обезщетения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Получаване на потвърждение за прието искане</w:t>
            </w:r>
          </w:p>
        </w:tc>
      </w:tr>
      <w:t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Искане за признаване на диплома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Решение по искането за признаване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Преместване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Регистрация на промяна на адрес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Потвърждение на регистрацията на новия адрес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Заявяване/подновяване на лична карта или паспорт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Издаване или подновяване на лична карта или паспорт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Регистрация на моторно превозно средство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Удостоверение за регистрация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Пенсиониране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Подаване на искане за отпускане на пенсия и на предпенсионни обезщетения от публични или полупублични схеми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Решение относно искането за отпускане на пенсия или на предпенсионни обезщетения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Започване на стопанска дейност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Обща регистрация на стопанска дейност, с изключение на процедурите относно учредяването на дружества или фирми по смисъла на член 54, параграф 2 от ДФЕС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Потвърждение за приключването на всички етапи, необходими за започване на дейност като предприятие 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Регистрация на работодател (физическо лице) към публични или полупублични пенсионни и застрахователни схеми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Социалноосигурителен регистрационен номер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Регистрация на наети лица към публични или полупублични пенсионни и застрахователни схеми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Социалноосигурителен регистрационен номер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Упражняване на стопанска дейност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Уведомяване на системите за социална сигурност за датата на изтичане на договор с наето лице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Потвърждение за получаване на уведомлението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Плащане на социалноосигурителни вноски за наети лица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Разписка или друга форма на потвърждение на плащането на социалноосигурителни вноски за наети лица</w:t>
            </w:r>
          </w:p>
        </w:tc>
      </w:tr>
    </w:tbl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III</w:t>
      </w:r>
      <w:r>
        <w:rPr>
          <w:noProof/>
        </w:rPr>
        <w:br/>
        <w:t>Списък на услугите за оказване на съдействие и решаване на проблеми, посочени в член 2, параграф 2, буква в)</w:t>
      </w:r>
    </w:p>
    <w:p>
      <w:pPr>
        <w:jc w:val="center"/>
        <w:rPr>
          <w:b/>
          <w:noProof/>
        </w:rPr>
      </w:pPr>
    </w:p>
    <w:p>
      <w:pPr>
        <w:pStyle w:val="Point0number"/>
        <w:numPr>
          <w:ilvl w:val="0"/>
          <w:numId w:val="18"/>
        </w:numPr>
        <w:rPr>
          <w:noProof/>
        </w:rPr>
      </w:pPr>
      <w:r>
        <w:rPr>
          <w:noProof/>
        </w:rPr>
        <w:t>Единни звена за контакт</w:t>
      </w:r>
    </w:p>
    <w:p>
      <w:pPr>
        <w:pStyle w:val="Point0number"/>
        <w:rPr>
          <w:noProof/>
        </w:rPr>
      </w:pPr>
      <w:r>
        <w:rPr>
          <w:noProof/>
        </w:rPr>
        <w:t>Звена за контакт относно продуктите</w:t>
      </w:r>
    </w:p>
    <w:p>
      <w:pPr>
        <w:pStyle w:val="Point0number"/>
        <w:rPr>
          <w:noProof/>
        </w:rPr>
      </w:pPr>
      <w:r>
        <w:rPr>
          <w:noProof/>
        </w:rPr>
        <w:t>Звена за контакт относно строителните продукти</w:t>
      </w:r>
    </w:p>
    <w:p>
      <w:pPr>
        <w:pStyle w:val="Point0number"/>
        <w:rPr>
          <w:noProof/>
        </w:rPr>
      </w:pPr>
      <w:r>
        <w:rPr>
          <w:noProof/>
        </w:rPr>
        <w:t>Национални центрове за оказване на съдействие във връзка с професионалните квалификации</w:t>
      </w:r>
    </w:p>
    <w:p>
      <w:pPr>
        <w:pStyle w:val="Point0number"/>
        <w:rPr>
          <w:noProof/>
        </w:rPr>
      </w:pPr>
      <w:r>
        <w:rPr>
          <w:noProof/>
        </w:rPr>
        <w:t>Звена за контакт относно здравеопазването</w:t>
      </w:r>
    </w:p>
    <w:p>
      <w:pPr>
        <w:pStyle w:val="Point0number"/>
        <w:rPr>
          <w:noProof/>
        </w:rPr>
      </w:pPr>
      <w:r>
        <w:rPr>
          <w:noProof/>
        </w:rPr>
        <w:t>Европейски служби по заетостта (EURES)</w:t>
      </w:r>
    </w:p>
    <w:p>
      <w:pPr>
        <w:pStyle w:val="Point0number"/>
        <w:rPr>
          <w:noProof/>
        </w:rPr>
      </w:pPr>
      <w:r>
        <w:rPr>
          <w:noProof/>
        </w:rPr>
        <w:t>Онлайн решаване на спорове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BB26E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52C7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2282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12C43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464A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D6D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2B6A4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4D0B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E66989"/>
    <w:multiLevelType w:val="hybridMultilevel"/>
    <w:tmpl w:val="FB5E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3081E"/>
    <w:multiLevelType w:val="hybridMultilevel"/>
    <w:tmpl w:val="464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7E2AFA"/>
    <w:multiLevelType w:val="hybridMultilevel"/>
    <w:tmpl w:val="050C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>
    <w:nsid w:val="3CE96A32"/>
    <w:multiLevelType w:val="hybridMultilevel"/>
    <w:tmpl w:val="B58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>
    <w:nsid w:val="44071059"/>
    <w:multiLevelType w:val="hybridMultilevel"/>
    <w:tmpl w:val="B3F6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EB76A23"/>
    <w:multiLevelType w:val="hybridMultilevel"/>
    <w:tmpl w:val="3D9A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C423D"/>
    <w:multiLevelType w:val="hybridMultilevel"/>
    <w:tmpl w:val="9FC2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>
    <w:nsid w:val="6F280FEE"/>
    <w:multiLevelType w:val="hybridMultilevel"/>
    <w:tmpl w:val="8E9E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233BD"/>
    <w:multiLevelType w:val="hybridMultilevel"/>
    <w:tmpl w:val="4EC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24"/>
  </w:num>
  <w:num w:numId="8">
    <w:abstractNumId w:val="28"/>
  </w:num>
  <w:num w:numId="9">
    <w:abstractNumId w:val="29"/>
  </w:num>
  <w:num w:numId="10">
    <w:abstractNumId w:val="8"/>
  </w:num>
  <w:num w:numId="11">
    <w:abstractNumId w:val="15"/>
  </w:num>
  <w:num w:numId="12">
    <w:abstractNumId w:val="18"/>
  </w:num>
  <w:num w:numId="13">
    <w:abstractNumId w:val="25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27"/>
  </w:num>
  <w:num w:numId="22">
    <w:abstractNumId w:val="14"/>
  </w:num>
  <w:num w:numId="23">
    <w:abstractNumId w:val="17"/>
  </w:num>
  <w:num w:numId="24">
    <w:abstractNumId w:val="11"/>
  </w:num>
  <w:num w:numId="25">
    <w:abstractNumId w:val="26"/>
  </w:num>
  <w:num w:numId="26">
    <w:abstractNumId w:val="10"/>
  </w:num>
  <w:num w:numId="27">
    <w:abstractNumId w:val="19"/>
  </w:num>
  <w:num w:numId="28">
    <w:abstractNumId w:val="21"/>
  </w:num>
  <w:num w:numId="29">
    <w:abstractNumId w:val="22"/>
  </w:num>
  <w:num w:numId="30">
    <w:abstractNumId w:val="13"/>
  </w:num>
  <w:num w:numId="31">
    <w:abstractNumId w:val="20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31 15:16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678DE8620E9B4F70A82715AA5D190231"/>
    <w:docVar w:name="LW_CROSSREFERENCE" w:val="{SWD(2017) 211 final}_x000b_{SWD(2017) 212 final}_x000b_{SWD(2017) 213 final}_x000b_{SWD(2017) 214 final}"/>
    <w:docVar w:name="LW_DocType" w:val="ANNEX"/>
    <w:docVar w:name="LW_EMISSION" w:val="2.5.2017"/>
    <w:docVar w:name="LW_EMISSION_ISODATE" w:val="2017-05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98?\u1079?\u1076?\u1072?\u1074?\u1072?\u1085?\u1077? \u1085?\u1072? \u1077?\u1076?\u1080?\u1085?\u1077?\u1085? \u1094?\u1080?\u1092?\u1088?\u1086?\u1074? \u1087?\u1086?\u1088?\u1090?\u1072?\u1083? \u1079?\u1072? \u1087?\u1088?\u1077?\u1076?\u1086?\u1089?\u1090?\u1072?\u1074?\u1103?\u1085?\u1077? \u1085?\u1072? \u1080?\u1085?\u1092?\u1086?\u1088?\u1084?\u1072?\u1094?\u1080?\u1103?, \u1087?\u1088?\u1086?\u1094?\u1077?\u1076?\u1091?\u1088?\u1080? \u1080? \u1091?\u1089?\u1083?\u1091?\u1075?\u1080? \u1079?\u1072? \u1086?\u1082?\u1072?\u1079?\u1074?\u1072?\u1085?\u1077? \u1085?\u1072? \u1089?\u1098?\u1076?\u1077?\u1081?\u1089?\u1090?\u1074?\u1080?\u1077? \u1080? \u1088?\u1077?\u1096?\u1072?\u1074?\u1072?\u1085?\u1077? \u1085?\u1072? \u1087?\u1088?\u1086?\u1073?\u1083?\u1077?\u1084?\u1080? \u1080? \u1079?\u1072? \u1080?\u1079?\u1084?\u1077?\u1085?\u1077?\u1085?\u1080?\u1077? \u1085?\u1072? \u1056?\u1077?\u1075?\u1083?\u1072?\u1084?\u1077?\u1085?\u1090? (\u1045?\u1057?) \u8470? 1024/2012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56"/>
    <w:docVar w:name="LW_REF.INTERNE" w:val="&lt;UNUSED&gt;"/>
    <w:docVar w:name="LW_SUPERTITRE" w:val="\u1055?\u1072?\u1082?\u1077?\u1090? \u1074?\u1098?\u1074? \u1074?\u1088?\u1098?\u1079?\u1082?\u1072? \u1089?\u1098?\u1089? \u1089?\u1087?\u1072?\u1079?\u1074?\u1072?\u1085?\u1077?\u1090?\u1086?"/>
    <w:docVar w:name="LW_TITRE.OBJ.CP" w:val="&lt;UNUSED&gt;"/>
    <w:docVar w:name="LW_TYPE.DOC.CP" w:val="\u1055?\u1056?\u1048?\u1051?\u1054?\u1046?\u1045?\u1053?\u1048?\u1071?"/>
    <w:docVar w:name="LW_TYPEACTEPRINCIPAL.CP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446F-6A84-41DF-8801-9F905650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1414</Words>
  <Characters>8873</Characters>
  <Application>Microsoft Office Word</Application>
  <DocSecurity>0</DocSecurity>
  <Lines>328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JACZEWSKA Sylwia (MARKT)</dc:creator>
  <cp:lastModifiedBy>DIGIT/A3</cp:lastModifiedBy>
  <cp:revision>8</cp:revision>
  <dcterms:created xsi:type="dcterms:W3CDTF">2017-05-30T12:01:00Z</dcterms:created>
  <dcterms:modified xsi:type="dcterms:W3CDTF">2017-05-31T13:16:00Z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