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3BA5EFE282A491EACBA85CB49D1CF48" style="width:450.8pt;height:495.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ANNEXES</w:t>
      </w:r>
    </w:p>
    <w:p>
      <w:pPr>
        <w:pStyle w:val="Accompagnant"/>
        <w:rPr>
          <w:noProof/>
        </w:rPr>
      </w:pPr>
      <w:r>
        <w:rPr>
          <w:noProof/>
        </w:rPr>
        <w:t>à la</w:t>
      </w:r>
    </w:p>
    <w:p>
      <w:pPr>
        <w:pStyle w:val="Typeacteprincipal"/>
        <w:rPr>
          <w:noProof/>
        </w:rPr>
      </w:pPr>
      <w:r>
        <w:rPr>
          <w:noProof/>
        </w:rPr>
        <w:t>PROPOSITION DE RÈGLEMENT DU PARLEMENT EUROPÉEN ET DU CONSEIL</w:t>
      </w:r>
    </w:p>
    <w:p>
      <w:pPr>
        <w:pStyle w:val="Objetacteprincipal"/>
        <w:rPr>
          <w:noProof/>
        </w:rPr>
      </w:pPr>
      <w:r>
        <w:rPr>
          <w:noProof/>
        </w:rPr>
        <w:t>établissant un portail numérique unique pour donner accès à des informations, des procédures et des services d’assistance et de résolution de problèmes, et modifiant le règlement (UE) nº 1024/2012</w:t>
      </w:r>
    </w:p>
    <w:p>
      <w:pPr>
        <w:pStyle w:val="Annexetitre"/>
        <w:rPr>
          <w:noProof/>
        </w:rPr>
      </w:pPr>
      <w:r>
        <w:rPr>
          <w:noProof/>
        </w:rPr>
        <w:t>ANNEXE I</w:t>
      </w:r>
      <w:r>
        <w:rPr>
          <w:noProof/>
        </w:rPr>
        <w:br/>
        <w:t>Liste des domaines d’information utiles aux citoyens et aux entreprises qui exercent leurs droits dans le cadre du marché unique, mentionnés à l’article 2, paragraphe 2, point a)</w:t>
      </w:r>
    </w:p>
    <w:p>
      <w:pPr>
        <w:rPr>
          <w:noProof/>
        </w:rPr>
      </w:pPr>
    </w:p>
    <w:p>
      <w:pPr>
        <w:spacing w:before="0" w:after="200" w:line="276" w:lineRule="auto"/>
        <w:jc w:val="left"/>
        <w:rPr>
          <w:b/>
          <w:noProof/>
        </w:rPr>
      </w:pPr>
      <w:r>
        <w:rPr>
          <w:b/>
          <w:noProof/>
        </w:rPr>
        <w:t>Domaines d’information se rapportant aux citoyens:</w:t>
      </w:r>
    </w:p>
    <w:tbl>
      <w:tblPr>
        <w:tblStyle w:val="TableGrid"/>
        <w:tblW w:w="0" w:type="auto"/>
        <w:tblLook w:val="04A0" w:firstRow="1" w:lastRow="0" w:firstColumn="1" w:lastColumn="0" w:noHBand="0" w:noVBand="1"/>
      </w:tblPr>
      <w:tblGrid>
        <w:gridCol w:w="2235"/>
        <w:gridCol w:w="6804"/>
      </w:tblGrid>
      <w:tr>
        <w:tc>
          <w:tcPr>
            <w:tcW w:w="2235" w:type="dxa"/>
            <w:shd w:val="clear" w:color="auto" w:fill="EEECE1" w:themeFill="background2"/>
          </w:tcPr>
          <w:p>
            <w:pPr>
              <w:spacing w:before="0" w:after="200" w:line="276" w:lineRule="auto"/>
              <w:jc w:val="left"/>
              <w:rPr>
                <w:b/>
                <w:noProof/>
              </w:rPr>
            </w:pPr>
            <w:r>
              <w:rPr>
                <w:b/>
                <w:noProof/>
              </w:rPr>
              <w:t>Domaine</w:t>
            </w:r>
          </w:p>
        </w:tc>
        <w:tc>
          <w:tcPr>
            <w:tcW w:w="6804" w:type="dxa"/>
            <w:shd w:val="clear" w:color="auto" w:fill="EEECE1" w:themeFill="background2"/>
          </w:tcPr>
          <w:p>
            <w:pPr>
              <w:spacing w:before="0" w:after="200" w:line="276" w:lineRule="auto"/>
              <w:jc w:val="left"/>
              <w:rPr>
                <w:b/>
                <w:noProof/>
              </w:rPr>
            </w:pPr>
            <w:r>
              <w:rPr>
                <w:b/>
                <w:noProof/>
              </w:rPr>
              <w:t xml:space="preserve">INFORMATIONS CONCERNANT LES DROITS, LES OBLIGATIONS ET LES RÈGLES APPLICABLES </w:t>
            </w:r>
          </w:p>
        </w:tc>
      </w:tr>
      <w:tr>
        <w:tc>
          <w:tcPr>
            <w:tcW w:w="2235" w:type="dxa"/>
          </w:tcPr>
          <w:p>
            <w:pPr>
              <w:spacing w:before="0" w:after="200" w:line="276" w:lineRule="auto"/>
              <w:jc w:val="left"/>
              <w:rPr>
                <w:noProof/>
              </w:rPr>
            </w:pPr>
            <w:r>
              <w:rPr>
                <w:noProof/>
              </w:rPr>
              <w:t>Voyages dans l’Union</w:t>
            </w:r>
          </w:p>
          <w:p>
            <w:pPr>
              <w:spacing w:before="0" w:after="200" w:line="276" w:lineRule="auto"/>
              <w:jc w:val="left"/>
              <w:rPr>
                <w:noProof/>
              </w:rPr>
            </w:pPr>
          </w:p>
        </w:tc>
        <w:tc>
          <w:tcPr>
            <w:tcW w:w="6804" w:type="dxa"/>
          </w:tcPr>
          <w:p>
            <w:pPr>
              <w:pStyle w:val="ListParagraph"/>
              <w:numPr>
                <w:ilvl w:val="0"/>
                <w:numId w:val="5"/>
              </w:numPr>
              <w:spacing w:before="0" w:after="200" w:line="276" w:lineRule="auto"/>
              <w:jc w:val="left"/>
              <w:rPr>
                <w:noProof/>
              </w:rPr>
            </w:pPr>
            <w:r>
              <w:rPr>
                <w:noProof/>
              </w:rPr>
              <w:t>documents dont doivent disposer les citoyens de l’Union, les membres de leur famille qui ne sont pas citoyens de l’Union, les mineurs non accompagnés et les personnes qui ne sont pas citoyennes de l’Union pour voyager d’un État membre de l’Union à l’autre (carte d’identité, visa, passeport)</w:t>
            </w:r>
          </w:p>
          <w:p>
            <w:pPr>
              <w:pStyle w:val="ListParagraph"/>
              <w:numPr>
                <w:ilvl w:val="0"/>
                <w:numId w:val="5"/>
              </w:numPr>
              <w:spacing w:before="0" w:after="200" w:line="276" w:lineRule="auto"/>
              <w:jc w:val="left"/>
              <w:rPr>
                <w:noProof/>
              </w:rPr>
            </w:pPr>
            <w:r>
              <w:rPr>
                <w:noProof/>
              </w:rPr>
              <w:t>droits et obligations des voyageurs qui se déplacent dans l’Union ou qui quittent le territoire de l’Union en avion, en train, en bateau ou en bus, et des voyageurs qui achètent des voyages à forfait ou des prestations de voyage liées</w:t>
            </w:r>
          </w:p>
          <w:p>
            <w:pPr>
              <w:pStyle w:val="ListParagraph"/>
              <w:numPr>
                <w:ilvl w:val="0"/>
                <w:numId w:val="5"/>
              </w:numPr>
              <w:spacing w:before="0" w:after="200" w:line="276" w:lineRule="auto"/>
              <w:jc w:val="left"/>
              <w:rPr>
                <w:noProof/>
              </w:rPr>
            </w:pPr>
            <w:r>
              <w:rPr>
                <w:noProof/>
              </w:rPr>
              <w:t>assistance en cas de mobilité réduite lors d’un voyage dans l’Union ou au départ de l’Union</w:t>
            </w:r>
          </w:p>
          <w:p>
            <w:pPr>
              <w:pStyle w:val="ListParagraph"/>
              <w:numPr>
                <w:ilvl w:val="0"/>
                <w:numId w:val="5"/>
              </w:numPr>
              <w:spacing w:before="0" w:after="200" w:line="276" w:lineRule="auto"/>
              <w:jc w:val="left"/>
              <w:rPr>
                <w:noProof/>
              </w:rPr>
            </w:pPr>
            <w:r>
              <w:rPr>
                <w:noProof/>
              </w:rPr>
              <w:t>transport d’animaux, de végétaux, d’alcool, de tabac, de cigarettes ou d’autres marchandises lors d’un voyage dans l’Union</w:t>
            </w:r>
          </w:p>
          <w:p>
            <w:pPr>
              <w:pStyle w:val="ListParagraph"/>
              <w:numPr>
                <w:ilvl w:val="0"/>
                <w:numId w:val="5"/>
              </w:numPr>
              <w:spacing w:before="0" w:after="200" w:line="276" w:lineRule="auto"/>
              <w:jc w:val="left"/>
              <w:rPr>
                <w:noProof/>
              </w:rPr>
            </w:pPr>
            <w:r>
              <w:rPr>
                <w:noProof/>
              </w:rPr>
              <w:t xml:space="preserve">appels vocaux et envoi et réception de messages électroniques et de données électroniques dans l’Union </w:t>
            </w:r>
          </w:p>
        </w:tc>
      </w:tr>
      <w:tr>
        <w:tc>
          <w:tcPr>
            <w:tcW w:w="2235" w:type="dxa"/>
          </w:tcPr>
          <w:p>
            <w:pPr>
              <w:spacing w:before="0" w:after="200" w:line="276" w:lineRule="auto"/>
              <w:jc w:val="left"/>
              <w:rPr>
                <w:noProof/>
              </w:rPr>
            </w:pPr>
            <w:r>
              <w:rPr>
                <w:noProof/>
              </w:rPr>
              <w:t xml:space="preserve">Travail et retraite dans l’Union </w:t>
            </w:r>
          </w:p>
        </w:tc>
        <w:tc>
          <w:tcPr>
            <w:tcW w:w="6804" w:type="dxa"/>
          </w:tcPr>
          <w:p>
            <w:pPr>
              <w:pStyle w:val="ListParagraph"/>
              <w:numPr>
                <w:ilvl w:val="0"/>
                <w:numId w:val="6"/>
              </w:numPr>
              <w:spacing w:before="0" w:after="200" w:line="276" w:lineRule="auto"/>
              <w:jc w:val="left"/>
              <w:rPr>
                <w:noProof/>
              </w:rPr>
            </w:pPr>
            <w:r>
              <w:rPr>
                <w:noProof/>
              </w:rPr>
              <w:t>recherche d’un emploi dans un autre État membre</w:t>
            </w:r>
          </w:p>
          <w:p>
            <w:pPr>
              <w:pStyle w:val="ListParagraph"/>
              <w:numPr>
                <w:ilvl w:val="0"/>
                <w:numId w:val="6"/>
              </w:numPr>
              <w:spacing w:before="0" w:after="200" w:line="276" w:lineRule="auto"/>
              <w:jc w:val="left"/>
              <w:rPr>
                <w:noProof/>
              </w:rPr>
            </w:pPr>
            <w:r>
              <w:rPr>
                <w:noProof/>
              </w:rPr>
              <w:t>entrée en fonctions dans un emploi dans un autre État membre</w:t>
            </w:r>
          </w:p>
          <w:p>
            <w:pPr>
              <w:pStyle w:val="ListParagraph"/>
              <w:numPr>
                <w:ilvl w:val="0"/>
                <w:numId w:val="6"/>
              </w:numPr>
              <w:spacing w:before="0" w:after="200" w:line="276" w:lineRule="auto"/>
              <w:jc w:val="left"/>
              <w:rPr>
                <w:noProof/>
              </w:rPr>
            </w:pPr>
            <w:r>
              <w:rPr>
                <w:noProof/>
              </w:rPr>
              <w:t>reconnaissance des qualifications en vue de travailler dans un autre État membre</w:t>
            </w:r>
          </w:p>
          <w:p>
            <w:pPr>
              <w:pStyle w:val="ListParagraph"/>
              <w:numPr>
                <w:ilvl w:val="0"/>
                <w:numId w:val="6"/>
              </w:numPr>
              <w:spacing w:before="0" w:after="200" w:line="276" w:lineRule="auto"/>
              <w:jc w:val="left"/>
              <w:rPr>
                <w:noProof/>
              </w:rPr>
            </w:pPr>
            <w:r>
              <w:rPr>
                <w:noProof/>
              </w:rPr>
              <w:t>fiscalité dans un autre État membre</w:t>
            </w:r>
          </w:p>
          <w:p>
            <w:pPr>
              <w:pStyle w:val="ListParagraph"/>
              <w:numPr>
                <w:ilvl w:val="0"/>
                <w:numId w:val="6"/>
              </w:numPr>
              <w:spacing w:before="0" w:after="200" w:line="276" w:lineRule="auto"/>
              <w:jc w:val="left"/>
              <w:rPr>
                <w:noProof/>
              </w:rPr>
            </w:pPr>
            <w:r>
              <w:rPr>
                <w:noProof/>
              </w:rPr>
              <w:lastRenderedPageBreak/>
              <w:t>conditions d’emploi (notamment heures de travail, congé payé, droits à congés, droits et obligations en matière d’heures supplémentaires, visites médicales, résiliation de contrat, licenciement et compression de personnel)</w:t>
            </w:r>
          </w:p>
          <w:p>
            <w:pPr>
              <w:pStyle w:val="ListParagraph"/>
              <w:numPr>
                <w:ilvl w:val="0"/>
                <w:numId w:val="6"/>
              </w:numPr>
              <w:spacing w:before="0" w:after="200" w:line="276" w:lineRule="auto"/>
              <w:jc w:val="left"/>
              <w:rPr>
                <w:noProof/>
              </w:rPr>
            </w:pPr>
            <w:r>
              <w:rPr>
                <w:noProof/>
              </w:rPr>
              <w:t>égalité de traitement (règles contre la discrimination sur le lieu de travail, égalité de rémunération entre les femmes et les hommes, ainsi qu’entre les titulaires d’un contrat à durée déterminée et les titulaires d’un contrat à durée indéterminée)</w:t>
            </w:r>
          </w:p>
          <w:p>
            <w:pPr>
              <w:pStyle w:val="ListParagraph"/>
              <w:numPr>
                <w:ilvl w:val="0"/>
                <w:numId w:val="6"/>
              </w:numPr>
              <w:spacing w:before="0" w:after="200" w:line="276" w:lineRule="auto"/>
              <w:jc w:val="left"/>
              <w:rPr>
                <w:noProof/>
              </w:rPr>
            </w:pPr>
            <w:r>
              <w:rPr>
                <w:noProof/>
              </w:rPr>
              <w:t xml:space="preserve">obligations en matière de santé et de sécurité selon le type d’activité </w:t>
            </w:r>
          </w:p>
          <w:p>
            <w:pPr>
              <w:pStyle w:val="ListParagraph"/>
              <w:numPr>
                <w:ilvl w:val="0"/>
                <w:numId w:val="6"/>
              </w:numPr>
              <w:spacing w:before="0" w:after="200" w:line="276" w:lineRule="auto"/>
              <w:jc w:val="left"/>
              <w:rPr>
                <w:noProof/>
              </w:rPr>
            </w:pPr>
            <w:r>
              <w:rPr>
                <w:noProof/>
              </w:rPr>
              <w:t>droits et obligations de sécurité sociale dans l’Union, notamment en matière de pensions</w:t>
            </w:r>
          </w:p>
        </w:tc>
      </w:tr>
      <w:tr>
        <w:tc>
          <w:tcPr>
            <w:tcW w:w="2235" w:type="dxa"/>
          </w:tcPr>
          <w:p>
            <w:pPr>
              <w:spacing w:before="0" w:after="200" w:line="276" w:lineRule="auto"/>
              <w:jc w:val="left"/>
              <w:rPr>
                <w:noProof/>
              </w:rPr>
            </w:pPr>
            <w:r>
              <w:rPr>
                <w:noProof/>
              </w:rPr>
              <w:lastRenderedPageBreak/>
              <w:t>Véhicules dans l’Union</w:t>
            </w:r>
          </w:p>
          <w:p>
            <w:pPr>
              <w:spacing w:before="0" w:after="200" w:line="276" w:lineRule="auto"/>
              <w:jc w:val="left"/>
              <w:rPr>
                <w:noProof/>
              </w:rPr>
            </w:pPr>
          </w:p>
        </w:tc>
        <w:tc>
          <w:tcPr>
            <w:tcW w:w="6804" w:type="dxa"/>
          </w:tcPr>
          <w:p>
            <w:pPr>
              <w:pStyle w:val="ListParagraph"/>
              <w:numPr>
                <w:ilvl w:val="0"/>
                <w:numId w:val="7"/>
              </w:numPr>
              <w:spacing w:before="0" w:after="200" w:line="276" w:lineRule="auto"/>
              <w:jc w:val="left"/>
              <w:rPr>
                <w:noProof/>
              </w:rPr>
            </w:pPr>
            <w:r>
              <w:rPr>
                <w:noProof/>
              </w:rPr>
              <w:t>transfert temporaire ou permanent d’un véhicule dans un autre État membre</w:t>
            </w:r>
          </w:p>
          <w:p>
            <w:pPr>
              <w:pStyle w:val="ListParagraph"/>
              <w:numPr>
                <w:ilvl w:val="0"/>
                <w:numId w:val="7"/>
              </w:numPr>
              <w:spacing w:before="0" w:after="200" w:line="276" w:lineRule="auto"/>
              <w:jc w:val="left"/>
              <w:rPr>
                <w:noProof/>
              </w:rPr>
            </w:pPr>
            <w:r>
              <w:rPr>
                <w:noProof/>
              </w:rPr>
              <w:t>obtention ou renouvellement du permis de conduire</w:t>
            </w:r>
          </w:p>
          <w:p>
            <w:pPr>
              <w:pStyle w:val="ListParagraph"/>
              <w:numPr>
                <w:ilvl w:val="0"/>
                <w:numId w:val="7"/>
              </w:numPr>
              <w:spacing w:before="0" w:after="200" w:line="276" w:lineRule="auto"/>
              <w:jc w:val="left"/>
              <w:rPr>
                <w:noProof/>
              </w:rPr>
            </w:pPr>
            <w:r>
              <w:rPr>
                <w:noProof/>
              </w:rPr>
              <w:t xml:space="preserve">assurance automobile obligatoire </w:t>
            </w:r>
          </w:p>
          <w:p>
            <w:pPr>
              <w:pStyle w:val="ListParagraph"/>
              <w:numPr>
                <w:ilvl w:val="0"/>
                <w:numId w:val="7"/>
              </w:numPr>
              <w:spacing w:before="0" w:after="200" w:line="276" w:lineRule="auto"/>
              <w:jc w:val="left"/>
              <w:rPr>
                <w:noProof/>
              </w:rPr>
            </w:pPr>
            <w:r>
              <w:rPr>
                <w:noProof/>
              </w:rPr>
              <w:t>achat ou vente d’un véhicule dans un autre État membre</w:t>
            </w:r>
          </w:p>
          <w:p>
            <w:pPr>
              <w:pStyle w:val="ListParagraph"/>
              <w:numPr>
                <w:ilvl w:val="0"/>
                <w:numId w:val="7"/>
              </w:numPr>
              <w:spacing w:before="0" w:after="200" w:line="276" w:lineRule="auto"/>
              <w:jc w:val="left"/>
              <w:rPr>
                <w:noProof/>
              </w:rPr>
            </w:pPr>
            <w:r>
              <w:rPr>
                <w:noProof/>
              </w:rPr>
              <w:t>location d’un véhicule</w:t>
            </w:r>
          </w:p>
          <w:p>
            <w:pPr>
              <w:pStyle w:val="ListParagraph"/>
              <w:numPr>
                <w:ilvl w:val="0"/>
                <w:numId w:val="7"/>
              </w:numPr>
              <w:spacing w:before="0" w:after="200" w:line="276" w:lineRule="auto"/>
              <w:jc w:val="left"/>
              <w:rPr>
                <w:noProof/>
              </w:rPr>
            </w:pPr>
            <w:r>
              <w:rPr>
                <w:noProof/>
              </w:rPr>
              <w:t>code de la route national et exigences à respecter par les conducteurs</w:t>
            </w:r>
          </w:p>
        </w:tc>
      </w:tr>
      <w:tr>
        <w:tc>
          <w:tcPr>
            <w:tcW w:w="2235" w:type="dxa"/>
          </w:tcPr>
          <w:p>
            <w:pPr>
              <w:spacing w:before="0" w:after="200" w:line="276" w:lineRule="auto"/>
              <w:jc w:val="left"/>
              <w:rPr>
                <w:noProof/>
              </w:rPr>
            </w:pPr>
            <w:r>
              <w:rPr>
                <w:noProof/>
              </w:rPr>
              <w:t>Séjour dans un autre État membre</w:t>
            </w:r>
          </w:p>
        </w:tc>
        <w:tc>
          <w:tcPr>
            <w:tcW w:w="6804" w:type="dxa"/>
          </w:tcPr>
          <w:p>
            <w:pPr>
              <w:pStyle w:val="ListParagraph"/>
              <w:numPr>
                <w:ilvl w:val="0"/>
                <w:numId w:val="8"/>
              </w:numPr>
              <w:spacing w:before="0" w:after="200" w:line="276" w:lineRule="auto"/>
              <w:jc w:val="left"/>
              <w:rPr>
                <w:noProof/>
              </w:rPr>
            </w:pPr>
            <w:r>
              <w:rPr>
                <w:noProof/>
              </w:rPr>
              <w:t xml:space="preserve">séjour temporaire ou permanent dans un autre État membre </w:t>
            </w:r>
          </w:p>
          <w:p>
            <w:pPr>
              <w:pStyle w:val="ListParagraph"/>
              <w:numPr>
                <w:ilvl w:val="0"/>
                <w:numId w:val="8"/>
              </w:numPr>
              <w:rPr>
                <w:noProof/>
              </w:rPr>
            </w:pPr>
            <w:r>
              <w:rPr>
                <w:noProof/>
              </w:rPr>
              <w:t>participation aux élections municipales et aux élections du Parlement européen</w:t>
            </w:r>
          </w:p>
          <w:p>
            <w:pPr>
              <w:pStyle w:val="ListParagraph"/>
              <w:numPr>
                <w:ilvl w:val="0"/>
                <w:numId w:val="8"/>
              </w:numPr>
              <w:rPr>
                <w:noProof/>
              </w:rPr>
            </w:pPr>
            <w:r>
              <w:rPr>
                <w:noProof/>
              </w:rPr>
              <w:t>obligations en matière de titre de séjour pour les citoyens de l’Union et les membres de leur famille, y compris ceux qui ne sont pas citoyens de l’Union</w:t>
            </w:r>
          </w:p>
        </w:tc>
      </w:tr>
      <w:tr>
        <w:tc>
          <w:tcPr>
            <w:tcW w:w="2235" w:type="dxa"/>
          </w:tcPr>
          <w:p>
            <w:pPr>
              <w:spacing w:before="0" w:after="200" w:line="276" w:lineRule="auto"/>
              <w:jc w:val="left"/>
              <w:rPr>
                <w:noProof/>
              </w:rPr>
            </w:pPr>
            <w:r>
              <w:rPr>
                <w:noProof/>
              </w:rPr>
              <w:t>Études ou stage dans un autre État membre</w:t>
            </w:r>
          </w:p>
          <w:p>
            <w:pPr>
              <w:spacing w:before="0" w:after="200" w:line="276" w:lineRule="auto"/>
              <w:jc w:val="left"/>
              <w:rPr>
                <w:noProof/>
              </w:rPr>
            </w:pPr>
          </w:p>
        </w:tc>
        <w:tc>
          <w:tcPr>
            <w:tcW w:w="6804" w:type="dxa"/>
          </w:tcPr>
          <w:p>
            <w:pPr>
              <w:pStyle w:val="ListParagraph"/>
              <w:numPr>
                <w:ilvl w:val="0"/>
                <w:numId w:val="9"/>
              </w:numPr>
              <w:spacing w:before="0" w:after="200" w:line="276" w:lineRule="auto"/>
              <w:jc w:val="left"/>
              <w:rPr>
                <w:noProof/>
              </w:rPr>
            </w:pPr>
            <w:r>
              <w:rPr>
                <w:noProof/>
              </w:rPr>
              <w:t>aller à l’école dans un autre État membre</w:t>
            </w:r>
          </w:p>
          <w:p>
            <w:pPr>
              <w:pStyle w:val="ListParagraph"/>
              <w:numPr>
                <w:ilvl w:val="0"/>
                <w:numId w:val="9"/>
              </w:numPr>
              <w:spacing w:before="0" w:after="200" w:line="276" w:lineRule="auto"/>
              <w:jc w:val="left"/>
              <w:rPr>
                <w:noProof/>
              </w:rPr>
            </w:pPr>
            <w:r>
              <w:rPr>
                <w:noProof/>
              </w:rPr>
              <w:t>aller à l’université dans un autre État membre</w:t>
            </w:r>
          </w:p>
          <w:p>
            <w:pPr>
              <w:pStyle w:val="ListParagraph"/>
              <w:numPr>
                <w:ilvl w:val="0"/>
                <w:numId w:val="9"/>
              </w:numPr>
              <w:spacing w:before="0" w:after="200" w:line="276" w:lineRule="auto"/>
              <w:jc w:val="left"/>
              <w:rPr>
                <w:noProof/>
              </w:rPr>
            </w:pPr>
            <w:r>
              <w:rPr>
                <w:noProof/>
              </w:rPr>
              <w:t>être bénévole dans un autre État membre</w:t>
            </w:r>
          </w:p>
          <w:p>
            <w:pPr>
              <w:pStyle w:val="ListParagraph"/>
              <w:numPr>
                <w:ilvl w:val="0"/>
                <w:numId w:val="9"/>
              </w:numPr>
              <w:spacing w:before="0" w:after="200" w:line="276" w:lineRule="auto"/>
              <w:jc w:val="left"/>
              <w:rPr>
                <w:noProof/>
              </w:rPr>
            </w:pPr>
            <w:r>
              <w:rPr>
                <w:noProof/>
              </w:rPr>
              <w:t>faire un stage dans un autre État membre</w:t>
            </w:r>
          </w:p>
          <w:p>
            <w:pPr>
              <w:pStyle w:val="ListParagraph"/>
              <w:numPr>
                <w:ilvl w:val="0"/>
                <w:numId w:val="9"/>
              </w:numPr>
              <w:spacing w:before="0" w:after="200" w:line="276" w:lineRule="auto"/>
              <w:jc w:val="left"/>
              <w:rPr>
                <w:noProof/>
              </w:rPr>
            </w:pPr>
            <w:r>
              <w:rPr>
                <w:noProof/>
              </w:rPr>
              <w:t>faire de la recherche dans un autre État membre dans le cadre d’un programme d’enseignement</w:t>
            </w:r>
          </w:p>
        </w:tc>
      </w:tr>
      <w:tr>
        <w:tc>
          <w:tcPr>
            <w:tcW w:w="2235" w:type="dxa"/>
          </w:tcPr>
          <w:p>
            <w:pPr>
              <w:spacing w:before="0" w:after="200" w:line="276" w:lineRule="auto"/>
              <w:jc w:val="left"/>
              <w:rPr>
                <w:noProof/>
              </w:rPr>
            </w:pPr>
            <w:r>
              <w:rPr>
                <w:noProof/>
              </w:rPr>
              <w:t xml:space="preserve">Soins de santé </w:t>
            </w:r>
          </w:p>
          <w:p>
            <w:pPr>
              <w:spacing w:before="0" w:after="200" w:line="276" w:lineRule="auto"/>
              <w:jc w:val="left"/>
              <w:rPr>
                <w:noProof/>
              </w:rPr>
            </w:pPr>
          </w:p>
        </w:tc>
        <w:tc>
          <w:tcPr>
            <w:tcW w:w="6804" w:type="dxa"/>
          </w:tcPr>
          <w:p>
            <w:pPr>
              <w:pStyle w:val="ListParagraph"/>
              <w:numPr>
                <w:ilvl w:val="0"/>
                <w:numId w:val="10"/>
              </w:numPr>
              <w:spacing w:before="0" w:after="200" w:line="276" w:lineRule="auto"/>
              <w:jc w:val="left"/>
              <w:rPr>
                <w:noProof/>
              </w:rPr>
            </w:pPr>
            <w:r>
              <w:rPr>
                <w:noProof/>
              </w:rPr>
              <w:t>obtention de soins médicaux dans un autre État membre</w:t>
            </w:r>
          </w:p>
          <w:p>
            <w:pPr>
              <w:pStyle w:val="ListParagraph"/>
              <w:numPr>
                <w:ilvl w:val="0"/>
                <w:numId w:val="10"/>
              </w:numPr>
              <w:spacing w:before="0" w:after="200" w:line="276" w:lineRule="auto"/>
              <w:jc w:val="left"/>
              <w:rPr>
                <w:noProof/>
              </w:rPr>
            </w:pPr>
            <w:r>
              <w:rPr>
                <w:noProof/>
              </w:rPr>
              <w:t xml:space="preserve">achat de médicaments soumis à prescription médicale dans un État membre différent de celui où la prescription a été établie, en ligne ou en personne </w:t>
            </w:r>
          </w:p>
        </w:tc>
      </w:tr>
      <w:tr>
        <w:tc>
          <w:tcPr>
            <w:tcW w:w="2235" w:type="dxa"/>
          </w:tcPr>
          <w:p>
            <w:pPr>
              <w:spacing w:before="0" w:after="200" w:line="276" w:lineRule="auto"/>
              <w:jc w:val="left"/>
              <w:rPr>
                <w:noProof/>
              </w:rPr>
            </w:pPr>
            <w:r>
              <w:rPr>
                <w:noProof/>
              </w:rPr>
              <w:t xml:space="preserve">Droits, obligations et règles applicables </w:t>
            </w:r>
            <w:r>
              <w:rPr>
                <w:noProof/>
              </w:rPr>
              <w:lastRenderedPageBreak/>
              <w:t>concernant la famille en situation transfrontière</w:t>
            </w:r>
          </w:p>
          <w:p>
            <w:pPr>
              <w:spacing w:before="0" w:after="200" w:line="276" w:lineRule="auto"/>
              <w:jc w:val="left"/>
              <w:rPr>
                <w:noProof/>
              </w:rPr>
            </w:pPr>
          </w:p>
        </w:tc>
        <w:tc>
          <w:tcPr>
            <w:tcW w:w="6804" w:type="dxa"/>
          </w:tcPr>
          <w:p>
            <w:pPr>
              <w:pStyle w:val="ListParagraph"/>
              <w:numPr>
                <w:ilvl w:val="0"/>
                <w:numId w:val="11"/>
              </w:numPr>
              <w:rPr>
                <w:noProof/>
              </w:rPr>
            </w:pPr>
            <w:r>
              <w:rPr>
                <w:noProof/>
              </w:rPr>
              <w:lastRenderedPageBreak/>
              <w:t xml:space="preserve"> naissance, garde d’enfants mineurs, responsabilité </w:t>
            </w:r>
            <w:r>
              <w:rPr>
                <w:noProof/>
              </w:rPr>
              <w:lastRenderedPageBreak/>
              <w:t>parentale, obligation alimentaire à l’égard d’enfants dans une situation de famille transfrontière</w:t>
            </w:r>
          </w:p>
          <w:p>
            <w:pPr>
              <w:pStyle w:val="ListParagraph"/>
              <w:numPr>
                <w:ilvl w:val="0"/>
                <w:numId w:val="11"/>
              </w:numPr>
              <w:spacing w:before="0" w:after="200" w:line="276" w:lineRule="auto"/>
              <w:jc w:val="left"/>
              <w:rPr>
                <w:noProof/>
              </w:rPr>
            </w:pPr>
            <w:r>
              <w:rPr>
                <w:noProof/>
              </w:rPr>
              <w:t>vie en couple avec un partenaire d’une autre nationalité (mariage, séparation, divorce, régime matrimonial, droits des cohabitants)</w:t>
            </w:r>
          </w:p>
          <w:p>
            <w:pPr>
              <w:pStyle w:val="ListParagraph"/>
              <w:numPr>
                <w:ilvl w:val="0"/>
                <w:numId w:val="11"/>
              </w:numPr>
              <w:spacing w:before="0" w:after="200" w:line="276" w:lineRule="auto"/>
              <w:jc w:val="left"/>
              <w:rPr>
                <w:noProof/>
              </w:rPr>
            </w:pPr>
            <w:r>
              <w:rPr>
                <w:noProof/>
              </w:rPr>
              <w:t>droits en cas de succession en situation transfrontière</w:t>
            </w:r>
          </w:p>
        </w:tc>
      </w:tr>
      <w:tr>
        <w:tc>
          <w:tcPr>
            <w:tcW w:w="2235" w:type="dxa"/>
          </w:tcPr>
          <w:p>
            <w:pPr>
              <w:spacing w:before="0" w:after="200" w:line="276" w:lineRule="auto"/>
              <w:jc w:val="left"/>
              <w:rPr>
                <w:noProof/>
              </w:rPr>
            </w:pPr>
            <w:r>
              <w:rPr>
                <w:noProof/>
              </w:rPr>
              <w:lastRenderedPageBreak/>
              <w:t>Consommateurs dans un contexte transfrontière</w:t>
            </w:r>
          </w:p>
        </w:tc>
        <w:tc>
          <w:tcPr>
            <w:tcW w:w="6804" w:type="dxa"/>
          </w:tcPr>
          <w:p>
            <w:pPr>
              <w:pStyle w:val="ListParagraph"/>
              <w:numPr>
                <w:ilvl w:val="0"/>
                <w:numId w:val="12"/>
              </w:numPr>
              <w:spacing w:before="0" w:after="200" w:line="276" w:lineRule="auto"/>
              <w:jc w:val="left"/>
              <w:rPr>
                <w:noProof/>
              </w:rPr>
            </w:pPr>
            <w:r>
              <w:rPr>
                <w:noProof/>
              </w:rPr>
              <w:t xml:space="preserve">achat de biens ou de services (y compris financiers) dans un autre État membre, en ligne ou en personne </w:t>
            </w:r>
          </w:p>
          <w:p>
            <w:pPr>
              <w:pStyle w:val="ListParagraph"/>
              <w:numPr>
                <w:ilvl w:val="0"/>
                <w:numId w:val="12"/>
              </w:numPr>
              <w:spacing w:before="0" w:after="200" w:line="276" w:lineRule="auto"/>
              <w:jc w:val="left"/>
              <w:rPr>
                <w:noProof/>
              </w:rPr>
            </w:pPr>
            <w:r>
              <w:rPr>
                <w:noProof/>
              </w:rPr>
              <w:t>compte bancaire dans un autre État membre</w:t>
            </w:r>
          </w:p>
          <w:p>
            <w:pPr>
              <w:pStyle w:val="ListParagraph"/>
              <w:numPr>
                <w:ilvl w:val="0"/>
                <w:numId w:val="12"/>
              </w:numPr>
              <w:spacing w:before="0" w:after="200" w:line="276" w:lineRule="auto"/>
              <w:jc w:val="left"/>
              <w:rPr>
                <w:noProof/>
              </w:rPr>
            </w:pPr>
            <w:r>
              <w:rPr>
                <w:noProof/>
              </w:rPr>
              <w:t>raccordement aux services tels que le gaz, l’électricité, l’eau, les télécommunications et l’internet</w:t>
            </w:r>
          </w:p>
          <w:p>
            <w:pPr>
              <w:pStyle w:val="ListParagraph"/>
              <w:numPr>
                <w:ilvl w:val="0"/>
                <w:numId w:val="12"/>
              </w:numPr>
              <w:spacing w:before="0" w:after="200" w:line="276" w:lineRule="auto"/>
              <w:jc w:val="left"/>
              <w:rPr>
                <w:noProof/>
              </w:rPr>
            </w:pPr>
            <w:r>
              <w:rPr>
                <w:noProof/>
              </w:rPr>
              <w:t xml:space="preserve">paiements, y compris virements, et retards de paiement en situation transfrontière </w:t>
            </w:r>
          </w:p>
          <w:p>
            <w:pPr>
              <w:pStyle w:val="ListParagraph"/>
              <w:numPr>
                <w:ilvl w:val="0"/>
                <w:numId w:val="12"/>
              </w:numPr>
              <w:spacing w:before="0" w:after="200" w:line="276" w:lineRule="auto"/>
              <w:jc w:val="left"/>
              <w:rPr>
                <w:noProof/>
              </w:rPr>
            </w:pPr>
            <w:r>
              <w:rPr>
                <w:noProof/>
              </w:rPr>
              <w:t xml:space="preserve">droits des consommateurs et garanties en cas d’achat de biens et de services </w:t>
            </w:r>
          </w:p>
        </w:tc>
      </w:tr>
    </w:tbl>
    <w:p>
      <w:pPr>
        <w:spacing w:before="0" w:after="200" w:line="276" w:lineRule="auto"/>
        <w:jc w:val="left"/>
        <w:rPr>
          <w:noProof/>
        </w:rPr>
      </w:pPr>
    </w:p>
    <w:p>
      <w:pPr>
        <w:spacing w:before="0" w:after="200" w:line="276" w:lineRule="auto"/>
        <w:jc w:val="left"/>
        <w:rPr>
          <w:noProof/>
        </w:rPr>
      </w:pPr>
      <w:r>
        <w:rPr>
          <w:b/>
          <w:noProof/>
        </w:rPr>
        <w:t>Domaines d’information se rapportant aux entreprises</w:t>
      </w:r>
      <w:r>
        <w:rPr>
          <w:noProof/>
        </w:rPr>
        <w:t>:</w:t>
      </w:r>
    </w:p>
    <w:tbl>
      <w:tblPr>
        <w:tblStyle w:val="TableGrid"/>
        <w:tblW w:w="0" w:type="auto"/>
        <w:tblLook w:val="04A0" w:firstRow="1" w:lastRow="0" w:firstColumn="1" w:lastColumn="0" w:noHBand="0" w:noVBand="1"/>
      </w:tblPr>
      <w:tblGrid>
        <w:gridCol w:w="2235"/>
        <w:gridCol w:w="6804"/>
      </w:tblGrid>
      <w:tr>
        <w:tc>
          <w:tcPr>
            <w:tcW w:w="2235" w:type="dxa"/>
            <w:shd w:val="clear" w:color="auto" w:fill="EEECE1" w:themeFill="background2"/>
          </w:tcPr>
          <w:p>
            <w:pPr>
              <w:spacing w:before="0" w:after="200" w:line="276" w:lineRule="auto"/>
              <w:jc w:val="left"/>
              <w:rPr>
                <w:b/>
                <w:noProof/>
              </w:rPr>
            </w:pPr>
            <w:r>
              <w:rPr>
                <w:b/>
                <w:noProof/>
              </w:rPr>
              <w:t>Domaine</w:t>
            </w:r>
          </w:p>
        </w:tc>
        <w:tc>
          <w:tcPr>
            <w:tcW w:w="6804" w:type="dxa"/>
            <w:shd w:val="clear" w:color="auto" w:fill="EEECE1" w:themeFill="background2"/>
          </w:tcPr>
          <w:p>
            <w:pPr>
              <w:spacing w:before="0" w:after="200" w:line="276" w:lineRule="auto"/>
              <w:jc w:val="left"/>
              <w:rPr>
                <w:b/>
                <w:noProof/>
              </w:rPr>
            </w:pPr>
            <w:r>
              <w:rPr>
                <w:b/>
                <w:noProof/>
              </w:rPr>
              <w:t>INFORMATIONS CONCERNANT LES DROITS, LES OBLIGATIONS ET LES RÈGLES APPLICABLES</w:t>
            </w:r>
          </w:p>
        </w:tc>
      </w:tr>
      <w:tr>
        <w:tc>
          <w:tcPr>
            <w:tcW w:w="2235" w:type="dxa"/>
          </w:tcPr>
          <w:p>
            <w:pPr>
              <w:spacing w:before="0" w:after="200" w:line="276" w:lineRule="auto"/>
              <w:jc w:val="left"/>
              <w:rPr>
                <w:noProof/>
              </w:rPr>
            </w:pPr>
            <w:r>
              <w:rPr>
                <w:noProof/>
              </w:rPr>
              <w:t>Démarrage et gestion d’une entreprise, et cessation d’activité</w:t>
            </w:r>
          </w:p>
        </w:tc>
        <w:tc>
          <w:tcPr>
            <w:tcW w:w="6804" w:type="dxa"/>
          </w:tcPr>
          <w:p>
            <w:pPr>
              <w:pStyle w:val="ListParagraph"/>
              <w:numPr>
                <w:ilvl w:val="0"/>
                <w:numId w:val="5"/>
              </w:numPr>
              <w:spacing w:before="0" w:after="200" w:line="276" w:lineRule="auto"/>
              <w:jc w:val="left"/>
              <w:rPr>
                <w:noProof/>
              </w:rPr>
            </w:pPr>
            <w:r>
              <w:rPr>
                <w:noProof/>
              </w:rPr>
              <w:t>immatriculation de l’entreprise (procédures d’enregistrement et formes juridiques pour exercer l’activité)</w:t>
            </w:r>
          </w:p>
          <w:p>
            <w:pPr>
              <w:pStyle w:val="ListParagraph"/>
              <w:numPr>
                <w:ilvl w:val="0"/>
                <w:numId w:val="5"/>
              </w:numPr>
              <w:spacing w:before="0" w:after="200" w:line="276" w:lineRule="auto"/>
              <w:jc w:val="left"/>
              <w:rPr>
                <w:noProof/>
              </w:rPr>
            </w:pPr>
            <w:r>
              <w:rPr>
                <w:noProof/>
              </w:rPr>
              <w:t>droits de propriété intellectuelle (faire une demande de brevet, enregistrer une marque, un dessin ou un modèle, obtenir une autorisation de reproduction)</w:t>
            </w:r>
          </w:p>
          <w:p>
            <w:pPr>
              <w:pStyle w:val="ListParagraph"/>
              <w:numPr>
                <w:ilvl w:val="0"/>
                <w:numId w:val="5"/>
              </w:numPr>
              <w:spacing w:before="0" w:after="200" w:line="276" w:lineRule="auto"/>
              <w:jc w:val="left"/>
              <w:rPr>
                <w:noProof/>
              </w:rPr>
            </w:pPr>
            <w:r>
              <w:rPr>
                <w:noProof/>
              </w:rPr>
              <w:t xml:space="preserve">pratiques commerciales équitables et transparentes, y compris droits des consommateurs et garanties liées aux ventes de produits et services </w:t>
            </w:r>
          </w:p>
          <w:p>
            <w:pPr>
              <w:pStyle w:val="ListParagraph"/>
              <w:numPr>
                <w:ilvl w:val="0"/>
                <w:numId w:val="5"/>
              </w:numPr>
              <w:spacing w:before="0" w:after="200" w:line="276" w:lineRule="auto"/>
              <w:jc w:val="left"/>
              <w:rPr>
                <w:noProof/>
              </w:rPr>
            </w:pPr>
            <w:r>
              <w:rPr>
                <w:noProof/>
              </w:rPr>
              <w:t>facilités de paiement en ligne transfrontière en cas de vente de biens et de services en ligne</w:t>
            </w:r>
          </w:p>
          <w:p>
            <w:pPr>
              <w:pStyle w:val="ListParagraph"/>
              <w:numPr>
                <w:ilvl w:val="0"/>
                <w:numId w:val="5"/>
              </w:numPr>
              <w:spacing w:before="0" w:after="200" w:line="276" w:lineRule="auto"/>
              <w:jc w:val="left"/>
              <w:rPr>
                <w:noProof/>
              </w:rPr>
            </w:pPr>
            <w:r>
              <w:rPr>
                <w:noProof/>
              </w:rPr>
              <w:t>droits et obligations découlant du droit des contrats, y compris intérêts de retard</w:t>
            </w:r>
          </w:p>
          <w:p>
            <w:pPr>
              <w:pStyle w:val="ListParagraph"/>
              <w:numPr>
                <w:ilvl w:val="0"/>
                <w:numId w:val="5"/>
              </w:numPr>
              <w:spacing w:before="0" w:after="200" w:line="276" w:lineRule="auto"/>
              <w:jc w:val="left"/>
              <w:rPr>
                <w:noProof/>
              </w:rPr>
            </w:pPr>
            <w:r>
              <w:rPr>
                <w:noProof/>
              </w:rPr>
              <w:t>procédures d’insolvabilité et liquidation d’entreprise</w:t>
            </w:r>
          </w:p>
          <w:p>
            <w:pPr>
              <w:pStyle w:val="ListParagraph"/>
              <w:numPr>
                <w:ilvl w:val="0"/>
                <w:numId w:val="5"/>
              </w:numPr>
              <w:spacing w:before="0" w:after="200" w:line="276" w:lineRule="auto"/>
              <w:jc w:val="left"/>
              <w:rPr>
                <w:noProof/>
              </w:rPr>
            </w:pPr>
            <w:r>
              <w:rPr>
                <w:noProof/>
              </w:rPr>
              <w:t>assurance-crédit</w:t>
            </w:r>
          </w:p>
          <w:p>
            <w:pPr>
              <w:pStyle w:val="ListParagraph"/>
              <w:numPr>
                <w:ilvl w:val="0"/>
                <w:numId w:val="5"/>
              </w:numPr>
              <w:spacing w:before="0" w:after="200" w:line="276" w:lineRule="auto"/>
              <w:jc w:val="left"/>
              <w:rPr>
                <w:noProof/>
              </w:rPr>
            </w:pPr>
            <w:r>
              <w:rPr>
                <w:noProof/>
              </w:rPr>
              <w:t>fusion ou vente de sociétés</w:t>
            </w:r>
          </w:p>
        </w:tc>
      </w:tr>
      <w:tr>
        <w:tc>
          <w:tcPr>
            <w:tcW w:w="2235" w:type="dxa"/>
          </w:tcPr>
          <w:p>
            <w:pPr>
              <w:spacing w:before="0" w:after="200" w:line="276" w:lineRule="auto"/>
              <w:jc w:val="left"/>
              <w:rPr>
                <w:noProof/>
              </w:rPr>
            </w:pPr>
            <w:r>
              <w:rPr>
                <w:noProof/>
              </w:rPr>
              <w:t>Personnel</w:t>
            </w:r>
          </w:p>
        </w:tc>
        <w:tc>
          <w:tcPr>
            <w:tcW w:w="6804" w:type="dxa"/>
          </w:tcPr>
          <w:p>
            <w:pPr>
              <w:pStyle w:val="ListParagraph"/>
              <w:numPr>
                <w:ilvl w:val="0"/>
                <w:numId w:val="6"/>
              </w:numPr>
              <w:spacing w:before="0" w:after="200" w:line="276" w:lineRule="auto"/>
              <w:jc w:val="left"/>
              <w:rPr>
                <w:noProof/>
              </w:rPr>
            </w:pPr>
            <w:r>
              <w:rPr>
                <w:noProof/>
              </w:rPr>
              <w:t>conditions d’emploi (notamment heures de travail, congé payé, droits à congés, droits et obligations en matières d’heures supplémentaires, visites médicales, résiliation de contrat, licenciement et compression de personnel)</w:t>
            </w:r>
          </w:p>
          <w:p>
            <w:pPr>
              <w:pStyle w:val="ListParagraph"/>
              <w:numPr>
                <w:ilvl w:val="0"/>
                <w:numId w:val="6"/>
              </w:numPr>
              <w:spacing w:before="0" w:after="200" w:line="276" w:lineRule="auto"/>
              <w:jc w:val="left"/>
              <w:rPr>
                <w:noProof/>
              </w:rPr>
            </w:pPr>
            <w:r>
              <w:rPr>
                <w:noProof/>
              </w:rPr>
              <w:lastRenderedPageBreak/>
              <w:t>droits et obligations en matière de sécurité sociale dans l’Union (enregistrement en tant qu’employeur, déclaration de salariés, notification de la fin du contrat d’un salarié, versement des cotisations sociales, droits et obligations en matière de pensions)</w:t>
            </w:r>
          </w:p>
          <w:p>
            <w:pPr>
              <w:pStyle w:val="ListParagraph"/>
              <w:numPr>
                <w:ilvl w:val="0"/>
                <w:numId w:val="6"/>
              </w:numPr>
              <w:spacing w:before="0" w:after="200" w:line="276" w:lineRule="auto"/>
              <w:jc w:val="left"/>
              <w:rPr>
                <w:noProof/>
              </w:rPr>
            </w:pPr>
            <w:r>
              <w:rPr>
                <w:noProof/>
              </w:rPr>
              <w:t>emploi de travailleurs dans d’autres États membres (détachement, règles concernant la libre prestation des services, exigences de séjour applicables aux travailleurs)</w:t>
            </w:r>
          </w:p>
          <w:p>
            <w:pPr>
              <w:pStyle w:val="ListParagraph"/>
              <w:numPr>
                <w:ilvl w:val="0"/>
                <w:numId w:val="6"/>
              </w:numPr>
              <w:spacing w:before="0" w:after="200" w:line="276" w:lineRule="auto"/>
              <w:jc w:val="left"/>
              <w:rPr>
                <w:noProof/>
              </w:rPr>
            </w:pPr>
            <w:r>
              <w:rPr>
                <w:noProof/>
              </w:rPr>
              <w:t>égalité de traitement (règles contre la discrimination sur le lieu de travail, égalité de rémunération entre les femmes et les hommes, ainsi qu’entre les titulaires d’un contrat à durée déterminée et les titulaires d’un contrat à durée indéterminée)</w:t>
            </w:r>
          </w:p>
          <w:p>
            <w:pPr>
              <w:pStyle w:val="ListParagraph"/>
              <w:numPr>
                <w:ilvl w:val="0"/>
                <w:numId w:val="6"/>
              </w:numPr>
              <w:spacing w:before="0" w:after="200" w:line="276" w:lineRule="auto"/>
              <w:jc w:val="left"/>
              <w:rPr>
                <w:noProof/>
              </w:rPr>
            </w:pPr>
            <w:r>
              <w:rPr>
                <w:noProof/>
              </w:rPr>
              <w:t xml:space="preserve">règles en matière de représentation du personnel </w:t>
            </w:r>
          </w:p>
        </w:tc>
      </w:tr>
      <w:tr>
        <w:tc>
          <w:tcPr>
            <w:tcW w:w="2235" w:type="dxa"/>
          </w:tcPr>
          <w:p>
            <w:pPr>
              <w:spacing w:before="0" w:after="200" w:line="276" w:lineRule="auto"/>
              <w:jc w:val="left"/>
              <w:rPr>
                <w:noProof/>
              </w:rPr>
            </w:pPr>
            <w:r>
              <w:rPr>
                <w:noProof/>
              </w:rPr>
              <w:lastRenderedPageBreak/>
              <w:t>Fiscalité</w:t>
            </w:r>
          </w:p>
        </w:tc>
        <w:tc>
          <w:tcPr>
            <w:tcW w:w="6804" w:type="dxa"/>
          </w:tcPr>
          <w:p>
            <w:pPr>
              <w:pStyle w:val="ListParagraph"/>
              <w:numPr>
                <w:ilvl w:val="0"/>
                <w:numId w:val="6"/>
              </w:numPr>
              <w:spacing w:before="0" w:after="200" w:line="276" w:lineRule="auto"/>
              <w:jc w:val="left"/>
              <w:rPr>
                <w:noProof/>
              </w:rPr>
            </w:pPr>
            <w:r>
              <w:rPr>
                <w:noProof/>
              </w:rPr>
              <w:t>TVA: informations sur les règles générales, les taux et les exonérations, l’immatriculation à la TVA, le versement de la taxe et l’obtention de remboursements</w:t>
            </w:r>
          </w:p>
          <w:p>
            <w:pPr>
              <w:pStyle w:val="ListParagraph"/>
              <w:numPr>
                <w:ilvl w:val="0"/>
                <w:numId w:val="6"/>
              </w:numPr>
              <w:spacing w:before="0" w:after="200" w:line="276" w:lineRule="auto"/>
              <w:jc w:val="left"/>
              <w:rPr>
                <w:noProof/>
              </w:rPr>
            </w:pPr>
            <w:r>
              <w:rPr>
                <w:noProof/>
              </w:rPr>
              <w:t xml:space="preserve">accises: informations sur les règles générales, taux et exonérations </w:t>
            </w:r>
          </w:p>
          <w:p>
            <w:pPr>
              <w:pStyle w:val="ListParagraph"/>
              <w:numPr>
                <w:ilvl w:val="0"/>
                <w:numId w:val="6"/>
              </w:numPr>
              <w:spacing w:before="0" w:after="200" w:line="276" w:lineRule="auto"/>
              <w:jc w:val="left"/>
              <w:rPr>
                <w:noProof/>
              </w:rPr>
            </w:pPr>
            <w:r>
              <w:rPr>
                <w:noProof/>
              </w:rPr>
              <w:t>autres impôts et taxes: paiement et taux</w:t>
            </w:r>
          </w:p>
        </w:tc>
      </w:tr>
      <w:tr>
        <w:tc>
          <w:tcPr>
            <w:tcW w:w="2235" w:type="dxa"/>
          </w:tcPr>
          <w:p>
            <w:pPr>
              <w:spacing w:before="0" w:after="200" w:line="276" w:lineRule="auto"/>
              <w:jc w:val="left"/>
              <w:rPr>
                <w:noProof/>
              </w:rPr>
            </w:pPr>
            <w:r>
              <w:rPr>
                <w:noProof/>
              </w:rPr>
              <w:t>Biens</w:t>
            </w:r>
          </w:p>
        </w:tc>
        <w:tc>
          <w:tcPr>
            <w:tcW w:w="6804" w:type="dxa"/>
          </w:tcPr>
          <w:p>
            <w:pPr>
              <w:pStyle w:val="ListParagraph"/>
              <w:numPr>
                <w:ilvl w:val="0"/>
                <w:numId w:val="7"/>
              </w:numPr>
              <w:spacing w:before="0" w:after="200" w:line="276" w:lineRule="auto"/>
              <w:jc w:val="left"/>
              <w:rPr>
                <w:noProof/>
              </w:rPr>
            </w:pPr>
            <w:r>
              <w:rPr>
                <w:noProof/>
              </w:rPr>
              <w:t>obtention du marquage CE</w:t>
            </w:r>
          </w:p>
          <w:p>
            <w:pPr>
              <w:pStyle w:val="ListParagraph"/>
              <w:numPr>
                <w:ilvl w:val="0"/>
                <w:numId w:val="7"/>
              </w:numPr>
              <w:spacing w:before="0" w:after="200" w:line="276" w:lineRule="auto"/>
              <w:jc w:val="left"/>
              <w:rPr>
                <w:noProof/>
              </w:rPr>
            </w:pPr>
            <w:r>
              <w:rPr>
                <w:noProof/>
              </w:rPr>
              <w:t xml:space="preserve"> recherche des normes et spécifications techniques applicables et démarches pour faire certifier un produit</w:t>
            </w:r>
          </w:p>
          <w:p>
            <w:pPr>
              <w:pStyle w:val="ListParagraph"/>
              <w:numPr>
                <w:ilvl w:val="0"/>
                <w:numId w:val="7"/>
              </w:numPr>
              <w:spacing w:before="0" w:after="200" w:line="276" w:lineRule="auto"/>
              <w:jc w:val="left"/>
              <w:rPr>
                <w:noProof/>
              </w:rPr>
            </w:pPr>
            <w:r>
              <w:rPr>
                <w:noProof/>
              </w:rPr>
              <w:t>reconnaissance mutuelle de produits non régis par des spécifications définies à l’échelle de l’Union</w:t>
            </w:r>
          </w:p>
          <w:p>
            <w:pPr>
              <w:pStyle w:val="ListParagraph"/>
              <w:numPr>
                <w:ilvl w:val="0"/>
                <w:numId w:val="7"/>
              </w:numPr>
              <w:spacing w:before="0" w:after="200" w:line="276" w:lineRule="auto"/>
              <w:jc w:val="left"/>
              <w:rPr>
                <w:noProof/>
              </w:rPr>
            </w:pPr>
            <w:r>
              <w:rPr>
                <w:noProof/>
              </w:rPr>
              <w:t>exigences relatives à la classification, à l’étiquetage et à l’emballage des produits chimiques dangereux</w:t>
            </w:r>
          </w:p>
          <w:p>
            <w:pPr>
              <w:pStyle w:val="ListParagraph"/>
              <w:numPr>
                <w:ilvl w:val="0"/>
                <w:numId w:val="7"/>
              </w:numPr>
              <w:spacing w:before="0" w:after="200" w:line="276" w:lineRule="auto"/>
              <w:jc w:val="left"/>
              <w:rPr>
                <w:noProof/>
              </w:rPr>
            </w:pPr>
            <w:r>
              <w:rPr>
                <w:noProof/>
              </w:rPr>
              <w:t>vente à distance/hors établissement: informations à fournir aux clients au préalable, confirmation du contrat par écrit, retrait d’un contrat, livraison des marchandises, autres obligations spécifiques</w:t>
            </w:r>
          </w:p>
          <w:p>
            <w:pPr>
              <w:pStyle w:val="ListParagraph"/>
              <w:numPr>
                <w:ilvl w:val="0"/>
                <w:numId w:val="7"/>
              </w:numPr>
              <w:spacing w:before="0" w:after="200" w:line="276" w:lineRule="auto"/>
              <w:jc w:val="left"/>
              <w:rPr>
                <w:noProof/>
              </w:rPr>
            </w:pPr>
            <w:r>
              <w:rPr>
                <w:noProof/>
              </w:rPr>
              <w:t xml:space="preserve">produits défectueux: droits et garanties des consommateurs, responsabilités après la vente, voies de recours pour une partie lésée </w:t>
            </w:r>
          </w:p>
          <w:p>
            <w:pPr>
              <w:pStyle w:val="ListParagraph"/>
              <w:numPr>
                <w:ilvl w:val="0"/>
                <w:numId w:val="7"/>
              </w:numPr>
              <w:rPr>
                <w:noProof/>
              </w:rPr>
            </w:pPr>
            <w:r>
              <w:rPr>
                <w:noProof/>
              </w:rPr>
              <w:t>certification, labels (EMAS, labels énergétiques, écoconception, label écologique de l’UE)</w:t>
            </w:r>
          </w:p>
          <w:p>
            <w:pPr>
              <w:pStyle w:val="ListParagraph"/>
              <w:numPr>
                <w:ilvl w:val="0"/>
                <w:numId w:val="7"/>
              </w:numPr>
              <w:spacing w:before="0" w:after="200" w:line="276" w:lineRule="auto"/>
              <w:jc w:val="left"/>
              <w:rPr>
                <w:noProof/>
              </w:rPr>
            </w:pPr>
            <w:r>
              <w:rPr>
                <w:noProof/>
              </w:rPr>
              <w:t>recyclage et gestion des déchets</w:t>
            </w:r>
          </w:p>
        </w:tc>
      </w:tr>
      <w:tr>
        <w:tc>
          <w:tcPr>
            <w:tcW w:w="2235" w:type="dxa"/>
          </w:tcPr>
          <w:p>
            <w:pPr>
              <w:spacing w:before="0" w:after="200" w:line="276" w:lineRule="auto"/>
              <w:jc w:val="left"/>
              <w:rPr>
                <w:noProof/>
              </w:rPr>
            </w:pPr>
            <w:r>
              <w:rPr>
                <w:noProof/>
              </w:rPr>
              <w:t>Services</w:t>
            </w:r>
          </w:p>
        </w:tc>
        <w:tc>
          <w:tcPr>
            <w:tcW w:w="6804" w:type="dxa"/>
          </w:tcPr>
          <w:p>
            <w:pPr>
              <w:pStyle w:val="ListParagraph"/>
              <w:numPr>
                <w:ilvl w:val="0"/>
                <w:numId w:val="13"/>
              </w:numPr>
              <w:spacing w:before="0" w:after="200" w:line="276" w:lineRule="auto"/>
              <w:jc w:val="left"/>
              <w:rPr>
                <w:noProof/>
              </w:rPr>
            </w:pPr>
            <w:r>
              <w:rPr>
                <w:noProof/>
              </w:rPr>
              <w:t>obtention de licences, d’autorisations ou de permis en vue de démarrer une entreprise</w:t>
            </w:r>
          </w:p>
          <w:p>
            <w:pPr>
              <w:pStyle w:val="ListParagraph"/>
              <w:numPr>
                <w:ilvl w:val="0"/>
                <w:numId w:val="13"/>
              </w:numPr>
              <w:spacing w:before="0" w:after="200" w:line="276" w:lineRule="auto"/>
              <w:jc w:val="left"/>
              <w:rPr>
                <w:noProof/>
              </w:rPr>
            </w:pPr>
            <w:r>
              <w:rPr>
                <w:noProof/>
              </w:rPr>
              <w:lastRenderedPageBreak/>
              <w:t>notification des activités transfrontières aux autorités</w:t>
            </w:r>
          </w:p>
          <w:p>
            <w:pPr>
              <w:pStyle w:val="ListParagraph"/>
              <w:numPr>
                <w:ilvl w:val="0"/>
                <w:numId w:val="13"/>
              </w:numPr>
              <w:spacing w:before="0" w:after="200" w:line="276" w:lineRule="auto"/>
              <w:jc w:val="left"/>
              <w:rPr>
                <w:noProof/>
              </w:rPr>
            </w:pPr>
            <w:r>
              <w:rPr>
                <w:noProof/>
              </w:rPr>
              <w:t>reconnaissance de qualifications professionnelles</w:t>
            </w:r>
          </w:p>
        </w:tc>
      </w:tr>
      <w:tr>
        <w:tc>
          <w:tcPr>
            <w:tcW w:w="2235" w:type="dxa"/>
          </w:tcPr>
          <w:p>
            <w:pPr>
              <w:spacing w:before="0" w:after="200" w:line="276" w:lineRule="auto"/>
              <w:jc w:val="left"/>
              <w:rPr>
                <w:noProof/>
              </w:rPr>
            </w:pPr>
            <w:r>
              <w:rPr>
                <w:noProof/>
              </w:rPr>
              <w:lastRenderedPageBreak/>
              <w:t>Financement d’une entreprise</w:t>
            </w:r>
          </w:p>
        </w:tc>
        <w:tc>
          <w:tcPr>
            <w:tcW w:w="6804" w:type="dxa"/>
          </w:tcPr>
          <w:p>
            <w:pPr>
              <w:pStyle w:val="ListParagraph"/>
              <w:numPr>
                <w:ilvl w:val="0"/>
                <w:numId w:val="9"/>
              </w:numPr>
              <w:spacing w:before="0" w:after="200" w:line="276" w:lineRule="auto"/>
              <w:jc w:val="left"/>
              <w:rPr>
                <w:noProof/>
              </w:rPr>
            </w:pPr>
            <w:r>
              <w:rPr>
                <w:noProof/>
              </w:rPr>
              <w:t>accès à des sources de financement à l’échelle de l’Union, dont les programmes de financement de l’Union et les subventions</w:t>
            </w:r>
          </w:p>
          <w:p>
            <w:pPr>
              <w:pStyle w:val="ListParagraph"/>
              <w:numPr>
                <w:ilvl w:val="0"/>
                <w:numId w:val="9"/>
              </w:numPr>
              <w:spacing w:before="0" w:after="200" w:line="276" w:lineRule="auto"/>
              <w:jc w:val="left"/>
              <w:rPr>
                <w:noProof/>
              </w:rPr>
            </w:pPr>
            <w:r>
              <w:rPr>
                <w:noProof/>
              </w:rPr>
              <w:t>accès à des sources de financement à l’échelle nationale</w:t>
            </w:r>
          </w:p>
          <w:p>
            <w:pPr>
              <w:pStyle w:val="ListParagraph"/>
              <w:numPr>
                <w:ilvl w:val="0"/>
                <w:numId w:val="9"/>
              </w:numPr>
              <w:spacing w:before="0" w:after="200" w:line="276" w:lineRule="auto"/>
              <w:jc w:val="left"/>
              <w:rPr>
                <w:noProof/>
              </w:rPr>
            </w:pPr>
            <w:r>
              <w:rPr>
                <w:noProof/>
              </w:rPr>
              <w:t>initiatives à l’intention des entrepreneurs (échanges organisés pour les nouveaux chefs d’entreprise, programmes de mentorat, etc.)</w:t>
            </w:r>
          </w:p>
        </w:tc>
      </w:tr>
      <w:tr>
        <w:tc>
          <w:tcPr>
            <w:tcW w:w="2235" w:type="dxa"/>
          </w:tcPr>
          <w:p>
            <w:pPr>
              <w:spacing w:before="0" w:after="200" w:line="276" w:lineRule="auto"/>
              <w:jc w:val="left"/>
              <w:rPr>
                <w:noProof/>
              </w:rPr>
            </w:pPr>
            <w:r>
              <w:rPr>
                <w:noProof/>
              </w:rPr>
              <w:t>Marchés publics</w:t>
            </w:r>
          </w:p>
        </w:tc>
        <w:tc>
          <w:tcPr>
            <w:tcW w:w="6804" w:type="dxa"/>
          </w:tcPr>
          <w:p>
            <w:pPr>
              <w:pStyle w:val="ListParagraph"/>
              <w:numPr>
                <w:ilvl w:val="0"/>
                <w:numId w:val="10"/>
              </w:numPr>
              <w:spacing w:before="0" w:after="200" w:line="276" w:lineRule="auto"/>
              <w:jc w:val="left"/>
              <w:rPr>
                <w:noProof/>
              </w:rPr>
            </w:pPr>
            <w:r>
              <w:rPr>
                <w:noProof/>
              </w:rPr>
              <w:t>participation aux marchés publics: règles et procédures</w:t>
            </w:r>
          </w:p>
          <w:p>
            <w:pPr>
              <w:pStyle w:val="ListParagraph"/>
              <w:numPr>
                <w:ilvl w:val="0"/>
                <w:numId w:val="10"/>
              </w:numPr>
              <w:spacing w:before="0" w:after="200" w:line="276" w:lineRule="auto"/>
              <w:jc w:val="left"/>
              <w:rPr>
                <w:noProof/>
              </w:rPr>
            </w:pPr>
            <w:r>
              <w:rPr>
                <w:noProof/>
              </w:rPr>
              <w:t>envoi d’une offre en ligne en réponse à un appel d’offres</w:t>
            </w:r>
          </w:p>
          <w:p>
            <w:pPr>
              <w:pStyle w:val="ListParagraph"/>
              <w:numPr>
                <w:ilvl w:val="0"/>
                <w:numId w:val="10"/>
              </w:numPr>
              <w:spacing w:before="0" w:after="200" w:line="276" w:lineRule="auto"/>
              <w:jc w:val="left"/>
              <w:rPr>
                <w:noProof/>
              </w:rPr>
            </w:pPr>
            <w:r>
              <w:rPr>
                <w:noProof/>
              </w:rPr>
              <w:t>signalement d’irrégularités en rapport avec la procédure d’appel d’offres</w:t>
            </w:r>
          </w:p>
        </w:tc>
      </w:tr>
      <w:tr>
        <w:tc>
          <w:tcPr>
            <w:tcW w:w="2235" w:type="dxa"/>
          </w:tcPr>
          <w:p>
            <w:pPr>
              <w:spacing w:before="0" w:after="200" w:line="276" w:lineRule="auto"/>
              <w:jc w:val="left"/>
              <w:rPr>
                <w:noProof/>
              </w:rPr>
            </w:pPr>
            <w:r>
              <w:rPr>
                <w:noProof/>
              </w:rPr>
              <w:t>Santé et sécurité au travail</w:t>
            </w:r>
          </w:p>
        </w:tc>
        <w:tc>
          <w:tcPr>
            <w:tcW w:w="6804" w:type="dxa"/>
          </w:tcPr>
          <w:p>
            <w:pPr>
              <w:pStyle w:val="ListParagraph"/>
              <w:numPr>
                <w:ilvl w:val="0"/>
                <w:numId w:val="11"/>
              </w:numPr>
              <w:spacing w:before="0" w:after="200" w:line="276" w:lineRule="auto"/>
              <w:jc w:val="left"/>
              <w:rPr>
                <w:noProof/>
              </w:rPr>
            </w:pPr>
            <w:r>
              <w:rPr>
                <w:noProof/>
              </w:rPr>
              <w:t xml:space="preserve">obligations en matière de santé et de sécurité selon le type d’activité, y compris prévention des risques, information et formation </w:t>
            </w:r>
          </w:p>
        </w:tc>
      </w:tr>
    </w:tbl>
    <w:p>
      <w:pPr>
        <w:spacing w:before="0" w:after="200" w:line="276" w:lineRule="auto"/>
        <w:jc w:val="left"/>
        <w:rPr>
          <w:noProof/>
        </w:rPr>
      </w:pPr>
    </w:p>
    <w:p>
      <w:pPr>
        <w:pStyle w:val="Annexetitre"/>
        <w:rPr>
          <w:noProof/>
        </w:rPr>
      </w:pPr>
      <w:r>
        <w:rPr>
          <w:noProof/>
        </w:rPr>
        <w:t>ANNEXE II</w:t>
      </w:r>
      <w:r>
        <w:rPr>
          <w:noProof/>
        </w:rPr>
        <w:br/>
        <w:t>Procédures mentionnées à l’article 5, paragraphe 2</w:t>
      </w:r>
    </w:p>
    <w:p>
      <w:pPr>
        <w:rPr>
          <w:b/>
          <w:noProof/>
        </w:rPr>
      </w:pPr>
    </w:p>
    <w:tbl>
      <w:tblPr>
        <w:tblStyle w:val="TableGrid1"/>
        <w:tblW w:w="9997" w:type="dxa"/>
        <w:tblLook w:val="04A0" w:firstRow="1" w:lastRow="0" w:firstColumn="1" w:lastColumn="0" w:noHBand="0" w:noVBand="1"/>
      </w:tblPr>
      <w:tblGrid>
        <w:gridCol w:w="2118"/>
        <w:gridCol w:w="3707"/>
        <w:gridCol w:w="4172"/>
      </w:tblGrid>
      <w:tr>
        <w:tc>
          <w:tcPr>
            <w:tcW w:w="2118" w:type="dxa"/>
            <w:tcBorders>
              <w:top w:val="single" w:sz="4" w:space="0" w:color="auto"/>
              <w:left w:val="single" w:sz="4" w:space="0" w:color="auto"/>
              <w:bottom w:val="single" w:sz="4" w:space="0" w:color="auto"/>
              <w:right w:val="single" w:sz="4" w:space="0" w:color="auto"/>
            </w:tcBorders>
            <w:hideMark/>
          </w:tcPr>
          <w:p>
            <w:pPr>
              <w:rPr>
                <w:b/>
                <w:noProof/>
              </w:rPr>
            </w:pPr>
            <w:r>
              <w:rPr>
                <w:b/>
                <w:noProof/>
              </w:rPr>
              <w:t>Événements</w:t>
            </w:r>
          </w:p>
        </w:tc>
        <w:tc>
          <w:tcPr>
            <w:tcW w:w="3707" w:type="dxa"/>
            <w:tcBorders>
              <w:top w:val="single" w:sz="4" w:space="0" w:color="auto"/>
              <w:left w:val="single" w:sz="4" w:space="0" w:color="auto"/>
              <w:bottom w:val="single" w:sz="4" w:space="0" w:color="auto"/>
              <w:right w:val="single" w:sz="4" w:space="0" w:color="auto"/>
            </w:tcBorders>
            <w:hideMark/>
          </w:tcPr>
          <w:p>
            <w:pPr>
              <w:rPr>
                <w:b/>
                <w:noProof/>
              </w:rPr>
            </w:pPr>
            <w:r>
              <w:rPr>
                <w:b/>
                <w:noProof/>
              </w:rPr>
              <w:t xml:space="preserve">Procédures </w:t>
            </w:r>
          </w:p>
        </w:tc>
        <w:tc>
          <w:tcPr>
            <w:tcW w:w="4172" w:type="dxa"/>
            <w:tcBorders>
              <w:top w:val="single" w:sz="4" w:space="0" w:color="auto"/>
              <w:left w:val="single" w:sz="4" w:space="0" w:color="auto"/>
              <w:bottom w:val="single" w:sz="4" w:space="0" w:color="auto"/>
              <w:right w:val="single" w:sz="4" w:space="0" w:color="auto"/>
            </w:tcBorders>
          </w:tcPr>
          <w:p>
            <w:pPr>
              <w:jc w:val="left"/>
              <w:rPr>
                <w:b/>
                <w:noProof/>
              </w:rPr>
            </w:pPr>
            <w:r>
              <w:rPr>
                <w:b/>
                <w:noProof/>
              </w:rPr>
              <w:t>Résultat escompté</w:t>
            </w:r>
          </w:p>
        </w:tc>
      </w:tr>
      <w:tr>
        <w:tc>
          <w:tcPr>
            <w:tcW w:w="2118" w:type="dxa"/>
            <w:tcBorders>
              <w:top w:val="single" w:sz="4" w:space="0" w:color="auto"/>
              <w:left w:val="single" w:sz="4" w:space="0" w:color="auto"/>
              <w:bottom w:val="single" w:sz="4" w:space="0" w:color="auto"/>
              <w:right w:val="single" w:sz="4" w:space="0" w:color="auto"/>
            </w:tcBorders>
            <w:vAlign w:val="center"/>
            <w:hideMark/>
          </w:tcPr>
          <w:p>
            <w:pPr>
              <w:jc w:val="left"/>
              <w:rPr>
                <w:noProof/>
              </w:rPr>
            </w:pPr>
            <w:r>
              <w:rPr>
                <w:noProof/>
              </w:rPr>
              <w:t xml:space="preserve">Naissance </w:t>
            </w:r>
          </w:p>
        </w:tc>
        <w:tc>
          <w:tcPr>
            <w:tcW w:w="3707" w:type="dxa"/>
            <w:tcBorders>
              <w:top w:val="single" w:sz="4" w:space="0" w:color="auto"/>
              <w:left w:val="single" w:sz="4" w:space="0" w:color="auto"/>
              <w:bottom w:val="single" w:sz="4" w:space="0" w:color="auto"/>
              <w:right w:val="single" w:sz="4" w:space="0" w:color="auto"/>
            </w:tcBorders>
            <w:hideMark/>
          </w:tcPr>
          <w:p>
            <w:pPr>
              <w:rPr>
                <w:noProof/>
              </w:rPr>
            </w:pPr>
            <w:r>
              <w:rPr>
                <w:noProof/>
              </w:rPr>
              <w:t>Demander un certificat de naissance</w:t>
            </w:r>
          </w:p>
        </w:tc>
        <w:tc>
          <w:tcPr>
            <w:tcW w:w="4172" w:type="dxa"/>
            <w:tcBorders>
              <w:top w:val="single" w:sz="4" w:space="0" w:color="auto"/>
              <w:left w:val="single" w:sz="4" w:space="0" w:color="auto"/>
              <w:bottom w:val="single" w:sz="4" w:space="0" w:color="auto"/>
              <w:right w:val="single" w:sz="4" w:space="0" w:color="auto"/>
            </w:tcBorders>
          </w:tcPr>
          <w:p>
            <w:pPr>
              <w:rPr>
                <w:noProof/>
              </w:rPr>
            </w:pPr>
            <w:r>
              <w:rPr>
                <w:noProof/>
              </w:rPr>
              <w:t>Certificat de naissance</w:t>
            </w:r>
          </w:p>
        </w:tc>
      </w:tr>
      <w:tr>
        <w:tc>
          <w:tcPr>
            <w:tcW w:w="2118" w:type="dxa"/>
            <w:tcBorders>
              <w:top w:val="single" w:sz="4" w:space="0" w:color="auto"/>
              <w:left w:val="single" w:sz="4" w:space="0" w:color="auto"/>
              <w:bottom w:val="single" w:sz="4" w:space="0" w:color="auto"/>
              <w:right w:val="single" w:sz="4" w:space="0" w:color="auto"/>
            </w:tcBorders>
            <w:vAlign w:val="center"/>
            <w:hideMark/>
          </w:tcPr>
          <w:p>
            <w:pPr>
              <w:jc w:val="left"/>
              <w:rPr>
                <w:noProof/>
              </w:rPr>
            </w:pPr>
            <w:r>
              <w:rPr>
                <w:noProof/>
              </w:rPr>
              <w:t>Études</w:t>
            </w:r>
          </w:p>
        </w:tc>
        <w:tc>
          <w:tcPr>
            <w:tcW w:w="3707" w:type="dxa"/>
            <w:tcBorders>
              <w:top w:val="single" w:sz="4" w:space="0" w:color="auto"/>
              <w:left w:val="single" w:sz="4" w:space="0" w:color="auto"/>
              <w:bottom w:val="single" w:sz="4" w:space="0" w:color="auto"/>
              <w:right w:val="single" w:sz="4" w:space="0" w:color="auto"/>
            </w:tcBorders>
          </w:tcPr>
          <w:p>
            <w:pPr>
              <w:rPr>
                <w:noProof/>
              </w:rPr>
            </w:pPr>
            <w:r>
              <w:rPr>
                <w:noProof/>
              </w:rPr>
              <w:t>Demander une bourse d’études à une institution publique</w:t>
            </w:r>
          </w:p>
        </w:tc>
        <w:tc>
          <w:tcPr>
            <w:tcW w:w="4172" w:type="dxa"/>
            <w:tcBorders>
              <w:top w:val="single" w:sz="4" w:space="0" w:color="auto"/>
              <w:left w:val="single" w:sz="4" w:space="0" w:color="auto"/>
              <w:bottom w:val="single" w:sz="4" w:space="0" w:color="auto"/>
              <w:right w:val="single" w:sz="4" w:space="0" w:color="auto"/>
            </w:tcBorders>
          </w:tcPr>
          <w:p>
            <w:pPr>
              <w:rPr>
                <w:noProof/>
              </w:rPr>
            </w:pPr>
            <w:r>
              <w:rPr>
                <w:noProof/>
              </w:rPr>
              <w:t>Décision d’octroi ou non de la bourse</w:t>
            </w:r>
          </w:p>
        </w:tc>
      </w:tr>
      <w:tr>
        <w:trPr>
          <w:trHeight w:val="1350"/>
        </w:trPr>
        <w:tc>
          <w:tcPr>
            <w:tcW w:w="2118" w:type="dxa"/>
            <w:vMerge w:val="restart"/>
            <w:tcBorders>
              <w:top w:val="single" w:sz="4" w:space="0" w:color="auto"/>
              <w:left w:val="single" w:sz="4" w:space="0" w:color="auto"/>
              <w:right w:val="single" w:sz="4" w:space="0" w:color="auto"/>
            </w:tcBorders>
            <w:vAlign w:val="center"/>
            <w:hideMark/>
          </w:tcPr>
          <w:p>
            <w:pPr>
              <w:jc w:val="left"/>
              <w:rPr>
                <w:noProof/>
              </w:rPr>
            </w:pPr>
            <w:r>
              <w:rPr>
                <w:noProof/>
              </w:rPr>
              <w:t>Vie professionnelle</w:t>
            </w:r>
          </w:p>
        </w:tc>
        <w:tc>
          <w:tcPr>
            <w:tcW w:w="3707" w:type="dxa"/>
            <w:tcBorders>
              <w:top w:val="single" w:sz="4" w:space="0" w:color="auto"/>
              <w:left w:val="single" w:sz="4" w:space="0" w:color="auto"/>
              <w:right w:val="single" w:sz="4" w:space="0" w:color="auto"/>
            </w:tcBorders>
          </w:tcPr>
          <w:p>
            <w:pPr>
              <w:rPr>
                <w:noProof/>
              </w:rPr>
            </w:pPr>
            <w:r>
              <w:rPr>
                <w:noProof/>
              </w:rPr>
              <w:t>S’enregistrer pour obtenir des prestations de sécurité sociale</w:t>
            </w:r>
          </w:p>
        </w:tc>
        <w:tc>
          <w:tcPr>
            <w:tcW w:w="4172" w:type="dxa"/>
            <w:tcBorders>
              <w:top w:val="single" w:sz="4" w:space="0" w:color="auto"/>
              <w:left w:val="single" w:sz="4" w:space="0" w:color="auto"/>
              <w:right w:val="single" w:sz="4" w:space="0" w:color="auto"/>
            </w:tcBorders>
          </w:tcPr>
          <w:p>
            <w:pPr>
              <w:rPr>
                <w:noProof/>
              </w:rPr>
            </w:pPr>
            <w:r>
              <w:rPr>
                <w:noProof/>
              </w:rPr>
              <w:t>Accusé de réception</w:t>
            </w:r>
          </w:p>
        </w:tc>
      </w:tr>
      <w:tr>
        <w:tc>
          <w:tcPr>
            <w:tcW w:w="2118" w:type="dxa"/>
            <w:vMerge/>
            <w:tcBorders>
              <w:left w:val="single" w:sz="4" w:space="0" w:color="auto"/>
              <w:bottom w:val="single" w:sz="4" w:space="0" w:color="auto"/>
              <w:right w:val="single" w:sz="4" w:space="0" w:color="auto"/>
            </w:tcBorders>
            <w:vAlign w:val="center"/>
          </w:tcPr>
          <w:p>
            <w:pPr>
              <w:spacing w:before="0" w:after="0"/>
              <w:jc w:val="left"/>
              <w:rPr>
                <w:noProof/>
              </w:rPr>
            </w:pPr>
          </w:p>
        </w:tc>
        <w:tc>
          <w:tcPr>
            <w:tcW w:w="3707" w:type="dxa"/>
            <w:tcBorders>
              <w:top w:val="single" w:sz="4" w:space="0" w:color="auto"/>
              <w:left w:val="single" w:sz="4" w:space="0" w:color="auto"/>
              <w:bottom w:val="single" w:sz="4" w:space="0" w:color="auto"/>
              <w:right w:val="single" w:sz="4" w:space="0" w:color="auto"/>
            </w:tcBorders>
          </w:tcPr>
          <w:p>
            <w:pPr>
              <w:rPr>
                <w:noProof/>
              </w:rPr>
            </w:pPr>
            <w:r>
              <w:rPr>
                <w:noProof/>
              </w:rPr>
              <w:t>Demander la reconnaissance d’un diplôme</w:t>
            </w:r>
          </w:p>
        </w:tc>
        <w:tc>
          <w:tcPr>
            <w:tcW w:w="4172" w:type="dxa"/>
            <w:tcBorders>
              <w:top w:val="single" w:sz="4" w:space="0" w:color="auto"/>
              <w:left w:val="single" w:sz="4" w:space="0" w:color="auto"/>
              <w:bottom w:val="single" w:sz="4" w:space="0" w:color="auto"/>
              <w:right w:val="single" w:sz="4" w:space="0" w:color="auto"/>
            </w:tcBorders>
          </w:tcPr>
          <w:p>
            <w:pPr>
              <w:rPr>
                <w:noProof/>
              </w:rPr>
            </w:pPr>
            <w:r>
              <w:rPr>
                <w:noProof/>
              </w:rPr>
              <w:t>Décision relative à la demande de reconnaissance</w:t>
            </w:r>
          </w:p>
        </w:tc>
      </w:tr>
      <w:tr>
        <w:tc>
          <w:tcPr>
            <w:tcW w:w="2118" w:type="dxa"/>
            <w:vMerge w:val="restart"/>
            <w:tcBorders>
              <w:top w:val="single" w:sz="4" w:space="0" w:color="auto"/>
              <w:left w:val="single" w:sz="4" w:space="0" w:color="auto"/>
              <w:bottom w:val="single" w:sz="4" w:space="0" w:color="auto"/>
              <w:right w:val="single" w:sz="4" w:space="0" w:color="auto"/>
            </w:tcBorders>
            <w:vAlign w:val="center"/>
            <w:hideMark/>
          </w:tcPr>
          <w:p>
            <w:pPr>
              <w:jc w:val="left"/>
              <w:rPr>
                <w:noProof/>
              </w:rPr>
            </w:pPr>
            <w:r>
              <w:rPr>
                <w:noProof/>
              </w:rPr>
              <w:t>Déménagement</w:t>
            </w:r>
          </w:p>
        </w:tc>
        <w:tc>
          <w:tcPr>
            <w:tcW w:w="3707" w:type="dxa"/>
            <w:tcBorders>
              <w:top w:val="single" w:sz="4" w:space="0" w:color="auto"/>
              <w:left w:val="single" w:sz="4" w:space="0" w:color="auto"/>
              <w:bottom w:val="single" w:sz="4" w:space="0" w:color="auto"/>
              <w:right w:val="single" w:sz="4" w:space="0" w:color="auto"/>
            </w:tcBorders>
            <w:hideMark/>
          </w:tcPr>
          <w:p>
            <w:pPr>
              <w:rPr>
                <w:noProof/>
              </w:rPr>
            </w:pPr>
            <w:r>
              <w:rPr>
                <w:noProof/>
              </w:rPr>
              <w:t>Faire acter un changement d’adresse</w:t>
            </w:r>
          </w:p>
        </w:tc>
        <w:tc>
          <w:tcPr>
            <w:tcW w:w="4172" w:type="dxa"/>
            <w:tcBorders>
              <w:top w:val="single" w:sz="4" w:space="0" w:color="auto"/>
              <w:left w:val="single" w:sz="4" w:space="0" w:color="auto"/>
              <w:bottom w:val="single" w:sz="4" w:space="0" w:color="auto"/>
              <w:right w:val="single" w:sz="4" w:space="0" w:color="auto"/>
            </w:tcBorders>
          </w:tcPr>
          <w:p>
            <w:pPr>
              <w:rPr>
                <w:noProof/>
              </w:rPr>
            </w:pPr>
            <w:r>
              <w:rPr>
                <w:noProof/>
              </w:rPr>
              <w:t>Confirmation de l’enregistrement de la nouvelle adresse</w:t>
            </w:r>
          </w:p>
        </w:tc>
      </w:tr>
      <w:tr>
        <w:tc>
          <w:tcPr>
            <w:tcW w:w="2118"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3707" w:type="dxa"/>
            <w:tcBorders>
              <w:top w:val="single" w:sz="4" w:space="0" w:color="auto"/>
              <w:left w:val="single" w:sz="4" w:space="0" w:color="auto"/>
              <w:bottom w:val="single" w:sz="4" w:space="0" w:color="auto"/>
              <w:right w:val="single" w:sz="4" w:space="0" w:color="auto"/>
            </w:tcBorders>
            <w:hideMark/>
          </w:tcPr>
          <w:p>
            <w:pPr>
              <w:rPr>
                <w:noProof/>
              </w:rPr>
            </w:pPr>
            <w:r>
              <w:rPr>
                <w:noProof/>
              </w:rPr>
              <w:t>Demander ou faire renouveler une carte d’identité ou un passeport</w:t>
            </w:r>
          </w:p>
        </w:tc>
        <w:tc>
          <w:tcPr>
            <w:tcW w:w="4172" w:type="dxa"/>
            <w:tcBorders>
              <w:top w:val="single" w:sz="4" w:space="0" w:color="auto"/>
              <w:left w:val="single" w:sz="4" w:space="0" w:color="auto"/>
              <w:bottom w:val="single" w:sz="4" w:space="0" w:color="auto"/>
              <w:right w:val="single" w:sz="4" w:space="0" w:color="auto"/>
            </w:tcBorders>
          </w:tcPr>
          <w:p>
            <w:pPr>
              <w:rPr>
                <w:noProof/>
              </w:rPr>
            </w:pPr>
            <w:r>
              <w:rPr>
                <w:noProof/>
              </w:rPr>
              <w:t>Délivrance ou renouvellement de la carte d’identité ou du passeport</w:t>
            </w:r>
          </w:p>
        </w:tc>
      </w:tr>
      <w:tr>
        <w:tc>
          <w:tcPr>
            <w:tcW w:w="2118"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3707" w:type="dxa"/>
            <w:tcBorders>
              <w:top w:val="single" w:sz="4" w:space="0" w:color="auto"/>
              <w:left w:val="single" w:sz="4" w:space="0" w:color="auto"/>
              <w:bottom w:val="single" w:sz="4" w:space="0" w:color="auto"/>
              <w:right w:val="single" w:sz="4" w:space="0" w:color="auto"/>
            </w:tcBorders>
            <w:hideMark/>
          </w:tcPr>
          <w:p>
            <w:pPr>
              <w:rPr>
                <w:noProof/>
              </w:rPr>
            </w:pPr>
            <w:r>
              <w:rPr>
                <w:noProof/>
              </w:rPr>
              <w:t>Immatriculation d’un véhicule</w:t>
            </w:r>
          </w:p>
        </w:tc>
        <w:tc>
          <w:tcPr>
            <w:tcW w:w="4172" w:type="dxa"/>
            <w:tcBorders>
              <w:top w:val="single" w:sz="4" w:space="0" w:color="auto"/>
              <w:left w:val="single" w:sz="4" w:space="0" w:color="auto"/>
              <w:bottom w:val="single" w:sz="4" w:space="0" w:color="auto"/>
              <w:right w:val="single" w:sz="4" w:space="0" w:color="auto"/>
            </w:tcBorders>
          </w:tcPr>
          <w:p>
            <w:pPr>
              <w:rPr>
                <w:noProof/>
              </w:rPr>
            </w:pPr>
            <w:r>
              <w:rPr>
                <w:noProof/>
              </w:rPr>
              <w:t>Certificat d’immatriculation</w:t>
            </w:r>
          </w:p>
        </w:tc>
      </w:tr>
      <w:tr>
        <w:tc>
          <w:tcPr>
            <w:tcW w:w="2118" w:type="dxa"/>
            <w:tcBorders>
              <w:top w:val="single" w:sz="4" w:space="0" w:color="auto"/>
              <w:left w:val="single" w:sz="4" w:space="0" w:color="auto"/>
              <w:bottom w:val="single" w:sz="4" w:space="0" w:color="auto"/>
              <w:right w:val="single" w:sz="4" w:space="0" w:color="auto"/>
            </w:tcBorders>
            <w:vAlign w:val="center"/>
            <w:hideMark/>
          </w:tcPr>
          <w:p>
            <w:pPr>
              <w:jc w:val="left"/>
              <w:rPr>
                <w:noProof/>
              </w:rPr>
            </w:pPr>
            <w:r>
              <w:rPr>
                <w:noProof/>
              </w:rPr>
              <w:t>Retraite</w:t>
            </w:r>
          </w:p>
        </w:tc>
        <w:tc>
          <w:tcPr>
            <w:tcW w:w="3707" w:type="dxa"/>
            <w:tcBorders>
              <w:top w:val="single" w:sz="4" w:space="0" w:color="auto"/>
              <w:left w:val="single" w:sz="4" w:space="0" w:color="auto"/>
              <w:bottom w:val="single" w:sz="4" w:space="0" w:color="auto"/>
              <w:right w:val="single" w:sz="4" w:space="0" w:color="auto"/>
            </w:tcBorders>
            <w:hideMark/>
          </w:tcPr>
          <w:p>
            <w:pPr>
              <w:rPr>
                <w:noProof/>
              </w:rPr>
            </w:pPr>
            <w:r>
              <w:rPr>
                <w:noProof/>
              </w:rPr>
              <w:t>Demander une pension ou des prestations de préretraite à un organisme public ou semi-public</w:t>
            </w:r>
          </w:p>
        </w:tc>
        <w:tc>
          <w:tcPr>
            <w:tcW w:w="4172" w:type="dxa"/>
            <w:tcBorders>
              <w:top w:val="single" w:sz="4" w:space="0" w:color="auto"/>
              <w:left w:val="single" w:sz="4" w:space="0" w:color="auto"/>
              <w:bottom w:val="single" w:sz="4" w:space="0" w:color="auto"/>
              <w:right w:val="single" w:sz="4" w:space="0" w:color="auto"/>
            </w:tcBorders>
          </w:tcPr>
          <w:p>
            <w:pPr>
              <w:rPr>
                <w:noProof/>
              </w:rPr>
            </w:pPr>
            <w:r>
              <w:rPr>
                <w:noProof/>
              </w:rPr>
              <w:t>Décision sur la demande de pension ou de prestations de préretraite</w:t>
            </w:r>
          </w:p>
        </w:tc>
      </w:tr>
      <w:tr>
        <w:tc>
          <w:tcPr>
            <w:tcW w:w="2118" w:type="dxa"/>
            <w:vMerge w:val="restart"/>
            <w:tcBorders>
              <w:top w:val="single" w:sz="4" w:space="0" w:color="auto"/>
              <w:left w:val="single" w:sz="4" w:space="0" w:color="auto"/>
              <w:bottom w:val="single" w:sz="4" w:space="0" w:color="auto"/>
              <w:right w:val="single" w:sz="4" w:space="0" w:color="auto"/>
            </w:tcBorders>
            <w:vAlign w:val="center"/>
            <w:hideMark/>
          </w:tcPr>
          <w:p>
            <w:pPr>
              <w:jc w:val="left"/>
              <w:rPr>
                <w:noProof/>
              </w:rPr>
            </w:pPr>
            <w:r>
              <w:rPr>
                <w:noProof/>
              </w:rPr>
              <w:t>Démarrer une entreprise</w:t>
            </w:r>
          </w:p>
        </w:tc>
        <w:tc>
          <w:tcPr>
            <w:tcW w:w="3707" w:type="dxa"/>
            <w:tcBorders>
              <w:top w:val="single" w:sz="4" w:space="0" w:color="auto"/>
              <w:left w:val="single" w:sz="4" w:space="0" w:color="auto"/>
              <w:bottom w:val="single" w:sz="4" w:space="0" w:color="auto"/>
              <w:right w:val="single" w:sz="4" w:space="0" w:color="auto"/>
            </w:tcBorders>
            <w:hideMark/>
          </w:tcPr>
          <w:p>
            <w:pPr>
              <w:jc w:val="left"/>
              <w:rPr>
                <w:noProof/>
              </w:rPr>
            </w:pPr>
            <w:r>
              <w:rPr>
                <w:noProof/>
              </w:rPr>
              <w:t>Enregistrement général de l’activité économique, hors procédures relatives à la constitution de sociétés au sens de l’article 54, deuxième alinéa, du TFUE</w:t>
            </w:r>
          </w:p>
        </w:tc>
        <w:tc>
          <w:tcPr>
            <w:tcW w:w="4172" w:type="dxa"/>
            <w:tcBorders>
              <w:top w:val="single" w:sz="4" w:space="0" w:color="auto"/>
              <w:left w:val="single" w:sz="4" w:space="0" w:color="auto"/>
              <w:bottom w:val="single" w:sz="4" w:space="0" w:color="auto"/>
              <w:right w:val="single" w:sz="4" w:space="0" w:color="auto"/>
            </w:tcBorders>
          </w:tcPr>
          <w:p>
            <w:pPr>
              <w:rPr>
                <w:noProof/>
              </w:rPr>
            </w:pPr>
            <w:r>
              <w:rPr>
                <w:noProof/>
              </w:rPr>
              <w:t xml:space="preserve">Confirmation que toutes les démarches requises ont été accomplies pour que l’entreprise puisse démarrer son activité </w:t>
            </w:r>
          </w:p>
        </w:tc>
      </w:tr>
      <w:tr>
        <w:tc>
          <w:tcPr>
            <w:tcW w:w="2118"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3707" w:type="dxa"/>
            <w:tcBorders>
              <w:top w:val="single" w:sz="4" w:space="0" w:color="auto"/>
              <w:left w:val="single" w:sz="4" w:space="0" w:color="auto"/>
              <w:bottom w:val="single" w:sz="4" w:space="0" w:color="auto"/>
              <w:right w:val="single" w:sz="4" w:space="0" w:color="auto"/>
            </w:tcBorders>
            <w:hideMark/>
          </w:tcPr>
          <w:p>
            <w:pPr>
              <w:jc w:val="left"/>
              <w:rPr>
                <w:noProof/>
              </w:rPr>
            </w:pPr>
            <w:r>
              <w:rPr>
                <w:noProof/>
              </w:rPr>
              <w:t xml:space="preserve">Enregistrement d’un employeur (personne physique) auprès d’un organisme public ou semi-public de pension et d’assurance </w:t>
            </w:r>
          </w:p>
        </w:tc>
        <w:tc>
          <w:tcPr>
            <w:tcW w:w="4172" w:type="dxa"/>
            <w:tcBorders>
              <w:top w:val="single" w:sz="4" w:space="0" w:color="auto"/>
              <w:left w:val="single" w:sz="4" w:space="0" w:color="auto"/>
              <w:bottom w:val="single" w:sz="4" w:space="0" w:color="auto"/>
              <w:right w:val="single" w:sz="4" w:space="0" w:color="auto"/>
            </w:tcBorders>
          </w:tcPr>
          <w:p>
            <w:pPr>
              <w:rPr>
                <w:noProof/>
              </w:rPr>
            </w:pPr>
            <w:r>
              <w:rPr>
                <w:noProof/>
              </w:rPr>
              <w:t>Numéro de sécurité sociale</w:t>
            </w:r>
          </w:p>
        </w:tc>
      </w:tr>
      <w:tr>
        <w:tc>
          <w:tcPr>
            <w:tcW w:w="2118"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3707" w:type="dxa"/>
            <w:tcBorders>
              <w:top w:val="single" w:sz="4" w:space="0" w:color="auto"/>
              <w:left w:val="single" w:sz="4" w:space="0" w:color="auto"/>
              <w:bottom w:val="single" w:sz="4" w:space="0" w:color="auto"/>
              <w:right w:val="single" w:sz="4" w:space="0" w:color="auto"/>
            </w:tcBorders>
            <w:hideMark/>
          </w:tcPr>
          <w:p>
            <w:pPr>
              <w:jc w:val="left"/>
              <w:rPr>
                <w:noProof/>
              </w:rPr>
            </w:pPr>
            <w:r>
              <w:rPr>
                <w:noProof/>
              </w:rPr>
              <w:t>Enregistrement de salariés auprès d’un organisme public ou semi-public de pension et d’assurance</w:t>
            </w:r>
          </w:p>
        </w:tc>
        <w:tc>
          <w:tcPr>
            <w:tcW w:w="4172" w:type="dxa"/>
            <w:tcBorders>
              <w:top w:val="single" w:sz="4" w:space="0" w:color="auto"/>
              <w:left w:val="single" w:sz="4" w:space="0" w:color="auto"/>
              <w:bottom w:val="single" w:sz="4" w:space="0" w:color="auto"/>
              <w:right w:val="single" w:sz="4" w:space="0" w:color="auto"/>
            </w:tcBorders>
          </w:tcPr>
          <w:p>
            <w:pPr>
              <w:rPr>
                <w:noProof/>
              </w:rPr>
            </w:pPr>
            <w:r>
              <w:rPr>
                <w:noProof/>
              </w:rPr>
              <w:t>Numéro de sécurité sociale</w:t>
            </w:r>
          </w:p>
        </w:tc>
      </w:tr>
      <w:tr>
        <w:tc>
          <w:tcPr>
            <w:tcW w:w="2118" w:type="dxa"/>
            <w:vMerge w:val="restart"/>
            <w:tcBorders>
              <w:top w:val="single" w:sz="4" w:space="0" w:color="auto"/>
              <w:left w:val="single" w:sz="4" w:space="0" w:color="auto"/>
              <w:bottom w:val="single" w:sz="4" w:space="0" w:color="auto"/>
              <w:right w:val="single" w:sz="4" w:space="0" w:color="auto"/>
            </w:tcBorders>
            <w:vAlign w:val="center"/>
            <w:hideMark/>
          </w:tcPr>
          <w:p>
            <w:pPr>
              <w:jc w:val="left"/>
              <w:rPr>
                <w:noProof/>
              </w:rPr>
            </w:pPr>
            <w:r>
              <w:rPr>
                <w:noProof/>
              </w:rPr>
              <w:t>Exercice de l’activité économique</w:t>
            </w:r>
          </w:p>
        </w:tc>
        <w:tc>
          <w:tcPr>
            <w:tcW w:w="3707" w:type="dxa"/>
            <w:tcBorders>
              <w:top w:val="single" w:sz="4" w:space="0" w:color="auto"/>
              <w:left w:val="single" w:sz="4" w:space="0" w:color="auto"/>
              <w:bottom w:val="single" w:sz="4" w:space="0" w:color="auto"/>
              <w:right w:val="single" w:sz="4" w:space="0" w:color="auto"/>
            </w:tcBorders>
          </w:tcPr>
          <w:p>
            <w:pPr>
              <w:jc w:val="left"/>
              <w:rPr>
                <w:noProof/>
              </w:rPr>
            </w:pPr>
            <w:r>
              <w:rPr>
                <w:noProof/>
              </w:rPr>
              <w:t>Notification de la fin du contrat de travail d’un salarié aux régimes de sécurité sociale</w:t>
            </w:r>
          </w:p>
        </w:tc>
        <w:tc>
          <w:tcPr>
            <w:tcW w:w="4172" w:type="dxa"/>
            <w:tcBorders>
              <w:top w:val="single" w:sz="4" w:space="0" w:color="auto"/>
              <w:left w:val="single" w:sz="4" w:space="0" w:color="auto"/>
              <w:bottom w:val="single" w:sz="4" w:space="0" w:color="auto"/>
              <w:right w:val="single" w:sz="4" w:space="0" w:color="auto"/>
            </w:tcBorders>
          </w:tcPr>
          <w:p>
            <w:pPr>
              <w:rPr>
                <w:noProof/>
              </w:rPr>
            </w:pPr>
            <w:r>
              <w:rPr>
                <w:noProof/>
              </w:rPr>
              <w:t>Accusé de réception de la notification</w:t>
            </w:r>
          </w:p>
        </w:tc>
      </w:tr>
      <w:tr>
        <w:tc>
          <w:tcPr>
            <w:tcW w:w="2118"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3707" w:type="dxa"/>
            <w:tcBorders>
              <w:top w:val="single" w:sz="4" w:space="0" w:color="auto"/>
              <w:left w:val="single" w:sz="4" w:space="0" w:color="auto"/>
              <w:bottom w:val="single" w:sz="4" w:space="0" w:color="auto"/>
              <w:right w:val="single" w:sz="4" w:space="0" w:color="auto"/>
            </w:tcBorders>
          </w:tcPr>
          <w:p>
            <w:pPr>
              <w:jc w:val="left"/>
              <w:rPr>
                <w:noProof/>
              </w:rPr>
            </w:pPr>
            <w:r>
              <w:rPr>
                <w:noProof/>
              </w:rPr>
              <w:t xml:space="preserve">Paiement des cotisations sociales pour les salariés </w:t>
            </w:r>
          </w:p>
        </w:tc>
        <w:tc>
          <w:tcPr>
            <w:tcW w:w="4172" w:type="dxa"/>
            <w:tcBorders>
              <w:top w:val="single" w:sz="4" w:space="0" w:color="auto"/>
              <w:left w:val="single" w:sz="4" w:space="0" w:color="auto"/>
              <w:bottom w:val="single" w:sz="4" w:space="0" w:color="auto"/>
              <w:right w:val="single" w:sz="4" w:space="0" w:color="auto"/>
            </w:tcBorders>
          </w:tcPr>
          <w:p>
            <w:pPr>
              <w:rPr>
                <w:noProof/>
              </w:rPr>
            </w:pPr>
            <w:r>
              <w:rPr>
                <w:noProof/>
              </w:rPr>
              <w:t>Reçu ou autre mode de confirmation du paiement des cotisations sociales pour les salariés</w:t>
            </w:r>
          </w:p>
        </w:tc>
      </w:tr>
    </w:tbl>
    <w:p>
      <w:pPr>
        <w:rPr>
          <w:noProof/>
        </w:rPr>
      </w:pPr>
    </w:p>
    <w:p>
      <w:pPr>
        <w:pStyle w:val="Annexetitre"/>
        <w:rPr>
          <w:noProof/>
        </w:rPr>
      </w:pPr>
      <w:r>
        <w:rPr>
          <w:noProof/>
        </w:rPr>
        <w:t>ANNEXE III</w:t>
      </w:r>
      <w:r>
        <w:rPr>
          <w:noProof/>
        </w:rPr>
        <w:br/>
        <w:t>Liste des services d’assistance et de résolution de problèmes mentionnés à l’article 2, paragraphe 2, point c)</w:t>
      </w:r>
    </w:p>
    <w:p>
      <w:pPr>
        <w:jc w:val="center"/>
        <w:rPr>
          <w:b/>
          <w:noProof/>
        </w:rPr>
      </w:pPr>
    </w:p>
    <w:p>
      <w:pPr>
        <w:pStyle w:val="Point0"/>
        <w:rPr>
          <w:noProof/>
        </w:rPr>
      </w:pPr>
      <w:r>
        <w:rPr>
          <w:noProof/>
        </w:rPr>
        <w:t>1)</w:t>
      </w:r>
      <w:r>
        <w:rPr>
          <w:noProof/>
        </w:rPr>
        <w:tab/>
        <w:t>Guichets uniques</w:t>
      </w:r>
    </w:p>
    <w:p>
      <w:pPr>
        <w:pStyle w:val="Point0"/>
        <w:rPr>
          <w:noProof/>
        </w:rPr>
      </w:pPr>
      <w:r>
        <w:rPr>
          <w:noProof/>
        </w:rPr>
        <w:t>2)</w:t>
      </w:r>
      <w:r>
        <w:rPr>
          <w:noProof/>
        </w:rPr>
        <w:tab/>
        <w:t>Points de contact «produit»</w:t>
      </w:r>
    </w:p>
    <w:p>
      <w:pPr>
        <w:pStyle w:val="Point0"/>
        <w:rPr>
          <w:noProof/>
        </w:rPr>
      </w:pPr>
      <w:r>
        <w:rPr>
          <w:noProof/>
        </w:rPr>
        <w:t>3)</w:t>
      </w:r>
      <w:r>
        <w:rPr>
          <w:noProof/>
        </w:rPr>
        <w:tab/>
        <w:t>Points de contact «produit de construction»</w:t>
      </w:r>
    </w:p>
    <w:p>
      <w:pPr>
        <w:pStyle w:val="Point0"/>
        <w:rPr>
          <w:noProof/>
        </w:rPr>
      </w:pPr>
      <w:r>
        <w:rPr>
          <w:noProof/>
        </w:rPr>
        <w:t>4)</w:t>
      </w:r>
      <w:r>
        <w:rPr>
          <w:noProof/>
        </w:rPr>
        <w:tab/>
        <w:t>Centres d’assistance nationaux pour les qualifications professionnelles</w:t>
      </w:r>
    </w:p>
    <w:p>
      <w:pPr>
        <w:pStyle w:val="Point0"/>
        <w:rPr>
          <w:noProof/>
        </w:rPr>
      </w:pPr>
      <w:r>
        <w:rPr>
          <w:noProof/>
        </w:rPr>
        <w:t>5)</w:t>
      </w:r>
      <w:r>
        <w:rPr>
          <w:noProof/>
        </w:rPr>
        <w:tab/>
        <w:t>Points de contact «santé»</w:t>
      </w:r>
    </w:p>
    <w:p>
      <w:pPr>
        <w:pStyle w:val="Point0"/>
        <w:rPr>
          <w:noProof/>
        </w:rPr>
      </w:pPr>
      <w:r>
        <w:rPr>
          <w:noProof/>
        </w:rPr>
        <w:t>6)</w:t>
      </w:r>
      <w:r>
        <w:rPr>
          <w:noProof/>
        </w:rPr>
        <w:tab/>
        <w:t>EURES</w:t>
      </w:r>
    </w:p>
    <w:p>
      <w:pPr>
        <w:pStyle w:val="Point0"/>
        <w:rPr>
          <w:noProof/>
        </w:rPr>
      </w:pPr>
      <w:r>
        <w:rPr>
          <w:noProof/>
        </w:rPr>
        <w:t>7)</w:t>
      </w:r>
      <w:r>
        <w:rPr>
          <w:noProof/>
        </w:rPr>
        <w:tab/>
        <w:t>Règlement en ligne des litiges</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BB26E1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52C77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32282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12C43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A464A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ED6DD7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2B6A4F4"/>
    <w:lvl w:ilvl="0">
      <w:start w:val="1"/>
      <w:numFmt w:val="decimal"/>
      <w:pStyle w:val="ListNumber"/>
      <w:lvlText w:val="%1."/>
      <w:lvlJc w:val="left"/>
      <w:pPr>
        <w:tabs>
          <w:tab w:val="num" w:pos="360"/>
        </w:tabs>
        <w:ind w:left="360" w:hanging="360"/>
      </w:pPr>
    </w:lvl>
  </w:abstractNum>
  <w:abstractNum w:abstractNumId="7">
    <w:nsid w:val="FFFFFF89"/>
    <w:multiLevelType w:val="singleLevel"/>
    <w:tmpl w:val="E4D0BAB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2E66989"/>
    <w:multiLevelType w:val="hybridMultilevel"/>
    <w:tmpl w:val="FB5EE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CF3081E"/>
    <w:multiLevelType w:val="hybridMultilevel"/>
    <w:tmpl w:val="464E7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B7E2AFA"/>
    <w:multiLevelType w:val="hybridMultilevel"/>
    <w:tmpl w:val="050CE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3CE96A32"/>
    <w:multiLevelType w:val="hybridMultilevel"/>
    <w:tmpl w:val="B582E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4071059"/>
    <w:multiLevelType w:val="hybridMultilevel"/>
    <w:tmpl w:val="B3F66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5EB76A23"/>
    <w:multiLevelType w:val="hybridMultilevel"/>
    <w:tmpl w:val="3D9A9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CC423D"/>
    <w:multiLevelType w:val="hybridMultilevel"/>
    <w:tmpl w:val="9FC25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6F280FEE"/>
    <w:multiLevelType w:val="hybridMultilevel"/>
    <w:tmpl w:val="8E9E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A3233BD"/>
    <w:multiLevelType w:val="hybridMultilevel"/>
    <w:tmpl w:val="4ECC7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2"/>
  </w:num>
  <w:num w:numId="6">
    <w:abstractNumId w:val="9"/>
  </w:num>
  <w:num w:numId="7">
    <w:abstractNumId w:val="24"/>
  </w:num>
  <w:num w:numId="8">
    <w:abstractNumId w:val="28"/>
  </w:num>
  <w:num w:numId="9">
    <w:abstractNumId w:val="29"/>
  </w:num>
  <w:num w:numId="10">
    <w:abstractNumId w:val="8"/>
  </w:num>
  <w:num w:numId="11">
    <w:abstractNumId w:val="15"/>
  </w:num>
  <w:num w:numId="12">
    <w:abstractNumId w:val="18"/>
  </w:num>
  <w:num w:numId="13">
    <w:abstractNumId w:val="25"/>
  </w:num>
  <w:num w:numId="14">
    <w:abstractNumId w:val="6"/>
  </w:num>
  <w:num w:numId="15">
    <w:abstractNumId w:val="2"/>
  </w:num>
  <w:num w:numId="16">
    <w:abstractNumId w:val="1"/>
  </w:num>
  <w:num w:numId="17">
    <w:abstractNumId w:val="0"/>
  </w:num>
  <w:num w:numId="18">
    <w:abstractNumId w:val="23"/>
  </w:num>
  <w:num w:numId="19">
    <w:abstractNumId w:val="16"/>
  </w:num>
  <w:num w:numId="20">
    <w:abstractNumId w:val="27"/>
  </w:num>
  <w:num w:numId="21">
    <w:abstractNumId w:val="14"/>
  </w:num>
  <w:num w:numId="22">
    <w:abstractNumId w:val="17"/>
  </w:num>
  <w:num w:numId="23">
    <w:abstractNumId w:val="11"/>
  </w:num>
  <w:num w:numId="24">
    <w:abstractNumId w:val="26"/>
  </w:num>
  <w:num w:numId="25">
    <w:abstractNumId w:val="10"/>
  </w:num>
  <w:num w:numId="26">
    <w:abstractNumId w:val="19"/>
  </w:num>
  <w:num w:numId="27">
    <w:abstractNumId w:val="21"/>
  </w:num>
  <w:num w:numId="28">
    <w:abstractNumId w:val="22"/>
  </w:num>
  <w:num w:numId="29">
    <w:abstractNumId w:val="13"/>
  </w:num>
  <w:num w:numId="30">
    <w:abstractNumId w:val="20"/>
  </w:num>
  <w:num w:numId="3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31 15:14: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ACCOMPAGNANT.CP" w:val="à la"/>
    <w:docVar w:name="LW_ANNEX_NBR_FIRST" w:val="1"/>
    <w:docVar w:name="LW_ANNEX_NBR_LAST" w:val="3"/>
    <w:docVar w:name="LW_CONFIDENCE" w:val=" "/>
    <w:docVar w:name="LW_CONST_RESTREINT_UE" w:val="RESTREINT UE"/>
    <w:docVar w:name="LW_CORRIGENDUM" w:val="&lt;UNUSED&gt;"/>
    <w:docVar w:name="LW_COVERPAGE_GUID" w:val="13BA5EFE282A491EACBA85CB49D1CF48"/>
    <w:docVar w:name="LW_CROSSREFERENCE" w:val="{SWD(2017) 211 final}_x000b_{SWD(2017) 212 final}_x000b_{SWD(2017) 213 final}_x000b_{SWD(2017) 214 final}"/>
    <w:docVar w:name="LW_DocType" w:val="ANNEX"/>
    <w:docVar w:name="LW_EMISSION" w:val="2.5.2017"/>
    <w:docVar w:name="LW_EMISSION_ISODATE" w:val="2017-05-02"/>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établissant un portail numérique unique pour donner accès à des informations, des procédures et des services d\u8217?assistance et de résolution de problèmes, et modifiant le règlement (UE) nº 1024/2012"/>
    <w:docVar w:name="LW_PART_NBR" w:val="&lt;UNUSED&gt;"/>
    <w:docVar w:name="LW_PART_NBR_TOTAL" w:val="&lt;UNUSED&gt;"/>
    <w:docVar w:name="LW_REF.INST.NEW" w:val="COM"/>
    <w:docVar w:name="LW_REF.INST.NEW_ADOPTED" w:val="final"/>
    <w:docVar w:name="LW_REF.INST.NEW_TEXT" w:val="(2017) 256"/>
    <w:docVar w:name="LW_REF.INTERNE" w:val="&lt;UNUSED&gt;"/>
    <w:docVar w:name="LW_SUPERTITRE" w:val="Paquet «Conformité»"/>
    <w:docVar w:name="LW_TITRE.OBJ.CP" w:val="&lt;UNUSED&gt;"/>
    <w:docVar w:name="LW_TYPE.DOC.CP" w:val="ANNEXES"/>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4"/>
      </w:numPr>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4"/>
      </w:numPr>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F74F0-B2A8-4BA4-8CDF-71B44E0C0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7</Pages>
  <Words>1501</Words>
  <Characters>8991</Characters>
  <Application>Microsoft Office Word</Application>
  <DocSecurity>0</DocSecurity>
  <Lines>299</Lines>
  <Paragraphs>166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JACZEWSKA Sylwia (MARKT)</dc:creator>
  <cp:lastModifiedBy>DIGIT/A3</cp:lastModifiedBy>
  <cp:revision>8</cp:revision>
  <cp:lastPrinted>2017-05-29T14:35:00Z</cp:lastPrinted>
  <dcterms:created xsi:type="dcterms:W3CDTF">2017-05-31T07:32:00Z</dcterms:created>
  <dcterms:modified xsi:type="dcterms:W3CDTF">2017-05-31T13:14:00Z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3</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