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C2CC2A83E241399A928908130E210A" style="width:450.75pt;height:492.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W w:w="9430" w:type="dxa"/>
        <w:tblInd w:w="-108" w:type="dxa"/>
        <w:tblLayout w:type="fixed"/>
        <w:tblLook w:val="0000" w:firstRow="0" w:lastRow="0" w:firstColumn="0" w:lastColumn="0" w:noHBand="0" w:noVBand="0"/>
      </w:tblPr>
      <w:tblGrid>
        <w:gridCol w:w="9430"/>
      </w:tblGrid>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bookmarkStart w:id="1" w:name="_GoBack"/>
            <w:bookmarkEnd w:id="1"/>
            <w:r>
              <w:rPr>
                <w:rFonts w:ascii="Times New Roman" w:hAnsi="Times New Roman"/>
                <w:b/>
                <w:noProof/>
                <w:color w:val="000000"/>
                <w:sz w:val="24"/>
              </w:rPr>
              <w:lastRenderedPageBreak/>
              <w:t>Обобщение</w:t>
            </w:r>
          </w:p>
        </w:tc>
      </w:tr>
      <w:tr>
        <w:tc>
          <w:tcPr>
            <w:tcW w:w="9430" w:type="dxa"/>
            <w:tcBorders>
              <w:top w:val="single" w:sz="4" w:space="0" w:color="000000"/>
              <w:left w:val="single" w:sz="4" w:space="0" w:color="000000"/>
              <w:bottom w:val="single" w:sz="4" w:space="0" w:color="000000"/>
              <w:right w:val="single" w:sz="4" w:space="0" w:color="000000"/>
            </w:tcBorders>
            <w:shd w:val="clear" w:color="auto" w:fill="4F81BD"/>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FFFFFF"/>
                <w:sz w:val="24"/>
              </w:rPr>
              <w:t>Оценка на въздействието на Регламента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A. Необходимост от действие</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0E0E0"/>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 xml:space="preserve">Защо? Какъв е разглежданият проблем?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Упражняването на свързаните с единния пазар права представлява времеемък и скъп процес за гражданите и предприятията от ЕС. Информацията, процедурите и услугите за оказване на съдействие, необходими за извършване на трансгранична дейност, често не са достъпни онлайн, не се познават добре, имат недостатъчно добро качество или не са достъпни за трансгранични потребители от ЕС.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 xml:space="preserve">Какво се очаква да бъде постигнато с настоящата инициатива?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Единният цифров портал (ЕЦП) има за цел да подобри наличието онлайн, качеството и възможността за лесно намиране на информация и услуги за оказване на съдействие относно правата в ЕС и националните правила във връзка с осъществяването на дейност и движението в ЕС. Той ще изисква от държавите членки (ДЧ) да предлагат национални процедури от ключово значение изцяло онлайн и да направят така, че всички онлайн процедури да бъдат напълно достъпни за трансгранични потребители от ЕС.</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Каква е добавената стойност от действие на равнището на ЕС?</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Националните правила в рамките на единния пазар не са напълно хармонизирани и поради това от съществено значение е потребителите да могат лесно да получават информация какви са правилата във всяка държава членка. От съществено значение е също така тези процедури да не създават ненужна допълнителна регулаторна тежест за другите потребители от ЕС. Тези цели изискват действие на равнището на ЕС.</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Б. Решения</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Какви законодателни и незаконодателни варианти на политиката са разгледани? Има ли предпочитан вариант? Защо?</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Arial" w:hAnsi="Times New Roman" w:cs="Times New Roman"/>
                <w:noProof/>
                <w:color w:val="000000"/>
                <w:sz w:val="24"/>
                <w:szCs w:val="24"/>
              </w:rPr>
            </w:pPr>
            <w:r>
              <w:rPr>
                <w:rFonts w:ascii="Times New Roman" w:hAnsi="Times New Roman"/>
                <w:noProof/>
                <w:color w:val="000000"/>
                <w:sz w:val="24"/>
              </w:rPr>
              <w:t>Оценката на съществуващата информация и услуги за оказване на съдействие показва, че използваният понастоящем набор от правно обвързващи и правно необвързващи инструменти не е ефективен. Най-подходящият инструмент за постигане на целите на тази инициатива е регламент, който се основава на член 21, параграф 2, член 48 и член 114 от Договора.</w:t>
            </w:r>
          </w:p>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Вариантите за ЕЦП са в диапазона от силна координация на национално равнище (вариант 1) до пълно хармонизиране на равнището на ЕС (вариант 3). Предпочетеният вариант е вариант 2: координиран подход на ЕС, при който информацията, процедурите и услугите за оказване на съдействие са леснодостъпни чрез система за търсене на Съюза. Съдържанието се управлява от държавите членки. То се допълва от ясни и приложими критерии за качество и достъпни онлайн ключови процедури.</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Кой подкрепя отделните варианти?</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Инициативата се радва на широка подкрепа от бизнеса, гражданите и публичните органи. Силна подкрепа бе изразена от страна на европейски и национални бизнес сдружения. Много държави членки подкрепиха инициативата, включително чрез съвместно писмо, подписано от 17 министри през септември 2015 г. ЕП и предприятията подкрепят по-амбициозния вариант 3. Платформата REFIT призова за вземане на решение в съответствие с вариант 1. Държавите членки предпочитат варианти, основаващи се на съществуващите портали, както е предвидено във варианти 1 и 2.</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В. Въздействие на предпочитания вариант</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Какви са ползите от предпочитания вариант (ако има такъв, в противен случай — от основните варианти)?</w:t>
            </w:r>
            <w:r>
              <w:rPr>
                <w:rFonts w:ascii="Times New Roman" w:hAnsi="Times New Roman"/>
                <w:noProof/>
                <w:color w:val="000000"/>
                <w:sz w:val="24"/>
              </w:rPr>
              <w:t xml:space="preserve"> </w:t>
            </w:r>
          </w:p>
        </w:tc>
      </w:tr>
      <w:tr>
        <w:trPr>
          <w:cantSplit/>
        </w:trP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widowControl w:val="0"/>
              <w:spacing w:beforeLines="40" w:before="96" w:afterLines="40" w:after="96"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Предпочитаният вариант ще намали разходите за операции по търсене на информация, услуги за оказване на съдействие и извършване на ключови процедури, по-специално за МСП, които не разполагат със собствени правни съветници или целеви ресурси. Това ще допринесе за по-доброто функциониране на единния пазар и ще създаде нови възможности за бизнес. Тъй като включените услуги вече се изискват от законодателството на ЕС или се заплащат от бюджета на ЕС, въвеждането на минимални критерии за качество ще подобри удовлетвореността на потребителите и ще генерира по-голяма добавена стойност.</w:t>
            </w:r>
          </w:p>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Наличието на основните процедури онлайн и възможността те да се извършват напълно трансгранично ще намали дискриминацията между гражданите на дадена държава и гражданите на другите държави — членки на ЕС. Намаляването на пречките пред мобилността ще помогне за подобряване на образователните и професионалните възможности и социалното сближаване.</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Какви са разходите за предпочитания вариант (ако има такъв, в противен случай — за основните варианти)?</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Основните разходи ще бъдат свързани с разработването на информационните технологии за поддържане на ЕЦП и за човешки ресурси с цел осигуряване на координация и на качество, популяризиране и превод. Първоначалните разходи на държавите членки за създаване на ЕЦП и предоставяне на всички основни процедури изцяло онлайн се оценяват на около 5,8 милиона евро. Разходите на Комисията ще бъдат между 4,3 и 4,8 милиона евро. Годишните текущи разходи се оценяват на приблизително 212 000 евро за всяка държава членка и 2,2 милиона евро за Комисията.</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 xml:space="preserve">Какви ще са последиците за предприятията, МСП и микропредприятията?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Arial" w:hAnsi="Times New Roman" w:cs="Times New Roman"/>
                <w:noProof/>
                <w:color w:val="000000"/>
                <w:sz w:val="24"/>
                <w:szCs w:val="24"/>
              </w:rPr>
            </w:pPr>
            <w:r>
              <w:rPr>
                <w:rFonts w:ascii="Times New Roman" w:hAnsi="Times New Roman"/>
                <w:noProof/>
                <w:color w:val="000000"/>
                <w:sz w:val="24"/>
              </w:rPr>
              <w:t>ЕЦП ще намали разходите за операции по предоставянето на услуги или продажбата на стоки в други държави членки, по-специално за МСП. Ориентировъчно той би могъл да намали разходите на предприятията с 11 до 55 милиарда евро годишно. При тази оценка се вземат под внимание само 9 бизнес процедури и 9 информационни теми, от които предприятията обикновено се интересуват, когато разширяват дейността си зад граница.</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Ще има ли значително въздействие</w:t>
            </w:r>
            <w:r>
              <w:rPr>
                <w:rFonts w:ascii="Times New Roman" w:hAnsi="Times New Roman"/>
                <w:noProof/>
                <w:color w:val="000000"/>
                <w:sz w:val="24"/>
              </w:rPr>
              <w:t xml:space="preserve"> </w:t>
            </w:r>
            <w:r>
              <w:rPr>
                <w:rFonts w:ascii="Times New Roman" w:hAnsi="Times New Roman"/>
                <w:b/>
                <w:noProof/>
                <w:color w:val="000000"/>
                <w:sz w:val="24"/>
              </w:rPr>
              <w:t>върху националните бюджети и администрации?</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Разходите ще бъдат в голяма степен компенсирани от намаляването на административните разходи, тъй като онлайн процедурите обикновено са по-ефективни от офлайн процедурите. Развитието на ЕЦП ще бъде свързано със значителни разходи за държавите членки, които са по-малко напреднали в цифровизирането на процедурите. Европейските структурни и инвестиционни фондове са един от източниците на финансиране, който може да се използва за първоначалната инвестиция, ако това е в съответствие с приоритетите на националните оперативни програми.</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Ще има ли други значителни въздействия?</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ЕЦП би могъл също така да спомогне за по-голямо опростяване на регулаторната рамка, което ще доведе до по-голяма ангажираност на европейските предприятия и граждани по отношение на единния пазар.</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0C0C0"/>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Г. Последващи действия</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Tahoma" w:hAnsi="Times New Roman" w:cs="Times New Roman"/>
                <w:b/>
                <w:noProof/>
                <w:color w:val="000000"/>
                <w:sz w:val="24"/>
                <w:szCs w:val="24"/>
              </w:rPr>
            </w:pPr>
            <w:r>
              <w:rPr>
                <w:rFonts w:ascii="Times New Roman" w:hAnsi="Times New Roman"/>
                <w:b/>
                <w:noProof/>
                <w:color w:val="000000"/>
                <w:sz w:val="24"/>
              </w:rPr>
              <w:t xml:space="preserve">Кога ще се извърши преглед на политиката?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Постигането на съответствие с целите ще се наблюдава посредством инструмент за обратна информация от потребителите. Той ще има пряк принос за подобряване на съответните услуги. Приносът ще бъде анализиран на всеки две години от Комисията и от държавите членки, като 4 години след влизането в сила на регламента ще бъде извършена пълна оценка.</w:t>
            </w:r>
          </w:p>
        </w:tc>
      </w:tr>
    </w:tbl>
    <w:p>
      <w:pPr>
        <w:rPr>
          <w:rFonts w:ascii="Times New Roman" w:eastAsia="Calibri" w:hAnsi="Times New Roman" w:cs="Times New Roman"/>
          <w:noProof/>
          <w:color w:val="000000"/>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47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535"/>
        <w:tab w:val="right" w:pos="9071"/>
      </w:tabs>
      <w:spacing w:before="709" w:after="120"/>
      <w:jc w:val="both"/>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0AC2CC2A83E241399A928908130E210A"/>
    <w:docVar w:name="LW_CROSSREFERENCE" w:val="{COM(2017) 256 final}_x000b_{SWD(2017) 211 final}_x000b_{SWD(2017) 212 final}_x000b_{SWD(2017) 213 final}"/>
    <w:docVar w:name="LW_DocType" w:val="NORMAL"/>
    <w:docVar w:name="LW_EMISSION" w:val="2.5.2017"/>
    <w:docVar w:name="LW_EMISSION_ISODATE" w:val="2017-05-02"/>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98?\u1079?\u1076?\u1072?\u1074?\u1072?\u1085?\u1077? \u1085?\u1072? \u1077?\u1076?\u1080?\u1085?\u1077?\u1085? \u1094?\u1080?\u1092?\u1088?\u1086?\u1074? \u1087?\u1086?\u1088?\u1090?\u1072?\u1083? \u1079?\u1072? \u1087?\u1088?\u1077?\u1076?\u1086?\u1089?\u1090?\u1072?\u1074?\u1103?\u1085?\u1077? \u1085?\u1072? \u1080?\u1085?\u1092?\u1086?\u1088?\u1084?\u1072?\u1094?\u1080?\u1103?, \u1087?\u1088?\u1086?\u1094?\u1077?\u1076?\u1091?\u1088?\u1080? \u1080? \u1091?\u1089?\u1083?\u1091?\u1075?\u1080? \u1079?\u1072? \u1086?\u1082?\u1072?\u1079?\u1074?\u1072?\u1085?\u1077? \u1085?\u1072? \u1089?\u1098?\u1076?\u1077?\u1081?\u1089?\u1090?\u1074?\u1080?\u1077? \u1080? \u1088?\u1077?\u1096?\u1072?\u1074?\u1072?\u1085?\u1077? \u1085?\u1072? \u1087?\u1088?\u1086?\u1073?\u1083?\u1077?\u1084?\u1080? \u1080? \u1079?\u1072? \u1080?\u1079?\u1084?\u1077?\u1085?\u1077?\u1085?\u1080?\u1077? \u1085?\u1072? \u1056?\u1077?\u1075?\u1083?\u1072?\u1084?\u1077?\u1085?\u1090? (\u1045?\u1057?) \u8470? 1024/2012"/>
    <w:docVar w:name="LW_PART_NBR" w:val="1"/>
    <w:docVar w:name="LW_PART_NBR_TOTAL" w:val="1"/>
    <w:docVar w:name="LW_REF.INST.NEW" w:val="SWD"/>
    <w:docVar w:name="LW_REF.INST.NEW_ADOPTED" w:val="final"/>
    <w:docVar w:name="LW_REF.INST.NEW_TEXT" w:val="(2017) 214"/>
    <w:docVar w:name="LW_REF.INTERNE" w:val="&lt;UNUSED&gt;"/>
    <w:docVar w:name="LW_SUPERTITRE" w:val="\u1055?\u1072?\u1082?\u1077?\u1090? \u1074?\u1098?\u1074? \u1074?\u1088?\u1098?\u1079?\u1082?\u1072? \u1089?\u1098?\u1089? \u1089?\u1087?\u1072?\u1079?\u1074?\u1072?\u1085?\u1077?\u1090?\u1086?"/>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2543-54F7-4BBE-9A9D-DA7EA42F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988</Words>
  <Characters>5732</Characters>
  <Application>Microsoft Office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2017-02-10T16:35:00Z</cp:lastPrinted>
  <dcterms:created xsi:type="dcterms:W3CDTF">2017-04-12T11:33:00Z</dcterms:created>
  <dcterms:modified xsi:type="dcterms:W3CDTF">2017-05-31T13:14:00Z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