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F661721D98D4000BDD2AFE3297C11C3" style="width:450.4pt;height:424.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ПРИЛОЖЕНИЕ</w:t>
      </w:r>
    </w:p>
    <w:p>
      <w:pPr>
        <w:pStyle w:val="Accompagnant"/>
        <w:rPr>
          <w:noProof/>
        </w:rPr>
      </w:pPr>
      <w:r>
        <w:rPr>
          <w:noProof/>
        </w:rPr>
        <w:t>към</w:t>
      </w:r>
    </w:p>
    <w:p>
      <w:pPr>
        <w:pStyle w:val="Typeacteprincipal"/>
        <w:rPr>
          <w:noProof/>
        </w:rPr>
      </w:pPr>
      <w:r>
        <w:rPr>
          <w:noProof/>
        </w:rPr>
        <w:t>ДИРЕКТИВА НА ЕВРОПЕЙСКИЯ ПАРЛАМЕНТ И НА СЪВЕТА</w:t>
      </w:r>
    </w:p>
    <w:p>
      <w:pPr>
        <w:pStyle w:val="Objetacteprincipal"/>
        <w:rPr>
          <w:noProof/>
        </w:rPr>
      </w:pPr>
      <w:r>
        <w:rPr>
          <w:noProof/>
        </w:rPr>
        <w:t>за изменение на Директива 1999/62/ЕО относно заплащането на такси от тежкотоварни автомобили за използване на определени инфраструктури</w:t>
      </w:r>
      <w:r>
        <w:rPr>
          <w:noProof/>
        </w:rPr>
        <w:br/>
        <w:t>(текст от значение за ЕИП)</w:t>
      </w:r>
    </w:p>
    <w:p>
      <w:pPr>
        <w:rPr>
          <w:noProof/>
        </w:rPr>
      </w:pPr>
    </w:p>
    <w:p>
      <w:pPr>
        <w:rPr>
          <w:noProof/>
        </w:rPr>
      </w:pPr>
      <w:r>
        <w:rPr>
          <w:noProof/>
        </w:rPr>
        <w:t>(1)</w:t>
      </w:r>
      <w:r>
        <w:rPr>
          <w:noProof/>
        </w:rPr>
        <w:tab/>
        <w:t>Приложения 0, III, IIIа, IIIб и IV се изменят както следва:</w:t>
      </w:r>
    </w:p>
    <w:p>
      <w:pPr>
        <w:rPr>
          <w:noProof/>
        </w:rPr>
      </w:pPr>
      <w:r>
        <w:rPr>
          <w:noProof/>
        </w:rPr>
        <w:t>а)</w:t>
      </w:r>
      <w:r>
        <w:rPr>
          <w:noProof/>
        </w:rPr>
        <w:tab/>
        <w:t>Раздел 3 от приложение 0 се изменя, както следва:</w:t>
      </w:r>
    </w:p>
    <w:p>
      <w:pPr>
        <w:ind w:firstLine="720"/>
        <w:rPr>
          <w:noProof/>
        </w:rPr>
      </w:pPr>
      <w:r>
        <w:rPr>
          <w:noProof/>
        </w:rPr>
        <w:t>i)</w:t>
      </w:r>
      <w:r>
        <w:rPr>
          <w:noProof/>
        </w:rPr>
        <w:tab/>
        <w:t>заглавието се заменя със следното:</w:t>
      </w:r>
    </w:p>
    <w:p>
      <w:pPr>
        <w:ind w:left="130" w:firstLine="720"/>
        <w:rPr>
          <w:noProof/>
        </w:rPr>
      </w:pPr>
      <w:r>
        <w:rPr>
          <w:noProof/>
        </w:rPr>
        <w:t>„3. Превозни средства „EURO III“/„EURO IV“/„EURO V“/„ЕЕV“;</w:t>
      </w:r>
    </w:p>
    <w:p>
      <w:pPr>
        <w:ind w:firstLine="720"/>
        <w:rPr>
          <w:noProof/>
        </w:rPr>
      </w:pPr>
      <w:r>
        <w:rPr>
          <w:noProof/>
        </w:rPr>
        <w:t>ii)</w:t>
      </w:r>
      <w:r>
        <w:rPr>
          <w:noProof/>
        </w:rPr>
        <w:tab/>
        <w:t>в таблицата се заличава редът за превозно средство „EEV“;</w:t>
      </w:r>
    </w:p>
    <w:p>
      <w:pPr>
        <w:ind w:left="720"/>
        <w:rPr>
          <w:noProof/>
        </w:rPr>
      </w:pPr>
      <w:r>
        <w:rPr>
          <w:noProof/>
        </w:rPr>
        <w:t>iii)</w:t>
      </w:r>
      <w:r>
        <w:rPr>
          <w:noProof/>
        </w:rPr>
        <w:tab/>
        <w:t>добавя се следното:</w:t>
      </w:r>
    </w:p>
    <w:p>
      <w:pPr>
        <w:pStyle w:val="NormalCentered"/>
        <w:rPr>
          <w:b/>
          <w:noProof/>
          <w:u w:val="single"/>
        </w:rPr>
      </w:pPr>
      <w:r>
        <w:rPr>
          <w:b/>
          <w:noProof/>
          <w:u w:val="single"/>
        </w:rPr>
        <w:t>„Гранични стойности на емисиите EURO VI</w:t>
      </w:r>
    </w:p>
    <w:tbl>
      <w:tblPr>
        <w:tblW w:w="102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76"/>
        <w:gridCol w:w="1262"/>
        <w:gridCol w:w="1216"/>
        <w:gridCol w:w="1216"/>
        <w:gridCol w:w="1216"/>
        <w:gridCol w:w="803"/>
        <w:gridCol w:w="1216"/>
        <w:gridCol w:w="1030"/>
      </w:tblGrid>
      <w:tr>
        <w:trPr>
          <w:trHeight w:val="562"/>
        </w:trPr>
        <w:tc>
          <w:tcPr>
            <w:tcW w:w="993" w:type="dxa"/>
            <w:tcBorders>
              <w:bottom w:val="nil"/>
            </w:tcBorders>
          </w:tcPr>
          <w:p>
            <w:pPr>
              <w:rPr>
                <w:noProof/>
              </w:rPr>
            </w:pPr>
          </w:p>
        </w:tc>
        <w:tc>
          <w:tcPr>
            <w:tcW w:w="9235" w:type="dxa"/>
            <w:gridSpan w:val="8"/>
            <w:hideMark/>
          </w:tcPr>
          <w:p>
            <w:pPr>
              <w:rPr>
                <w:noProof/>
              </w:rPr>
            </w:pPr>
            <w:r>
              <w:rPr>
                <w:noProof/>
              </w:rPr>
              <w:t>Пределни стойности</w:t>
            </w:r>
          </w:p>
        </w:tc>
      </w:tr>
      <w:tr>
        <w:trPr>
          <w:trHeight w:val="991"/>
        </w:trPr>
        <w:tc>
          <w:tcPr>
            <w:tcW w:w="993" w:type="dxa"/>
            <w:tcBorders>
              <w:top w:val="nil"/>
            </w:tcBorders>
          </w:tcPr>
          <w:p>
            <w:pPr>
              <w:rPr>
                <w:noProof/>
              </w:rPr>
            </w:pPr>
          </w:p>
        </w:tc>
        <w:tc>
          <w:tcPr>
            <w:tcW w:w="1276" w:type="dxa"/>
            <w:hideMark/>
          </w:tcPr>
          <w:p>
            <w:pPr>
              <w:rPr>
                <w:noProof/>
              </w:rPr>
            </w:pPr>
            <w:r>
              <w:rPr>
                <w:noProof/>
              </w:rPr>
              <w:t>CO</w:t>
            </w:r>
          </w:p>
          <w:p>
            <w:pPr>
              <w:rPr>
                <w:noProof/>
              </w:rPr>
            </w:pPr>
            <w:r>
              <w:rPr>
                <w:noProof/>
              </w:rPr>
              <w:t>(mg/kWh)</w:t>
            </w:r>
          </w:p>
        </w:tc>
        <w:tc>
          <w:tcPr>
            <w:tcW w:w="1262" w:type="dxa"/>
            <w:hideMark/>
          </w:tcPr>
          <w:p>
            <w:pPr>
              <w:rPr>
                <w:noProof/>
              </w:rPr>
            </w:pPr>
            <w:r>
              <w:rPr>
                <w:noProof/>
              </w:rPr>
              <w:t>THC</w:t>
            </w:r>
          </w:p>
          <w:p>
            <w:pPr>
              <w:rPr>
                <w:noProof/>
              </w:rPr>
            </w:pPr>
            <w:r>
              <w:rPr>
                <w:noProof/>
              </w:rPr>
              <w:t>(mg/kWh)</w:t>
            </w:r>
          </w:p>
        </w:tc>
        <w:tc>
          <w:tcPr>
            <w:tcW w:w="1216" w:type="dxa"/>
            <w:hideMark/>
          </w:tcPr>
          <w:p>
            <w:pPr>
              <w:rPr>
                <w:noProof/>
              </w:rPr>
            </w:pPr>
            <w:r>
              <w:rPr>
                <w:noProof/>
              </w:rPr>
              <w:t>NMHC (неметанови въглеводороди)</w:t>
            </w:r>
          </w:p>
          <w:p>
            <w:pPr>
              <w:rPr>
                <w:noProof/>
              </w:rPr>
            </w:pPr>
            <w:r>
              <w:rPr>
                <w:noProof/>
              </w:rPr>
              <w:t>(mg/kWh)</w:t>
            </w:r>
          </w:p>
        </w:tc>
        <w:tc>
          <w:tcPr>
            <w:tcW w:w="1216" w:type="dxa"/>
            <w:hideMark/>
          </w:tcPr>
          <w:p>
            <w:pPr>
              <w:rPr>
                <w:noProof/>
                <w:vertAlign w:val="subscript"/>
              </w:rPr>
            </w:pPr>
            <w:r>
              <w:rPr>
                <w:noProof/>
              </w:rPr>
              <w:t>CH</w:t>
            </w:r>
            <w:r>
              <w:rPr>
                <w:noProof/>
                <w:vertAlign w:val="subscript"/>
              </w:rPr>
              <w:t>4</w:t>
            </w:r>
          </w:p>
          <w:p>
            <w:pPr>
              <w:rPr>
                <w:noProof/>
              </w:rPr>
            </w:pPr>
            <w:r>
              <w:rPr>
                <w:noProof/>
              </w:rPr>
              <w:t>(mg/kWh)</w:t>
            </w:r>
          </w:p>
        </w:tc>
        <w:tc>
          <w:tcPr>
            <w:tcW w:w="1216" w:type="dxa"/>
            <w:hideMark/>
          </w:tcPr>
          <w:p>
            <w:pPr>
              <w:rPr>
                <w:noProof/>
              </w:rPr>
            </w:pPr>
            <w:r>
              <w:rPr>
                <w:noProof/>
              </w:rPr>
              <w:t>NO</w:t>
            </w:r>
            <w:r>
              <w:rPr>
                <w:noProof/>
                <w:vertAlign w:val="subscript"/>
              </w:rPr>
              <w:t>X</w:t>
            </w:r>
            <w:r>
              <w:rPr>
                <w:noProof/>
              </w:rPr>
              <w:t xml:space="preserve"> </w:t>
            </w:r>
            <w:r>
              <w:rPr>
                <w:noProof/>
                <w:vertAlign w:val="superscript"/>
              </w:rPr>
              <w:t>(1)</w:t>
            </w:r>
          </w:p>
          <w:p>
            <w:pPr>
              <w:rPr>
                <w:noProof/>
              </w:rPr>
            </w:pPr>
            <w:r>
              <w:rPr>
                <w:noProof/>
              </w:rPr>
              <w:t>(mg/kWh)</w:t>
            </w:r>
          </w:p>
        </w:tc>
        <w:tc>
          <w:tcPr>
            <w:tcW w:w="803" w:type="dxa"/>
            <w:hideMark/>
          </w:tcPr>
          <w:p>
            <w:pPr>
              <w:rPr>
                <w:noProof/>
                <w:vertAlign w:val="subscript"/>
              </w:rPr>
            </w:pPr>
            <w:r>
              <w:rPr>
                <w:noProof/>
              </w:rPr>
              <w:t>NH</w:t>
            </w:r>
            <w:r>
              <w:rPr>
                <w:noProof/>
                <w:vertAlign w:val="subscript"/>
              </w:rPr>
              <w:t>3</w:t>
            </w:r>
          </w:p>
          <w:p>
            <w:pPr>
              <w:rPr>
                <w:noProof/>
              </w:rPr>
            </w:pPr>
            <w:r>
              <w:rPr>
                <w:noProof/>
              </w:rPr>
              <w:t>(ppm)</w:t>
            </w:r>
          </w:p>
        </w:tc>
        <w:tc>
          <w:tcPr>
            <w:tcW w:w="1216" w:type="dxa"/>
            <w:hideMark/>
          </w:tcPr>
          <w:p>
            <w:pPr>
              <w:rPr>
                <w:noProof/>
              </w:rPr>
            </w:pPr>
            <w:r>
              <w:rPr>
                <w:noProof/>
              </w:rPr>
              <w:t>Маса на праховите частици</w:t>
            </w:r>
          </w:p>
          <w:p>
            <w:pPr>
              <w:rPr>
                <w:noProof/>
                <w:vertAlign w:val="subscript"/>
              </w:rPr>
            </w:pPr>
            <w:r>
              <w:rPr>
                <w:noProof/>
              </w:rPr>
              <w:t>(mg/kWh)</w:t>
            </w:r>
          </w:p>
        </w:tc>
        <w:tc>
          <w:tcPr>
            <w:tcW w:w="1030" w:type="dxa"/>
            <w:hideMark/>
          </w:tcPr>
          <w:p>
            <w:pPr>
              <w:rPr>
                <w:noProof/>
              </w:rPr>
            </w:pPr>
            <w:r>
              <w:rPr>
                <w:noProof/>
              </w:rPr>
              <w:t>Брой на праховите частици</w:t>
            </w:r>
          </w:p>
          <w:p>
            <w:pPr>
              <w:rPr>
                <w:noProof/>
                <w:vertAlign w:val="subscript"/>
              </w:rPr>
            </w:pPr>
            <w:r>
              <w:rPr>
                <w:noProof/>
              </w:rPr>
              <w:t>(#/kWh)</w:t>
            </w:r>
          </w:p>
        </w:tc>
      </w:tr>
      <w:tr>
        <w:trPr>
          <w:trHeight w:val="876"/>
        </w:trPr>
        <w:tc>
          <w:tcPr>
            <w:tcW w:w="993" w:type="dxa"/>
            <w:hideMark/>
          </w:tcPr>
          <w:p>
            <w:pPr>
              <w:rPr>
                <w:noProof/>
              </w:rPr>
            </w:pPr>
            <w:r>
              <w:rPr>
                <w:noProof/>
              </w:rPr>
              <w:t>WHSC (CI)</w:t>
            </w:r>
          </w:p>
        </w:tc>
        <w:tc>
          <w:tcPr>
            <w:tcW w:w="1276" w:type="dxa"/>
            <w:hideMark/>
          </w:tcPr>
          <w:p>
            <w:pPr>
              <w:rPr>
                <w:noProof/>
              </w:rPr>
            </w:pPr>
            <w:r>
              <w:rPr>
                <w:noProof/>
              </w:rPr>
              <w:t>1500</w:t>
            </w:r>
          </w:p>
        </w:tc>
        <w:tc>
          <w:tcPr>
            <w:tcW w:w="1262" w:type="dxa"/>
            <w:hideMark/>
          </w:tcPr>
          <w:p>
            <w:pPr>
              <w:rPr>
                <w:noProof/>
              </w:rPr>
            </w:pPr>
            <w:r>
              <w:rPr>
                <w:noProof/>
              </w:rPr>
              <w:t>130</w:t>
            </w:r>
          </w:p>
        </w:tc>
        <w:tc>
          <w:tcPr>
            <w:tcW w:w="1216" w:type="dxa"/>
          </w:tcPr>
          <w:p>
            <w:pPr>
              <w:rPr>
                <w:noProof/>
              </w:rPr>
            </w:pPr>
          </w:p>
        </w:tc>
        <w:tc>
          <w:tcPr>
            <w:tcW w:w="1216" w:type="dxa"/>
          </w:tcPr>
          <w:p>
            <w:pPr>
              <w:rPr>
                <w:noProof/>
              </w:rPr>
            </w:pPr>
          </w:p>
        </w:tc>
        <w:tc>
          <w:tcPr>
            <w:tcW w:w="1216" w:type="dxa"/>
            <w:hideMark/>
          </w:tcPr>
          <w:p>
            <w:pPr>
              <w:rPr>
                <w:noProof/>
              </w:rPr>
            </w:pPr>
            <w:r>
              <w:rPr>
                <w:noProof/>
              </w:rPr>
              <w:t>400</w:t>
            </w:r>
          </w:p>
        </w:tc>
        <w:tc>
          <w:tcPr>
            <w:tcW w:w="803" w:type="dxa"/>
            <w:hideMark/>
          </w:tcPr>
          <w:p>
            <w:pPr>
              <w:rPr>
                <w:noProof/>
              </w:rPr>
            </w:pPr>
            <w:r>
              <w:rPr>
                <w:noProof/>
              </w:rPr>
              <w:t>10</w:t>
            </w:r>
          </w:p>
        </w:tc>
        <w:tc>
          <w:tcPr>
            <w:tcW w:w="1216" w:type="dxa"/>
            <w:hideMark/>
          </w:tcPr>
          <w:p>
            <w:pPr>
              <w:rPr>
                <w:noProof/>
              </w:rPr>
            </w:pPr>
            <w:r>
              <w:rPr>
                <w:noProof/>
              </w:rPr>
              <w:t>10</w:t>
            </w:r>
          </w:p>
        </w:tc>
        <w:tc>
          <w:tcPr>
            <w:tcW w:w="1030" w:type="dxa"/>
            <w:hideMark/>
          </w:tcPr>
          <w:p>
            <w:pPr>
              <w:rPr>
                <w:noProof/>
                <w:vertAlign w:val="superscript"/>
              </w:rPr>
            </w:pPr>
            <w:r>
              <w:rPr>
                <w:noProof/>
              </w:rPr>
              <w:t>8,0 x 10</w:t>
            </w:r>
            <w:r>
              <w:rPr>
                <w:noProof/>
                <w:vertAlign w:val="superscript"/>
              </w:rPr>
              <w:t>11</w:t>
            </w:r>
          </w:p>
        </w:tc>
      </w:tr>
      <w:tr>
        <w:trPr>
          <w:trHeight w:val="859"/>
        </w:trPr>
        <w:tc>
          <w:tcPr>
            <w:tcW w:w="993" w:type="dxa"/>
            <w:hideMark/>
          </w:tcPr>
          <w:p>
            <w:pPr>
              <w:rPr>
                <w:noProof/>
              </w:rPr>
            </w:pPr>
            <w:r>
              <w:rPr>
                <w:noProof/>
              </w:rPr>
              <w:t>WHTC (CI)</w:t>
            </w:r>
          </w:p>
        </w:tc>
        <w:tc>
          <w:tcPr>
            <w:tcW w:w="1276" w:type="dxa"/>
            <w:hideMark/>
          </w:tcPr>
          <w:p>
            <w:pPr>
              <w:rPr>
                <w:noProof/>
              </w:rPr>
            </w:pPr>
            <w:r>
              <w:rPr>
                <w:noProof/>
              </w:rPr>
              <w:t>4000</w:t>
            </w:r>
          </w:p>
        </w:tc>
        <w:tc>
          <w:tcPr>
            <w:tcW w:w="1262" w:type="dxa"/>
            <w:hideMark/>
          </w:tcPr>
          <w:p>
            <w:pPr>
              <w:rPr>
                <w:noProof/>
              </w:rPr>
            </w:pPr>
            <w:r>
              <w:rPr>
                <w:noProof/>
              </w:rPr>
              <w:t>160</w:t>
            </w:r>
          </w:p>
        </w:tc>
        <w:tc>
          <w:tcPr>
            <w:tcW w:w="1216" w:type="dxa"/>
          </w:tcPr>
          <w:p>
            <w:pPr>
              <w:rPr>
                <w:noProof/>
              </w:rPr>
            </w:pPr>
          </w:p>
        </w:tc>
        <w:tc>
          <w:tcPr>
            <w:tcW w:w="1216" w:type="dxa"/>
          </w:tcPr>
          <w:p>
            <w:pPr>
              <w:rPr>
                <w:noProof/>
              </w:rPr>
            </w:pPr>
          </w:p>
        </w:tc>
        <w:tc>
          <w:tcPr>
            <w:tcW w:w="1216" w:type="dxa"/>
            <w:hideMark/>
          </w:tcPr>
          <w:p>
            <w:pPr>
              <w:rPr>
                <w:noProof/>
              </w:rPr>
            </w:pPr>
            <w:r>
              <w:rPr>
                <w:noProof/>
              </w:rPr>
              <w:t>460</w:t>
            </w:r>
          </w:p>
        </w:tc>
        <w:tc>
          <w:tcPr>
            <w:tcW w:w="803" w:type="dxa"/>
            <w:hideMark/>
          </w:tcPr>
          <w:p>
            <w:pPr>
              <w:rPr>
                <w:noProof/>
              </w:rPr>
            </w:pPr>
            <w:r>
              <w:rPr>
                <w:noProof/>
              </w:rPr>
              <w:t>10</w:t>
            </w:r>
          </w:p>
        </w:tc>
        <w:tc>
          <w:tcPr>
            <w:tcW w:w="1216" w:type="dxa"/>
            <w:hideMark/>
          </w:tcPr>
          <w:p>
            <w:pPr>
              <w:rPr>
                <w:noProof/>
              </w:rPr>
            </w:pPr>
            <w:r>
              <w:rPr>
                <w:noProof/>
              </w:rPr>
              <w:t>10</w:t>
            </w:r>
          </w:p>
        </w:tc>
        <w:tc>
          <w:tcPr>
            <w:tcW w:w="1030" w:type="dxa"/>
            <w:hideMark/>
          </w:tcPr>
          <w:p>
            <w:pPr>
              <w:rPr>
                <w:noProof/>
                <w:vertAlign w:val="superscript"/>
              </w:rPr>
            </w:pPr>
            <w:r>
              <w:rPr>
                <w:noProof/>
              </w:rPr>
              <w:t>6,0 x 10</w:t>
            </w:r>
            <w:r>
              <w:rPr>
                <w:noProof/>
                <w:vertAlign w:val="superscript"/>
              </w:rPr>
              <w:t>11</w:t>
            </w:r>
          </w:p>
        </w:tc>
      </w:tr>
      <w:tr>
        <w:trPr>
          <w:trHeight w:val="876"/>
        </w:trPr>
        <w:tc>
          <w:tcPr>
            <w:tcW w:w="993" w:type="dxa"/>
            <w:hideMark/>
          </w:tcPr>
          <w:p>
            <w:pPr>
              <w:rPr>
                <w:noProof/>
              </w:rPr>
            </w:pPr>
            <w:r>
              <w:rPr>
                <w:noProof/>
              </w:rPr>
              <w:t xml:space="preserve">WHTC (PI) </w:t>
            </w:r>
          </w:p>
        </w:tc>
        <w:tc>
          <w:tcPr>
            <w:tcW w:w="1276" w:type="dxa"/>
            <w:hideMark/>
          </w:tcPr>
          <w:p>
            <w:pPr>
              <w:rPr>
                <w:noProof/>
              </w:rPr>
            </w:pPr>
            <w:r>
              <w:rPr>
                <w:noProof/>
              </w:rPr>
              <w:t>4000</w:t>
            </w:r>
          </w:p>
        </w:tc>
        <w:tc>
          <w:tcPr>
            <w:tcW w:w="1262" w:type="dxa"/>
          </w:tcPr>
          <w:p>
            <w:pPr>
              <w:rPr>
                <w:noProof/>
              </w:rPr>
            </w:pPr>
          </w:p>
        </w:tc>
        <w:tc>
          <w:tcPr>
            <w:tcW w:w="1216" w:type="dxa"/>
            <w:hideMark/>
          </w:tcPr>
          <w:p>
            <w:pPr>
              <w:rPr>
                <w:noProof/>
              </w:rPr>
            </w:pPr>
            <w:r>
              <w:rPr>
                <w:noProof/>
              </w:rPr>
              <w:t>160</w:t>
            </w:r>
          </w:p>
        </w:tc>
        <w:tc>
          <w:tcPr>
            <w:tcW w:w="1216" w:type="dxa"/>
            <w:hideMark/>
          </w:tcPr>
          <w:p>
            <w:pPr>
              <w:rPr>
                <w:noProof/>
              </w:rPr>
            </w:pPr>
            <w:r>
              <w:rPr>
                <w:noProof/>
              </w:rPr>
              <w:t>500</w:t>
            </w:r>
          </w:p>
        </w:tc>
        <w:tc>
          <w:tcPr>
            <w:tcW w:w="1216" w:type="dxa"/>
            <w:hideMark/>
          </w:tcPr>
          <w:p>
            <w:pPr>
              <w:rPr>
                <w:noProof/>
              </w:rPr>
            </w:pPr>
            <w:r>
              <w:rPr>
                <w:noProof/>
              </w:rPr>
              <w:t>460</w:t>
            </w:r>
          </w:p>
        </w:tc>
        <w:tc>
          <w:tcPr>
            <w:tcW w:w="803" w:type="dxa"/>
            <w:hideMark/>
          </w:tcPr>
          <w:p>
            <w:pPr>
              <w:rPr>
                <w:noProof/>
              </w:rPr>
            </w:pPr>
            <w:r>
              <w:rPr>
                <w:noProof/>
              </w:rPr>
              <w:t>10</w:t>
            </w:r>
          </w:p>
        </w:tc>
        <w:tc>
          <w:tcPr>
            <w:tcW w:w="1216" w:type="dxa"/>
            <w:hideMark/>
          </w:tcPr>
          <w:p>
            <w:pPr>
              <w:rPr>
                <w:noProof/>
              </w:rPr>
            </w:pPr>
            <w:r>
              <w:rPr>
                <w:noProof/>
              </w:rPr>
              <w:t>10</w:t>
            </w:r>
          </w:p>
        </w:tc>
        <w:tc>
          <w:tcPr>
            <w:tcW w:w="1030" w:type="dxa"/>
            <w:hideMark/>
          </w:tcPr>
          <w:p>
            <w:pPr>
              <w:rPr>
                <w:noProof/>
              </w:rPr>
            </w:pPr>
            <w:r>
              <w:rPr>
                <w:noProof/>
              </w:rPr>
              <w:t>6,0 x 10</w:t>
            </w:r>
            <w:r>
              <w:rPr>
                <w:noProof/>
                <w:vertAlign w:val="superscript"/>
              </w:rPr>
              <w:t>11</w:t>
            </w:r>
          </w:p>
        </w:tc>
      </w:tr>
    </w:tbl>
    <w:p>
      <w:pPr>
        <w:rPr>
          <w:noProof/>
        </w:rPr>
      </w:pPr>
      <w:r>
        <w:rPr>
          <w:noProof/>
        </w:rPr>
        <w:t>Забележка:</w:t>
      </w:r>
    </w:p>
    <w:p>
      <w:pPr>
        <w:pStyle w:val="Point0"/>
        <w:spacing w:before="0" w:after="0"/>
        <w:rPr>
          <w:noProof/>
        </w:rPr>
      </w:pPr>
      <w:r>
        <w:rPr>
          <w:noProof/>
        </w:rPr>
        <w:t>PI =</w:t>
      </w:r>
      <w:r>
        <w:rPr>
          <w:noProof/>
        </w:rPr>
        <w:tab/>
        <w:t>принудително запалване.</w:t>
      </w:r>
    </w:p>
    <w:p>
      <w:pPr>
        <w:pStyle w:val="Point0"/>
        <w:spacing w:before="0" w:after="0"/>
        <w:rPr>
          <w:noProof/>
        </w:rPr>
      </w:pPr>
      <w:r>
        <w:rPr>
          <w:noProof/>
        </w:rPr>
        <w:t>CI =</w:t>
      </w:r>
      <w:r>
        <w:rPr>
          <w:noProof/>
        </w:rPr>
        <w:tab/>
        <w:t>запалване чрез сгъстяване</w:t>
      </w:r>
    </w:p>
    <w:p>
      <w:pPr>
        <w:rPr>
          <w:noProof/>
        </w:rPr>
      </w:pPr>
      <w:r>
        <w:rPr>
          <w:noProof/>
          <w:vertAlign w:val="superscript"/>
        </w:rPr>
        <w:t>(1)</w:t>
      </w:r>
      <w:r>
        <w:rPr>
          <w:noProof/>
        </w:rPr>
        <w:tab/>
        <w:t>Допустимото ниво на компонента NO</w:t>
      </w:r>
      <w:r>
        <w:rPr>
          <w:noProof/>
          <w:vertAlign w:val="subscript"/>
        </w:rPr>
        <w:t>2</w:t>
      </w:r>
      <w:r>
        <w:rPr>
          <w:noProof/>
        </w:rPr>
        <w:t xml:space="preserve"> в граничната стойност на NO</w:t>
      </w:r>
      <w:r>
        <w:rPr>
          <w:noProof/>
          <w:vertAlign w:val="subscript"/>
        </w:rPr>
        <w:t>x</w:t>
      </w:r>
      <w:r>
        <w:rPr>
          <w:noProof/>
        </w:rPr>
        <w:t xml:space="preserve"> може да се определи на по-късен етап.“;</w:t>
      </w:r>
    </w:p>
    <w:p>
      <w:pPr>
        <w:rPr>
          <w:noProof/>
        </w:rPr>
      </w:pPr>
      <w:r>
        <w:rPr>
          <w:noProof/>
        </w:rPr>
        <w:t>б)</w:t>
      </w:r>
      <w:r>
        <w:rPr>
          <w:noProof/>
        </w:rPr>
        <w:tab/>
        <w:t>Приложение III се изменя, както следва:</w:t>
      </w:r>
    </w:p>
    <w:p>
      <w:pPr>
        <w:ind w:firstLine="720"/>
        <w:rPr>
          <w:noProof/>
        </w:rPr>
      </w:pPr>
      <w:r>
        <w:rPr>
          <w:noProof/>
        </w:rPr>
        <w:lastRenderedPageBreak/>
        <w:t>i)</w:t>
      </w:r>
      <w:r>
        <w:rPr>
          <w:noProof/>
        </w:rPr>
        <w:tab/>
        <w:t>Раздел 2 се изменя, както следва:</w:t>
      </w:r>
    </w:p>
    <w:p>
      <w:pPr>
        <w:ind w:left="131" w:firstLine="578"/>
        <w:rPr>
          <w:noProof/>
        </w:rPr>
      </w:pPr>
      <w:r>
        <w:rPr>
          <w:noProof/>
        </w:rPr>
        <w:t xml:space="preserve">— в точка 2.1 шестото тире се заменя със следния текст:  </w:t>
      </w:r>
    </w:p>
    <w:p>
      <w:pPr>
        <w:ind w:left="709"/>
        <w:rPr>
          <w:noProof/>
        </w:rPr>
      </w:pPr>
      <w:r>
        <w:rPr>
          <w:noProof/>
        </w:rPr>
        <w:t>'—</w:t>
      </w:r>
      <w:r>
        <w:rPr>
          <w:noProof/>
        </w:rPr>
        <w:tab/>
        <w:t>Разходите се разпределят за тежки превозни средства по обективен и прозрачен начин, като се отчитат частта от трафика на тежки превозни средства по пътната мрежа и съответните разходи. Километрите, пропътувани от тежките превозни средства, за тази цел могат да се коригират с обективно аргументирани „коефициенти за еквивалентност“ като посочените в точка 4 (*).</w:t>
      </w:r>
    </w:p>
    <w:p>
      <w:pPr>
        <w:rPr>
          <w:noProof/>
        </w:rPr>
      </w:pPr>
      <w:r>
        <w:rPr>
          <w:noProof/>
        </w:rPr>
        <w:t>________</w:t>
      </w:r>
    </w:p>
    <w:p>
      <w:pPr>
        <w:rPr>
          <w:noProof/>
        </w:rPr>
      </w:pPr>
      <w:r>
        <w:rPr>
          <w:noProof/>
        </w:rPr>
        <w:t>*</w:t>
      </w:r>
      <w:r>
        <w:rPr>
          <w:noProof/>
        </w:rPr>
        <w:tab/>
        <w:t>Прилагането на коефициенти за еквивалентност от държавите членки може да отчита развиваното пътно строителство на поетапен принцип или като се използва подходът за дълъг цикъл на годност.“;</w:t>
      </w:r>
    </w:p>
    <w:p>
      <w:pPr>
        <w:ind w:left="709"/>
        <w:rPr>
          <w:noProof/>
        </w:rPr>
      </w:pPr>
      <w:r>
        <w:rPr>
          <w:noProof/>
        </w:rPr>
        <w:t>— в точка 2.2 второто тире се заменя със следния текст:</w:t>
      </w:r>
    </w:p>
    <w:p>
      <w:pPr>
        <w:ind w:left="709"/>
        <w:rPr>
          <w:noProof/>
        </w:rPr>
      </w:pPr>
      <w:r>
        <w:rPr>
          <w:noProof/>
        </w:rPr>
        <w:t>„—</w:t>
      </w:r>
      <w:r>
        <w:rPr>
          <w:noProof/>
        </w:rPr>
        <w:tab/>
        <w:t>Тези разходи се разпределят между тежките превозни средства и останалия трафик на базата на действителни и прогнозни дялове на километрите на различните превозни средства и могат да бъдат коригирани с обективно аргументирани коефициенти за еквивалентност като посочените в точка 4.“;</w:t>
      </w:r>
    </w:p>
    <w:p>
      <w:pPr>
        <w:ind w:left="709"/>
        <w:rPr>
          <w:noProof/>
        </w:rPr>
      </w:pPr>
      <w:r>
        <w:rPr>
          <w:noProof/>
        </w:rPr>
        <w:t>ii)</w:t>
      </w:r>
      <w:r>
        <w:rPr>
          <w:noProof/>
        </w:rPr>
        <w:tab/>
        <w:t>в раздел 4 заглавието и първото тире се заменят със следното:</w:t>
      </w:r>
    </w:p>
    <w:p>
      <w:pPr>
        <w:ind w:left="720" w:hanging="720"/>
        <w:rPr>
          <w:noProof/>
        </w:rPr>
      </w:pPr>
      <w:r>
        <w:rPr>
          <w:noProof/>
        </w:rPr>
        <w:t>„4.</w:t>
      </w:r>
      <w:r>
        <w:rPr>
          <w:noProof/>
        </w:rPr>
        <w:tab/>
        <w:t>ДЯЛ НА ТРАФИКА НА ТЕЖКИ ПРЕВОЗНИ СРЕДСТВА, КОЕФИЦИЕНТИ ЗА ЕКВИВАЛЕНТНОСТ И КОРЕКЦИОНЕН МЕХАНИЗЪМ</w:t>
      </w:r>
    </w:p>
    <w:p>
      <w:pPr>
        <w:ind w:left="720" w:hanging="720"/>
        <w:rPr>
          <w:noProof/>
        </w:rPr>
      </w:pPr>
      <w:r>
        <w:rPr>
          <w:noProof/>
        </w:rPr>
        <w:t>–</w:t>
      </w:r>
      <w:r>
        <w:rPr>
          <w:noProof/>
        </w:rPr>
        <w:tab/>
        <w:t>Изчисляването на таксите за изминато разстояние се основава на действителните или прогнозните дялове на тежките превозни средства в общите километри, пропътувани от превозните средства, коригирани по желание с коефициенти за еквивалентност, за да се отчетат увеличените разходи за изграждане и ремонт на инфраструктурата, използвана от тежки превозни средства.“;</w:t>
      </w:r>
    </w:p>
    <w:p>
      <w:pPr>
        <w:rPr>
          <w:noProof/>
        </w:rPr>
      </w:pPr>
      <w:r>
        <w:rPr>
          <w:noProof/>
        </w:rPr>
        <w:t>в)</w:t>
      </w:r>
      <w:r>
        <w:rPr>
          <w:noProof/>
        </w:rPr>
        <w:tab/>
        <w:t>Приложение IIIа се заменя със следното:</w:t>
      </w:r>
    </w:p>
    <w:p>
      <w:pPr>
        <w:pStyle w:val="Annexetitreacte"/>
        <w:rPr>
          <w:noProof/>
        </w:rPr>
      </w:pPr>
      <w:r>
        <w:rPr>
          <w:noProof/>
        </w:rPr>
        <w:t>„ПРИЛОЖЕНИЕ IIIа</w:t>
      </w:r>
    </w:p>
    <w:p>
      <w:pPr>
        <w:pStyle w:val="ManualHeading1"/>
        <w:ind w:left="851" w:hanging="851"/>
        <w:rPr>
          <w:noProof/>
        </w:rPr>
      </w:pPr>
      <w:r>
        <w:rPr>
          <w:i/>
          <w:noProof/>
        </w:rPr>
        <w:t>МИНИМАЛНИ ИЗИСКВАНИЯ ЗА НАЛАГАНЕ НА ТАКСА ЗА ВЪНШНИ РАЗХОДИ</w:t>
      </w:r>
    </w:p>
    <w:p>
      <w:pPr>
        <w:rPr>
          <w:noProof/>
        </w:rPr>
      </w:pPr>
      <w:r>
        <w:rPr>
          <w:noProof/>
        </w:rPr>
        <w:t>В настоящото приложение се предвиждат минималните изисквания за налагане на такса за външни разходи и, когато е приложимо, за изчисляване на максималната такса за външни разходи.</w:t>
      </w:r>
    </w:p>
    <w:p>
      <w:pPr>
        <w:pStyle w:val="ManualHeading2"/>
        <w:ind w:left="851" w:hanging="851"/>
        <w:rPr>
          <w:noProof/>
        </w:rPr>
      </w:pPr>
      <w:r>
        <w:rPr>
          <w:noProof/>
        </w:rPr>
        <w:t>1.</w:t>
      </w:r>
      <w:r>
        <w:rPr>
          <w:noProof/>
        </w:rPr>
        <w:tab/>
      </w:r>
      <w:r>
        <w:rPr>
          <w:i/>
          <w:noProof/>
        </w:rPr>
        <w:t>Засегнати части от пътната мрежа</w:t>
      </w:r>
    </w:p>
    <w:p>
      <w:pPr>
        <w:rPr>
          <w:noProof/>
        </w:rPr>
      </w:pPr>
      <w:r>
        <w:rPr>
          <w:noProof/>
        </w:rPr>
        <w:t>Държавите членки уточняват подробно частите от своите пътни мрежи, които ще подлежат на облагане с такса за външни разходи.</w:t>
      </w:r>
    </w:p>
    <w:p>
      <w:pPr>
        <w:rPr>
          <w:noProof/>
        </w:rPr>
      </w:pPr>
      <w:r>
        <w:rPr>
          <w:noProof/>
        </w:rPr>
        <w:t>Когато държава членка възнамерява да наложи такса за външни разходи единствено за част или части от пътната мрежа, съставени от нейния дял от трансевропейската мрежа и нейните магистрали, частта или частите се избират след оценка, която установява, че:</w:t>
      </w:r>
    </w:p>
    <w:p>
      <w:pPr>
        <w:pStyle w:val="Tiret0"/>
        <w:numPr>
          <w:ilvl w:val="0"/>
          <w:numId w:val="5"/>
        </w:numPr>
        <w:ind w:left="851"/>
        <w:rPr>
          <w:noProof/>
        </w:rPr>
      </w:pPr>
      <w:r>
        <w:rPr>
          <w:noProof/>
        </w:rPr>
        <w:t xml:space="preserve">когато превозните средства използват пътищата, за които се прилага такса за външни разходи, това причинява вреди за околната среда, по-големи от средните, оценявани съгласно докладите за замърсяването на въздуха, </w:t>
      </w:r>
      <w:r>
        <w:rPr>
          <w:noProof/>
        </w:rPr>
        <w:lastRenderedPageBreak/>
        <w:t>националните инвентаризации на емисиите, обема на трафика или (когато става дума за шума) съгласно Директива 2002/49/ЕО, или</w:t>
      </w:r>
    </w:p>
    <w:p>
      <w:pPr>
        <w:pStyle w:val="Tiret0"/>
        <w:ind w:left="851"/>
        <w:rPr>
          <w:noProof/>
        </w:rPr>
      </w:pPr>
      <w:r>
        <w:rPr>
          <w:noProof/>
        </w:rPr>
        <w:t>прилагането на такса за външни разходи за други части от пътната мрежа, съставени по гореописания начин, може да има неблагоприятни последствия за околната среда или за безопасността по пътищата или налагането и събирането на такса за външни разходи за тях би довело до прекомерни разходи.</w:t>
      </w:r>
    </w:p>
    <w:p>
      <w:pPr>
        <w:pStyle w:val="ManualHeading2"/>
        <w:ind w:left="851" w:hanging="851"/>
        <w:rPr>
          <w:noProof/>
        </w:rPr>
      </w:pPr>
      <w:r>
        <w:rPr>
          <w:noProof/>
        </w:rPr>
        <w:t>2.</w:t>
      </w:r>
      <w:r>
        <w:rPr>
          <w:noProof/>
        </w:rPr>
        <w:tab/>
      </w:r>
      <w:r>
        <w:rPr>
          <w:i/>
          <w:noProof/>
        </w:rPr>
        <w:t>Обхванати превозни средства, пътища и периоди</w:t>
      </w:r>
    </w:p>
    <w:p>
      <w:pPr>
        <w:rPr>
          <w:noProof/>
        </w:rPr>
      </w:pPr>
      <w:r>
        <w:rPr>
          <w:noProof/>
        </w:rPr>
        <w:t>Когато държава членка възнамерява да прилага по-високи такси за външни разходи в сравнение с референтните стойности, определени в приложение IIIб, тя уведомява Комисията за класификацията на превозните средства, според която варира таксата за външни разходи. Тя също уведомява Комисията за местоположението на пътищата, които подлежат на облагане с по-високи такси за външни разходи (наричани по-нататък „крайградски пътища (включително автомагистрали)“) и пътищата, които подлежат на облагане с по-ниски такси за външни разходи (наричани по-нататък „междуградски пътища (включително автомагистрали)“).</w:t>
      </w:r>
    </w:p>
    <w:p>
      <w:pPr>
        <w:rPr>
          <w:noProof/>
        </w:rPr>
      </w:pPr>
      <w:r>
        <w:rPr>
          <w:noProof/>
        </w:rPr>
        <w:t>Когато е приложимо, тя също уведомява Комисията за точните периоди, съответстващи на нощния период, през които може да бъде приложена по-висока такса за външни разходи във връзка с шума, за да се отчете по-голямото въздействие на шума като дразнител.</w:t>
      </w:r>
    </w:p>
    <w:p>
      <w:pPr>
        <w:rPr>
          <w:noProof/>
        </w:rPr>
      </w:pPr>
      <w:r>
        <w:rPr>
          <w:noProof/>
        </w:rPr>
        <w:t>Класификацията на пътищата като крайградски пътища (включително. автомагистрали) и междуградски пътища (включително автомагистрали) и определянето на периоди се основават на обективни критерии, свързани с равнището на излагане на пътищата и техните околности на замърсяване, като гъстотата на населението, средните годишни стойности на замърсяването на въздуха (по-специално с PM</w:t>
      </w:r>
      <w:r>
        <w:rPr>
          <w:noProof/>
          <w:vertAlign w:val="subscript"/>
        </w:rPr>
        <w:t>10</w:t>
      </w:r>
      <w:r>
        <w:rPr>
          <w:noProof/>
        </w:rPr>
        <w:t xml:space="preserve"> и NO</w:t>
      </w:r>
      <w:r>
        <w:rPr>
          <w:noProof/>
          <w:vertAlign w:val="subscript"/>
        </w:rPr>
        <w:t>2</w:t>
      </w:r>
      <w:r>
        <w:rPr>
          <w:noProof/>
        </w:rPr>
        <w:t>) и броят на дните (за PM</w:t>
      </w:r>
      <w:r>
        <w:rPr>
          <w:noProof/>
          <w:vertAlign w:val="subscript"/>
        </w:rPr>
        <w:t>10</w:t>
      </w:r>
      <w:r>
        <w:rPr>
          <w:noProof/>
        </w:rPr>
        <w:t>) и часовете (NO</w:t>
      </w:r>
      <w:r>
        <w:rPr>
          <w:noProof/>
          <w:vertAlign w:val="subscript"/>
        </w:rPr>
        <w:t>2</w:t>
      </w:r>
      <w:r>
        <w:rPr>
          <w:noProof/>
        </w:rPr>
        <w:t>), в които се превишават граничните стойности, установени съгласно Директива 2008/50/ЕО. Използваните критерии се включват в уведомлението.</w:t>
      </w:r>
    </w:p>
    <w:p>
      <w:pPr>
        <w:pStyle w:val="ManualHeading2"/>
        <w:ind w:left="851" w:hanging="851"/>
        <w:rPr>
          <w:noProof/>
        </w:rPr>
      </w:pPr>
      <w:r>
        <w:rPr>
          <w:noProof/>
        </w:rPr>
        <w:t>3.</w:t>
      </w:r>
      <w:r>
        <w:rPr>
          <w:noProof/>
        </w:rPr>
        <w:tab/>
      </w:r>
      <w:r>
        <w:rPr>
          <w:i/>
          <w:noProof/>
        </w:rPr>
        <w:t>Размер на таксата</w:t>
      </w:r>
    </w:p>
    <w:p>
      <w:pPr>
        <w:rPr>
          <w:rFonts w:eastAsia="Arial Unicode MS"/>
          <w:noProof/>
        </w:rPr>
      </w:pPr>
      <w:r>
        <w:rPr>
          <w:noProof/>
        </w:rPr>
        <w:t>Настоящият раздел се прилага, когато дадена държава членка възнамерява да прилага по-високи такси за външни разходи в сравнение с референтните стойности, определени в приложение IIIб.</w:t>
      </w:r>
    </w:p>
    <w:p>
      <w:pPr>
        <w:rPr>
          <w:noProof/>
        </w:rPr>
      </w:pPr>
      <w:r>
        <w:rPr>
          <w:noProof/>
        </w:rPr>
        <w:t>За всеки клас превозно средство, вид на пътя и период държавата членка или независимият орган, ако има такъв, определят един конкретен размер. Установената в резултат на това структура на таксуване е прозрачна, разгласява се публично и е достъпна за всички ползватели при едни и същи условия. Публикуването следва да се осъществи своевременно преди началото на прилагането. Всички параметри, данни и друга информация, необходими за разбирането на това как са изчислени различните елементи на външните разходи, се оповестяват публично.</w:t>
      </w:r>
    </w:p>
    <w:p>
      <w:pPr>
        <w:rPr>
          <w:noProof/>
        </w:rPr>
      </w:pPr>
      <w:r>
        <w:rPr>
          <w:noProof/>
        </w:rPr>
        <w:t>При определяне на таксите държавата членка или независимият орган, ако има такъв, се ръководят от принципа на ефективното ценообразуване, което означава цена, близка до пределната социална цена за използването на превозното средство, на което се налага таксата.</w:t>
      </w:r>
    </w:p>
    <w:p>
      <w:pPr>
        <w:rPr>
          <w:noProof/>
        </w:rPr>
      </w:pPr>
      <w:r>
        <w:rPr>
          <w:noProof/>
        </w:rPr>
        <w:t>Таксата се определя след като се вземат предвид и рискът от отклоняване на трафика, заедно с неблагоприятните последствия за безопасността по пътищата, за околната среда и за задръстванията, и възможностите за намаляване на тези рискове.</w:t>
      </w:r>
    </w:p>
    <w:p>
      <w:pPr>
        <w:rPr>
          <w:noProof/>
        </w:rPr>
      </w:pPr>
      <w:r>
        <w:rPr>
          <w:noProof/>
        </w:rPr>
        <w:t>Държавата членка или независимият орган, ако има такъв, контролира ефективността на схемата за таксуване за ограничаване на вредите върху околната среда, произтичащи от автомобилния транспорт. При необходимост тя коригира на всеки две години структурата и конкретния размер на таксата, определена за даден клас превозно средство, вид на пътя и период, в зависимост от промените в предлагането и търсенето на транспортни услуги.</w:t>
      </w:r>
    </w:p>
    <w:p>
      <w:pPr>
        <w:pStyle w:val="ManualHeading3"/>
        <w:rPr>
          <w:i w:val="0"/>
          <w:iCs/>
          <w:noProof/>
        </w:rPr>
      </w:pPr>
      <w:r>
        <w:rPr>
          <w:b/>
          <w:noProof/>
        </w:rPr>
        <w:t>4.</w:t>
      </w:r>
      <w:r>
        <w:rPr>
          <w:noProof/>
        </w:rPr>
        <w:tab/>
      </w:r>
      <w:r>
        <w:rPr>
          <w:b/>
          <w:i w:val="0"/>
          <w:noProof/>
        </w:rPr>
        <w:t>Елементи на външните разходи</w:t>
      </w:r>
      <w:r>
        <w:rPr>
          <w:i w:val="0"/>
          <w:noProof/>
        </w:rPr>
        <w:t xml:space="preserve"> </w:t>
      </w:r>
    </w:p>
    <w:p>
      <w:pPr>
        <w:pStyle w:val="ManualHeading3"/>
        <w:rPr>
          <w:noProof/>
        </w:rPr>
      </w:pPr>
      <w:r>
        <w:rPr>
          <w:noProof/>
        </w:rPr>
        <w:t>4.1.</w:t>
      </w:r>
      <w:r>
        <w:rPr>
          <w:noProof/>
        </w:rPr>
        <w:tab/>
        <w:t>Разходи във връзка със замърсяването на въздуха, причинено от трафика</w:t>
      </w:r>
    </w:p>
    <w:p>
      <w:pPr>
        <w:rPr>
          <w:noProof/>
        </w:rPr>
      </w:pPr>
      <w:r>
        <w:rPr>
          <w:noProof/>
        </w:rPr>
        <w:t>Когато държава членка възнамерява да прилага по-високи такси за външни разходи в сравнение с референтните стойности, определени в приложение IIIб, тази държава членка или независимият орган, ако има такъв, изчислява дължимите разходи въз основа на замърсяването на въздуха, причинено от превозните средства, като прилага следната формула:</w:t>
      </w:r>
    </w:p>
    <w:p>
      <w:pPr>
        <w:rPr>
          <w:noProof/>
        </w:rPr>
      </w:pPr>
      <w:r>
        <w:rPr>
          <w:noProof/>
          <w:lang w:val="en-US" w:eastAsia="en-US" w:bidi="ar-SA"/>
        </w:rPr>
        <w:drawing>
          <wp:inline distT="0" distB="0" distL="0" distR="0">
            <wp:extent cx="1714500" cy="2290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14125" cy="229013"/>
                    </a:xfrm>
                    <a:prstGeom prst="rect">
                      <a:avLst/>
                    </a:prstGeom>
                  </pic:spPr>
                </pic:pic>
              </a:graphicData>
            </a:graphic>
          </wp:inline>
        </w:drawing>
      </w:r>
    </w:p>
    <w:p>
      <w:pPr>
        <w:rPr>
          <w:noProof/>
        </w:rPr>
      </w:pPr>
      <w:r>
        <w:rPr>
          <w:noProof/>
        </w:rPr>
        <w:t>където:</w:t>
      </w:r>
    </w:p>
    <w:tbl>
      <w:tblPr>
        <w:tblW w:w="0" w:type="auto"/>
        <w:tblLayout w:type="fixed"/>
        <w:tblLook w:val="0000" w:firstRow="0" w:lastRow="0" w:firstColumn="0" w:lastColumn="0" w:noHBand="0" w:noVBand="0"/>
      </w:tblPr>
      <w:tblGrid>
        <w:gridCol w:w="557"/>
        <w:gridCol w:w="1022"/>
        <w:gridCol w:w="557"/>
        <w:gridCol w:w="7150"/>
      </w:tblGrid>
      <w:tr>
        <w:tc>
          <w:tcPr>
            <w:tcW w:w="557" w:type="dxa"/>
          </w:tcPr>
          <w:p>
            <w:pPr>
              <w:pStyle w:val="NormalLeft"/>
              <w:rPr>
                <w:noProof/>
              </w:rPr>
            </w:pPr>
            <w:r>
              <w:rPr>
                <w:noProof/>
              </w:rPr>
              <w:t>—</w:t>
            </w:r>
          </w:p>
        </w:tc>
        <w:tc>
          <w:tcPr>
            <w:tcW w:w="1022" w:type="dxa"/>
          </w:tcPr>
          <w:p>
            <w:pPr>
              <w:pStyle w:val="NormalLeft"/>
              <w:rPr>
                <w:noProof/>
              </w:rPr>
            </w:pPr>
            <w:r>
              <w:rPr>
                <w:noProof/>
              </w:rPr>
              <w:t>PCV</w:t>
            </w:r>
            <w:r>
              <w:rPr>
                <w:noProof/>
                <w:vertAlign w:val="subscript"/>
              </w:rPr>
              <w:t>ij</w:t>
            </w:r>
          </w:p>
        </w:tc>
        <w:tc>
          <w:tcPr>
            <w:tcW w:w="557" w:type="dxa"/>
          </w:tcPr>
          <w:p>
            <w:pPr>
              <w:pStyle w:val="NormalLeft"/>
              <w:rPr>
                <w:noProof/>
              </w:rPr>
            </w:pPr>
            <w:r>
              <w:rPr>
                <w:noProof/>
              </w:rPr>
              <w:t>=</w:t>
            </w:r>
          </w:p>
        </w:tc>
        <w:tc>
          <w:tcPr>
            <w:tcW w:w="7150" w:type="dxa"/>
          </w:tcPr>
          <w:p>
            <w:pPr>
              <w:pStyle w:val="NormalLeft"/>
              <w:rPr>
                <w:noProof/>
              </w:rPr>
            </w:pPr>
            <w:r>
              <w:rPr>
                <w:noProof/>
              </w:rPr>
              <w:t>разход от замърсяване на въздуха от превозно средство от клас i на път от вид j (евро/превозно средство.километър)</w:t>
            </w:r>
          </w:p>
        </w:tc>
      </w:tr>
      <w:tr>
        <w:tc>
          <w:tcPr>
            <w:tcW w:w="557" w:type="dxa"/>
          </w:tcPr>
          <w:p>
            <w:pPr>
              <w:pStyle w:val="NormalLeft"/>
              <w:rPr>
                <w:noProof/>
              </w:rPr>
            </w:pPr>
            <w:r>
              <w:rPr>
                <w:noProof/>
              </w:rPr>
              <w:t>—</w:t>
            </w:r>
          </w:p>
        </w:tc>
        <w:tc>
          <w:tcPr>
            <w:tcW w:w="1022" w:type="dxa"/>
          </w:tcPr>
          <w:p>
            <w:pPr>
              <w:pStyle w:val="NormalLeft"/>
              <w:rPr>
                <w:noProof/>
              </w:rPr>
            </w:pPr>
            <w:r>
              <w:rPr>
                <w:noProof/>
              </w:rPr>
              <w:t>EF</w:t>
            </w:r>
            <w:r>
              <w:rPr>
                <w:noProof/>
                <w:vertAlign w:val="subscript"/>
              </w:rPr>
              <w:t>ik</w:t>
            </w:r>
          </w:p>
        </w:tc>
        <w:tc>
          <w:tcPr>
            <w:tcW w:w="557" w:type="dxa"/>
          </w:tcPr>
          <w:p>
            <w:pPr>
              <w:pStyle w:val="NormalLeft"/>
              <w:rPr>
                <w:noProof/>
              </w:rPr>
            </w:pPr>
            <w:r>
              <w:rPr>
                <w:noProof/>
              </w:rPr>
              <w:t>=</w:t>
            </w:r>
          </w:p>
        </w:tc>
        <w:tc>
          <w:tcPr>
            <w:tcW w:w="7150" w:type="dxa"/>
          </w:tcPr>
          <w:p>
            <w:pPr>
              <w:pStyle w:val="NormalLeft"/>
              <w:rPr>
                <w:noProof/>
              </w:rPr>
            </w:pPr>
            <w:r>
              <w:rPr>
                <w:noProof/>
              </w:rPr>
              <w:t>коефициент на емисиите на замърсител k и клас превозно средство i (грам/превозно средство.километър)</w:t>
            </w:r>
          </w:p>
        </w:tc>
      </w:tr>
      <w:tr>
        <w:tc>
          <w:tcPr>
            <w:tcW w:w="557" w:type="dxa"/>
          </w:tcPr>
          <w:p>
            <w:pPr>
              <w:pStyle w:val="NormalLeft"/>
              <w:rPr>
                <w:noProof/>
              </w:rPr>
            </w:pPr>
            <w:r>
              <w:rPr>
                <w:noProof/>
              </w:rPr>
              <w:t>—</w:t>
            </w:r>
          </w:p>
        </w:tc>
        <w:tc>
          <w:tcPr>
            <w:tcW w:w="1022" w:type="dxa"/>
          </w:tcPr>
          <w:p>
            <w:pPr>
              <w:pStyle w:val="NormalLeft"/>
              <w:rPr>
                <w:noProof/>
              </w:rPr>
            </w:pPr>
            <w:r>
              <w:rPr>
                <w:noProof/>
              </w:rPr>
              <w:t>PC</w:t>
            </w:r>
            <w:r>
              <w:rPr>
                <w:noProof/>
                <w:vertAlign w:val="subscript"/>
              </w:rPr>
              <w:t>jk</w:t>
            </w:r>
          </w:p>
        </w:tc>
        <w:tc>
          <w:tcPr>
            <w:tcW w:w="557" w:type="dxa"/>
          </w:tcPr>
          <w:p>
            <w:pPr>
              <w:pStyle w:val="NormalLeft"/>
              <w:rPr>
                <w:noProof/>
              </w:rPr>
            </w:pPr>
            <w:r>
              <w:rPr>
                <w:noProof/>
              </w:rPr>
              <w:t>=</w:t>
            </w:r>
          </w:p>
        </w:tc>
        <w:tc>
          <w:tcPr>
            <w:tcW w:w="7150" w:type="dxa"/>
          </w:tcPr>
          <w:p>
            <w:pPr>
              <w:pStyle w:val="NormalLeft"/>
              <w:rPr>
                <w:noProof/>
              </w:rPr>
            </w:pPr>
            <w:r>
              <w:rPr>
                <w:noProof/>
              </w:rPr>
              <w:t>паричният разход от замърсител k за вид на пътя j (евро/грам)</w:t>
            </w:r>
          </w:p>
        </w:tc>
      </w:tr>
    </w:tbl>
    <w:p>
      <w:pPr>
        <w:rPr>
          <w:noProof/>
        </w:rPr>
      </w:pPr>
    </w:p>
    <w:p>
      <w:pPr>
        <w:rPr>
          <w:noProof/>
        </w:rPr>
      </w:pPr>
      <w:r>
        <w:rPr>
          <w:noProof/>
        </w:rPr>
        <w:t>Коефициентите на емисиите са същите като тези, използвани от държавите членки за изготвяне на националните инвентаризации на емисиите, предвидени в Директива (ЕС) 2016/2284 на Европейския парламент и на Съвета за намаляване на националните тавани за емисии на някои атмосферни замърсители * (която изисква използване на Ръководството на EMEP/EEA относно инвентаризацията на емисиите на замърсители на въздуха **). Паричният разход от замърсителите се оценява от държавата членка или, по целесъобразност, от независимия орган, посочен в член 7в, параграф 4, като се използват научно доказани методи.</w:t>
      </w:r>
    </w:p>
    <w:p>
      <w:pPr>
        <w:rPr>
          <w:noProof/>
        </w:rPr>
      </w:pPr>
      <w:r>
        <w:rPr>
          <w:noProof/>
        </w:rPr>
        <w:t>Държавата членка или независимият орган, ако има такъв, може да прилага научно доказани алтернативни методи за изчисляване на стойността на разходите във връзка със замърсяването на въздуха, като използва данни от измервания на замърсители на въздуха и местната стойност на паричните разходи от замърсители на въздуха.</w:t>
      </w:r>
    </w:p>
    <w:p>
      <w:pPr>
        <w:pStyle w:val="ManualHeading3"/>
        <w:rPr>
          <w:noProof/>
        </w:rPr>
      </w:pPr>
      <w:r>
        <w:rPr>
          <w:noProof/>
        </w:rPr>
        <w:t>4.2.</w:t>
      </w:r>
      <w:r>
        <w:rPr>
          <w:noProof/>
        </w:rPr>
        <w:tab/>
        <w:t>Разходи във връзка с шумовото замърсяване, причинено от трафика</w:t>
      </w:r>
    </w:p>
    <w:p>
      <w:pPr>
        <w:rPr>
          <w:noProof/>
        </w:rPr>
      </w:pPr>
      <w:r>
        <w:rPr>
          <w:noProof/>
        </w:rPr>
        <w:t>Когато държава членка възнамерява да прилага по-високи такси за външни разходи в сравнение с референтните стойности, определени в приложение IIIб, тази държава членка или независимият орган, ако има такъв, изчислява дължимите разходи въз основа на шумовото замърсяване, причинено от превозните средства, като прилага следните формули:</w:t>
      </w:r>
    </w:p>
    <w:p>
      <w:pPr>
        <w:rPr>
          <w:noProof/>
        </w:rPr>
      </w:pPr>
      <w:r>
        <w:rPr>
          <w:noProof/>
          <w:lang w:val="en-US" w:eastAsia="en-US" w:bidi="ar-SA"/>
        </w:rPr>
        <w:drawing>
          <wp:inline distT="0" distB="0" distL="0" distR="0">
            <wp:extent cx="2673997"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667416" cy="959657"/>
                    </a:xfrm>
                    <a:prstGeom prst="rect">
                      <a:avLst/>
                    </a:prstGeom>
                  </pic:spPr>
                </pic:pic>
              </a:graphicData>
            </a:graphic>
          </wp:inline>
        </w:drawing>
      </w:r>
    </w:p>
    <w:p>
      <w:pPr>
        <w:rPr>
          <w:noProof/>
        </w:rPr>
      </w:pPr>
      <w:r>
        <w:rPr>
          <w:noProof/>
        </w:rPr>
        <w:t>където:</w:t>
      </w:r>
    </w:p>
    <w:tbl>
      <w:tblPr>
        <w:tblW w:w="0" w:type="auto"/>
        <w:tblLayout w:type="fixed"/>
        <w:tblLook w:val="0000" w:firstRow="0" w:lastRow="0" w:firstColumn="0" w:lastColumn="0" w:noHBand="0" w:noVBand="0"/>
      </w:tblPr>
      <w:tblGrid>
        <w:gridCol w:w="557"/>
        <w:gridCol w:w="1207"/>
        <w:gridCol w:w="372"/>
        <w:gridCol w:w="7150"/>
      </w:tblGrid>
      <w:tr>
        <w:tc>
          <w:tcPr>
            <w:tcW w:w="5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NCV</w:t>
            </w:r>
            <w:r>
              <w:rPr>
                <w:noProof/>
                <w:vertAlign w:val="subscript"/>
              </w:rPr>
              <w:t>j</w:t>
            </w:r>
            <w:r>
              <w:rPr>
                <w:noProof/>
              </w:rPr>
              <w:t xml:space="preserve"> =</w:t>
            </w:r>
          </w:p>
        </w:tc>
        <w:tc>
          <w:tcPr>
            <w:tcW w:w="37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71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разход от шумово замърсяване от едно тежкотоварно превозно средство на път от вид j (евро/превозно средство.километър)</w:t>
            </w:r>
          </w:p>
        </w:tc>
      </w:tr>
      <w:tr>
        <w:tc>
          <w:tcPr>
            <w:tcW w:w="5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NC</w:t>
            </w:r>
            <w:r>
              <w:rPr>
                <w:noProof/>
                <w:vertAlign w:val="subscript"/>
              </w:rPr>
              <w:t>jk</w:t>
            </w:r>
            <w:r>
              <w:rPr>
                <w:noProof/>
              </w:rPr>
              <w:t xml:space="preserve"> =</w:t>
            </w:r>
          </w:p>
        </w:tc>
        <w:tc>
          <w:tcPr>
            <w:tcW w:w="37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71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разход от шумово замърсяване на човек, който на път от вид j е изложен на ниво на шума k (евро/човек)</w:t>
            </w:r>
          </w:p>
        </w:tc>
      </w:tr>
      <w:tr>
        <w:tc>
          <w:tcPr>
            <w:tcW w:w="5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POP</w:t>
            </w:r>
            <w:r>
              <w:rPr>
                <w:noProof/>
                <w:vertAlign w:val="subscript"/>
              </w:rPr>
              <w:t>k</w:t>
            </w:r>
            <w:r>
              <w:rPr>
                <w:noProof/>
              </w:rPr>
              <w:t xml:space="preserve"> =</w:t>
            </w:r>
          </w:p>
        </w:tc>
        <w:tc>
          <w:tcPr>
            <w:tcW w:w="37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71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население, изложено на ежедневно ниво на шум k на километър (човек/километър)</w:t>
            </w:r>
          </w:p>
        </w:tc>
      </w:tr>
      <w:tr>
        <w:tc>
          <w:tcPr>
            <w:tcW w:w="5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WADT =</w:t>
            </w:r>
          </w:p>
        </w:tc>
        <w:tc>
          <w:tcPr>
            <w:tcW w:w="37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71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среднопретеглен всекидневен трафик (еквивалент на лек автомобил)</w:t>
            </w:r>
          </w:p>
        </w:tc>
      </w:tr>
      <w:tr>
        <w:tc>
          <w:tcPr>
            <w:tcW w:w="55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w:t>
            </w:r>
          </w:p>
        </w:tc>
        <w:tc>
          <w:tcPr>
            <w:tcW w:w="1207"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а и b</w:t>
            </w:r>
          </w:p>
        </w:tc>
        <w:tc>
          <w:tcPr>
            <w:tcW w:w="372"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7150"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са тегловни коефициенти, определени от държавата членка по начин, който позволява получената среднопретеглена такса за шум на километър пробег на превозно средство да съответства на NCVj (ежедневно).</w:t>
            </w:r>
          </w:p>
        </w:tc>
      </w:tr>
    </w:tbl>
    <w:p>
      <w:pPr>
        <w:rPr>
          <w:noProof/>
        </w:rPr>
      </w:pPr>
    </w:p>
    <w:p>
      <w:pPr>
        <w:rPr>
          <w:noProof/>
        </w:rPr>
      </w:pPr>
      <w:r>
        <w:rPr>
          <w:noProof/>
        </w:rPr>
        <w:t>Шумовото замърсяване, причинено от превозните средства се отнася до въздействието на шума върху здравето на гражданите край пътя.</w:t>
      </w:r>
    </w:p>
    <w:p>
      <w:pPr>
        <w:rPr>
          <w:noProof/>
        </w:rPr>
      </w:pPr>
      <w:r>
        <w:rPr>
          <w:noProof/>
        </w:rPr>
        <w:t>Населението, изложено на ниво на шума k, се взема от стратегическите карти на шума, изготвени съгласно член 7 от Директива 2002/49/ЕО на Европейския парламент и на Съвета ***.</w:t>
      </w:r>
    </w:p>
    <w:p>
      <w:pPr>
        <w:rPr>
          <w:noProof/>
        </w:rPr>
      </w:pPr>
      <w:r>
        <w:rPr>
          <w:noProof/>
        </w:rPr>
        <w:t>Разходът за човек, изложен на ниво на шума k, се оценява от държавата членка или от независим орган, ако има такъв, като се използват научно доказани методи.</w:t>
      </w:r>
    </w:p>
    <w:p>
      <w:pPr>
        <w:rPr>
          <w:noProof/>
        </w:rPr>
      </w:pPr>
      <w:r>
        <w:rPr>
          <w:noProof/>
        </w:rPr>
        <w:t>Среднопретегленият всекидневен трафик приема коефициент за еквивалентност „е“ между тежкотоварните превозни средства и леките автомобили, определен въз основа на нивата на шумови емисии на средния автомобил и средното тежкотоварно превозно средство и при отчитане на Регламент (ЕС) № 540/2014 на Европейския парламент и на Съвета от 16 април 2014 г. относно нивото на шума от моторни превозни средства и заменяемите шумозаглушителни уредби, за изменение на Директива 2007/46/ЕО и за отмяна на Директива 70/157/ЕИО.</w:t>
      </w:r>
    </w:p>
    <w:p>
      <w:pPr>
        <w:rPr>
          <w:noProof/>
        </w:rPr>
      </w:pPr>
      <w:r>
        <w:rPr>
          <w:noProof/>
        </w:rPr>
        <w:t>Държавата членка или независимият орган, ако има такъв, може да установи диференцирани такси за шумово замърсяване, за да насърчи използването на по-безшумни превозни средства, при условие че това няма да доведе до дискриминация срещу чуждестранни превозни средства.</w:t>
      </w:r>
    </w:p>
    <w:p>
      <w:pPr>
        <w:rPr>
          <w:noProof/>
        </w:rPr>
      </w:pPr>
      <w:r>
        <w:rPr>
          <w:noProof/>
        </w:rPr>
        <w:t>_____________</w:t>
      </w:r>
    </w:p>
    <w:p>
      <w:pPr>
        <w:rPr>
          <w:noProof/>
        </w:rPr>
      </w:pPr>
      <w:r>
        <w:rPr>
          <w:noProof/>
        </w:rPr>
        <w:t>*</w:t>
      </w:r>
      <w:r>
        <w:rPr>
          <w:noProof/>
        </w:rPr>
        <w:tab/>
        <w:t xml:space="preserve">Директива (ЕС) 2016/2284 на Европейския парламент и на Съвета от 14 декември 2016 г. за намаляване на националните емисии на някои атмосферни замърсители, за изменение на Директива 2003/35/ЕО и за отмяна на Директива 2001/81/ЕО (OВ L 344, 17.12.2016 г., стр. 1). </w:t>
      </w:r>
    </w:p>
    <w:p>
      <w:pPr>
        <w:rPr>
          <w:noProof/>
        </w:rPr>
      </w:pPr>
      <w:r>
        <w:rPr>
          <w:noProof/>
        </w:rPr>
        <w:t>**</w:t>
      </w:r>
      <w:r>
        <w:rPr>
          <w:noProof/>
        </w:rPr>
        <w:tab/>
        <w:t>Методика на Европейската агенция за околната среда: http://www.eea.europa.eu//publications/emep-eea-guidebook-2016</w:t>
      </w:r>
    </w:p>
    <w:p>
      <w:pPr>
        <w:rPr>
          <w:noProof/>
        </w:rPr>
      </w:pPr>
      <w:r>
        <w:rPr>
          <w:noProof/>
        </w:rPr>
        <w:t>***</w:t>
      </w:r>
      <w:r>
        <w:rPr>
          <w:noProof/>
        </w:rPr>
        <w:tab/>
        <w:t>Директива 2002/49/ЕО на Европейския парламент и на Съвета от 25 юни 2002 г. относно оценката и управлението на шума в околната среда (ОВ L 189, 18.7.2002 г., стр. 12).“;</w:t>
      </w:r>
    </w:p>
    <w:p>
      <w:pPr>
        <w:rPr>
          <w:noProof/>
        </w:rPr>
      </w:pPr>
    </w:p>
    <w:p>
      <w:pPr>
        <w:rPr>
          <w:noProof/>
        </w:rPr>
      </w:pPr>
      <w:r>
        <w:rPr>
          <w:noProof/>
        </w:rPr>
        <w:t>г)</w:t>
      </w:r>
      <w:r>
        <w:rPr>
          <w:noProof/>
        </w:rPr>
        <w:tab/>
        <w:t>Приложение  IIIб се заменя със следното:</w:t>
      </w:r>
    </w:p>
    <w:p>
      <w:pPr>
        <w:pStyle w:val="Annexetitreacte"/>
        <w:rPr>
          <w:noProof/>
        </w:rPr>
      </w:pPr>
      <w:r>
        <w:rPr>
          <w:noProof/>
        </w:rPr>
        <w:t>„ПРИЛОЖЕНИЕ IIIб</w:t>
      </w:r>
    </w:p>
    <w:p>
      <w:pPr>
        <w:pStyle w:val="NormalCentered"/>
        <w:rPr>
          <w:b/>
          <w:bCs/>
          <w:noProof/>
        </w:rPr>
      </w:pPr>
      <w:r>
        <w:rPr>
          <w:b/>
          <w:noProof/>
        </w:rPr>
        <w:t xml:space="preserve"> РЕФЕРЕНТНИ СТОЙНОСТИ НА ТАКСАТА ЗА ВЪНШНИ РАЗХОДИ</w:t>
      </w:r>
    </w:p>
    <w:p>
      <w:pPr>
        <w:rPr>
          <w:noProof/>
        </w:rPr>
      </w:pPr>
      <w:r>
        <w:rPr>
          <w:noProof/>
        </w:rPr>
        <w:t>С настоящото приложение се определят референтни стойности за таксата за външни разходи, включително разходите за замърсяването на въздуха и шума.</w:t>
      </w:r>
    </w:p>
    <w:p>
      <w:pPr>
        <w:spacing w:before="100" w:beforeAutospacing="1" w:after="100" w:afterAutospacing="1"/>
        <w:ind w:left="800" w:hanging="400"/>
        <w:rPr>
          <w:rFonts w:eastAsia="Arial Unicode MS"/>
          <w:noProof/>
        </w:rPr>
      </w:pPr>
      <w:r>
        <w:rPr>
          <w:i/>
          <w:noProof/>
        </w:rPr>
        <w:t>Таблица 1:</w:t>
      </w:r>
      <w:r>
        <w:rPr>
          <w:noProof/>
        </w:rPr>
        <w:t>  </w:t>
      </w:r>
      <w:r>
        <w:rPr>
          <w:i/>
          <w:noProof/>
        </w:rPr>
        <w:t>референтни стойности на таксата за външни разходи за тежкотоварни превозни средства</w:t>
      </w:r>
    </w:p>
    <w:tbl>
      <w:tblPr>
        <w:tblW w:w="8740" w:type="dxa"/>
        <w:jc w:val="center"/>
        <w:tblCellSpacing w:w="0" w:type="dxa"/>
        <w:tblInd w:w="-278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4"/>
        <w:gridCol w:w="2934"/>
        <w:gridCol w:w="1710"/>
        <w:gridCol w:w="1892"/>
      </w:tblGrid>
      <w:tr>
        <w:trPr>
          <w:tblCellSpacing w:w="0" w:type="dxa"/>
          <w:jc w:val="center"/>
        </w:trPr>
        <w:tc>
          <w:tcPr>
            <w:tcW w:w="1366" w:type="pct"/>
            <w:tcBorders>
              <w:top w:val="outset" w:sz="6" w:space="0" w:color="auto"/>
              <w:left w:val="outset" w:sz="6" w:space="0" w:color="auto"/>
              <w:bottom w:val="outset" w:sz="6" w:space="0" w:color="auto"/>
              <w:right w:val="outset" w:sz="6" w:space="0" w:color="auto"/>
            </w:tcBorders>
          </w:tcPr>
          <w:p>
            <w:pPr>
              <w:spacing w:before="100" w:beforeAutospacing="1" w:after="100" w:afterAutospacing="1"/>
              <w:rPr>
                <w:b/>
                <w:bCs/>
                <w:noProof/>
              </w:rPr>
            </w:pPr>
            <w:r>
              <w:rPr>
                <w:b/>
                <w:noProof/>
              </w:rPr>
              <w:t>Клас на превозното средство</w:t>
            </w: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b/>
                <w:bCs/>
                <w:noProof/>
              </w:rPr>
            </w:pPr>
            <w:r>
              <w:rPr>
                <w:b/>
                <w:noProof/>
              </w:rPr>
              <w:t>Цент/километър пробег</w:t>
            </w:r>
          </w:p>
        </w:tc>
        <w:tc>
          <w:tcPr>
            <w:tcW w:w="974"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b/>
                <w:bCs/>
                <w:noProof/>
              </w:rPr>
            </w:pPr>
            <w:r>
              <w:rPr>
                <w:b/>
                <w:noProof/>
              </w:rPr>
              <w:t>Крайградски</w:t>
            </w:r>
            <w:r>
              <w:rPr>
                <w:b/>
                <w:noProof/>
                <w:vertAlign w:val="superscript"/>
              </w:rPr>
              <w:t>(1)</w:t>
            </w:r>
            <w:r>
              <w:rPr>
                <w:b/>
                <w:noProof/>
              </w:rPr>
              <w:t xml:space="preserve"> </w:t>
            </w:r>
          </w:p>
        </w:tc>
        <w:tc>
          <w:tcPr>
            <w:tcW w:w="877"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b/>
                <w:bCs/>
                <w:noProof/>
              </w:rPr>
            </w:pPr>
            <w:r>
              <w:rPr>
                <w:b/>
                <w:noProof/>
              </w:rPr>
              <w:t>Междуградски</w:t>
            </w:r>
            <w:r>
              <w:rPr>
                <w:b/>
                <w:noProof/>
                <w:vertAlign w:val="superscript"/>
              </w:rPr>
              <w:t>(2)</w:t>
            </w:r>
          </w:p>
        </w:tc>
      </w:tr>
      <w:tr>
        <w:trPr>
          <w:tblCellSpacing w:w="0" w:type="dxa"/>
          <w:jc w:val="center"/>
        </w:trPr>
        <w:tc>
          <w:tcPr>
            <w:tcW w:w="1366" w:type="pct"/>
            <w:vMerge w:val="restart"/>
            <w:tcBorders>
              <w:top w:val="outset" w:sz="6" w:space="0" w:color="auto"/>
              <w:left w:val="outset" w:sz="6" w:space="0" w:color="auto"/>
              <w:right w:val="outset" w:sz="6" w:space="0" w:color="auto"/>
            </w:tcBorders>
          </w:tcPr>
          <w:p>
            <w:pPr>
              <w:spacing w:before="100" w:beforeAutospacing="1" w:after="100" w:afterAutospacing="1"/>
              <w:rPr>
                <w:noProof/>
              </w:rPr>
            </w:pPr>
            <w:r>
              <w:rPr>
                <w:noProof/>
              </w:rPr>
              <w:t xml:space="preserve">Тежкотоварни превозни средства с максимално допустимо тегло в натоварено състояние </w:t>
            </w:r>
          </w:p>
          <w:p>
            <w:pPr>
              <w:spacing w:before="100" w:beforeAutospacing="1" w:after="100" w:afterAutospacing="1"/>
              <w:rPr>
                <w:noProof/>
              </w:rPr>
            </w:pPr>
            <w:r>
              <w:rPr>
                <w:noProof/>
              </w:rPr>
              <w:t>по-малко от 14 тона</w:t>
            </w:r>
          </w:p>
          <w:p>
            <w:pPr>
              <w:spacing w:before="100" w:beforeAutospacing="1" w:after="100" w:afterAutospacing="1"/>
              <w:rPr>
                <w:noProof/>
              </w:rPr>
            </w:pPr>
            <w:r>
              <w:rPr>
                <w:noProof/>
              </w:rPr>
              <w:t>или с две оси</w:t>
            </w: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0</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13,3</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8,3</w:t>
            </w:r>
          </w:p>
        </w:tc>
      </w:tr>
      <w:tr>
        <w:trPr>
          <w:tblCellSpacing w:w="0" w:type="dxa"/>
          <w:jc w:val="center"/>
        </w:trPr>
        <w:tc>
          <w:tcPr>
            <w:tcW w:w="1366" w:type="pct"/>
            <w:vMerge/>
            <w:tcBorders>
              <w:left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9,1</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5,4</w:t>
            </w:r>
          </w:p>
        </w:tc>
      </w:tr>
      <w:tr>
        <w:trPr>
          <w:tblCellSpacing w:w="0" w:type="dxa"/>
          <w:jc w:val="center"/>
        </w:trPr>
        <w:tc>
          <w:tcPr>
            <w:tcW w:w="1366" w:type="pct"/>
            <w:vMerge/>
            <w:tcBorders>
              <w:left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II</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8,8</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5,4</w:t>
            </w:r>
          </w:p>
        </w:tc>
      </w:tr>
      <w:tr>
        <w:trPr>
          <w:tblCellSpacing w:w="0" w:type="dxa"/>
          <w:jc w:val="center"/>
        </w:trPr>
        <w:tc>
          <w:tcPr>
            <w:tcW w:w="1366" w:type="pct"/>
            <w:vMerge/>
            <w:tcBorders>
              <w:left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III</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7,7</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4,3</w:t>
            </w:r>
          </w:p>
        </w:tc>
      </w:tr>
      <w:tr>
        <w:trPr>
          <w:tblCellSpacing w:w="0" w:type="dxa"/>
          <w:jc w:val="center"/>
        </w:trPr>
        <w:tc>
          <w:tcPr>
            <w:tcW w:w="1366" w:type="pct"/>
            <w:vMerge/>
            <w:tcBorders>
              <w:left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IV</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5,9</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3,1</w:t>
            </w:r>
          </w:p>
        </w:tc>
      </w:tr>
      <w:tr>
        <w:trPr>
          <w:tblCellSpacing w:w="0" w:type="dxa"/>
          <w:jc w:val="center"/>
        </w:trPr>
        <w:tc>
          <w:tcPr>
            <w:tcW w:w="1366" w:type="pct"/>
            <w:vMerge/>
            <w:tcBorders>
              <w:left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V</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5,7</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1,9</w:t>
            </w:r>
          </w:p>
        </w:tc>
      </w:tr>
      <w:tr>
        <w:trPr>
          <w:tblCellSpacing w:w="0" w:type="dxa"/>
          <w:jc w:val="center"/>
        </w:trPr>
        <w:tc>
          <w:tcPr>
            <w:tcW w:w="1366" w:type="pct"/>
            <w:vMerge/>
            <w:tcBorders>
              <w:left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VI</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3,2</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0,6</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Превозни средства, замърсяващи по-малко от EURO VI</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pPr>
              <w:spacing w:before="100" w:beforeAutospacing="1" w:after="100" w:afterAutospacing="1"/>
              <w:contextualSpacing/>
              <w:jc w:val="center"/>
              <w:rPr>
                <w:noProof/>
              </w:rPr>
            </w:pPr>
            <w:r>
              <w:rPr>
                <w:noProof/>
              </w:rPr>
              <w:t>2,5</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hideMark/>
          </w:tcPr>
          <w:p>
            <w:pPr>
              <w:spacing w:before="100" w:beforeAutospacing="1" w:after="100" w:afterAutospacing="1"/>
              <w:contextualSpacing/>
              <w:jc w:val="center"/>
              <w:rPr>
                <w:noProof/>
              </w:rPr>
            </w:pPr>
            <w:r>
              <w:rPr>
                <w:noProof/>
              </w:rPr>
              <w:t>0,3</w:t>
            </w:r>
          </w:p>
        </w:tc>
      </w:tr>
      <w:tr>
        <w:trPr>
          <w:tblCellSpacing w:w="0" w:type="dxa"/>
          <w:jc w:val="center"/>
        </w:trPr>
        <w:tc>
          <w:tcPr>
            <w:tcW w:w="1366" w:type="pct"/>
            <w:vMerge w:val="restart"/>
            <w:tcBorders>
              <w:left w:val="outset" w:sz="6" w:space="0" w:color="auto"/>
              <w:bottom w:val="outset" w:sz="6" w:space="0" w:color="auto"/>
              <w:right w:val="outset" w:sz="6" w:space="0" w:color="auto"/>
            </w:tcBorders>
          </w:tcPr>
          <w:p>
            <w:pPr>
              <w:spacing w:before="100" w:beforeAutospacing="1" w:after="100" w:afterAutospacing="1"/>
              <w:rPr>
                <w:noProof/>
              </w:rPr>
            </w:pPr>
            <w:r>
              <w:rPr>
                <w:noProof/>
              </w:rPr>
              <w:t xml:space="preserve">Тежкотоварни превозни средства с максимално допустимо тегло в натоварено състояние </w:t>
            </w:r>
          </w:p>
          <w:p>
            <w:pPr>
              <w:spacing w:before="100" w:beforeAutospacing="1" w:after="100" w:afterAutospacing="1"/>
              <w:rPr>
                <w:noProof/>
              </w:rPr>
            </w:pPr>
            <w:r>
              <w:rPr>
                <w:noProof/>
              </w:rPr>
              <w:t xml:space="preserve">между 14 и 28 тона </w:t>
            </w:r>
          </w:p>
          <w:p>
            <w:pPr>
              <w:spacing w:before="100" w:beforeAutospacing="1" w:after="100" w:afterAutospacing="1"/>
              <w:rPr>
                <w:noProof/>
              </w:rPr>
            </w:pPr>
            <w:r>
              <w:rPr>
                <w:noProof/>
              </w:rPr>
              <w:t>или с три оси</w:t>
            </w: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0</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23,3</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15,1</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16,4</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10,1</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II</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15,7</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10,0</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III</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13,5</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8,2</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IV</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9,5</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5,7</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V</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8,9</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3,7</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VI</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3,6</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0,8</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Превозни средства, замърсяващи по-малко от EURO VI</w:t>
            </w:r>
          </w:p>
        </w:tc>
        <w:tc>
          <w:tcPr>
            <w:tcW w:w="974" w:type="pct"/>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contextualSpacing/>
              <w:jc w:val="center"/>
              <w:rPr>
                <w:noProof/>
              </w:rPr>
            </w:pPr>
            <w:r>
              <w:rPr>
                <w:noProof/>
              </w:rPr>
              <w:t>2,5</w:t>
            </w:r>
          </w:p>
        </w:tc>
        <w:tc>
          <w:tcPr>
            <w:tcW w:w="877" w:type="pct"/>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contextualSpacing/>
              <w:jc w:val="center"/>
              <w:rPr>
                <w:noProof/>
              </w:rPr>
            </w:pPr>
            <w:r>
              <w:rPr>
                <w:noProof/>
              </w:rPr>
              <w:t>0,3</w:t>
            </w:r>
          </w:p>
        </w:tc>
      </w:tr>
      <w:tr>
        <w:trPr>
          <w:tblCellSpacing w:w="0" w:type="dxa"/>
          <w:jc w:val="center"/>
        </w:trPr>
        <w:tc>
          <w:tcPr>
            <w:tcW w:w="1366" w:type="pct"/>
            <w:vMerge w:val="restart"/>
            <w:tcBorders>
              <w:left w:val="outset" w:sz="6" w:space="0" w:color="auto"/>
              <w:bottom w:val="outset" w:sz="6" w:space="0" w:color="auto"/>
              <w:right w:val="outset" w:sz="6" w:space="0" w:color="auto"/>
            </w:tcBorders>
          </w:tcPr>
          <w:p>
            <w:pPr>
              <w:spacing w:before="100" w:beforeAutospacing="1" w:after="100" w:afterAutospacing="1"/>
              <w:rPr>
                <w:noProof/>
              </w:rPr>
            </w:pPr>
            <w:r>
              <w:rPr>
                <w:noProof/>
              </w:rPr>
              <w:t xml:space="preserve">Тежкотоварни превозни средства с максимално допустимо тегло в натоварено състояние </w:t>
            </w:r>
          </w:p>
          <w:p>
            <w:pPr>
              <w:spacing w:before="100" w:beforeAutospacing="1" w:after="100" w:afterAutospacing="1"/>
              <w:rPr>
                <w:noProof/>
              </w:rPr>
            </w:pPr>
            <w:r>
              <w:rPr>
                <w:noProof/>
              </w:rPr>
              <w:t xml:space="preserve">между 28 и 40 тона </w:t>
            </w:r>
          </w:p>
          <w:p>
            <w:pPr>
              <w:spacing w:before="100" w:beforeAutospacing="1" w:after="100" w:afterAutospacing="1"/>
              <w:rPr>
                <w:noProof/>
              </w:rPr>
            </w:pPr>
            <w:r>
              <w:rPr>
                <w:noProof/>
              </w:rPr>
              <w:t>или с четири оси</w:t>
            </w: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0</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30,4</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19,7</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22,6</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13,9</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II</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21,3</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13,9</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III</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17,8</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11,2</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IV</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12,2</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7,7</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V</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9,2</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4,0</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VI</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3,5</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0,8</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Превозни средства, замърсяващи по-малко от EURO VI</w:t>
            </w:r>
          </w:p>
        </w:tc>
        <w:tc>
          <w:tcPr>
            <w:tcW w:w="974" w:type="pct"/>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contextualSpacing/>
              <w:jc w:val="center"/>
              <w:rPr>
                <w:noProof/>
              </w:rPr>
            </w:pPr>
            <w:r>
              <w:rPr>
                <w:noProof/>
              </w:rPr>
              <w:t>2,5</w:t>
            </w:r>
          </w:p>
        </w:tc>
        <w:tc>
          <w:tcPr>
            <w:tcW w:w="877" w:type="pct"/>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contextualSpacing/>
              <w:jc w:val="center"/>
              <w:rPr>
                <w:noProof/>
              </w:rPr>
            </w:pPr>
            <w:r>
              <w:rPr>
                <w:noProof/>
              </w:rPr>
              <w:t>0,3</w:t>
            </w:r>
          </w:p>
        </w:tc>
      </w:tr>
      <w:tr>
        <w:trPr>
          <w:tblCellSpacing w:w="0" w:type="dxa"/>
          <w:jc w:val="center"/>
        </w:trPr>
        <w:tc>
          <w:tcPr>
            <w:tcW w:w="1366" w:type="pct"/>
            <w:vMerge w:val="restart"/>
            <w:tcBorders>
              <w:left w:val="outset" w:sz="6" w:space="0" w:color="auto"/>
              <w:bottom w:val="outset" w:sz="6" w:space="0" w:color="auto"/>
              <w:right w:val="outset" w:sz="6" w:space="0" w:color="auto"/>
            </w:tcBorders>
          </w:tcPr>
          <w:p>
            <w:pPr>
              <w:spacing w:before="100" w:beforeAutospacing="1" w:after="100" w:afterAutospacing="1"/>
              <w:rPr>
                <w:noProof/>
              </w:rPr>
            </w:pPr>
            <w:r>
              <w:rPr>
                <w:noProof/>
              </w:rPr>
              <w:t xml:space="preserve">Тежкотоварни превозни средства с максимално допустимо тегло в натоварено състояние </w:t>
            </w:r>
          </w:p>
          <w:p>
            <w:pPr>
              <w:spacing w:before="100" w:beforeAutospacing="1" w:after="100" w:afterAutospacing="1"/>
              <w:rPr>
                <w:noProof/>
              </w:rPr>
            </w:pPr>
            <w:r>
              <w:rPr>
                <w:noProof/>
              </w:rPr>
              <w:t xml:space="preserve">над 40 тона </w:t>
            </w:r>
          </w:p>
          <w:p>
            <w:pPr>
              <w:spacing w:before="100" w:beforeAutospacing="1" w:after="100" w:afterAutospacing="1"/>
              <w:rPr>
                <w:noProof/>
              </w:rPr>
            </w:pPr>
            <w:r>
              <w:rPr>
                <w:noProof/>
              </w:rPr>
              <w:t>или с 5 или повече оси</w:t>
            </w: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0</w:t>
            </w:r>
          </w:p>
        </w:tc>
        <w:tc>
          <w:tcPr>
            <w:tcW w:w="974" w:type="pct"/>
            <w:tcBorders>
              <w:top w:val="outset" w:sz="6" w:space="0" w:color="auto"/>
              <w:left w:val="outset" w:sz="6" w:space="0" w:color="auto"/>
              <w:bottom w:val="outset" w:sz="6" w:space="0" w:color="auto"/>
              <w:right w:val="outset" w:sz="6" w:space="0" w:color="auto"/>
            </w:tcBorders>
            <w:vAlign w:val="bottom"/>
          </w:tcPr>
          <w:p>
            <w:pPr>
              <w:spacing w:before="100" w:beforeAutospacing="1" w:after="100" w:afterAutospacing="1"/>
              <w:contextualSpacing/>
              <w:jc w:val="center"/>
              <w:rPr>
                <w:noProof/>
              </w:rPr>
            </w:pPr>
            <w:r>
              <w:rPr>
                <w:noProof/>
              </w:rPr>
              <w:t>43,0</w:t>
            </w:r>
          </w:p>
        </w:tc>
        <w:tc>
          <w:tcPr>
            <w:tcW w:w="877" w:type="pct"/>
            <w:tcBorders>
              <w:top w:val="outset" w:sz="6" w:space="0" w:color="auto"/>
              <w:left w:val="outset" w:sz="6" w:space="0" w:color="auto"/>
              <w:bottom w:val="outset" w:sz="6" w:space="0" w:color="auto"/>
              <w:right w:val="outset" w:sz="6" w:space="0" w:color="auto"/>
            </w:tcBorders>
            <w:vAlign w:val="bottom"/>
          </w:tcPr>
          <w:p>
            <w:pPr>
              <w:spacing w:before="100" w:beforeAutospacing="1" w:after="100" w:afterAutospacing="1"/>
              <w:contextualSpacing/>
              <w:jc w:val="center"/>
              <w:rPr>
                <w:noProof/>
              </w:rPr>
            </w:pPr>
            <w:r>
              <w:rPr>
                <w:noProof/>
              </w:rPr>
              <w:t>28,6</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w:t>
            </w:r>
          </w:p>
        </w:tc>
        <w:tc>
          <w:tcPr>
            <w:tcW w:w="974" w:type="pct"/>
            <w:tcBorders>
              <w:top w:val="outset" w:sz="6" w:space="0" w:color="auto"/>
              <w:left w:val="outset" w:sz="6" w:space="0" w:color="auto"/>
              <w:bottom w:val="outset" w:sz="6" w:space="0" w:color="auto"/>
              <w:right w:val="outset" w:sz="6" w:space="0" w:color="auto"/>
            </w:tcBorders>
            <w:vAlign w:val="bottom"/>
          </w:tcPr>
          <w:p>
            <w:pPr>
              <w:spacing w:before="100" w:beforeAutospacing="1" w:after="100" w:afterAutospacing="1"/>
              <w:contextualSpacing/>
              <w:jc w:val="center"/>
              <w:rPr>
                <w:noProof/>
              </w:rPr>
            </w:pPr>
            <w:r>
              <w:rPr>
                <w:noProof/>
              </w:rPr>
              <w:t>31,5</w:t>
            </w:r>
          </w:p>
        </w:tc>
        <w:tc>
          <w:tcPr>
            <w:tcW w:w="877" w:type="pct"/>
            <w:tcBorders>
              <w:top w:val="outset" w:sz="6" w:space="0" w:color="auto"/>
              <w:left w:val="outset" w:sz="6" w:space="0" w:color="auto"/>
              <w:bottom w:val="outset" w:sz="6" w:space="0" w:color="auto"/>
              <w:right w:val="outset" w:sz="6" w:space="0" w:color="auto"/>
            </w:tcBorders>
            <w:vAlign w:val="bottom"/>
          </w:tcPr>
          <w:p>
            <w:pPr>
              <w:spacing w:before="100" w:beforeAutospacing="1" w:after="100" w:afterAutospacing="1"/>
              <w:contextualSpacing/>
              <w:jc w:val="center"/>
              <w:rPr>
                <w:noProof/>
              </w:rPr>
            </w:pPr>
            <w:r>
              <w:rPr>
                <w:noProof/>
              </w:rPr>
              <w:t>19,8</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II</w:t>
            </w:r>
          </w:p>
        </w:tc>
        <w:tc>
          <w:tcPr>
            <w:tcW w:w="974" w:type="pct"/>
            <w:tcBorders>
              <w:top w:val="outset" w:sz="6" w:space="0" w:color="auto"/>
              <w:left w:val="outset" w:sz="6" w:space="0" w:color="auto"/>
              <w:bottom w:val="outset" w:sz="6" w:space="0" w:color="auto"/>
              <w:right w:val="outset" w:sz="6" w:space="0" w:color="auto"/>
            </w:tcBorders>
            <w:vAlign w:val="bottom"/>
          </w:tcPr>
          <w:p>
            <w:pPr>
              <w:spacing w:before="100" w:beforeAutospacing="1" w:after="100" w:afterAutospacing="1"/>
              <w:contextualSpacing/>
              <w:jc w:val="center"/>
              <w:rPr>
                <w:noProof/>
              </w:rPr>
            </w:pPr>
            <w:r>
              <w:rPr>
                <w:noProof/>
              </w:rPr>
              <w:t>29,2</w:t>
            </w:r>
          </w:p>
        </w:tc>
        <w:tc>
          <w:tcPr>
            <w:tcW w:w="877" w:type="pct"/>
            <w:tcBorders>
              <w:top w:val="outset" w:sz="6" w:space="0" w:color="auto"/>
              <w:left w:val="outset" w:sz="6" w:space="0" w:color="auto"/>
              <w:bottom w:val="outset" w:sz="6" w:space="0" w:color="auto"/>
              <w:right w:val="outset" w:sz="6" w:space="0" w:color="auto"/>
            </w:tcBorders>
            <w:vAlign w:val="bottom"/>
          </w:tcPr>
          <w:p>
            <w:pPr>
              <w:spacing w:before="100" w:beforeAutospacing="1" w:after="100" w:afterAutospacing="1"/>
              <w:contextualSpacing/>
              <w:jc w:val="center"/>
              <w:rPr>
                <w:noProof/>
              </w:rPr>
            </w:pPr>
            <w:r>
              <w:rPr>
                <w:noProof/>
              </w:rPr>
              <w:t>19,4</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III</w:t>
            </w:r>
          </w:p>
        </w:tc>
        <w:tc>
          <w:tcPr>
            <w:tcW w:w="974" w:type="pct"/>
            <w:tcBorders>
              <w:top w:val="outset" w:sz="6" w:space="0" w:color="auto"/>
              <w:left w:val="outset" w:sz="6" w:space="0" w:color="auto"/>
              <w:bottom w:val="outset" w:sz="6" w:space="0" w:color="auto"/>
              <w:right w:val="outset" w:sz="6" w:space="0" w:color="auto"/>
            </w:tcBorders>
            <w:vAlign w:val="bottom"/>
          </w:tcPr>
          <w:p>
            <w:pPr>
              <w:spacing w:before="100" w:beforeAutospacing="1" w:after="100" w:afterAutospacing="1"/>
              <w:contextualSpacing/>
              <w:jc w:val="center"/>
              <w:rPr>
                <w:noProof/>
              </w:rPr>
            </w:pPr>
            <w:r>
              <w:rPr>
                <w:noProof/>
              </w:rPr>
              <w:t>24,0</w:t>
            </w:r>
          </w:p>
        </w:tc>
        <w:tc>
          <w:tcPr>
            <w:tcW w:w="877" w:type="pct"/>
            <w:tcBorders>
              <w:top w:val="outset" w:sz="6" w:space="0" w:color="auto"/>
              <w:left w:val="outset" w:sz="6" w:space="0" w:color="auto"/>
              <w:bottom w:val="outset" w:sz="6" w:space="0" w:color="auto"/>
              <w:right w:val="outset" w:sz="6" w:space="0" w:color="auto"/>
            </w:tcBorders>
            <w:vAlign w:val="bottom"/>
          </w:tcPr>
          <w:p>
            <w:pPr>
              <w:spacing w:before="100" w:beforeAutospacing="1" w:after="100" w:afterAutospacing="1"/>
              <w:contextualSpacing/>
              <w:jc w:val="center"/>
              <w:rPr>
                <w:noProof/>
              </w:rPr>
            </w:pPr>
            <w:r>
              <w:rPr>
                <w:noProof/>
              </w:rPr>
              <w:t>15,6</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IV</w:t>
            </w:r>
          </w:p>
        </w:tc>
        <w:tc>
          <w:tcPr>
            <w:tcW w:w="974" w:type="pct"/>
            <w:tcBorders>
              <w:top w:val="outset" w:sz="6" w:space="0" w:color="auto"/>
              <w:left w:val="outset" w:sz="6" w:space="0" w:color="auto"/>
              <w:bottom w:val="outset" w:sz="6" w:space="0" w:color="auto"/>
              <w:right w:val="outset" w:sz="6" w:space="0" w:color="auto"/>
            </w:tcBorders>
            <w:vAlign w:val="bottom"/>
          </w:tcPr>
          <w:p>
            <w:pPr>
              <w:spacing w:before="100" w:beforeAutospacing="1" w:after="100" w:afterAutospacing="1"/>
              <w:contextualSpacing/>
              <w:jc w:val="center"/>
              <w:rPr>
                <w:noProof/>
              </w:rPr>
            </w:pPr>
            <w:r>
              <w:rPr>
                <w:noProof/>
              </w:rPr>
              <w:t>16,2</w:t>
            </w:r>
          </w:p>
        </w:tc>
        <w:tc>
          <w:tcPr>
            <w:tcW w:w="877" w:type="pct"/>
            <w:tcBorders>
              <w:top w:val="outset" w:sz="6" w:space="0" w:color="auto"/>
              <w:left w:val="outset" w:sz="6" w:space="0" w:color="auto"/>
              <w:bottom w:val="outset" w:sz="6" w:space="0" w:color="auto"/>
              <w:right w:val="outset" w:sz="6" w:space="0" w:color="auto"/>
            </w:tcBorders>
            <w:vAlign w:val="bottom"/>
          </w:tcPr>
          <w:p>
            <w:pPr>
              <w:spacing w:before="100" w:beforeAutospacing="1" w:after="100" w:afterAutospacing="1"/>
              <w:contextualSpacing/>
              <w:jc w:val="center"/>
              <w:rPr>
                <w:noProof/>
              </w:rPr>
            </w:pPr>
            <w:r>
              <w:rPr>
                <w:noProof/>
              </w:rPr>
              <w:t>10,6</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V</w:t>
            </w:r>
          </w:p>
        </w:tc>
        <w:tc>
          <w:tcPr>
            <w:tcW w:w="974" w:type="pct"/>
            <w:tcBorders>
              <w:top w:val="outset" w:sz="6" w:space="0" w:color="auto"/>
              <w:left w:val="outset" w:sz="6" w:space="0" w:color="auto"/>
              <w:bottom w:val="outset" w:sz="6" w:space="0" w:color="auto"/>
              <w:right w:val="outset" w:sz="6" w:space="0" w:color="auto"/>
            </w:tcBorders>
            <w:vAlign w:val="bottom"/>
          </w:tcPr>
          <w:p>
            <w:pPr>
              <w:spacing w:before="100" w:beforeAutospacing="1" w:after="100" w:afterAutospacing="1"/>
              <w:contextualSpacing/>
              <w:jc w:val="center"/>
              <w:rPr>
                <w:noProof/>
              </w:rPr>
            </w:pPr>
            <w:r>
              <w:rPr>
                <w:noProof/>
              </w:rPr>
              <w:t>9,8</w:t>
            </w:r>
          </w:p>
        </w:tc>
        <w:tc>
          <w:tcPr>
            <w:tcW w:w="877" w:type="pct"/>
            <w:tcBorders>
              <w:top w:val="outset" w:sz="6" w:space="0" w:color="auto"/>
              <w:left w:val="outset" w:sz="6" w:space="0" w:color="auto"/>
              <w:bottom w:val="outset" w:sz="6" w:space="0" w:color="auto"/>
              <w:right w:val="outset" w:sz="6" w:space="0" w:color="auto"/>
            </w:tcBorders>
            <w:vAlign w:val="bottom"/>
          </w:tcPr>
          <w:p>
            <w:pPr>
              <w:spacing w:before="100" w:beforeAutospacing="1" w:after="100" w:afterAutospacing="1"/>
              <w:contextualSpacing/>
              <w:jc w:val="center"/>
              <w:rPr>
                <w:noProof/>
              </w:rPr>
            </w:pPr>
            <w:r>
              <w:rPr>
                <w:noProof/>
              </w:rPr>
              <w:t>4,7</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VI</w:t>
            </w:r>
          </w:p>
        </w:tc>
        <w:tc>
          <w:tcPr>
            <w:tcW w:w="974"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3,6</w:t>
            </w:r>
          </w:p>
        </w:tc>
        <w:tc>
          <w:tcPr>
            <w:tcW w:w="877"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1,0</w:t>
            </w:r>
          </w:p>
        </w:tc>
      </w:tr>
      <w:tr>
        <w:trPr>
          <w:tblCellSpacing w:w="0" w:type="dxa"/>
          <w:jc w:val="center"/>
        </w:trPr>
        <w:tc>
          <w:tcPr>
            <w:tcW w:w="1366"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contextualSpacing/>
              <w:rPr>
                <w:noProof/>
              </w:rPr>
            </w:pPr>
            <w:r>
              <w:rPr>
                <w:noProof/>
              </w:rPr>
              <w:t>Превозни средства, замърсяващи по-малко от EURO VI</w:t>
            </w:r>
          </w:p>
        </w:tc>
        <w:tc>
          <w:tcPr>
            <w:tcW w:w="974" w:type="pct"/>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contextualSpacing/>
              <w:jc w:val="center"/>
              <w:rPr>
                <w:noProof/>
              </w:rPr>
            </w:pPr>
            <w:r>
              <w:rPr>
                <w:noProof/>
              </w:rPr>
              <w:t>2,5</w:t>
            </w:r>
          </w:p>
        </w:tc>
        <w:tc>
          <w:tcPr>
            <w:tcW w:w="877" w:type="pct"/>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contextualSpacing/>
              <w:jc w:val="center"/>
              <w:rPr>
                <w:noProof/>
              </w:rPr>
            </w:pPr>
            <w:r>
              <w:rPr>
                <w:noProof/>
              </w:rPr>
              <w:t>0,3</w:t>
            </w:r>
          </w:p>
        </w:tc>
      </w:tr>
    </w:tbl>
    <w:p>
      <w:pPr>
        <w:rPr>
          <w:rFonts w:eastAsia="Arial Unicode MS"/>
          <w:noProof/>
        </w:rPr>
      </w:pPr>
      <w:r>
        <w:rPr>
          <w:noProof/>
          <w:vertAlign w:val="superscript"/>
        </w:rPr>
        <w:t>(1)</w:t>
      </w:r>
      <w:r>
        <w:rPr>
          <w:noProof/>
        </w:rPr>
        <w:t>„Крайградски“ означава райони с гъстота на населението между 150 и 900 жители/km</w:t>
      </w:r>
      <w:r>
        <w:rPr>
          <w:noProof/>
          <w:vertAlign w:val="superscript"/>
        </w:rPr>
        <w:t>2</w:t>
      </w:r>
      <w:r>
        <w:rPr>
          <w:noProof/>
        </w:rPr>
        <w:t xml:space="preserve"> (средна гъстота на населението от 300 жители на km</w:t>
      </w:r>
      <w:r>
        <w:rPr>
          <w:noProof/>
          <w:vertAlign w:val="superscript"/>
        </w:rPr>
        <w:t>2</w:t>
      </w:r>
      <w:r>
        <w:rPr>
          <w:noProof/>
        </w:rPr>
        <w:t>).</w:t>
      </w:r>
    </w:p>
    <w:p>
      <w:pPr>
        <w:rPr>
          <w:rFonts w:eastAsia="Arial Unicode MS"/>
          <w:noProof/>
          <w:szCs w:val="24"/>
        </w:rPr>
      </w:pPr>
      <w:r>
        <w:rPr>
          <w:noProof/>
          <w:vertAlign w:val="superscript"/>
        </w:rPr>
        <w:t>(2)</w:t>
      </w:r>
      <w:r>
        <w:rPr>
          <w:noProof/>
        </w:rPr>
        <w:tab/>
        <w:t>„Междуградски“ означава райони с гъстота на населението под 150 жители/km</w:t>
      </w:r>
      <w:r>
        <w:rPr>
          <w:noProof/>
          <w:vertAlign w:val="superscript"/>
        </w:rPr>
        <w:t>2</w:t>
      </w:r>
      <w:r>
        <w:rPr>
          <w:noProof/>
        </w:rPr>
        <w:t>.</w:t>
      </w:r>
    </w:p>
    <w:p>
      <w:pPr>
        <w:spacing w:before="100" w:beforeAutospacing="1" w:after="100" w:afterAutospacing="1"/>
        <w:ind w:left="800" w:hanging="400"/>
        <w:rPr>
          <w:rFonts w:eastAsia="Arial Unicode MS"/>
          <w:i/>
          <w:iCs/>
          <w:noProof/>
        </w:rPr>
      </w:pPr>
      <w:r>
        <w:rPr>
          <w:i/>
          <w:noProof/>
        </w:rPr>
        <w:t>Таблица 2: референтни стойности на таксата за външни разходи за автобуси</w:t>
      </w:r>
    </w:p>
    <w:tbl>
      <w:tblPr>
        <w:tblW w:w="8710" w:type="dxa"/>
        <w:jc w:val="center"/>
        <w:tblCellSpacing w:w="0" w:type="dxa"/>
        <w:tblInd w:w="-300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86"/>
        <w:gridCol w:w="2922"/>
        <w:gridCol w:w="1710"/>
        <w:gridCol w:w="1892"/>
      </w:tblGrid>
      <w:tr>
        <w:trPr>
          <w:tblCellSpacing w:w="0" w:type="dxa"/>
          <w:jc w:val="center"/>
        </w:trPr>
        <w:tc>
          <w:tcPr>
            <w:tcW w:w="1362" w:type="pct"/>
            <w:tcBorders>
              <w:top w:val="outset" w:sz="6" w:space="0" w:color="auto"/>
              <w:left w:val="outset" w:sz="6" w:space="0" w:color="auto"/>
              <w:bottom w:val="outset" w:sz="6" w:space="0" w:color="auto"/>
              <w:right w:val="outset" w:sz="6" w:space="0" w:color="auto"/>
            </w:tcBorders>
          </w:tcPr>
          <w:p>
            <w:pPr>
              <w:spacing w:before="100" w:beforeAutospacing="1" w:after="100" w:afterAutospacing="1"/>
              <w:rPr>
                <w:b/>
                <w:bCs/>
                <w:noProof/>
              </w:rPr>
            </w:pPr>
            <w:r>
              <w:rPr>
                <w:b/>
                <w:noProof/>
              </w:rPr>
              <w:t>Клас на превозното средство</w:t>
            </w: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b/>
                <w:bCs/>
                <w:noProof/>
              </w:rPr>
            </w:pPr>
            <w:r>
              <w:rPr>
                <w:b/>
                <w:noProof/>
              </w:rPr>
              <w:t>Цент/километър пробег</w:t>
            </w:r>
          </w:p>
        </w:tc>
        <w:tc>
          <w:tcPr>
            <w:tcW w:w="981"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b/>
                <w:bCs/>
                <w:noProof/>
              </w:rPr>
            </w:pPr>
            <w:r>
              <w:rPr>
                <w:b/>
                <w:noProof/>
              </w:rPr>
              <w:t>Крайградски</w:t>
            </w:r>
            <w:r>
              <w:rPr>
                <w:b/>
                <w:noProof/>
                <w:vertAlign w:val="superscript"/>
              </w:rPr>
              <w:t>(1)</w:t>
            </w:r>
          </w:p>
        </w:tc>
        <w:tc>
          <w:tcPr>
            <w:tcW w:w="872"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b/>
                <w:bCs/>
                <w:noProof/>
              </w:rPr>
            </w:pPr>
            <w:r>
              <w:rPr>
                <w:b/>
                <w:noProof/>
              </w:rPr>
              <w:t>Междуградски</w:t>
            </w:r>
            <w:r>
              <w:rPr>
                <w:b/>
                <w:noProof/>
                <w:vertAlign w:val="superscript"/>
              </w:rPr>
              <w:t>(2)</w:t>
            </w:r>
          </w:p>
        </w:tc>
      </w:tr>
      <w:tr>
        <w:trPr>
          <w:tblCellSpacing w:w="0" w:type="dxa"/>
          <w:jc w:val="center"/>
        </w:trPr>
        <w:tc>
          <w:tcPr>
            <w:tcW w:w="1362" w:type="pct"/>
            <w:vMerge w:val="restart"/>
            <w:tcBorders>
              <w:top w:val="outset" w:sz="6" w:space="0" w:color="auto"/>
              <w:left w:val="outset" w:sz="6" w:space="0" w:color="auto"/>
              <w:right w:val="outset" w:sz="6" w:space="0" w:color="auto"/>
            </w:tcBorders>
          </w:tcPr>
          <w:p>
            <w:pPr>
              <w:spacing w:before="100" w:beforeAutospacing="1" w:after="100" w:afterAutospacing="1"/>
              <w:rPr>
                <w:noProof/>
              </w:rPr>
            </w:pPr>
            <w:r>
              <w:rPr>
                <w:noProof/>
              </w:rPr>
              <w:t>Автобус с максимално допустимо тегло в натоварено състояние от 18 тона</w:t>
            </w:r>
          </w:p>
          <w:p>
            <w:pPr>
              <w:spacing w:before="100" w:beforeAutospacing="1" w:after="100" w:afterAutospacing="1"/>
              <w:rPr>
                <w:noProof/>
              </w:rPr>
            </w:pPr>
            <w:r>
              <w:rPr>
                <w:noProof/>
              </w:rPr>
              <w:t>или с две оси</w:t>
            </w: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0</w:t>
            </w:r>
          </w:p>
        </w:tc>
        <w:tc>
          <w:tcPr>
            <w:tcW w:w="981"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20,3</w:t>
            </w:r>
          </w:p>
        </w:tc>
        <w:tc>
          <w:tcPr>
            <w:tcW w:w="872"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13,1</w:t>
            </w:r>
          </w:p>
        </w:tc>
      </w:tr>
      <w:tr>
        <w:trPr>
          <w:tblCellSpacing w:w="0" w:type="dxa"/>
          <w:jc w:val="center"/>
        </w:trPr>
        <w:tc>
          <w:tcPr>
            <w:tcW w:w="1362" w:type="pct"/>
            <w:vMerge/>
            <w:tcBorders>
              <w:left w:val="outset" w:sz="6" w:space="0" w:color="auto"/>
              <w:right w:val="outset" w:sz="6" w:space="0" w:color="auto"/>
            </w:tcBorders>
          </w:tcPr>
          <w:p>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w:t>
            </w:r>
          </w:p>
        </w:tc>
        <w:tc>
          <w:tcPr>
            <w:tcW w:w="981"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16,0</w:t>
            </w:r>
          </w:p>
        </w:tc>
        <w:tc>
          <w:tcPr>
            <w:tcW w:w="872"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10,4</w:t>
            </w:r>
          </w:p>
        </w:tc>
      </w:tr>
      <w:tr>
        <w:trPr>
          <w:tblCellSpacing w:w="0" w:type="dxa"/>
          <w:jc w:val="center"/>
        </w:trPr>
        <w:tc>
          <w:tcPr>
            <w:tcW w:w="1362" w:type="pct"/>
            <w:vMerge/>
            <w:tcBorders>
              <w:left w:val="outset" w:sz="6" w:space="0" w:color="auto"/>
              <w:right w:val="outset" w:sz="6" w:space="0" w:color="auto"/>
            </w:tcBorders>
          </w:tcPr>
          <w:p>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II</w:t>
            </w:r>
          </w:p>
        </w:tc>
        <w:tc>
          <w:tcPr>
            <w:tcW w:w="981"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15,6</w:t>
            </w:r>
          </w:p>
        </w:tc>
        <w:tc>
          <w:tcPr>
            <w:tcW w:w="872"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9,9</w:t>
            </w:r>
          </w:p>
        </w:tc>
      </w:tr>
      <w:tr>
        <w:trPr>
          <w:tblCellSpacing w:w="0" w:type="dxa"/>
          <w:jc w:val="center"/>
        </w:trPr>
        <w:tc>
          <w:tcPr>
            <w:tcW w:w="1362" w:type="pct"/>
            <w:vMerge/>
            <w:tcBorders>
              <w:left w:val="outset" w:sz="6" w:space="0" w:color="auto"/>
              <w:right w:val="outset" w:sz="6" w:space="0" w:color="auto"/>
            </w:tcBorders>
          </w:tcPr>
          <w:p>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III</w:t>
            </w:r>
          </w:p>
        </w:tc>
        <w:tc>
          <w:tcPr>
            <w:tcW w:w="981"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13,9</w:t>
            </w:r>
          </w:p>
        </w:tc>
        <w:tc>
          <w:tcPr>
            <w:tcW w:w="872"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8,5</w:t>
            </w:r>
          </w:p>
        </w:tc>
      </w:tr>
      <w:tr>
        <w:trPr>
          <w:tblCellSpacing w:w="0" w:type="dxa"/>
          <w:jc w:val="center"/>
        </w:trPr>
        <w:tc>
          <w:tcPr>
            <w:tcW w:w="1362" w:type="pct"/>
            <w:vMerge/>
            <w:tcBorders>
              <w:left w:val="outset" w:sz="6" w:space="0" w:color="auto"/>
              <w:right w:val="outset" w:sz="6" w:space="0" w:color="auto"/>
            </w:tcBorders>
          </w:tcPr>
          <w:p>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IV</w:t>
            </w:r>
          </w:p>
        </w:tc>
        <w:tc>
          <w:tcPr>
            <w:tcW w:w="981"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10,0</w:t>
            </w:r>
          </w:p>
        </w:tc>
        <w:tc>
          <w:tcPr>
            <w:tcW w:w="872"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5,7</w:t>
            </w:r>
          </w:p>
        </w:tc>
      </w:tr>
      <w:tr>
        <w:trPr>
          <w:tblCellSpacing w:w="0" w:type="dxa"/>
          <w:jc w:val="center"/>
        </w:trPr>
        <w:tc>
          <w:tcPr>
            <w:tcW w:w="1362" w:type="pct"/>
            <w:vMerge/>
            <w:tcBorders>
              <w:left w:val="outset" w:sz="6" w:space="0" w:color="auto"/>
              <w:right w:val="outset" w:sz="6" w:space="0" w:color="auto"/>
            </w:tcBorders>
          </w:tcPr>
          <w:p>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V</w:t>
            </w:r>
          </w:p>
        </w:tc>
        <w:tc>
          <w:tcPr>
            <w:tcW w:w="981"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9,0</w:t>
            </w:r>
          </w:p>
        </w:tc>
        <w:tc>
          <w:tcPr>
            <w:tcW w:w="872"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5,0</w:t>
            </w:r>
          </w:p>
        </w:tc>
      </w:tr>
      <w:tr>
        <w:trPr>
          <w:tblCellSpacing w:w="0" w:type="dxa"/>
          <w:jc w:val="center"/>
        </w:trPr>
        <w:tc>
          <w:tcPr>
            <w:tcW w:w="1362" w:type="pct"/>
            <w:vMerge/>
            <w:tcBorders>
              <w:left w:val="outset" w:sz="6" w:space="0" w:color="auto"/>
              <w:right w:val="outset" w:sz="6" w:space="0" w:color="auto"/>
            </w:tcBorders>
          </w:tcPr>
          <w:p>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VI</w:t>
            </w:r>
          </w:p>
        </w:tc>
        <w:tc>
          <w:tcPr>
            <w:tcW w:w="981"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2,8</w:t>
            </w:r>
          </w:p>
        </w:tc>
        <w:tc>
          <w:tcPr>
            <w:tcW w:w="872"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0,8</w:t>
            </w:r>
          </w:p>
        </w:tc>
      </w:tr>
      <w:tr>
        <w:trPr>
          <w:tblCellSpacing w:w="0" w:type="dxa"/>
          <w:jc w:val="center"/>
        </w:trPr>
        <w:tc>
          <w:tcPr>
            <w:tcW w:w="1362"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Превозни средства, замърсяващи по-малко от EURO VI</w:t>
            </w:r>
          </w:p>
        </w:tc>
        <w:tc>
          <w:tcPr>
            <w:tcW w:w="981" w:type="pct"/>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contextualSpacing/>
              <w:jc w:val="center"/>
              <w:rPr>
                <w:noProof/>
              </w:rPr>
            </w:pPr>
            <w:r>
              <w:rPr>
                <w:noProof/>
              </w:rPr>
              <w:t>1,4</w:t>
            </w:r>
          </w:p>
        </w:tc>
        <w:tc>
          <w:tcPr>
            <w:tcW w:w="872" w:type="pct"/>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contextualSpacing/>
              <w:jc w:val="center"/>
              <w:rPr>
                <w:noProof/>
              </w:rPr>
            </w:pPr>
            <w:r>
              <w:rPr>
                <w:noProof/>
              </w:rPr>
              <w:t>0,2</w:t>
            </w:r>
          </w:p>
        </w:tc>
      </w:tr>
      <w:tr>
        <w:trPr>
          <w:tblCellSpacing w:w="0" w:type="dxa"/>
          <w:jc w:val="center"/>
        </w:trPr>
        <w:tc>
          <w:tcPr>
            <w:tcW w:w="1362" w:type="pct"/>
            <w:vMerge w:val="restart"/>
            <w:tcBorders>
              <w:left w:val="outset" w:sz="6" w:space="0" w:color="auto"/>
              <w:bottom w:val="outset" w:sz="6" w:space="0" w:color="auto"/>
              <w:right w:val="outset" w:sz="6" w:space="0" w:color="auto"/>
            </w:tcBorders>
          </w:tcPr>
          <w:p>
            <w:pPr>
              <w:spacing w:before="100" w:beforeAutospacing="1" w:after="100" w:afterAutospacing="1"/>
              <w:rPr>
                <w:noProof/>
              </w:rPr>
            </w:pPr>
            <w:r>
              <w:rPr>
                <w:noProof/>
              </w:rPr>
              <w:t>Автобус с максимално допустимо тегло в натоварено състояние над 18 тона</w:t>
            </w:r>
          </w:p>
          <w:p>
            <w:pPr>
              <w:spacing w:before="100" w:beforeAutospacing="1" w:after="100" w:afterAutospacing="1"/>
              <w:rPr>
                <w:noProof/>
              </w:rPr>
            </w:pPr>
            <w:r>
              <w:rPr>
                <w:noProof/>
              </w:rPr>
              <w:t>или с три или повече оси</w:t>
            </w: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0</w:t>
            </w:r>
          </w:p>
        </w:tc>
        <w:tc>
          <w:tcPr>
            <w:tcW w:w="981"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24,9</w:t>
            </w:r>
          </w:p>
        </w:tc>
        <w:tc>
          <w:tcPr>
            <w:tcW w:w="872"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16,2</w:t>
            </w:r>
          </w:p>
        </w:tc>
      </w:tr>
      <w:tr>
        <w:trPr>
          <w:tblCellSpacing w:w="0" w:type="dxa"/>
          <w:jc w:val="center"/>
        </w:trPr>
        <w:tc>
          <w:tcPr>
            <w:tcW w:w="1362"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w:t>
            </w:r>
          </w:p>
        </w:tc>
        <w:tc>
          <w:tcPr>
            <w:tcW w:w="981"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19,2</w:t>
            </w:r>
          </w:p>
        </w:tc>
        <w:tc>
          <w:tcPr>
            <w:tcW w:w="872"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12,3</w:t>
            </w:r>
          </w:p>
        </w:tc>
      </w:tr>
      <w:tr>
        <w:trPr>
          <w:tblCellSpacing w:w="0" w:type="dxa"/>
          <w:jc w:val="center"/>
        </w:trPr>
        <w:tc>
          <w:tcPr>
            <w:tcW w:w="1362"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II</w:t>
            </w:r>
          </w:p>
        </w:tc>
        <w:tc>
          <w:tcPr>
            <w:tcW w:w="981"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18,5</w:t>
            </w:r>
          </w:p>
        </w:tc>
        <w:tc>
          <w:tcPr>
            <w:tcW w:w="872"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12,0</w:t>
            </w:r>
          </w:p>
        </w:tc>
      </w:tr>
      <w:tr>
        <w:trPr>
          <w:tblCellSpacing w:w="0" w:type="dxa"/>
          <w:jc w:val="center"/>
        </w:trPr>
        <w:tc>
          <w:tcPr>
            <w:tcW w:w="1362"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III</w:t>
            </w:r>
          </w:p>
        </w:tc>
        <w:tc>
          <w:tcPr>
            <w:tcW w:w="981"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15,7</w:t>
            </w:r>
          </w:p>
        </w:tc>
        <w:tc>
          <w:tcPr>
            <w:tcW w:w="872"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9,8</w:t>
            </w:r>
          </w:p>
        </w:tc>
      </w:tr>
      <w:tr>
        <w:trPr>
          <w:tblCellSpacing w:w="0" w:type="dxa"/>
          <w:jc w:val="center"/>
        </w:trPr>
        <w:tc>
          <w:tcPr>
            <w:tcW w:w="1362"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IV</w:t>
            </w:r>
          </w:p>
        </w:tc>
        <w:tc>
          <w:tcPr>
            <w:tcW w:w="981"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10,6</w:t>
            </w:r>
          </w:p>
        </w:tc>
        <w:tc>
          <w:tcPr>
            <w:tcW w:w="872"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6,6</w:t>
            </w:r>
          </w:p>
        </w:tc>
      </w:tr>
      <w:tr>
        <w:trPr>
          <w:tblCellSpacing w:w="0" w:type="dxa"/>
          <w:jc w:val="center"/>
        </w:trPr>
        <w:tc>
          <w:tcPr>
            <w:tcW w:w="1362"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V</w:t>
            </w:r>
          </w:p>
        </w:tc>
        <w:tc>
          <w:tcPr>
            <w:tcW w:w="981"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10,2</w:t>
            </w:r>
          </w:p>
        </w:tc>
        <w:tc>
          <w:tcPr>
            <w:tcW w:w="872"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5,2</w:t>
            </w:r>
          </w:p>
        </w:tc>
      </w:tr>
      <w:tr>
        <w:trPr>
          <w:tblCellSpacing w:w="0" w:type="dxa"/>
          <w:jc w:val="center"/>
        </w:trPr>
        <w:tc>
          <w:tcPr>
            <w:tcW w:w="1362"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EURO VI</w:t>
            </w:r>
          </w:p>
        </w:tc>
        <w:tc>
          <w:tcPr>
            <w:tcW w:w="981"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2,8</w:t>
            </w:r>
          </w:p>
        </w:tc>
        <w:tc>
          <w:tcPr>
            <w:tcW w:w="872" w:type="pct"/>
            <w:tcBorders>
              <w:top w:val="outset" w:sz="6" w:space="0" w:color="auto"/>
              <w:left w:val="outset" w:sz="6" w:space="0" w:color="auto"/>
              <w:bottom w:val="outset" w:sz="6" w:space="0" w:color="auto"/>
              <w:right w:val="outset" w:sz="6" w:space="0" w:color="auto"/>
            </w:tcBorders>
            <w:vAlign w:val="bottom"/>
            <w:hideMark/>
          </w:tcPr>
          <w:p>
            <w:pPr>
              <w:spacing w:before="100" w:beforeAutospacing="1" w:after="100" w:afterAutospacing="1"/>
              <w:contextualSpacing/>
              <w:jc w:val="center"/>
              <w:rPr>
                <w:noProof/>
              </w:rPr>
            </w:pPr>
            <w:r>
              <w:rPr>
                <w:noProof/>
              </w:rPr>
              <w:t>0,8</w:t>
            </w:r>
          </w:p>
        </w:tc>
      </w:tr>
      <w:tr>
        <w:trPr>
          <w:tblCellSpacing w:w="0" w:type="dxa"/>
          <w:jc w:val="center"/>
        </w:trPr>
        <w:tc>
          <w:tcPr>
            <w:tcW w:w="1362" w:type="pct"/>
            <w:vMerge/>
            <w:tcBorders>
              <w:left w:val="outset" w:sz="6" w:space="0" w:color="auto"/>
              <w:bottom w:val="outset" w:sz="6" w:space="0" w:color="auto"/>
              <w:right w:val="outset" w:sz="6" w:space="0" w:color="auto"/>
            </w:tcBorders>
          </w:tcPr>
          <w:p>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noProof/>
              </w:rPr>
            </w:pPr>
            <w:r>
              <w:rPr>
                <w:noProof/>
              </w:rPr>
              <w:t>Превозни средства, замърсяващи по-малко от EURO VI</w:t>
            </w:r>
          </w:p>
        </w:tc>
        <w:tc>
          <w:tcPr>
            <w:tcW w:w="981" w:type="pct"/>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contextualSpacing/>
              <w:jc w:val="center"/>
              <w:rPr>
                <w:noProof/>
              </w:rPr>
            </w:pPr>
            <w:r>
              <w:rPr>
                <w:noProof/>
              </w:rPr>
              <w:t>1,4</w:t>
            </w:r>
          </w:p>
        </w:tc>
        <w:tc>
          <w:tcPr>
            <w:tcW w:w="872" w:type="pct"/>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contextualSpacing/>
              <w:jc w:val="center"/>
              <w:rPr>
                <w:noProof/>
              </w:rPr>
            </w:pPr>
            <w:r>
              <w:rPr>
                <w:noProof/>
              </w:rPr>
              <w:t>0,2</w:t>
            </w:r>
          </w:p>
        </w:tc>
      </w:tr>
    </w:tbl>
    <w:p>
      <w:pPr>
        <w:rPr>
          <w:rFonts w:eastAsia="Arial Unicode MS"/>
          <w:noProof/>
        </w:rPr>
      </w:pPr>
      <w:r>
        <w:rPr>
          <w:noProof/>
          <w:vertAlign w:val="superscript"/>
        </w:rPr>
        <w:t>(1)</w:t>
      </w:r>
      <w:r>
        <w:rPr>
          <w:noProof/>
        </w:rPr>
        <w:t>„Крайградски“ означава райони с гъстота на населението между 150 и 900 жители/km² (средна гъстота на населението от 300 жители на km²).</w:t>
      </w:r>
    </w:p>
    <w:p>
      <w:pPr>
        <w:rPr>
          <w:noProof/>
        </w:rPr>
      </w:pPr>
      <w:r>
        <w:rPr>
          <w:noProof/>
          <w:vertAlign w:val="superscript"/>
        </w:rPr>
        <w:t xml:space="preserve">(2) </w:t>
      </w:r>
      <w:r>
        <w:rPr>
          <w:noProof/>
        </w:rPr>
        <w:t>„Междуградски“ означава райони с гъстота на населението под 150 жители/km</w:t>
      </w:r>
      <w:r>
        <w:rPr>
          <w:noProof/>
          <w:vertAlign w:val="superscript"/>
        </w:rPr>
        <w:t>2</w:t>
      </w:r>
      <w:r>
        <w:rPr>
          <w:noProof/>
        </w:rPr>
        <w:t>.</w:t>
      </w:r>
    </w:p>
    <w:p>
      <w:pPr>
        <w:rPr>
          <w:noProof/>
        </w:rPr>
      </w:pPr>
    </w:p>
    <w:p>
      <w:pPr>
        <w:rPr>
          <w:noProof/>
        </w:rPr>
      </w:pPr>
      <w:r>
        <w:rPr>
          <w:noProof/>
        </w:rPr>
        <w:t>Стойностите в таблици 1 и 2 могат да бъдат умножени по коефициент до 2 в планинските райони и около агломерации, доколкото това е оправдано от по-ниската разпръснатост, наклона на пътищата, височината или температурните инверсии.“;</w:t>
      </w:r>
    </w:p>
    <w:p>
      <w:pPr>
        <w:rPr>
          <w:noProof/>
        </w:rPr>
      </w:pPr>
    </w:p>
    <w:p>
      <w:pPr>
        <w:rPr>
          <w:noProof/>
        </w:rPr>
      </w:pPr>
      <w:r>
        <w:rPr>
          <w:noProof/>
        </w:rPr>
        <w:t>д)</w:t>
      </w:r>
      <w:r>
        <w:rPr>
          <w:noProof/>
        </w:rPr>
        <w:tab/>
        <w:t>в приложение IV, таблицата със заглавие „Комбинации от превозни средства (съчленени превозни средства и автовлакове)“, се заменя със следното:</w:t>
      </w:r>
    </w:p>
    <w:p>
      <w:pPr>
        <w:pStyle w:val="ManualHeading1"/>
        <w:ind w:left="851" w:hanging="851"/>
        <w:rPr>
          <w:noProof/>
        </w:rPr>
      </w:pPr>
      <w:r>
        <w:rPr>
          <w:noProof/>
        </w:rPr>
        <w:t>„Комбинации от превозни средства (съчленени превозни средства и автовлакове)</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48"/>
        <w:gridCol w:w="1929"/>
        <w:gridCol w:w="13"/>
        <w:gridCol w:w="21"/>
        <w:gridCol w:w="1802"/>
        <w:gridCol w:w="27"/>
        <w:gridCol w:w="1943"/>
        <w:gridCol w:w="6"/>
        <w:gridCol w:w="1659"/>
        <w:gridCol w:w="36"/>
      </w:tblGrid>
      <w:tr>
        <w:trPr>
          <w:gridAfter w:val="1"/>
          <w:wAfter w:w="36" w:type="dxa"/>
        </w:trPr>
        <w:tc>
          <w:tcPr>
            <w:tcW w:w="3807" w:type="dxa"/>
            <w:gridSpan w:val="4"/>
          </w:tcPr>
          <w:p>
            <w:pPr>
              <w:jc w:val="center"/>
              <w:rPr>
                <w:noProof/>
              </w:rPr>
            </w:pPr>
            <w:r>
              <w:rPr>
                <w:noProof/>
              </w:rPr>
              <w:t>Задвижващи оси с пневматично окачване или признат еквивалент</w:t>
            </w:r>
          </w:p>
        </w:tc>
        <w:tc>
          <w:tcPr>
            <w:tcW w:w="3808" w:type="dxa"/>
            <w:gridSpan w:val="4"/>
          </w:tcPr>
          <w:p>
            <w:pPr>
              <w:jc w:val="center"/>
              <w:rPr>
                <w:noProof/>
              </w:rPr>
            </w:pPr>
            <w:r>
              <w:rPr>
                <w:noProof/>
              </w:rPr>
              <w:t>Други системи за окачване на задвижващите оси</w:t>
            </w:r>
          </w:p>
        </w:tc>
        <w:tc>
          <w:tcPr>
            <w:tcW w:w="1671" w:type="dxa"/>
            <w:gridSpan w:val="2"/>
          </w:tcPr>
          <w:p>
            <w:pPr>
              <w:jc w:val="center"/>
              <w:rPr>
                <w:noProof/>
              </w:rPr>
            </w:pPr>
            <w:r>
              <w:rPr>
                <w:noProof/>
              </w:rPr>
              <w:t>Клас относно щетите</w:t>
            </w:r>
          </w:p>
        </w:tc>
      </w:tr>
      <w:tr>
        <w:trPr>
          <w:gridAfter w:val="1"/>
          <w:wAfter w:w="36" w:type="dxa"/>
        </w:trPr>
        <w:tc>
          <w:tcPr>
            <w:tcW w:w="3807" w:type="dxa"/>
            <w:gridSpan w:val="4"/>
          </w:tcPr>
          <w:p>
            <w:pPr>
              <w:jc w:val="center"/>
              <w:rPr>
                <w:noProof/>
              </w:rPr>
            </w:pPr>
            <w:r>
              <w:rPr>
                <w:noProof/>
              </w:rPr>
              <w:t>Брой на осите и максимално допустимо тегло в натоварено състояние (в тонове)</w:t>
            </w:r>
          </w:p>
        </w:tc>
        <w:tc>
          <w:tcPr>
            <w:tcW w:w="3808" w:type="dxa"/>
            <w:gridSpan w:val="4"/>
          </w:tcPr>
          <w:p>
            <w:pPr>
              <w:jc w:val="center"/>
              <w:rPr>
                <w:noProof/>
              </w:rPr>
            </w:pPr>
            <w:r>
              <w:rPr>
                <w:noProof/>
              </w:rPr>
              <w:t>Брой на осите и максимално допустимо тегло в натоварено състояние (в тонове)</w:t>
            </w:r>
          </w:p>
        </w:tc>
        <w:tc>
          <w:tcPr>
            <w:tcW w:w="1671" w:type="dxa"/>
            <w:gridSpan w:val="2"/>
          </w:tcPr>
          <w:p>
            <w:pPr>
              <w:jc w:val="center"/>
              <w:rPr>
                <w:noProof/>
              </w:rPr>
            </w:pPr>
          </w:p>
        </w:tc>
      </w:tr>
      <w:tr>
        <w:trPr>
          <w:gridAfter w:val="1"/>
          <w:wAfter w:w="36" w:type="dxa"/>
        </w:trPr>
        <w:tc>
          <w:tcPr>
            <w:tcW w:w="1857" w:type="dxa"/>
            <w:gridSpan w:val="2"/>
          </w:tcPr>
          <w:p>
            <w:pPr>
              <w:jc w:val="center"/>
              <w:rPr>
                <w:noProof/>
              </w:rPr>
            </w:pPr>
            <w:r>
              <w:rPr>
                <w:noProof/>
              </w:rPr>
              <w:t>Не по-малко от</w:t>
            </w:r>
          </w:p>
        </w:tc>
        <w:tc>
          <w:tcPr>
            <w:tcW w:w="1950" w:type="dxa"/>
            <w:gridSpan w:val="2"/>
          </w:tcPr>
          <w:p>
            <w:pPr>
              <w:jc w:val="center"/>
              <w:rPr>
                <w:noProof/>
              </w:rPr>
            </w:pPr>
            <w:r>
              <w:rPr>
                <w:noProof/>
              </w:rPr>
              <w:t>По-малко от</w:t>
            </w:r>
          </w:p>
        </w:tc>
        <w:tc>
          <w:tcPr>
            <w:tcW w:w="1857" w:type="dxa"/>
            <w:gridSpan w:val="3"/>
          </w:tcPr>
          <w:p>
            <w:pPr>
              <w:jc w:val="center"/>
              <w:rPr>
                <w:noProof/>
              </w:rPr>
            </w:pPr>
            <w:r>
              <w:rPr>
                <w:noProof/>
              </w:rPr>
              <w:t>Не по-малко от</w:t>
            </w:r>
          </w:p>
        </w:tc>
        <w:tc>
          <w:tcPr>
            <w:tcW w:w="1951" w:type="dxa"/>
          </w:tcPr>
          <w:p>
            <w:pPr>
              <w:jc w:val="center"/>
              <w:rPr>
                <w:noProof/>
              </w:rPr>
            </w:pPr>
            <w:r>
              <w:rPr>
                <w:noProof/>
              </w:rPr>
              <w:t>По-малко от</w:t>
            </w:r>
          </w:p>
        </w:tc>
        <w:tc>
          <w:tcPr>
            <w:tcW w:w="1671" w:type="dxa"/>
            <w:gridSpan w:val="2"/>
          </w:tcPr>
          <w:p>
            <w:pPr>
              <w:jc w:val="center"/>
              <w:rPr>
                <w:noProof/>
              </w:rPr>
            </w:pPr>
          </w:p>
        </w:tc>
      </w:tr>
      <w:tr>
        <w:trPr>
          <w:gridAfter w:val="1"/>
          <w:wAfter w:w="36" w:type="dxa"/>
        </w:trPr>
        <w:tc>
          <w:tcPr>
            <w:tcW w:w="7615" w:type="dxa"/>
            <w:gridSpan w:val="8"/>
          </w:tcPr>
          <w:p>
            <w:pPr>
              <w:jc w:val="left"/>
              <w:rPr>
                <w:noProof/>
              </w:rPr>
            </w:pPr>
            <w:r>
              <w:rPr>
                <w:i/>
                <w:noProof/>
              </w:rPr>
              <w:t>2 + 1 оси</w:t>
            </w:r>
          </w:p>
        </w:tc>
        <w:tc>
          <w:tcPr>
            <w:tcW w:w="1671" w:type="dxa"/>
            <w:gridSpan w:val="2"/>
          </w:tcPr>
          <w:p>
            <w:pPr>
              <w:jc w:val="left"/>
              <w:rPr>
                <w:noProof/>
              </w:rPr>
            </w:pPr>
          </w:p>
        </w:tc>
      </w:tr>
      <w:tr>
        <w:trPr>
          <w:gridAfter w:val="1"/>
          <w:wAfter w:w="36" w:type="dxa"/>
        </w:trPr>
        <w:tc>
          <w:tcPr>
            <w:tcW w:w="1857" w:type="dxa"/>
            <w:gridSpan w:val="2"/>
          </w:tcPr>
          <w:p>
            <w:pPr>
              <w:jc w:val="left"/>
              <w:rPr>
                <w:noProof/>
              </w:rPr>
            </w:pPr>
            <w:r>
              <w:rPr>
                <w:noProof/>
              </w:rPr>
              <w:t>7,5</w:t>
            </w:r>
          </w:p>
          <w:p>
            <w:pPr>
              <w:jc w:val="left"/>
              <w:rPr>
                <w:noProof/>
              </w:rPr>
            </w:pPr>
            <w:r>
              <w:rPr>
                <w:noProof/>
              </w:rPr>
              <w:t>12</w:t>
            </w:r>
          </w:p>
          <w:p>
            <w:pPr>
              <w:jc w:val="left"/>
              <w:rPr>
                <w:noProof/>
              </w:rPr>
            </w:pPr>
            <w:r>
              <w:rPr>
                <w:noProof/>
              </w:rPr>
              <w:t>14</w:t>
            </w:r>
          </w:p>
          <w:p>
            <w:pPr>
              <w:jc w:val="left"/>
              <w:rPr>
                <w:noProof/>
              </w:rPr>
            </w:pPr>
            <w:r>
              <w:rPr>
                <w:noProof/>
              </w:rPr>
              <w:t>16</w:t>
            </w:r>
          </w:p>
          <w:p>
            <w:pPr>
              <w:jc w:val="left"/>
              <w:rPr>
                <w:noProof/>
              </w:rPr>
            </w:pPr>
            <w:r>
              <w:rPr>
                <w:noProof/>
              </w:rPr>
              <w:t>18</w:t>
            </w:r>
          </w:p>
          <w:p>
            <w:pPr>
              <w:jc w:val="left"/>
              <w:rPr>
                <w:noProof/>
              </w:rPr>
            </w:pPr>
            <w:r>
              <w:rPr>
                <w:noProof/>
              </w:rPr>
              <w:t>20</w:t>
            </w:r>
          </w:p>
          <w:p>
            <w:pPr>
              <w:jc w:val="left"/>
              <w:rPr>
                <w:noProof/>
              </w:rPr>
            </w:pPr>
            <w:r>
              <w:rPr>
                <w:noProof/>
              </w:rPr>
              <w:t>22</w:t>
            </w:r>
          </w:p>
          <w:p>
            <w:pPr>
              <w:jc w:val="left"/>
              <w:rPr>
                <w:noProof/>
              </w:rPr>
            </w:pPr>
            <w:r>
              <w:rPr>
                <w:noProof/>
              </w:rPr>
              <w:t>23</w:t>
            </w:r>
          </w:p>
          <w:p>
            <w:pPr>
              <w:jc w:val="left"/>
              <w:rPr>
                <w:noProof/>
              </w:rPr>
            </w:pPr>
            <w:r>
              <w:rPr>
                <w:noProof/>
              </w:rPr>
              <w:t>25</w:t>
            </w:r>
          </w:p>
        </w:tc>
        <w:tc>
          <w:tcPr>
            <w:tcW w:w="1950" w:type="dxa"/>
            <w:gridSpan w:val="2"/>
          </w:tcPr>
          <w:p>
            <w:pPr>
              <w:jc w:val="left"/>
              <w:rPr>
                <w:noProof/>
              </w:rPr>
            </w:pPr>
            <w:r>
              <w:rPr>
                <w:noProof/>
              </w:rPr>
              <w:t>12</w:t>
            </w:r>
          </w:p>
          <w:p>
            <w:pPr>
              <w:jc w:val="left"/>
              <w:rPr>
                <w:noProof/>
              </w:rPr>
            </w:pPr>
            <w:r>
              <w:rPr>
                <w:noProof/>
              </w:rPr>
              <w:t>14</w:t>
            </w:r>
          </w:p>
          <w:p>
            <w:pPr>
              <w:jc w:val="left"/>
              <w:rPr>
                <w:noProof/>
              </w:rPr>
            </w:pPr>
            <w:r>
              <w:rPr>
                <w:noProof/>
              </w:rPr>
              <w:t>16</w:t>
            </w:r>
          </w:p>
          <w:p>
            <w:pPr>
              <w:jc w:val="left"/>
              <w:rPr>
                <w:noProof/>
              </w:rPr>
            </w:pPr>
            <w:r>
              <w:rPr>
                <w:noProof/>
              </w:rPr>
              <w:t>18</w:t>
            </w:r>
          </w:p>
          <w:p>
            <w:pPr>
              <w:jc w:val="left"/>
              <w:rPr>
                <w:noProof/>
              </w:rPr>
            </w:pPr>
            <w:r>
              <w:rPr>
                <w:noProof/>
              </w:rPr>
              <w:t>20</w:t>
            </w:r>
          </w:p>
          <w:p>
            <w:pPr>
              <w:jc w:val="left"/>
              <w:rPr>
                <w:noProof/>
              </w:rPr>
            </w:pPr>
            <w:r>
              <w:rPr>
                <w:noProof/>
              </w:rPr>
              <w:t>22</w:t>
            </w:r>
          </w:p>
          <w:p>
            <w:pPr>
              <w:jc w:val="left"/>
              <w:rPr>
                <w:noProof/>
              </w:rPr>
            </w:pPr>
            <w:r>
              <w:rPr>
                <w:noProof/>
              </w:rPr>
              <w:t>23</w:t>
            </w:r>
          </w:p>
          <w:p>
            <w:pPr>
              <w:jc w:val="left"/>
              <w:rPr>
                <w:noProof/>
              </w:rPr>
            </w:pPr>
            <w:r>
              <w:rPr>
                <w:noProof/>
              </w:rPr>
              <w:t>25</w:t>
            </w:r>
          </w:p>
          <w:p>
            <w:pPr>
              <w:jc w:val="left"/>
              <w:rPr>
                <w:noProof/>
              </w:rPr>
            </w:pPr>
            <w:r>
              <w:rPr>
                <w:noProof/>
              </w:rPr>
              <w:t>28</w:t>
            </w:r>
          </w:p>
        </w:tc>
        <w:tc>
          <w:tcPr>
            <w:tcW w:w="1857" w:type="dxa"/>
            <w:gridSpan w:val="3"/>
          </w:tcPr>
          <w:p>
            <w:pPr>
              <w:jc w:val="left"/>
              <w:rPr>
                <w:noProof/>
              </w:rPr>
            </w:pPr>
            <w:r>
              <w:rPr>
                <w:noProof/>
              </w:rPr>
              <w:t>7,5</w:t>
            </w:r>
          </w:p>
          <w:p>
            <w:pPr>
              <w:jc w:val="left"/>
              <w:rPr>
                <w:noProof/>
              </w:rPr>
            </w:pPr>
            <w:r>
              <w:rPr>
                <w:noProof/>
              </w:rPr>
              <w:t>12</w:t>
            </w:r>
          </w:p>
          <w:p>
            <w:pPr>
              <w:jc w:val="left"/>
              <w:rPr>
                <w:noProof/>
              </w:rPr>
            </w:pPr>
            <w:r>
              <w:rPr>
                <w:noProof/>
              </w:rPr>
              <w:t>14</w:t>
            </w:r>
          </w:p>
          <w:p>
            <w:pPr>
              <w:jc w:val="left"/>
              <w:rPr>
                <w:noProof/>
              </w:rPr>
            </w:pPr>
            <w:r>
              <w:rPr>
                <w:noProof/>
              </w:rPr>
              <w:t>16</w:t>
            </w:r>
          </w:p>
          <w:p>
            <w:pPr>
              <w:jc w:val="left"/>
              <w:rPr>
                <w:noProof/>
              </w:rPr>
            </w:pPr>
            <w:r>
              <w:rPr>
                <w:noProof/>
              </w:rPr>
              <w:t>18</w:t>
            </w:r>
          </w:p>
          <w:p>
            <w:pPr>
              <w:jc w:val="left"/>
              <w:rPr>
                <w:noProof/>
              </w:rPr>
            </w:pPr>
            <w:r>
              <w:rPr>
                <w:noProof/>
              </w:rPr>
              <w:t>20</w:t>
            </w:r>
          </w:p>
          <w:p>
            <w:pPr>
              <w:jc w:val="left"/>
              <w:rPr>
                <w:noProof/>
              </w:rPr>
            </w:pPr>
            <w:r>
              <w:rPr>
                <w:noProof/>
              </w:rPr>
              <w:t>22</w:t>
            </w:r>
          </w:p>
          <w:p>
            <w:pPr>
              <w:jc w:val="left"/>
              <w:rPr>
                <w:noProof/>
              </w:rPr>
            </w:pPr>
            <w:r>
              <w:rPr>
                <w:noProof/>
              </w:rPr>
              <w:t>23</w:t>
            </w:r>
          </w:p>
          <w:p>
            <w:pPr>
              <w:jc w:val="left"/>
              <w:rPr>
                <w:noProof/>
              </w:rPr>
            </w:pPr>
            <w:r>
              <w:rPr>
                <w:noProof/>
              </w:rPr>
              <w:t>25</w:t>
            </w:r>
          </w:p>
        </w:tc>
        <w:tc>
          <w:tcPr>
            <w:tcW w:w="1951" w:type="dxa"/>
          </w:tcPr>
          <w:p>
            <w:pPr>
              <w:jc w:val="left"/>
              <w:rPr>
                <w:noProof/>
              </w:rPr>
            </w:pPr>
            <w:r>
              <w:rPr>
                <w:noProof/>
              </w:rPr>
              <w:t>12</w:t>
            </w:r>
          </w:p>
          <w:p>
            <w:pPr>
              <w:jc w:val="left"/>
              <w:rPr>
                <w:noProof/>
              </w:rPr>
            </w:pPr>
            <w:r>
              <w:rPr>
                <w:noProof/>
              </w:rPr>
              <w:t>14</w:t>
            </w:r>
          </w:p>
          <w:p>
            <w:pPr>
              <w:jc w:val="left"/>
              <w:rPr>
                <w:noProof/>
              </w:rPr>
            </w:pPr>
            <w:r>
              <w:rPr>
                <w:noProof/>
              </w:rPr>
              <w:t>16</w:t>
            </w:r>
          </w:p>
          <w:p>
            <w:pPr>
              <w:jc w:val="left"/>
              <w:rPr>
                <w:noProof/>
              </w:rPr>
            </w:pPr>
            <w:r>
              <w:rPr>
                <w:noProof/>
              </w:rPr>
              <w:t>18</w:t>
            </w:r>
          </w:p>
          <w:p>
            <w:pPr>
              <w:jc w:val="left"/>
              <w:rPr>
                <w:noProof/>
              </w:rPr>
            </w:pPr>
            <w:r>
              <w:rPr>
                <w:noProof/>
              </w:rPr>
              <w:t>20</w:t>
            </w:r>
          </w:p>
          <w:p>
            <w:pPr>
              <w:jc w:val="left"/>
              <w:rPr>
                <w:noProof/>
              </w:rPr>
            </w:pPr>
            <w:r>
              <w:rPr>
                <w:noProof/>
              </w:rPr>
              <w:t>22</w:t>
            </w:r>
          </w:p>
          <w:p>
            <w:pPr>
              <w:jc w:val="left"/>
              <w:rPr>
                <w:noProof/>
              </w:rPr>
            </w:pPr>
            <w:r>
              <w:rPr>
                <w:noProof/>
              </w:rPr>
              <w:t>23</w:t>
            </w:r>
          </w:p>
          <w:p>
            <w:pPr>
              <w:jc w:val="left"/>
              <w:rPr>
                <w:noProof/>
              </w:rPr>
            </w:pPr>
            <w:r>
              <w:rPr>
                <w:noProof/>
              </w:rPr>
              <w:t>25</w:t>
            </w:r>
          </w:p>
          <w:p>
            <w:pPr>
              <w:jc w:val="left"/>
              <w:rPr>
                <w:noProof/>
              </w:rPr>
            </w:pPr>
            <w:r>
              <w:rPr>
                <w:noProof/>
              </w:rPr>
              <w:t>28</w:t>
            </w:r>
          </w:p>
        </w:tc>
        <w:tc>
          <w:tcPr>
            <w:tcW w:w="1671" w:type="dxa"/>
            <w:gridSpan w:val="2"/>
          </w:tcPr>
          <w:p>
            <w:pPr>
              <w:jc w:val="left"/>
              <w:rPr>
                <w:noProof/>
              </w:rPr>
            </w:pPr>
            <w:r>
              <w:rPr>
                <w:noProof/>
              </w:rPr>
              <w:t>I</w:t>
            </w:r>
          </w:p>
        </w:tc>
      </w:tr>
      <w:tr>
        <w:trPr>
          <w:gridAfter w:val="1"/>
          <w:wAfter w:w="36" w:type="dxa"/>
        </w:trPr>
        <w:tc>
          <w:tcPr>
            <w:tcW w:w="7615" w:type="dxa"/>
            <w:gridSpan w:val="8"/>
          </w:tcPr>
          <w:p>
            <w:pPr>
              <w:jc w:val="left"/>
              <w:rPr>
                <w:noProof/>
              </w:rPr>
            </w:pPr>
            <w:r>
              <w:rPr>
                <w:i/>
                <w:noProof/>
              </w:rPr>
              <w:t>2 + 2 оси</w:t>
            </w:r>
          </w:p>
        </w:tc>
        <w:tc>
          <w:tcPr>
            <w:tcW w:w="1671" w:type="dxa"/>
            <w:gridSpan w:val="2"/>
          </w:tcPr>
          <w:p>
            <w:pPr>
              <w:jc w:val="left"/>
              <w:rPr>
                <w:noProof/>
              </w:rPr>
            </w:pPr>
          </w:p>
        </w:tc>
      </w:tr>
      <w:tr>
        <w:trPr>
          <w:gridAfter w:val="1"/>
          <w:wAfter w:w="36" w:type="dxa"/>
        </w:trPr>
        <w:tc>
          <w:tcPr>
            <w:tcW w:w="1857" w:type="dxa"/>
            <w:gridSpan w:val="2"/>
          </w:tcPr>
          <w:p>
            <w:pPr>
              <w:jc w:val="left"/>
              <w:rPr>
                <w:noProof/>
              </w:rPr>
            </w:pPr>
            <w:r>
              <w:rPr>
                <w:noProof/>
              </w:rPr>
              <w:t>23</w:t>
            </w:r>
          </w:p>
          <w:p>
            <w:pPr>
              <w:jc w:val="left"/>
              <w:rPr>
                <w:noProof/>
              </w:rPr>
            </w:pPr>
            <w:r>
              <w:rPr>
                <w:noProof/>
              </w:rPr>
              <w:t>25</w:t>
            </w:r>
          </w:p>
          <w:p>
            <w:pPr>
              <w:jc w:val="left"/>
              <w:rPr>
                <w:noProof/>
              </w:rPr>
            </w:pPr>
            <w:r>
              <w:rPr>
                <w:noProof/>
              </w:rPr>
              <w:t>26</w:t>
            </w:r>
          </w:p>
          <w:p>
            <w:pPr>
              <w:jc w:val="left"/>
              <w:rPr>
                <w:noProof/>
              </w:rPr>
            </w:pPr>
            <w:r>
              <w:rPr>
                <w:noProof/>
              </w:rPr>
              <w:t>28</w:t>
            </w:r>
          </w:p>
        </w:tc>
        <w:tc>
          <w:tcPr>
            <w:tcW w:w="1950" w:type="dxa"/>
            <w:gridSpan w:val="2"/>
          </w:tcPr>
          <w:p>
            <w:pPr>
              <w:jc w:val="left"/>
              <w:rPr>
                <w:noProof/>
              </w:rPr>
            </w:pPr>
            <w:r>
              <w:rPr>
                <w:noProof/>
              </w:rPr>
              <w:t>25</w:t>
            </w:r>
          </w:p>
          <w:p>
            <w:pPr>
              <w:jc w:val="left"/>
              <w:rPr>
                <w:noProof/>
              </w:rPr>
            </w:pPr>
            <w:r>
              <w:rPr>
                <w:noProof/>
              </w:rPr>
              <w:t>26</w:t>
            </w:r>
          </w:p>
          <w:p>
            <w:pPr>
              <w:jc w:val="left"/>
              <w:rPr>
                <w:noProof/>
              </w:rPr>
            </w:pPr>
            <w:r>
              <w:rPr>
                <w:noProof/>
              </w:rPr>
              <w:t>28</w:t>
            </w:r>
          </w:p>
          <w:p>
            <w:pPr>
              <w:jc w:val="left"/>
              <w:rPr>
                <w:noProof/>
              </w:rPr>
            </w:pPr>
            <w:r>
              <w:rPr>
                <w:noProof/>
              </w:rPr>
              <w:t>29</w:t>
            </w:r>
          </w:p>
        </w:tc>
        <w:tc>
          <w:tcPr>
            <w:tcW w:w="1857" w:type="dxa"/>
            <w:gridSpan w:val="3"/>
          </w:tcPr>
          <w:p>
            <w:pPr>
              <w:jc w:val="left"/>
              <w:rPr>
                <w:noProof/>
              </w:rPr>
            </w:pPr>
            <w:r>
              <w:rPr>
                <w:noProof/>
              </w:rPr>
              <w:t>23</w:t>
            </w:r>
          </w:p>
          <w:p>
            <w:pPr>
              <w:jc w:val="left"/>
              <w:rPr>
                <w:noProof/>
              </w:rPr>
            </w:pPr>
            <w:r>
              <w:rPr>
                <w:noProof/>
              </w:rPr>
              <w:t>25</w:t>
            </w:r>
          </w:p>
          <w:p>
            <w:pPr>
              <w:jc w:val="left"/>
              <w:rPr>
                <w:noProof/>
              </w:rPr>
            </w:pPr>
            <w:r>
              <w:rPr>
                <w:noProof/>
              </w:rPr>
              <w:t>26</w:t>
            </w:r>
          </w:p>
          <w:p>
            <w:pPr>
              <w:jc w:val="left"/>
              <w:rPr>
                <w:noProof/>
              </w:rPr>
            </w:pPr>
            <w:r>
              <w:rPr>
                <w:noProof/>
              </w:rPr>
              <w:t>28</w:t>
            </w:r>
          </w:p>
        </w:tc>
        <w:tc>
          <w:tcPr>
            <w:tcW w:w="1951" w:type="dxa"/>
          </w:tcPr>
          <w:p>
            <w:pPr>
              <w:jc w:val="left"/>
              <w:rPr>
                <w:noProof/>
              </w:rPr>
            </w:pPr>
            <w:r>
              <w:rPr>
                <w:noProof/>
              </w:rPr>
              <w:t>25</w:t>
            </w:r>
          </w:p>
          <w:p>
            <w:pPr>
              <w:jc w:val="left"/>
              <w:rPr>
                <w:noProof/>
              </w:rPr>
            </w:pPr>
            <w:r>
              <w:rPr>
                <w:noProof/>
              </w:rPr>
              <w:t>26</w:t>
            </w:r>
          </w:p>
          <w:p>
            <w:pPr>
              <w:jc w:val="left"/>
              <w:rPr>
                <w:noProof/>
              </w:rPr>
            </w:pPr>
            <w:r>
              <w:rPr>
                <w:noProof/>
              </w:rPr>
              <w:t>28</w:t>
            </w:r>
          </w:p>
          <w:p>
            <w:pPr>
              <w:jc w:val="left"/>
              <w:rPr>
                <w:noProof/>
              </w:rPr>
            </w:pPr>
            <w:r>
              <w:rPr>
                <w:noProof/>
              </w:rPr>
              <w:t>29</w:t>
            </w:r>
          </w:p>
        </w:tc>
        <w:tc>
          <w:tcPr>
            <w:tcW w:w="1671" w:type="dxa"/>
            <w:gridSpan w:val="2"/>
          </w:tcPr>
          <w:p>
            <w:pPr>
              <w:jc w:val="left"/>
              <w:rPr>
                <w:noProof/>
              </w:rPr>
            </w:pPr>
          </w:p>
        </w:tc>
      </w:tr>
      <w:tr>
        <w:trPr>
          <w:gridAfter w:val="1"/>
          <w:wAfter w:w="36" w:type="dxa"/>
        </w:trPr>
        <w:tc>
          <w:tcPr>
            <w:tcW w:w="1857" w:type="dxa"/>
            <w:gridSpan w:val="2"/>
          </w:tcPr>
          <w:p>
            <w:pPr>
              <w:jc w:val="left"/>
              <w:rPr>
                <w:noProof/>
              </w:rPr>
            </w:pPr>
            <w:r>
              <w:rPr>
                <w:noProof/>
              </w:rPr>
              <w:t>29</w:t>
            </w:r>
          </w:p>
        </w:tc>
        <w:tc>
          <w:tcPr>
            <w:tcW w:w="1950" w:type="dxa"/>
            <w:gridSpan w:val="2"/>
          </w:tcPr>
          <w:p>
            <w:pPr>
              <w:jc w:val="left"/>
              <w:rPr>
                <w:noProof/>
              </w:rPr>
            </w:pPr>
            <w:r>
              <w:rPr>
                <w:noProof/>
              </w:rPr>
              <w:t>31</w:t>
            </w:r>
          </w:p>
        </w:tc>
        <w:tc>
          <w:tcPr>
            <w:tcW w:w="1857" w:type="dxa"/>
            <w:gridSpan w:val="3"/>
          </w:tcPr>
          <w:p>
            <w:pPr>
              <w:jc w:val="left"/>
              <w:rPr>
                <w:noProof/>
              </w:rPr>
            </w:pPr>
            <w:r>
              <w:rPr>
                <w:noProof/>
              </w:rPr>
              <w:t>29</w:t>
            </w:r>
          </w:p>
        </w:tc>
        <w:tc>
          <w:tcPr>
            <w:tcW w:w="1951" w:type="dxa"/>
          </w:tcPr>
          <w:p>
            <w:pPr>
              <w:jc w:val="left"/>
              <w:rPr>
                <w:noProof/>
              </w:rPr>
            </w:pPr>
            <w:r>
              <w:rPr>
                <w:noProof/>
              </w:rPr>
              <w:t>31</w:t>
            </w:r>
          </w:p>
        </w:tc>
        <w:tc>
          <w:tcPr>
            <w:tcW w:w="1671" w:type="dxa"/>
            <w:gridSpan w:val="2"/>
          </w:tcPr>
          <w:p>
            <w:pPr>
              <w:jc w:val="left"/>
              <w:rPr>
                <w:noProof/>
              </w:rPr>
            </w:pPr>
            <w:r>
              <w:rPr>
                <w:noProof/>
              </w:rPr>
              <w:t>II</w:t>
            </w:r>
          </w:p>
        </w:tc>
      </w:tr>
      <w:tr>
        <w:trPr>
          <w:gridAfter w:val="1"/>
          <w:wAfter w:w="36" w:type="dxa"/>
        </w:trPr>
        <w:tc>
          <w:tcPr>
            <w:tcW w:w="1857" w:type="dxa"/>
            <w:gridSpan w:val="2"/>
          </w:tcPr>
          <w:p>
            <w:pPr>
              <w:jc w:val="left"/>
              <w:rPr>
                <w:noProof/>
              </w:rPr>
            </w:pPr>
            <w:r>
              <w:rPr>
                <w:noProof/>
              </w:rPr>
              <w:t>31</w:t>
            </w:r>
          </w:p>
        </w:tc>
        <w:tc>
          <w:tcPr>
            <w:tcW w:w="1950" w:type="dxa"/>
            <w:gridSpan w:val="2"/>
          </w:tcPr>
          <w:p>
            <w:pPr>
              <w:jc w:val="left"/>
              <w:rPr>
                <w:noProof/>
              </w:rPr>
            </w:pPr>
            <w:r>
              <w:rPr>
                <w:noProof/>
              </w:rPr>
              <w:t>33</w:t>
            </w:r>
          </w:p>
        </w:tc>
        <w:tc>
          <w:tcPr>
            <w:tcW w:w="1857" w:type="dxa"/>
            <w:gridSpan w:val="3"/>
          </w:tcPr>
          <w:p>
            <w:pPr>
              <w:jc w:val="left"/>
              <w:rPr>
                <w:noProof/>
              </w:rPr>
            </w:pPr>
            <w:r>
              <w:rPr>
                <w:noProof/>
              </w:rPr>
              <w:t>31</w:t>
            </w:r>
          </w:p>
        </w:tc>
        <w:tc>
          <w:tcPr>
            <w:tcW w:w="1951" w:type="dxa"/>
          </w:tcPr>
          <w:p>
            <w:pPr>
              <w:jc w:val="left"/>
              <w:rPr>
                <w:noProof/>
              </w:rPr>
            </w:pPr>
            <w:r>
              <w:rPr>
                <w:noProof/>
              </w:rPr>
              <w:t>33</w:t>
            </w:r>
          </w:p>
        </w:tc>
        <w:tc>
          <w:tcPr>
            <w:tcW w:w="1671" w:type="dxa"/>
            <w:gridSpan w:val="2"/>
          </w:tcPr>
          <w:p>
            <w:pPr>
              <w:jc w:val="left"/>
              <w:rPr>
                <w:noProof/>
              </w:rPr>
            </w:pPr>
          </w:p>
        </w:tc>
      </w:tr>
      <w:tr>
        <w:trPr>
          <w:gridAfter w:val="1"/>
          <w:wAfter w:w="36" w:type="dxa"/>
        </w:trPr>
        <w:tc>
          <w:tcPr>
            <w:tcW w:w="1857" w:type="dxa"/>
            <w:gridSpan w:val="2"/>
          </w:tcPr>
          <w:p>
            <w:pPr>
              <w:jc w:val="left"/>
              <w:rPr>
                <w:noProof/>
              </w:rPr>
            </w:pPr>
            <w:r>
              <w:rPr>
                <w:noProof/>
              </w:rPr>
              <w:t>33</w:t>
            </w:r>
          </w:p>
          <w:p>
            <w:pPr>
              <w:jc w:val="left"/>
              <w:rPr>
                <w:noProof/>
              </w:rPr>
            </w:pPr>
            <w:r>
              <w:rPr>
                <w:noProof/>
              </w:rPr>
              <w:t>36</w:t>
            </w:r>
          </w:p>
        </w:tc>
        <w:tc>
          <w:tcPr>
            <w:tcW w:w="1950" w:type="dxa"/>
            <w:gridSpan w:val="2"/>
          </w:tcPr>
          <w:p>
            <w:pPr>
              <w:jc w:val="left"/>
              <w:rPr>
                <w:noProof/>
              </w:rPr>
            </w:pPr>
            <w:r>
              <w:rPr>
                <w:noProof/>
              </w:rPr>
              <w:t>36</w:t>
            </w:r>
          </w:p>
          <w:p>
            <w:pPr>
              <w:jc w:val="left"/>
              <w:rPr>
                <w:noProof/>
              </w:rPr>
            </w:pPr>
            <w:r>
              <w:rPr>
                <w:noProof/>
              </w:rPr>
              <w:t>38</w:t>
            </w:r>
          </w:p>
        </w:tc>
        <w:tc>
          <w:tcPr>
            <w:tcW w:w="1857" w:type="dxa"/>
            <w:gridSpan w:val="3"/>
          </w:tcPr>
          <w:p>
            <w:pPr>
              <w:jc w:val="left"/>
              <w:rPr>
                <w:noProof/>
              </w:rPr>
            </w:pPr>
            <w:r>
              <w:rPr>
                <w:noProof/>
              </w:rPr>
              <w:t>33</w:t>
            </w:r>
          </w:p>
        </w:tc>
        <w:tc>
          <w:tcPr>
            <w:tcW w:w="1951" w:type="dxa"/>
          </w:tcPr>
          <w:p>
            <w:pPr>
              <w:jc w:val="left"/>
              <w:rPr>
                <w:noProof/>
              </w:rPr>
            </w:pPr>
            <w:r>
              <w:rPr>
                <w:noProof/>
              </w:rPr>
              <w:t>36</w:t>
            </w:r>
          </w:p>
        </w:tc>
        <w:tc>
          <w:tcPr>
            <w:tcW w:w="1671" w:type="dxa"/>
            <w:gridSpan w:val="2"/>
          </w:tcPr>
          <w:p>
            <w:pPr>
              <w:jc w:val="left"/>
              <w:rPr>
                <w:noProof/>
              </w:rPr>
            </w:pPr>
            <w:r>
              <w:rPr>
                <w:noProof/>
              </w:rPr>
              <w:t>III</w:t>
            </w:r>
          </w:p>
        </w:tc>
      </w:tr>
      <w:tr>
        <w:trPr>
          <w:gridAfter w:val="1"/>
          <w:wAfter w:w="36" w:type="dxa"/>
        </w:trPr>
        <w:tc>
          <w:tcPr>
            <w:tcW w:w="7615" w:type="dxa"/>
            <w:gridSpan w:val="8"/>
          </w:tcPr>
          <w:p>
            <w:pPr>
              <w:jc w:val="left"/>
              <w:rPr>
                <w:noProof/>
              </w:rPr>
            </w:pPr>
            <w:r>
              <w:rPr>
                <w:i/>
                <w:noProof/>
              </w:rPr>
              <w:t>2 + 3 оси</w:t>
            </w:r>
          </w:p>
        </w:tc>
        <w:tc>
          <w:tcPr>
            <w:tcW w:w="1671" w:type="dxa"/>
            <w:gridSpan w:val="2"/>
          </w:tcPr>
          <w:p>
            <w:pPr>
              <w:jc w:val="left"/>
              <w:rPr>
                <w:noProof/>
              </w:rPr>
            </w:pPr>
            <w:r>
              <w:rPr>
                <w:noProof/>
              </w:rPr>
              <w:t>II</w:t>
            </w:r>
          </w:p>
        </w:tc>
      </w:tr>
      <w:tr>
        <w:trPr>
          <w:gridAfter w:val="1"/>
          <w:wAfter w:w="36" w:type="dxa"/>
        </w:trPr>
        <w:tc>
          <w:tcPr>
            <w:tcW w:w="1857" w:type="dxa"/>
            <w:gridSpan w:val="2"/>
          </w:tcPr>
          <w:p>
            <w:pPr>
              <w:jc w:val="left"/>
              <w:rPr>
                <w:noProof/>
              </w:rPr>
            </w:pPr>
            <w:r>
              <w:rPr>
                <w:noProof/>
              </w:rPr>
              <w:t>36</w:t>
            </w:r>
          </w:p>
          <w:p>
            <w:pPr>
              <w:jc w:val="left"/>
              <w:rPr>
                <w:noProof/>
              </w:rPr>
            </w:pPr>
            <w:r>
              <w:rPr>
                <w:noProof/>
              </w:rPr>
              <w:t>38</w:t>
            </w:r>
          </w:p>
        </w:tc>
        <w:tc>
          <w:tcPr>
            <w:tcW w:w="1950" w:type="dxa"/>
            <w:gridSpan w:val="2"/>
          </w:tcPr>
          <w:p>
            <w:pPr>
              <w:jc w:val="left"/>
              <w:rPr>
                <w:noProof/>
              </w:rPr>
            </w:pPr>
            <w:r>
              <w:rPr>
                <w:noProof/>
              </w:rPr>
              <w:t>38</w:t>
            </w:r>
          </w:p>
          <w:p>
            <w:pPr>
              <w:jc w:val="left"/>
              <w:rPr>
                <w:noProof/>
              </w:rPr>
            </w:pPr>
            <w:r>
              <w:rPr>
                <w:noProof/>
              </w:rPr>
              <w:t>40</w:t>
            </w:r>
          </w:p>
        </w:tc>
        <w:tc>
          <w:tcPr>
            <w:tcW w:w="1857" w:type="dxa"/>
            <w:gridSpan w:val="3"/>
          </w:tcPr>
          <w:p>
            <w:pPr>
              <w:jc w:val="left"/>
              <w:rPr>
                <w:noProof/>
              </w:rPr>
            </w:pPr>
            <w:r>
              <w:rPr>
                <w:noProof/>
              </w:rPr>
              <w:t>36</w:t>
            </w:r>
          </w:p>
        </w:tc>
        <w:tc>
          <w:tcPr>
            <w:tcW w:w="1951" w:type="dxa"/>
          </w:tcPr>
          <w:p>
            <w:pPr>
              <w:jc w:val="left"/>
              <w:rPr>
                <w:noProof/>
              </w:rPr>
            </w:pPr>
            <w:r>
              <w:rPr>
                <w:noProof/>
              </w:rPr>
              <w:t>38</w:t>
            </w:r>
          </w:p>
        </w:tc>
        <w:tc>
          <w:tcPr>
            <w:tcW w:w="1671" w:type="dxa"/>
            <w:gridSpan w:val="2"/>
          </w:tcPr>
          <w:p>
            <w:pPr>
              <w:jc w:val="left"/>
              <w:rPr>
                <w:noProof/>
              </w:rPr>
            </w:pPr>
          </w:p>
        </w:tc>
      </w:tr>
      <w:tr>
        <w:trPr>
          <w:gridAfter w:val="1"/>
          <w:wAfter w:w="36" w:type="dxa"/>
        </w:trPr>
        <w:tc>
          <w:tcPr>
            <w:tcW w:w="1857" w:type="dxa"/>
            <w:gridSpan w:val="2"/>
          </w:tcPr>
          <w:p>
            <w:pPr>
              <w:adjustRightInd w:val="0"/>
              <w:spacing w:before="0" w:after="0"/>
              <w:jc w:val="left"/>
              <w:rPr>
                <w:noProof/>
              </w:rPr>
            </w:pPr>
          </w:p>
        </w:tc>
        <w:tc>
          <w:tcPr>
            <w:tcW w:w="1950" w:type="dxa"/>
            <w:gridSpan w:val="2"/>
          </w:tcPr>
          <w:p>
            <w:pPr>
              <w:adjustRightInd w:val="0"/>
              <w:spacing w:before="0" w:after="0"/>
              <w:jc w:val="left"/>
              <w:rPr>
                <w:noProof/>
              </w:rPr>
            </w:pPr>
          </w:p>
        </w:tc>
        <w:tc>
          <w:tcPr>
            <w:tcW w:w="1857" w:type="dxa"/>
            <w:gridSpan w:val="3"/>
          </w:tcPr>
          <w:p>
            <w:pPr>
              <w:jc w:val="left"/>
              <w:rPr>
                <w:noProof/>
              </w:rPr>
            </w:pPr>
            <w:r>
              <w:rPr>
                <w:noProof/>
              </w:rPr>
              <w:t>38</w:t>
            </w:r>
          </w:p>
        </w:tc>
        <w:tc>
          <w:tcPr>
            <w:tcW w:w="1951" w:type="dxa"/>
          </w:tcPr>
          <w:p>
            <w:pPr>
              <w:jc w:val="left"/>
              <w:rPr>
                <w:noProof/>
              </w:rPr>
            </w:pPr>
            <w:r>
              <w:rPr>
                <w:noProof/>
              </w:rPr>
              <w:t>40</w:t>
            </w:r>
          </w:p>
        </w:tc>
        <w:tc>
          <w:tcPr>
            <w:tcW w:w="1671" w:type="dxa"/>
            <w:gridSpan w:val="2"/>
          </w:tcPr>
          <w:p>
            <w:pPr>
              <w:jc w:val="left"/>
              <w:rPr>
                <w:noProof/>
              </w:rPr>
            </w:pPr>
            <w:r>
              <w:rPr>
                <w:noProof/>
              </w:rPr>
              <w:t>III</w:t>
            </w:r>
          </w:p>
        </w:tc>
      </w:tr>
      <w:tr>
        <w:trPr>
          <w:gridAfter w:val="1"/>
          <w:wAfter w:w="36" w:type="dxa"/>
        </w:trPr>
        <w:tc>
          <w:tcPr>
            <w:tcW w:w="7615" w:type="dxa"/>
            <w:gridSpan w:val="8"/>
          </w:tcPr>
          <w:p>
            <w:pPr>
              <w:jc w:val="left"/>
              <w:rPr>
                <w:noProof/>
              </w:rPr>
            </w:pPr>
            <w:r>
              <w:rPr>
                <w:i/>
                <w:noProof/>
              </w:rPr>
              <w:t>3 + 2 оси</w:t>
            </w:r>
          </w:p>
        </w:tc>
        <w:tc>
          <w:tcPr>
            <w:tcW w:w="1671" w:type="dxa"/>
            <w:gridSpan w:val="2"/>
          </w:tcPr>
          <w:p>
            <w:pPr>
              <w:jc w:val="left"/>
              <w:rPr>
                <w:noProof/>
              </w:rPr>
            </w:pPr>
            <w:r>
              <w:rPr>
                <w:noProof/>
              </w:rPr>
              <w:t>II</w:t>
            </w:r>
          </w:p>
        </w:tc>
      </w:tr>
      <w:tr>
        <w:trPr>
          <w:gridAfter w:val="1"/>
          <w:wAfter w:w="36" w:type="dxa"/>
        </w:trPr>
        <w:tc>
          <w:tcPr>
            <w:tcW w:w="1857" w:type="dxa"/>
            <w:gridSpan w:val="2"/>
          </w:tcPr>
          <w:p>
            <w:pPr>
              <w:jc w:val="left"/>
              <w:rPr>
                <w:noProof/>
              </w:rPr>
            </w:pPr>
            <w:r>
              <w:rPr>
                <w:noProof/>
              </w:rPr>
              <w:t>36</w:t>
            </w:r>
          </w:p>
          <w:p>
            <w:pPr>
              <w:jc w:val="left"/>
              <w:rPr>
                <w:noProof/>
              </w:rPr>
            </w:pPr>
            <w:r>
              <w:rPr>
                <w:noProof/>
              </w:rPr>
              <w:t>38</w:t>
            </w:r>
          </w:p>
        </w:tc>
        <w:tc>
          <w:tcPr>
            <w:tcW w:w="1950" w:type="dxa"/>
            <w:gridSpan w:val="2"/>
          </w:tcPr>
          <w:p>
            <w:pPr>
              <w:jc w:val="left"/>
              <w:rPr>
                <w:noProof/>
              </w:rPr>
            </w:pPr>
            <w:r>
              <w:rPr>
                <w:noProof/>
              </w:rPr>
              <w:t>38</w:t>
            </w:r>
          </w:p>
          <w:p>
            <w:pPr>
              <w:jc w:val="left"/>
              <w:rPr>
                <w:noProof/>
              </w:rPr>
            </w:pPr>
            <w:r>
              <w:rPr>
                <w:noProof/>
              </w:rPr>
              <w:t>40</w:t>
            </w:r>
          </w:p>
        </w:tc>
        <w:tc>
          <w:tcPr>
            <w:tcW w:w="1857" w:type="dxa"/>
            <w:gridSpan w:val="3"/>
          </w:tcPr>
          <w:p>
            <w:pPr>
              <w:jc w:val="left"/>
              <w:rPr>
                <w:noProof/>
              </w:rPr>
            </w:pPr>
            <w:r>
              <w:rPr>
                <w:noProof/>
              </w:rPr>
              <w:t>36</w:t>
            </w:r>
          </w:p>
        </w:tc>
        <w:tc>
          <w:tcPr>
            <w:tcW w:w="1951" w:type="dxa"/>
          </w:tcPr>
          <w:p>
            <w:pPr>
              <w:jc w:val="left"/>
              <w:rPr>
                <w:noProof/>
              </w:rPr>
            </w:pPr>
            <w:r>
              <w:rPr>
                <w:noProof/>
              </w:rPr>
              <w:t>38</w:t>
            </w:r>
          </w:p>
        </w:tc>
        <w:tc>
          <w:tcPr>
            <w:tcW w:w="1671" w:type="dxa"/>
            <w:gridSpan w:val="2"/>
          </w:tcPr>
          <w:p>
            <w:pPr>
              <w:jc w:val="left"/>
              <w:rPr>
                <w:noProof/>
              </w:rPr>
            </w:pPr>
          </w:p>
        </w:tc>
      </w:tr>
      <w:tr>
        <w:trPr>
          <w:gridAfter w:val="1"/>
          <w:wAfter w:w="36" w:type="dxa"/>
        </w:trPr>
        <w:tc>
          <w:tcPr>
            <w:tcW w:w="1857" w:type="dxa"/>
            <w:gridSpan w:val="2"/>
          </w:tcPr>
          <w:p>
            <w:pPr>
              <w:adjustRightInd w:val="0"/>
              <w:spacing w:before="0" w:after="0"/>
              <w:jc w:val="left"/>
              <w:rPr>
                <w:noProof/>
              </w:rPr>
            </w:pPr>
          </w:p>
        </w:tc>
        <w:tc>
          <w:tcPr>
            <w:tcW w:w="1950" w:type="dxa"/>
            <w:gridSpan w:val="2"/>
          </w:tcPr>
          <w:p>
            <w:pPr>
              <w:adjustRightInd w:val="0"/>
              <w:spacing w:before="0" w:after="0"/>
              <w:jc w:val="left"/>
              <w:rPr>
                <w:noProof/>
              </w:rPr>
            </w:pPr>
          </w:p>
        </w:tc>
        <w:tc>
          <w:tcPr>
            <w:tcW w:w="1857" w:type="dxa"/>
            <w:gridSpan w:val="3"/>
          </w:tcPr>
          <w:p>
            <w:pPr>
              <w:jc w:val="left"/>
              <w:rPr>
                <w:noProof/>
              </w:rPr>
            </w:pPr>
            <w:r>
              <w:rPr>
                <w:noProof/>
              </w:rPr>
              <w:t>38</w:t>
            </w:r>
          </w:p>
          <w:p>
            <w:pPr>
              <w:jc w:val="left"/>
              <w:rPr>
                <w:noProof/>
              </w:rPr>
            </w:pPr>
            <w:r>
              <w:rPr>
                <w:noProof/>
              </w:rPr>
              <w:t>40</w:t>
            </w:r>
          </w:p>
        </w:tc>
        <w:tc>
          <w:tcPr>
            <w:tcW w:w="1951" w:type="dxa"/>
          </w:tcPr>
          <w:p>
            <w:pPr>
              <w:jc w:val="left"/>
              <w:rPr>
                <w:noProof/>
              </w:rPr>
            </w:pPr>
            <w:r>
              <w:rPr>
                <w:noProof/>
              </w:rPr>
              <w:t>40</w:t>
            </w:r>
          </w:p>
          <w:p>
            <w:pPr>
              <w:jc w:val="left"/>
              <w:rPr>
                <w:noProof/>
              </w:rPr>
            </w:pPr>
            <w:r>
              <w:rPr>
                <w:noProof/>
              </w:rPr>
              <w:t>44</w:t>
            </w:r>
          </w:p>
        </w:tc>
        <w:tc>
          <w:tcPr>
            <w:tcW w:w="1671" w:type="dxa"/>
            <w:gridSpan w:val="2"/>
          </w:tcPr>
          <w:p>
            <w:pPr>
              <w:jc w:val="left"/>
              <w:rPr>
                <w:noProof/>
              </w:rPr>
            </w:pPr>
            <w:r>
              <w:rPr>
                <w:noProof/>
              </w:rPr>
              <w:t>III</w:t>
            </w:r>
          </w:p>
        </w:tc>
      </w:tr>
      <w:tr>
        <w:trPr>
          <w:gridAfter w:val="1"/>
          <w:wAfter w:w="36" w:type="dxa"/>
        </w:trPr>
        <w:tc>
          <w:tcPr>
            <w:tcW w:w="1857" w:type="dxa"/>
            <w:gridSpan w:val="2"/>
          </w:tcPr>
          <w:p>
            <w:pPr>
              <w:jc w:val="left"/>
              <w:rPr>
                <w:noProof/>
              </w:rPr>
            </w:pPr>
            <w:r>
              <w:rPr>
                <w:noProof/>
              </w:rPr>
              <w:t>40</w:t>
            </w:r>
          </w:p>
        </w:tc>
        <w:tc>
          <w:tcPr>
            <w:tcW w:w="1950" w:type="dxa"/>
            <w:gridSpan w:val="2"/>
          </w:tcPr>
          <w:p>
            <w:pPr>
              <w:jc w:val="left"/>
              <w:rPr>
                <w:noProof/>
              </w:rPr>
            </w:pPr>
            <w:r>
              <w:rPr>
                <w:noProof/>
              </w:rPr>
              <w:t>44</w:t>
            </w:r>
          </w:p>
        </w:tc>
        <w:tc>
          <w:tcPr>
            <w:tcW w:w="1857" w:type="dxa"/>
            <w:gridSpan w:val="3"/>
          </w:tcPr>
          <w:p>
            <w:pPr>
              <w:jc w:val="left"/>
              <w:rPr>
                <w:noProof/>
              </w:rPr>
            </w:pPr>
          </w:p>
        </w:tc>
        <w:tc>
          <w:tcPr>
            <w:tcW w:w="1951" w:type="dxa"/>
          </w:tcPr>
          <w:p>
            <w:pPr>
              <w:jc w:val="left"/>
              <w:rPr>
                <w:noProof/>
              </w:rPr>
            </w:pPr>
          </w:p>
        </w:tc>
        <w:tc>
          <w:tcPr>
            <w:tcW w:w="1671" w:type="dxa"/>
            <w:gridSpan w:val="2"/>
          </w:tcPr>
          <w:p>
            <w:pPr>
              <w:jc w:val="left"/>
              <w:rPr>
                <w:noProof/>
              </w:rPr>
            </w:pPr>
          </w:p>
        </w:tc>
      </w:tr>
      <w:tr>
        <w:trPr>
          <w:gridAfter w:val="1"/>
          <w:wAfter w:w="36" w:type="dxa"/>
        </w:trPr>
        <w:tc>
          <w:tcPr>
            <w:tcW w:w="7615" w:type="dxa"/>
            <w:gridSpan w:val="8"/>
          </w:tcPr>
          <w:p>
            <w:pPr>
              <w:jc w:val="left"/>
              <w:rPr>
                <w:noProof/>
              </w:rPr>
            </w:pPr>
            <w:r>
              <w:rPr>
                <w:i/>
                <w:noProof/>
              </w:rPr>
              <w:t>3 + 3 оси</w:t>
            </w:r>
          </w:p>
        </w:tc>
        <w:tc>
          <w:tcPr>
            <w:tcW w:w="1671" w:type="dxa"/>
            <w:gridSpan w:val="2"/>
          </w:tcPr>
          <w:p>
            <w:pPr>
              <w:jc w:val="left"/>
              <w:rPr>
                <w:noProof/>
              </w:rPr>
            </w:pPr>
          </w:p>
        </w:tc>
      </w:tr>
      <w:tr>
        <w:trPr>
          <w:gridAfter w:val="1"/>
          <w:wAfter w:w="36" w:type="dxa"/>
        </w:trPr>
        <w:tc>
          <w:tcPr>
            <w:tcW w:w="1857" w:type="dxa"/>
            <w:gridSpan w:val="2"/>
          </w:tcPr>
          <w:p>
            <w:pPr>
              <w:jc w:val="left"/>
              <w:rPr>
                <w:noProof/>
              </w:rPr>
            </w:pPr>
            <w:r>
              <w:rPr>
                <w:noProof/>
              </w:rPr>
              <w:t>36</w:t>
            </w:r>
          </w:p>
          <w:p>
            <w:pPr>
              <w:jc w:val="left"/>
              <w:rPr>
                <w:noProof/>
              </w:rPr>
            </w:pPr>
            <w:r>
              <w:rPr>
                <w:noProof/>
              </w:rPr>
              <w:t>38</w:t>
            </w:r>
          </w:p>
        </w:tc>
        <w:tc>
          <w:tcPr>
            <w:tcW w:w="1950" w:type="dxa"/>
            <w:gridSpan w:val="2"/>
          </w:tcPr>
          <w:p>
            <w:pPr>
              <w:jc w:val="left"/>
              <w:rPr>
                <w:noProof/>
              </w:rPr>
            </w:pPr>
            <w:r>
              <w:rPr>
                <w:noProof/>
              </w:rPr>
              <w:t>38</w:t>
            </w:r>
          </w:p>
          <w:p>
            <w:pPr>
              <w:jc w:val="left"/>
              <w:rPr>
                <w:noProof/>
              </w:rPr>
            </w:pPr>
            <w:r>
              <w:rPr>
                <w:noProof/>
              </w:rPr>
              <w:t>40</w:t>
            </w:r>
          </w:p>
        </w:tc>
        <w:tc>
          <w:tcPr>
            <w:tcW w:w="1857" w:type="dxa"/>
            <w:gridSpan w:val="3"/>
          </w:tcPr>
          <w:p>
            <w:pPr>
              <w:jc w:val="left"/>
              <w:rPr>
                <w:noProof/>
              </w:rPr>
            </w:pPr>
            <w:r>
              <w:rPr>
                <w:noProof/>
              </w:rPr>
              <w:t>36</w:t>
            </w:r>
          </w:p>
        </w:tc>
        <w:tc>
          <w:tcPr>
            <w:tcW w:w="1951" w:type="dxa"/>
          </w:tcPr>
          <w:p>
            <w:pPr>
              <w:jc w:val="left"/>
              <w:rPr>
                <w:noProof/>
              </w:rPr>
            </w:pPr>
            <w:r>
              <w:rPr>
                <w:noProof/>
              </w:rPr>
              <w:t>38</w:t>
            </w:r>
          </w:p>
        </w:tc>
        <w:tc>
          <w:tcPr>
            <w:tcW w:w="1671" w:type="dxa"/>
            <w:gridSpan w:val="2"/>
          </w:tcPr>
          <w:p>
            <w:pPr>
              <w:jc w:val="left"/>
              <w:rPr>
                <w:noProof/>
              </w:rPr>
            </w:pPr>
            <w:r>
              <w:rPr>
                <w:noProof/>
              </w:rPr>
              <w:t>I</w:t>
            </w:r>
          </w:p>
        </w:tc>
      </w:tr>
      <w:tr>
        <w:trPr>
          <w:gridAfter w:val="1"/>
          <w:wAfter w:w="36" w:type="dxa"/>
        </w:trPr>
        <w:tc>
          <w:tcPr>
            <w:tcW w:w="1857" w:type="dxa"/>
            <w:gridSpan w:val="2"/>
          </w:tcPr>
          <w:p>
            <w:pPr>
              <w:adjustRightInd w:val="0"/>
              <w:spacing w:before="0" w:after="0"/>
              <w:jc w:val="left"/>
              <w:rPr>
                <w:noProof/>
              </w:rPr>
            </w:pPr>
          </w:p>
        </w:tc>
        <w:tc>
          <w:tcPr>
            <w:tcW w:w="1950" w:type="dxa"/>
            <w:gridSpan w:val="2"/>
          </w:tcPr>
          <w:p>
            <w:pPr>
              <w:adjustRightInd w:val="0"/>
              <w:spacing w:before="0" w:after="0"/>
              <w:jc w:val="left"/>
              <w:rPr>
                <w:noProof/>
              </w:rPr>
            </w:pPr>
          </w:p>
        </w:tc>
        <w:tc>
          <w:tcPr>
            <w:tcW w:w="1857" w:type="dxa"/>
            <w:gridSpan w:val="3"/>
          </w:tcPr>
          <w:p>
            <w:pPr>
              <w:jc w:val="left"/>
              <w:rPr>
                <w:noProof/>
              </w:rPr>
            </w:pPr>
            <w:r>
              <w:rPr>
                <w:noProof/>
              </w:rPr>
              <w:t>38</w:t>
            </w:r>
          </w:p>
        </w:tc>
        <w:tc>
          <w:tcPr>
            <w:tcW w:w="1951" w:type="dxa"/>
          </w:tcPr>
          <w:p>
            <w:pPr>
              <w:jc w:val="left"/>
              <w:rPr>
                <w:noProof/>
              </w:rPr>
            </w:pPr>
            <w:r>
              <w:rPr>
                <w:noProof/>
              </w:rPr>
              <w:t>40</w:t>
            </w:r>
          </w:p>
        </w:tc>
        <w:tc>
          <w:tcPr>
            <w:tcW w:w="1671" w:type="dxa"/>
            <w:gridSpan w:val="2"/>
          </w:tcPr>
          <w:p>
            <w:pPr>
              <w:jc w:val="left"/>
              <w:rPr>
                <w:noProof/>
              </w:rPr>
            </w:pPr>
            <w:r>
              <w:rPr>
                <w:noProof/>
              </w:rPr>
              <w:t>II</w:t>
            </w:r>
          </w:p>
        </w:tc>
      </w:tr>
      <w:tr>
        <w:trPr>
          <w:gridAfter w:val="1"/>
          <w:wAfter w:w="36" w:type="dxa"/>
        </w:trPr>
        <w:tc>
          <w:tcPr>
            <w:tcW w:w="1857" w:type="dxa"/>
            <w:gridSpan w:val="2"/>
          </w:tcPr>
          <w:p>
            <w:pPr>
              <w:jc w:val="left"/>
              <w:rPr>
                <w:noProof/>
              </w:rPr>
            </w:pPr>
            <w:r>
              <w:rPr>
                <w:noProof/>
              </w:rPr>
              <w:t>40</w:t>
            </w:r>
          </w:p>
        </w:tc>
        <w:tc>
          <w:tcPr>
            <w:tcW w:w="1950" w:type="dxa"/>
            <w:gridSpan w:val="2"/>
          </w:tcPr>
          <w:p>
            <w:pPr>
              <w:jc w:val="left"/>
              <w:rPr>
                <w:noProof/>
              </w:rPr>
            </w:pPr>
            <w:r>
              <w:rPr>
                <w:noProof/>
              </w:rPr>
              <w:t>44</w:t>
            </w:r>
          </w:p>
        </w:tc>
        <w:tc>
          <w:tcPr>
            <w:tcW w:w="1857" w:type="dxa"/>
            <w:gridSpan w:val="3"/>
          </w:tcPr>
          <w:p>
            <w:pPr>
              <w:jc w:val="left"/>
              <w:rPr>
                <w:noProof/>
              </w:rPr>
            </w:pPr>
            <w:r>
              <w:rPr>
                <w:noProof/>
              </w:rPr>
              <w:t>40</w:t>
            </w:r>
          </w:p>
        </w:tc>
        <w:tc>
          <w:tcPr>
            <w:tcW w:w="1951" w:type="dxa"/>
          </w:tcPr>
          <w:p>
            <w:pPr>
              <w:jc w:val="left"/>
              <w:rPr>
                <w:noProof/>
              </w:rPr>
            </w:pPr>
            <w:r>
              <w:rPr>
                <w:noProof/>
              </w:rPr>
              <w:t>44</w:t>
            </w:r>
          </w:p>
        </w:tc>
        <w:tc>
          <w:tcPr>
            <w:tcW w:w="1671" w:type="dxa"/>
            <w:gridSpan w:val="2"/>
          </w:tcPr>
          <w:p>
            <w:pPr>
              <w:jc w:val="left"/>
              <w:rPr>
                <w:noProof/>
              </w:rPr>
            </w:pPr>
          </w:p>
        </w:tc>
      </w:tr>
      <w:tr>
        <w:tblPrEx>
          <w:tblLook w:val="04A0" w:firstRow="1" w:lastRow="0" w:firstColumn="1" w:lastColumn="0" w:noHBand="0" w:noVBand="1"/>
        </w:tblPrEx>
        <w:tc>
          <w:tcPr>
            <w:tcW w:w="9322" w:type="dxa"/>
            <w:gridSpan w:val="11"/>
          </w:tcPr>
          <w:p>
            <w:pPr>
              <w:spacing w:before="100" w:beforeAutospacing="1" w:after="100" w:afterAutospacing="1"/>
              <w:rPr>
                <w:i/>
                <w:noProof/>
              </w:rPr>
            </w:pPr>
            <w:r>
              <w:rPr>
                <w:i/>
                <w:noProof/>
              </w:rPr>
              <w:t>7 оси</w:t>
            </w:r>
          </w:p>
        </w:tc>
      </w:tr>
      <w:tr>
        <w:tblPrEx>
          <w:tblLook w:val="04A0" w:firstRow="1" w:lastRow="0" w:firstColumn="1" w:lastColumn="0" w:noHBand="0" w:noVBand="1"/>
        </w:tblPrEx>
        <w:tc>
          <w:tcPr>
            <w:tcW w:w="1809" w:type="dxa"/>
            <w:tcBorders>
              <w:bottom w:val="single" w:sz="4" w:space="0" w:color="auto"/>
            </w:tcBorders>
          </w:tcPr>
          <w:p>
            <w:pPr>
              <w:spacing w:before="100" w:beforeAutospacing="1" w:after="100" w:afterAutospacing="1"/>
              <w:rPr>
                <w:noProof/>
              </w:rPr>
            </w:pPr>
            <w:r>
              <w:rPr>
                <w:noProof/>
              </w:rPr>
              <w:t>40</w:t>
            </w:r>
          </w:p>
        </w:tc>
        <w:tc>
          <w:tcPr>
            <w:tcW w:w="1985" w:type="dxa"/>
            <w:gridSpan w:val="2"/>
            <w:tcBorders>
              <w:bottom w:val="single" w:sz="4" w:space="0" w:color="auto"/>
            </w:tcBorders>
          </w:tcPr>
          <w:p>
            <w:pPr>
              <w:spacing w:before="100" w:beforeAutospacing="1" w:after="100" w:afterAutospacing="1"/>
              <w:rPr>
                <w:noProof/>
              </w:rPr>
            </w:pPr>
            <w:r>
              <w:rPr>
                <w:noProof/>
              </w:rPr>
              <w:t>50</w:t>
            </w:r>
          </w:p>
        </w:tc>
        <w:tc>
          <w:tcPr>
            <w:tcW w:w="1843" w:type="dxa"/>
            <w:gridSpan w:val="3"/>
            <w:tcBorders>
              <w:bottom w:val="single" w:sz="4" w:space="0" w:color="auto"/>
            </w:tcBorders>
          </w:tcPr>
          <w:p>
            <w:pPr>
              <w:spacing w:before="100" w:beforeAutospacing="1" w:after="100" w:afterAutospacing="1"/>
              <w:rPr>
                <w:noProof/>
              </w:rPr>
            </w:pPr>
            <w:r>
              <w:rPr>
                <w:noProof/>
              </w:rPr>
              <w:t>40</w:t>
            </w:r>
          </w:p>
        </w:tc>
        <w:tc>
          <w:tcPr>
            <w:tcW w:w="1984" w:type="dxa"/>
            <w:gridSpan w:val="3"/>
            <w:tcBorders>
              <w:bottom w:val="single" w:sz="4" w:space="0" w:color="auto"/>
            </w:tcBorders>
          </w:tcPr>
          <w:p>
            <w:pPr>
              <w:spacing w:before="100" w:beforeAutospacing="1" w:after="100" w:afterAutospacing="1"/>
              <w:rPr>
                <w:noProof/>
              </w:rPr>
            </w:pPr>
            <w:r>
              <w:rPr>
                <w:noProof/>
              </w:rPr>
              <w:t>50</w:t>
            </w:r>
          </w:p>
        </w:tc>
        <w:tc>
          <w:tcPr>
            <w:tcW w:w="1701" w:type="dxa"/>
            <w:gridSpan w:val="2"/>
            <w:tcBorders>
              <w:bottom w:val="single" w:sz="4" w:space="0" w:color="auto"/>
            </w:tcBorders>
          </w:tcPr>
          <w:p>
            <w:pPr>
              <w:spacing w:before="100" w:beforeAutospacing="1" w:after="100" w:afterAutospacing="1"/>
              <w:rPr>
                <w:noProof/>
              </w:rPr>
            </w:pPr>
            <w:r>
              <w:rPr>
                <w:noProof/>
              </w:rPr>
              <w:t>II</w:t>
            </w:r>
          </w:p>
        </w:tc>
      </w:tr>
      <w:tr>
        <w:tblPrEx>
          <w:tblLook w:val="04A0" w:firstRow="1" w:lastRow="0" w:firstColumn="1" w:lastColumn="0" w:noHBand="0" w:noVBand="1"/>
        </w:tblPrEx>
        <w:tc>
          <w:tcPr>
            <w:tcW w:w="1809" w:type="dxa"/>
            <w:tcBorders>
              <w:top w:val="single" w:sz="4" w:space="0" w:color="auto"/>
              <w:left w:val="single" w:sz="4" w:space="0" w:color="auto"/>
              <w:bottom w:val="nil"/>
              <w:right w:val="single" w:sz="4" w:space="0" w:color="auto"/>
            </w:tcBorders>
          </w:tcPr>
          <w:p>
            <w:pPr>
              <w:spacing w:before="100" w:beforeAutospacing="1" w:after="100" w:afterAutospacing="1"/>
              <w:rPr>
                <w:noProof/>
              </w:rPr>
            </w:pPr>
            <w:r>
              <w:rPr>
                <w:noProof/>
              </w:rPr>
              <w:t>50</w:t>
            </w:r>
          </w:p>
        </w:tc>
        <w:tc>
          <w:tcPr>
            <w:tcW w:w="1985" w:type="dxa"/>
            <w:gridSpan w:val="2"/>
            <w:tcBorders>
              <w:top w:val="single" w:sz="4" w:space="0" w:color="auto"/>
              <w:left w:val="single" w:sz="4" w:space="0" w:color="auto"/>
              <w:bottom w:val="nil"/>
              <w:right w:val="single" w:sz="4" w:space="0" w:color="auto"/>
            </w:tcBorders>
          </w:tcPr>
          <w:p>
            <w:pPr>
              <w:spacing w:before="100" w:beforeAutospacing="1" w:after="100" w:afterAutospacing="1"/>
              <w:rPr>
                <w:noProof/>
              </w:rPr>
            </w:pPr>
            <w:r>
              <w:rPr>
                <w:noProof/>
              </w:rPr>
              <w:t>60</w:t>
            </w:r>
          </w:p>
        </w:tc>
        <w:tc>
          <w:tcPr>
            <w:tcW w:w="1843" w:type="dxa"/>
            <w:gridSpan w:val="3"/>
            <w:tcBorders>
              <w:top w:val="single" w:sz="4" w:space="0" w:color="auto"/>
              <w:left w:val="single" w:sz="4" w:space="0" w:color="auto"/>
              <w:bottom w:val="nil"/>
              <w:right w:val="single" w:sz="4" w:space="0" w:color="auto"/>
            </w:tcBorders>
          </w:tcPr>
          <w:p>
            <w:pPr>
              <w:spacing w:before="100" w:beforeAutospacing="1" w:after="100" w:afterAutospacing="1"/>
              <w:rPr>
                <w:noProof/>
              </w:rPr>
            </w:pPr>
            <w:r>
              <w:rPr>
                <w:noProof/>
              </w:rPr>
              <w:t>50</w:t>
            </w:r>
          </w:p>
        </w:tc>
        <w:tc>
          <w:tcPr>
            <w:tcW w:w="1984" w:type="dxa"/>
            <w:gridSpan w:val="3"/>
            <w:tcBorders>
              <w:top w:val="single" w:sz="4" w:space="0" w:color="auto"/>
              <w:left w:val="single" w:sz="4" w:space="0" w:color="auto"/>
              <w:bottom w:val="nil"/>
              <w:right w:val="single" w:sz="4" w:space="0" w:color="auto"/>
            </w:tcBorders>
          </w:tcPr>
          <w:p>
            <w:pPr>
              <w:spacing w:before="100" w:beforeAutospacing="1" w:after="100" w:afterAutospacing="1"/>
              <w:rPr>
                <w:noProof/>
              </w:rPr>
            </w:pPr>
            <w:r>
              <w:rPr>
                <w:noProof/>
              </w:rPr>
              <w:t>60</w:t>
            </w:r>
          </w:p>
        </w:tc>
        <w:tc>
          <w:tcPr>
            <w:tcW w:w="1701" w:type="dxa"/>
            <w:gridSpan w:val="2"/>
            <w:vMerge w:val="restart"/>
            <w:tcBorders>
              <w:top w:val="single" w:sz="4" w:space="0" w:color="auto"/>
              <w:left w:val="single" w:sz="4" w:space="0" w:color="auto"/>
              <w:right w:val="single" w:sz="4" w:space="0" w:color="auto"/>
            </w:tcBorders>
          </w:tcPr>
          <w:p>
            <w:pPr>
              <w:jc w:val="left"/>
              <w:rPr>
                <w:noProof/>
              </w:rPr>
            </w:pPr>
            <w:r>
              <w:rPr>
                <w:noProof/>
              </w:rPr>
              <w:t>III</w:t>
            </w:r>
          </w:p>
        </w:tc>
      </w:tr>
      <w:tr>
        <w:tblPrEx>
          <w:tblLook w:val="04A0" w:firstRow="1" w:lastRow="0" w:firstColumn="1" w:lastColumn="0" w:noHBand="0" w:noVBand="1"/>
        </w:tblPrEx>
        <w:tc>
          <w:tcPr>
            <w:tcW w:w="1809" w:type="dxa"/>
            <w:tcBorders>
              <w:top w:val="nil"/>
              <w:left w:val="single" w:sz="4" w:space="0" w:color="auto"/>
              <w:bottom w:val="single" w:sz="4" w:space="0" w:color="auto"/>
              <w:right w:val="single" w:sz="4" w:space="0" w:color="auto"/>
            </w:tcBorders>
          </w:tcPr>
          <w:p>
            <w:pPr>
              <w:spacing w:before="100" w:beforeAutospacing="1" w:after="100" w:afterAutospacing="1"/>
              <w:rPr>
                <w:noProof/>
              </w:rPr>
            </w:pPr>
            <w:r>
              <w:rPr>
                <w:noProof/>
              </w:rPr>
              <w:t>60</w:t>
            </w:r>
          </w:p>
        </w:tc>
        <w:tc>
          <w:tcPr>
            <w:tcW w:w="1985" w:type="dxa"/>
            <w:gridSpan w:val="2"/>
            <w:tcBorders>
              <w:top w:val="nil"/>
              <w:left w:val="single" w:sz="4" w:space="0" w:color="auto"/>
              <w:bottom w:val="single" w:sz="4" w:space="0" w:color="auto"/>
              <w:right w:val="single" w:sz="4" w:space="0" w:color="auto"/>
            </w:tcBorders>
          </w:tcPr>
          <w:p>
            <w:pPr>
              <w:spacing w:before="100" w:beforeAutospacing="1" w:after="100" w:afterAutospacing="1"/>
              <w:rPr>
                <w:noProof/>
              </w:rPr>
            </w:pPr>
          </w:p>
        </w:tc>
        <w:tc>
          <w:tcPr>
            <w:tcW w:w="1843" w:type="dxa"/>
            <w:gridSpan w:val="3"/>
            <w:tcBorders>
              <w:top w:val="nil"/>
              <w:left w:val="single" w:sz="4" w:space="0" w:color="auto"/>
              <w:bottom w:val="single" w:sz="4" w:space="0" w:color="auto"/>
              <w:right w:val="single" w:sz="4" w:space="0" w:color="auto"/>
            </w:tcBorders>
          </w:tcPr>
          <w:p>
            <w:pPr>
              <w:spacing w:before="100" w:beforeAutospacing="1" w:after="100" w:afterAutospacing="1"/>
              <w:rPr>
                <w:noProof/>
              </w:rPr>
            </w:pPr>
            <w:r>
              <w:rPr>
                <w:noProof/>
              </w:rPr>
              <w:t>60</w:t>
            </w:r>
          </w:p>
        </w:tc>
        <w:tc>
          <w:tcPr>
            <w:tcW w:w="1984" w:type="dxa"/>
            <w:gridSpan w:val="3"/>
            <w:tcBorders>
              <w:top w:val="nil"/>
              <w:left w:val="single" w:sz="4" w:space="0" w:color="auto"/>
              <w:bottom w:val="single" w:sz="4" w:space="0" w:color="auto"/>
              <w:right w:val="single" w:sz="4" w:space="0" w:color="auto"/>
            </w:tcBorders>
          </w:tcPr>
          <w:p>
            <w:pPr>
              <w:spacing w:before="100" w:beforeAutospacing="1" w:after="100" w:afterAutospacing="1"/>
              <w:rPr>
                <w:noProof/>
              </w:rPr>
            </w:pPr>
          </w:p>
        </w:tc>
        <w:tc>
          <w:tcPr>
            <w:tcW w:w="1701" w:type="dxa"/>
            <w:gridSpan w:val="2"/>
            <w:vMerge/>
            <w:tcBorders>
              <w:left w:val="single" w:sz="4" w:space="0" w:color="auto"/>
              <w:bottom w:val="single" w:sz="4" w:space="0" w:color="auto"/>
              <w:right w:val="single" w:sz="4" w:space="0" w:color="auto"/>
            </w:tcBorders>
          </w:tcPr>
          <w:p>
            <w:pPr>
              <w:spacing w:before="100" w:beforeAutospacing="1" w:after="100" w:afterAutospacing="1"/>
              <w:rPr>
                <w:noProof/>
              </w:rPr>
            </w:pPr>
          </w:p>
        </w:tc>
      </w:tr>
      <w:tr>
        <w:tblPrEx>
          <w:tblLook w:val="04A0" w:firstRow="1" w:lastRow="0" w:firstColumn="1" w:lastColumn="0" w:noHBand="0" w:noVBand="1"/>
        </w:tblPrEx>
        <w:tc>
          <w:tcPr>
            <w:tcW w:w="9322" w:type="dxa"/>
            <w:gridSpan w:val="11"/>
            <w:tcBorders>
              <w:top w:val="single" w:sz="4" w:space="0" w:color="auto"/>
            </w:tcBorders>
          </w:tcPr>
          <w:p>
            <w:pPr>
              <w:spacing w:before="100" w:beforeAutospacing="1" w:after="100" w:afterAutospacing="1"/>
              <w:rPr>
                <w:i/>
                <w:noProof/>
              </w:rPr>
            </w:pPr>
            <w:r>
              <w:rPr>
                <w:i/>
                <w:noProof/>
              </w:rPr>
              <w:t>8 или 9 оси</w:t>
            </w:r>
          </w:p>
        </w:tc>
      </w:tr>
      <w:tr>
        <w:tblPrEx>
          <w:tblLook w:val="04A0" w:firstRow="1" w:lastRow="0" w:firstColumn="1" w:lastColumn="0" w:noHBand="0" w:noVBand="1"/>
        </w:tblPrEx>
        <w:tc>
          <w:tcPr>
            <w:tcW w:w="1809" w:type="dxa"/>
          </w:tcPr>
          <w:p>
            <w:pPr>
              <w:spacing w:before="100" w:beforeAutospacing="1" w:after="100" w:afterAutospacing="1"/>
              <w:rPr>
                <w:noProof/>
              </w:rPr>
            </w:pPr>
            <w:r>
              <w:rPr>
                <w:noProof/>
              </w:rPr>
              <w:t>40</w:t>
            </w:r>
          </w:p>
        </w:tc>
        <w:tc>
          <w:tcPr>
            <w:tcW w:w="2019" w:type="dxa"/>
            <w:gridSpan w:val="4"/>
          </w:tcPr>
          <w:p>
            <w:pPr>
              <w:spacing w:before="100" w:beforeAutospacing="1" w:after="100" w:afterAutospacing="1"/>
              <w:rPr>
                <w:noProof/>
              </w:rPr>
            </w:pPr>
            <w:r>
              <w:rPr>
                <w:noProof/>
              </w:rPr>
              <w:t>50</w:t>
            </w:r>
          </w:p>
        </w:tc>
        <w:tc>
          <w:tcPr>
            <w:tcW w:w="1809" w:type="dxa"/>
          </w:tcPr>
          <w:p>
            <w:pPr>
              <w:spacing w:before="100" w:beforeAutospacing="1" w:after="100" w:afterAutospacing="1"/>
              <w:rPr>
                <w:noProof/>
              </w:rPr>
            </w:pPr>
            <w:r>
              <w:rPr>
                <w:noProof/>
              </w:rPr>
              <w:t>40</w:t>
            </w:r>
          </w:p>
        </w:tc>
        <w:tc>
          <w:tcPr>
            <w:tcW w:w="1984" w:type="dxa"/>
            <w:gridSpan w:val="3"/>
          </w:tcPr>
          <w:p>
            <w:pPr>
              <w:spacing w:before="100" w:beforeAutospacing="1" w:after="100" w:afterAutospacing="1"/>
              <w:rPr>
                <w:noProof/>
              </w:rPr>
            </w:pPr>
            <w:r>
              <w:rPr>
                <w:noProof/>
              </w:rPr>
              <w:t>50</w:t>
            </w:r>
          </w:p>
        </w:tc>
        <w:tc>
          <w:tcPr>
            <w:tcW w:w="1701" w:type="dxa"/>
            <w:gridSpan w:val="2"/>
          </w:tcPr>
          <w:p>
            <w:pPr>
              <w:spacing w:before="100" w:beforeAutospacing="1" w:after="100" w:afterAutospacing="1"/>
              <w:rPr>
                <w:noProof/>
              </w:rPr>
            </w:pPr>
            <w:r>
              <w:rPr>
                <w:noProof/>
              </w:rPr>
              <w:t>I</w:t>
            </w:r>
          </w:p>
        </w:tc>
      </w:tr>
      <w:tr>
        <w:tblPrEx>
          <w:tblLook w:val="04A0" w:firstRow="1" w:lastRow="0" w:firstColumn="1" w:lastColumn="0" w:noHBand="0" w:noVBand="1"/>
        </w:tblPrEx>
        <w:tc>
          <w:tcPr>
            <w:tcW w:w="1809" w:type="dxa"/>
          </w:tcPr>
          <w:p>
            <w:pPr>
              <w:spacing w:before="100" w:beforeAutospacing="1" w:after="100" w:afterAutospacing="1"/>
              <w:rPr>
                <w:noProof/>
              </w:rPr>
            </w:pPr>
            <w:r>
              <w:rPr>
                <w:noProof/>
              </w:rPr>
              <w:t>50</w:t>
            </w:r>
          </w:p>
        </w:tc>
        <w:tc>
          <w:tcPr>
            <w:tcW w:w="2019" w:type="dxa"/>
            <w:gridSpan w:val="4"/>
          </w:tcPr>
          <w:p>
            <w:pPr>
              <w:spacing w:before="100" w:beforeAutospacing="1" w:after="100" w:afterAutospacing="1"/>
              <w:rPr>
                <w:noProof/>
              </w:rPr>
            </w:pPr>
            <w:r>
              <w:rPr>
                <w:noProof/>
              </w:rPr>
              <w:t>60</w:t>
            </w:r>
          </w:p>
        </w:tc>
        <w:tc>
          <w:tcPr>
            <w:tcW w:w="1809" w:type="dxa"/>
          </w:tcPr>
          <w:p>
            <w:pPr>
              <w:spacing w:before="100" w:beforeAutospacing="1" w:after="100" w:afterAutospacing="1"/>
              <w:rPr>
                <w:noProof/>
              </w:rPr>
            </w:pPr>
            <w:r>
              <w:rPr>
                <w:noProof/>
              </w:rPr>
              <w:t>50</w:t>
            </w:r>
          </w:p>
        </w:tc>
        <w:tc>
          <w:tcPr>
            <w:tcW w:w="1984" w:type="dxa"/>
            <w:gridSpan w:val="3"/>
          </w:tcPr>
          <w:p>
            <w:pPr>
              <w:spacing w:before="100" w:beforeAutospacing="1" w:after="100" w:afterAutospacing="1"/>
              <w:rPr>
                <w:noProof/>
              </w:rPr>
            </w:pPr>
            <w:r>
              <w:rPr>
                <w:noProof/>
              </w:rPr>
              <w:t>60</w:t>
            </w:r>
          </w:p>
        </w:tc>
        <w:tc>
          <w:tcPr>
            <w:tcW w:w="1701" w:type="dxa"/>
            <w:gridSpan w:val="2"/>
          </w:tcPr>
          <w:p>
            <w:pPr>
              <w:spacing w:before="100" w:beforeAutospacing="1" w:after="100" w:afterAutospacing="1"/>
              <w:rPr>
                <w:noProof/>
              </w:rPr>
            </w:pPr>
            <w:r>
              <w:rPr>
                <w:noProof/>
              </w:rPr>
              <w:t>II</w:t>
            </w:r>
          </w:p>
        </w:tc>
      </w:tr>
      <w:tr>
        <w:tblPrEx>
          <w:tblLook w:val="04A0" w:firstRow="1" w:lastRow="0" w:firstColumn="1" w:lastColumn="0" w:noHBand="0" w:noVBand="1"/>
        </w:tblPrEx>
        <w:tc>
          <w:tcPr>
            <w:tcW w:w="3828" w:type="dxa"/>
            <w:gridSpan w:val="5"/>
          </w:tcPr>
          <w:p>
            <w:pPr>
              <w:spacing w:before="100" w:beforeAutospacing="1" w:after="100" w:afterAutospacing="1"/>
              <w:rPr>
                <w:noProof/>
              </w:rPr>
            </w:pPr>
            <w:r>
              <w:rPr>
                <w:noProof/>
              </w:rPr>
              <w:t>60</w:t>
            </w:r>
          </w:p>
        </w:tc>
        <w:tc>
          <w:tcPr>
            <w:tcW w:w="3793" w:type="dxa"/>
            <w:gridSpan w:val="4"/>
          </w:tcPr>
          <w:p>
            <w:pPr>
              <w:spacing w:before="100" w:beforeAutospacing="1" w:after="100" w:afterAutospacing="1"/>
              <w:rPr>
                <w:noProof/>
              </w:rPr>
            </w:pPr>
            <w:r>
              <w:rPr>
                <w:noProof/>
              </w:rPr>
              <w:t>60</w:t>
            </w:r>
          </w:p>
        </w:tc>
        <w:tc>
          <w:tcPr>
            <w:tcW w:w="1701" w:type="dxa"/>
            <w:gridSpan w:val="2"/>
          </w:tcPr>
          <w:p>
            <w:pPr>
              <w:spacing w:before="100" w:beforeAutospacing="1" w:after="100" w:afterAutospacing="1"/>
              <w:rPr>
                <w:noProof/>
              </w:rPr>
            </w:pPr>
            <w:r>
              <w:rPr>
                <w:noProof/>
              </w:rPr>
              <w:t>III“;</w:t>
            </w:r>
          </w:p>
        </w:tc>
      </w:tr>
    </w:tbl>
    <w:p>
      <w:pPr>
        <w:rPr>
          <w:noProof/>
        </w:rPr>
      </w:pPr>
    </w:p>
    <w:p>
      <w:pPr>
        <w:rPr>
          <w:noProof/>
        </w:rPr>
      </w:pPr>
      <w:r>
        <w:rPr>
          <w:noProof/>
        </w:rPr>
        <w:t>(2)</w:t>
      </w:r>
      <w:r>
        <w:rPr>
          <w:noProof/>
        </w:rPr>
        <w:tab/>
        <w:t>Добавят се следните приложения V, VI и VII:</w:t>
      </w:r>
    </w:p>
    <w:p>
      <w:pPr>
        <w:jc w:val="center"/>
        <w:rPr>
          <w:rFonts w:eastAsia="Arial Unicode MS"/>
          <w:i/>
          <w:iCs/>
          <w:noProof/>
        </w:rPr>
      </w:pPr>
      <w:r>
        <w:rPr>
          <w:i/>
          <w:noProof/>
        </w:rPr>
        <w:t>ПРИЛОЖЕНИЕ V</w:t>
      </w:r>
    </w:p>
    <w:p>
      <w:pPr>
        <w:jc w:val="center"/>
        <w:rPr>
          <w:rFonts w:eastAsia="Arial Unicode MS"/>
          <w:b/>
          <w:bCs/>
          <w:noProof/>
        </w:rPr>
      </w:pPr>
      <w:r>
        <w:rPr>
          <w:b/>
          <w:noProof/>
        </w:rPr>
        <w:t>МИНИМАЛНИ ИЗИСКВАНИЯ ЗА НАЛАГАНЕ НА ТАКСА ЗА ЗАДРЪСТВАНИЯ</w:t>
      </w:r>
    </w:p>
    <w:p>
      <w:pPr>
        <w:spacing w:after="0"/>
        <w:rPr>
          <w:rFonts w:eastAsia="Arial Unicode MS"/>
          <w:noProof/>
        </w:rPr>
      </w:pPr>
      <w:r>
        <w:rPr>
          <w:noProof/>
        </w:rPr>
        <w:t>Настоящото приложение определя минималните изисквания за налагане на такса за задръствания.</w:t>
      </w:r>
    </w:p>
    <w:p>
      <w:pPr>
        <w:spacing w:after="0"/>
        <w:rPr>
          <w:rFonts w:eastAsia="Arial Unicode MS"/>
          <w:noProof/>
        </w:rPr>
      </w:pPr>
      <w:r>
        <w:rPr>
          <w:noProof/>
        </w:rPr>
        <w:t>1.   </w:t>
      </w:r>
      <w:r>
        <w:rPr>
          <w:b/>
          <w:noProof/>
        </w:rPr>
        <w:t xml:space="preserve"> Части от мрежата, които са обект на таксуване за задръствания, обхванати превозни средства и периоди от време</w:t>
      </w:r>
    </w:p>
    <w:p>
      <w:pPr>
        <w:spacing w:after="0"/>
        <w:rPr>
          <w:rFonts w:eastAsia="Arial Unicode MS"/>
          <w:noProof/>
        </w:rPr>
      </w:pPr>
      <w:r>
        <w:rPr>
          <w:noProof/>
        </w:rPr>
        <w:t>Държавите членки определят точно:</w:t>
      </w:r>
    </w:p>
    <w:p>
      <w:pPr>
        <w:spacing w:after="0"/>
        <w:rPr>
          <w:rFonts w:eastAsia="Arial Unicode MS"/>
          <w:noProof/>
        </w:rPr>
      </w:pPr>
      <w:r>
        <w:rPr>
          <w:noProof/>
        </w:rPr>
        <w:t xml:space="preserve">а) частта или частите от своите мрежи, съставени от техния дял от трансевропейската пътна мрежа и автомагистралите им, както е посочено в член 7, параграф 1, които не са предмет на такса за задръствания, съгласно член 7га, параграфи 1 и 3.  </w:t>
      </w:r>
    </w:p>
    <w:p>
      <w:pPr>
        <w:spacing w:after="0"/>
        <w:rPr>
          <w:rFonts w:eastAsia="Arial Unicode MS"/>
          <w:noProof/>
        </w:rPr>
      </w:pPr>
      <w:r>
        <w:rPr>
          <w:noProof/>
        </w:rPr>
        <w:t>б) класификацията на участъци от мрежата, които са предмет на такса за задръствания като „метрополни“ и „неметрополни“. Държавите членки използват критериите, посочени в таблица 1 за целите на определянето на класификацията на всеки участък от пътя.</w:t>
      </w:r>
    </w:p>
    <w:p>
      <w:pPr>
        <w:spacing w:after="0"/>
        <w:rPr>
          <w:rFonts w:eastAsia="Arial Unicode MS"/>
          <w:i/>
          <w:noProof/>
        </w:rPr>
      </w:pPr>
      <w:r>
        <w:rPr>
          <w:i/>
          <w:noProof/>
        </w:rPr>
        <w:t>Таблица 1: Критерии за класификация на пътищата от мрежата, посочени в точка а) като „метрополни“ и „неметрополни“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spacing w:after="0"/>
              <w:rPr>
                <w:rFonts w:eastAsia="Arial Unicode MS"/>
                <w:b/>
                <w:noProof/>
              </w:rPr>
            </w:pPr>
            <w:r>
              <w:rPr>
                <w:b/>
                <w:noProof/>
              </w:rPr>
              <w:t>Категория пътища</w:t>
            </w:r>
          </w:p>
        </w:tc>
        <w:tc>
          <w:tcPr>
            <w:tcW w:w="4644" w:type="dxa"/>
            <w:shd w:val="clear" w:color="auto" w:fill="auto"/>
          </w:tcPr>
          <w:p>
            <w:pPr>
              <w:spacing w:after="0"/>
              <w:rPr>
                <w:rFonts w:eastAsia="Arial Unicode MS"/>
                <w:b/>
                <w:noProof/>
              </w:rPr>
            </w:pPr>
            <w:r>
              <w:rPr>
                <w:b/>
                <w:noProof/>
              </w:rPr>
              <w:t>Критерий за класифициране</w:t>
            </w:r>
          </w:p>
        </w:tc>
      </w:tr>
      <w:tr>
        <w:tc>
          <w:tcPr>
            <w:tcW w:w="4644" w:type="dxa"/>
            <w:shd w:val="clear" w:color="auto" w:fill="auto"/>
          </w:tcPr>
          <w:p>
            <w:pPr>
              <w:spacing w:after="0"/>
              <w:rPr>
                <w:rFonts w:eastAsia="Arial Unicode MS"/>
                <w:noProof/>
              </w:rPr>
            </w:pPr>
            <w:r>
              <w:rPr>
                <w:noProof/>
              </w:rPr>
              <w:t>„метрополни“</w:t>
            </w:r>
          </w:p>
        </w:tc>
        <w:tc>
          <w:tcPr>
            <w:tcW w:w="4644" w:type="dxa"/>
            <w:shd w:val="clear" w:color="auto" w:fill="auto"/>
          </w:tcPr>
          <w:p>
            <w:pPr>
              <w:spacing w:after="0"/>
              <w:rPr>
                <w:rFonts w:eastAsia="Arial Unicode MS"/>
                <w:noProof/>
              </w:rPr>
            </w:pPr>
            <w:r>
              <w:rPr>
                <w:noProof/>
              </w:rPr>
              <w:t>Участъци от пътната мрежа, които се намират в агломерации с население от 250 000 или повече жители</w:t>
            </w:r>
          </w:p>
        </w:tc>
      </w:tr>
      <w:tr>
        <w:tc>
          <w:tcPr>
            <w:tcW w:w="4644" w:type="dxa"/>
            <w:shd w:val="clear" w:color="auto" w:fill="auto"/>
          </w:tcPr>
          <w:p>
            <w:pPr>
              <w:spacing w:after="0"/>
              <w:rPr>
                <w:rFonts w:eastAsia="Arial Unicode MS"/>
                <w:noProof/>
              </w:rPr>
            </w:pPr>
            <w:r>
              <w:rPr>
                <w:noProof/>
              </w:rPr>
              <w:t>„неметрополни“</w:t>
            </w:r>
          </w:p>
        </w:tc>
        <w:tc>
          <w:tcPr>
            <w:tcW w:w="4644" w:type="dxa"/>
            <w:shd w:val="clear" w:color="auto" w:fill="auto"/>
          </w:tcPr>
          <w:p>
            <w:pPr>
              <w:spacing w:after="0"/>
              <w:rPr>
                <w:rFonts w:eastAsia="Arial Unicode MS"/>
                <w:noProof/>
              </w:rPr>
            </w:pPr>
            <w:r>
              <w:rPr>
                <w:noProof/>
              </w:rPr>
              <w:t>Участъци от пътната мрежа, които не са определени като „метрополни“</w:t>
            </w:r>
          </w:p>
        </w:tc>
      </w:tr>
    </w:tbl>
    <w:p>
      <w:pPr>
        <w:spacing w:after="0"/>
        <w:rPr>
          <w:rFonts w:eastAsia="Arial Unicode MS"/>
          <w:noProof/>
        </w:rPr>
      </w:pPr>
      <w:r>
        <w:rPr>
          <w:noProof/>
        </w:rPr>
        <w:t>в) периодите, през които се прилага таксата за всеки отделен участък. Когато през периода на таксуване се прилагат различни нива на таксата, държавите членки ясно посочват началото и края на всеки период, през който се прилага дадена конкретна такса.</w:t>
      </w:r>
    </w:p>
    <w:p>
      <w:pPr>
        <w:spacing w:after="0"/>
        <w:rPr>
          <w:noProof/>
        </w:rPr>
      </w:pPr>
      <w:r>
        <w:rPr>
          <w:noProof/>
        </w:rPr>
        <w:t>Държавите членки използват еквивалентните фактори, предвидени в таблица 2, за целите на определянето на съотношението между нивата на таксуване на различните категории превозни средства:</w:t>
      </w:r>
    </w:p>
    <w:p>
      <w:pPr>
        <w:spacing w:after="0"/>
        <w:rPr>
          <w:rFonts w:eastAsia="Arial Unicode MS"/>
          <w:i/>
          <w:noProof/>
        </w:rPr>
      </w:pPr>
      <w:r>
        <w:rPr>
          <w:i/>
          <w:noProof/>
        </w:rPr>
        <w:t>Таблица 2: Коефициенти за еквивалентност за определяне на съотношението между нивата на таксата за задръствания за различните категории превозни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tcPr>
          <w:p>
            <w:pPr>
              <w:spacing w:after="0"/>
              <w:rPr>
                <w:rFonts w:eastAsia="Arial Unicode MS"/>
                <w:b/>
                <w:noProof/>
              </w:rPr>
            </w:pPr>
            <w:r>
              <w:rPr>
                <w:b/>
                <w:noProof/>
              </w:rPr>
              <w:t>Категория превозни средства</w:t>
            </w:r>
          </w:p>
        </w:tc>
        <w:tc>
          <w:tcPr>
            <w:tcW w:w="4644" w:type="dxa"/>
          </w:tcPr>
          <w:p>
            <w:pPr>
              <w:spacing w:after="0"/>
              <w:rPr>
                <w:rFonts w:eastAsia="Arial Unicode MS"/>
                <w:b/>
                <w:noProof/>
              </w:rPr>
            </w:pPr>
            <w:r>
              <w:rPr>
                <w:b/>
                <w:noProof/>
              </w:rPr>
              <w:t>Коефициент за еквивалентност</w:t>
            </w:r>
          </w:p>
        </w:tc>
      </w:tr>
      <w:tr>
        <w:tc>
          <w:tcPr>
            <w:tcW w:w="4644" w:type="dxa"/>
          </w:tcPr>
          <w:p>
            <w:pPr>
              <w:spacing w:after="0"/>
              <w:rPr>
                <w:rFonts w:eastAsia="Arial Unicode MS"/>
                <w:noProof/>
              </w:rPr>
            </w:pPr>
            <w:r>
              <w:rPr>
                <w:noProof/>
              </w:rPr>
              <w:t>Леки превозни средства</w:t>
            </w:r>
          </w:p>
        </w:tc>
        <w:tc>
          <w:tcPr>
            <w:tcW w:w="4644" w:type="dxa"/>
          </w:tcPr>
          <w:p>
            <w:pPr>
              <w:spacing w:after="0"/>
              <w:rPr>
                <w:rFonts w:eastAsia="Arial Unicode MS"/>
                <w:noProof/>
              </w:rPr>
            </w:pPr>
            <w:r>
              <w:rPr>
                <w:noProof/>
              </w:rPr>
              <w:t>1</w:t>
            </w:r>
          </w:p>
        </w:tc>
      </w:tr>
      <w:tr>
        <w:tc>
          <w:tcPr>
            <w:tcW w:w="4644" w:type="dxa"/>
          </w:tcPr>
          <w:p>
            <w:pPr>
              <w:spacing w:after="0"/>
              <w:rPr>
                <w:rFonts w:eastAsia="Arial Unicode MS"/>
                <w:noProof/>
              </w:rPr>
            </w:pPr>
            <w:r>
              <w:rPr>
                <w:noProof/>
              </w:rPr>
              <w:t>Тежкотоварни превозни средства без ремарке</w:t>
            </w:r>
          </w:p>
        </w:tc>
        <w:tc>
          <w:tcPr>
            <w:tcW w:w="4644" w:type="dxa"/>
          </w:tcPr>
          <w:p>
            <w:pPr>
              <w:spacing w:after="0"/>
              <w:rPr>
                <w:rFonts w:eastAsia="Arial Unicode MS"/>
                <w:noProof/>
              </w:rPr>
            </w:pPr>
            <w:r>
              <w:rPr>
                <w:noProof/>
              </w:rPr>
              <w:t>1,9</w:t>
            </w:r>
          </w:p>
        </w:tc>
      </w:tr>
      <w:tr>
        <w:tc>
          <w:tcPr>
            <w:tcW w:w="4644" w:type="dxa"/>
          </w:tcPr>
          <w:p>
            <w:pPr>
              <w:spacing w:after="0"/>
              <w:rPr>
                <w:rFonts w:eastAsia="Arial Unicode MS"/>
                <w:noProof/>
              </w:rPr>
            </w:pPr>
            <w:r>
              <w:rPr>
                <w:noProof/>
              </w:rPr>
              <w:t>Автобуси</w:t>
            </w:r>
          </w:p>
        </w:tc>
        <w:tc>
          <w:tcPr>
            <w:tcW w:w="4644" w:type="dxa"/>
          </w:tcPr>
          <w:p>
            <w:pPr>
              <w:spacing w:after="0"/>
              <w:rPr>
                <w:rFonts w:eastAsia="Arial Unicode MS"/>
                <w:noProof/>
              </w:rPr>
            </w:pPr>
            <w:r>
              <w:rPr>
                <w:noProof/>
              </w:rPr>
              <w:t>2,5</w:t>
            </w:r>
          </w:p>
        </w:tc>
      </w:tr>
      <w:tr>
        <w:tc>
          <w:tcPr>
            <w:tcW w:w="4644" w:type="dxa"/>
          </w:tcPr>
          <w:p>
            <w:pPr>
              <w:spacing w:after="0"/>
              <w:rPr>
                <w:rFonts w:eastAsia="Arial Unicode MS"/>
                <w:noProof/>
              </w:rPr>
            </w:pPr>
            <w:r>
              <w:rPr>
                <w:noProof/>
              </w:rPr>
              <w:t>Съчленени тежкотоварни превозни средства</w:t>
            </w:r>
          </w:p>
        </w:tc>
        <w:tc>
          <w:tcPr>
            <w:tcW w:w="4644" w:type="dxa"/>
          </w:tcPr>
          <w:p>
            <w:pPr>
              <w:spacing w:after="0"/>
              <w:rPr>
                <w:rFonts w:eastAsia="Arial Unicode MS"/>
                <w:noProof/>
              </w:rPr>
            </w:pPr>
            <w:r>
              <w:rPr>
                <w:noProof/>
              </w:rPr>
              <w:t>2,9</w:t>
            </w:r>
          </w:p>
        </w:tc>
      </w:tr>
    </w:tbl>
    <w:p>
      <w:pPr>
        <w:spacing w:after="0"/>
        <w:rPr>
          <w:noProof/>
        </w:rPr>
      </w:pPr>
    </w:p>
    <w:p>
      <w:pPr>
        <w:spacing w:after="0"/>
        <w:rPr>
          <w:rFonts w:eastAsia="Arial Unicode MS"/>
          <w:noProof/>
        </w:rPr>
      </w:pPr>
      <w:r>
        <w:rPr>
          <w:noProof/>
        </w:rPr>
        <w:t>2.   </w:t>
      </w:r>
      <w:r>
        <w:rPr>
          <w:b/>
          <w:noProof/>
        </w:rPr>
        <w:t xml:space="preserve"> Размер на таксата</w:t>
      </w:r>
    </w:p>
    <w:p>
      <w:pPr>
        <w:spacing w:after="0"/>
        <w:rPr>
          <w:rFonts w:eastAsia="Arial Unicode MS"/>
          <w:noProof/>
        </w:rPr>
      </w:pPr>
      <w:r>
        <w:rPr>
          <w:noProof/>
        </w:rPr>
        <w:t>За всяка категория превозно средство, участък от пътя и период от време държавата членка или независим орган, ако има такъв, определят един конкретен размер в съответствие с разпоредбите на раздел 1 от настоящото приложение, като вземат предвид съответната максимална стойност, посочена в таблицата в приложение VI. Установената в резултат на това структура на таксуване е прозрачна, разгласява се публично и е достъпна за всички ползватели при едни и същи условия.</w:t>
      </w:r>
    </w:p>
    <w:p>
      <w:pPr>
        <w:spacing w:after="0"/>
        <w:rPr>
          <w:rFonts w:eastAsia="Arial Unicode MS"/>
          <w:noProof/>
        </w:rPr>
      </w:pPr>
      <w:r>
        <w:rPr>
          <w:noProof/>
        </w:rPr>
        <w:t>Държавата членка публикува цялата посочена по-долу информация своевременно преди въвеждането на такса за задръствания:</w:t>
      </w:r>
    </w:p>
    <w:p>
      <w:pPr>
        <w:spacing w:after="0"/>
        <w:rPr>
          <w:rFonts w:eastAsia="Arial Unicode MS"/>
          <w:noProof/>
        </w:rPr>
      </w:pPr>
      <w:r>
        <w:rPr>
          <w:noProof/>
        </w:rPr>
        <w:t>а)</w:t>
      </w:r>
      <w:r>
        <w:rPr>
          <w:noProof/>
        </w:rPr>
        <w:tab/>
        <w:t>всички параметри, данни и друга информация, необходими, за да се разбере как се класифицират пътищата и превозните средства и как се определят периодите на прилагане на таксата;</w:t>
      </w:r>
    </w:p>
    <w:p>
      <w:pPr>
        <w:spacing w:after="0"/>
        <w:rPr>
          <w:rFonts w:eastAsia="Arial Unicode MS"/>
          <w:noProof/>
        </w:rPr>
      </w:pPr>
      <w:r>
        <w:rPr>
          <w:noProof/>
        </w:rPr>
        <w:t>б)</w:t>
      </w:r>
      <w:r>
        <w:rPr>
          <w:noProof/>
        </w:rPr>
        <w:tab/>
        <w:t xml:space="preserve">пълното описание на таксите за задръстване, приложими за всяка категория превозно средство на всеки участък от пътя и за всеки период от време. </w:t>
      </w:r>
    </w:p>
    <w:p>
      <w:pPr>
        <w:spacing w:after="0"/>
        <w:rPr>
          <w:rFonts w:eastAsia="Arial Unicode MS"/>
          <w:noProof/>
        </w:rPr>
      </w:pPr>
      <w:r>
        <w:rPr>
          <w:noProof/>
        </w:rPr>
        <w:t>Държавите членки предоставят на Комисията цялата информация, публикувана в съответствие с букви а) и б).</w:t>
      </w:r>
    </w:p>
    <w:p>
      <w:pPr>
        <w:spacing w:after="0"/>
        <w:rPr>
          <w:rFonts w:eastAsia="Arial Unicode MS"/>
          <w:noProof/>
        </w:rPr>
      </w:pPr>
      <w:r>
        <w:rPr>
          <w:noProof/>
        </w:rPr>
        <w:t>Таксата се определя едва след като се вземат предвид и рискът от отклоняване на трафика, заедно с неблагоприятните последствия за безопасността по пътищата, за околната среда и за задръстванията, и възможностите за намаляване на тези рискове.</w:t>
      </w:r>
    </w:p>
    <w:p>
      <w:pPr>
        <w:spacing w:after="0"/>
        <w:rPr>
          <w:rFonts w:eastAsia="Arial Unicode MS"/>
          <w:noProof/>
        </w:rPr>
      </w:pPr>
      <w:r>
        <w:rPr>
          <w:noProof/>
        </w:rPr>
        <w:t>Държавата членка или независимият орган, ако има такъв, контролира ефективността на схемата за таксуване за ограничаване на задръстванията. При необходимост тя коригира ежегодно структурата и периодите на таксуване, както и конкретния размер на таксата, определен за дадена категория превозно средство, вид на пътя и период, в зависимост от промените в предлагането и търсенето на транспортни услуги.</w:t>
      </w:r>
    </w:p>
    <w:p>
      <w:pPr>
        <w:spacing w:before="0" w:after="200" w:line="276" w:lineRule="auto"/>
        <w:jc w:val="left"/>
        <w:rPr>
          <w:rFonts w:eastAsia="Arial Unicode MS"/>
          <w:noProof/>
        </w:rPr>
      </w:pPr>
    </w:p>
    <w:p>
      <w:pPr>
        <w:jc w:val="center"/>
        <w:rPr>
          <w:rFonts w:eastAsia="Arial Unicode MS"/>
          <w:i/>
          <w:iCs/>
          <w:noProof/>
        </w:rPr>
      </w:pPr>
      <w:r>
        <w:rPr>
          <w:i/>
          <w:noProof/>
        </w:rPr>
        <w:t>ПРИЛОЖЕНИЕ VI:</w:t>
      </w:r>
    </w:p>
    <w:p>
      <w:pPr>
        <w:spacing w:after="0"/>
        <w:jc w:val="center"/>
        <w:rPr>
          <w:rFonts w:eastAsia="Arial Unicode MS"/>
          <w:b/>
          <w:bCs/>
          <w:noProof/>
        </w:rPr>
      </w:pPr>
      <w:r>
        <w:rPr>
          <w:b/>
          <w:noProof/>
        </w:rPr>
        <w:t>МАКСИМАЛНО НИВО НА ТАКСАТА ЗА ЗАДРЪСТВАНИЯ</w:t>
      </w:r>
    </w:p>
    <w:p>
      <w:pPr>
        <w:spacing w:after="0"/>
        <w:rPr>
          <w:rFonts w:eastAsia="Arial Unicode MS"/>
          <w:noProof/>
        </w:rPr>
      </w:pPr>
      <w:r>
        <w:rPr>
          <w:noProof/>
        </w:rPr>
        <w:t>Настоящото приложение определя максималния размер на таксата за задръствания.</w:t>
      </w:r>
    </w:p>
    <w:p>
      <w:pPr>
        <w:spacing w:after="0"/>
        <w:rPr>
          <w:rFonts w:eastAsia="Arial Unicode MS"/>
          <w:noProof/>
        </w:rPr>
      </w:pPr>
      <w:r>
        <w:rPr>
          <w:noProof/>
        </w:rPr>
        <w:t>Максималните нива, предвидени в таблицата по-долу, се прилагат за леки превозни средства. Таксите за други категории превозни средства се определят като се умножи размерът на таксата, прилагана за леки превозни средства, с коефициентите за еквивалентност, посочени в таблицата в приложение V.</w:t>
      </w:r>
    </w:p>
    <w:tbl>
      <w:tblPr>
        <w:tblpPr w:leftFromText="180" w:rightFromText="180" w:vertAnchor="text" w:horzAnchor="page" w:tblpX="1903" w:tblpY="709"/>
        <w:tblW w:w="6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1989"/>
        <w:gridCol w:w="2555"/>
      </w:tblGrid>
      <w:tr>
        <w:tc>
          <w:tcPr>
            <w:tcW w:w="1523" w:type="pct"/>
          </w:tcPr>
          <w:p>
            <w:pPr>
              <w:spacing w:before="100" w:beforeAutospacing="1" w:after="100" w:afterAutospacing="1"/>
              <w:jc w:val="center"/>
              <w:rPr>
                <w:b/>
                <w:bCs/>
                <w:noProof/>
              </w:rPr>
            </w:pPr>
            <w:r>
              <w:rPr>
                <w:b/>
                <w:noProof/>
              </w:rPr>
              <w:t>Цент/километър пробег</w:t>
            </w:r>
          </w:p>
        </w:tc>
        <w:tc>
          <w:tcPr>
            <w:tcW w:w="1523" w:type="pct"/>
            <w:hideMark/>
          </w:tcPr>
          <w:p>
            <w:pPr>
              <w:spacing w:before="100" w:beforeAutospacing="1" w:after="100" w:afterAutospacing="1"/>
              <w:jc w:val="center"/>
              <w:rPr>
                <w:b/>
                <w:noProof/>
              </w:rPr>
            </w:pPr>
            <w:r>
              <w:rPr>
                <w:b/>
                <w:noProof/>
              </w:rPr>
              <w:t>Метрополни</w:t>
            </w:r>
          </w:p>
        </w:tc>
        <w:tc>
          <w:tcPr>
            <w:tcW w:w="1954" w:type="pct"/>
            <w:hideMark/>
          </w:tcPr>
          <w:p>
            <w:pPr>
              <w:spacing w:before="100" w:beforeAutospacing="1" w:after="100" w:afterAutospacing="1"/>
              <w:jc w:val="center"/>
              <w:rPr>
                <w:b/>
                <w:noProof/>
              </w:rPr>
            </w:pPr>
            <w:r>
              <w:rPr>
                <w:b/>
                <w:noProof/>
              </w:rPr>
              <w:t>Неметрополни</w:t>
            </w:r>
          </w:p>
        </w:tc>
      </w:tr>
      <w:tr>
        <w:tc>
          <w:tcPr>
            <w:tcW w:w="1523" w:type="pct"/>
          </w:tcPr>
          <w:p>
            <w:pPr>
              <w:spacing w:before="100" w:beforeAutospacing="1" w:after="100" w:afterAutospacing="1"/>
              <w:jc w:val="center"/>
              <w:rPr>
                <w:noProof/>
              </w:rPr>
            </w:pPr>
            <w:r>
              <w:rPr>
                <w:noProof/>
              </w:rPr>
              <w:t>Автомагистрали</w:t>
            </w:r>
          </w:p>
        </w:tc>
        <w:tc>
          <w:tcPr>
            <w:tcW w:w="1523" w:type="pct"/>
            <w:hideMark/>
          </w:tcPr>
          <w:p>
            <w:pPr>
              <w:spacing w:before="100" w:beforeAutospacing="1" w:after="100" w:afterAutospacing="1"/>
              <w:jc w:val="center"/>
              <w:rPr>
                <w:noProof/>
              </w:rPr>
            </w:pPr>
            <w:r>
              <w:rPr>
                <w:noProof/>
              </w:rPr>
              <w:t>67</w:t>
            </w:r>
          </w:p>
        </w:tc>
        <w:tc>
          <w:tcPr>
            <w:tcW w:w="1954" w:type="pct"/>
            <w:hideMark/>
          </w:tcPr>
          <w:p>
            <w:pPr>
              <w:spacing w:before="100" w:beforeAutospacing="1" w:after="100" w:afterAutospacing="1"/>
              <w:jc w:val="center"/>
              <w:rPr>
                <w:noProof/>
              </w:rPr>
            </w:pPr>
            <w:r>
              <w:rPr>
                <w:noProof/>
              </w:rPr>
              <w:t>34</w:t>
            </w:r>
          </w:p>
        </w:tc>
      </w:tr>
      <w:tr>
        <w:tc>
          <w:tcPr>
            <w:tcW w:w="1523" w:type="pct"/>
          </w:tcPr>
          <w:p>
            <w:pPr>
              <w:spacing w:before="100" w:beforeAutospacing="1" w:after="100" w:afterAutospacing="1"/>
              <w:jc w:val="center"/>
              <w:rPr>
                <w:noProof/>
              </w:rPr>
            </w:pPr>
            <w:r>
              <w:rPr>
                <w:noProof/>
              </w:rPr>
              <w:t>Главни пътища</w:t>
            </w:r>
          </w:p>
        </w:tc>
        <w:tc>
          <w:tcPr>
            <w:tcW w:w="1523" w:type="pct"/>
          </w:tcPr>
          <w:p>
            <w:pPr>
              <w:spacing w:before="100" w:beforeAutospacing="1" w:after="100" w:afterAutospacing="1"/>
              <w:jc w:val="center"/>
              <w:rPr>
                <w:noProof/>
              </w:rPr>
            </w:pPr>
            <w:r>
              <w:rPr>
                <w:noProof/>
              </w:rPr>
              <w:t>198</w:t>
            </w:r>
          </w:p>
        </w:tc>
        <w:tc>
          <w:tcPr>
            <w:tcW w:w="1954" w:type="pct"/>
          </w:tcPr>
          <w:p>
            <w:pPr>
              <w:spacing w:before="100" w:beforeAutospacing="1" w:after="100" w:afterAutospacing="1"/>
              <w:jc w:val="center"/>
              <w:rPr>
                <w:noProof/>
              </w:rPr>
            </w:pPr>
            <w:r>
              <w:rPr>
                <w:noProof/>
              </w:rPr>
              <w:t>66</w:t>
            </w:r>
          </w:p>
        </w:tc>
      </w:tr>
    </w:tbl>
    <w:p>
      <w:pPr>
        <w:spacing w:before="240" w:after="0"/>
        <w:ind w:left="806" w:hanging="403"/>
        <w:rPr>
          <w:rFonts w:eastAsia="Arial Unicode MS"/>
          <w:i/>
          <w:noProof/>
        </w:rPr>
      </w:pPr>
      <w:r>
        <w:rPr>
          <w:i/>
          <w:noProof/>
        </w:rPr>
        <w:t>Таблица: Максимално ниво на таксата за задръствания за леки превозни средства</w:t>
      </w:r>
    </w:p>
    <w:p>
      <w:pPr>
        <w:spacing w:before="100" w:beforeAutospacing="1" w:after="0"/>
        <w:ind w:left="806" w:hanging="403"/>
        <w:rPr>
          <w:rFonts w:eastAsia="Arial Unicode MS"/>
          <w:i/>
          <w:noProof/>
        </w:rPr>
      </w:pPr>
    </w:p>
    <w:p>
      <w:pPr>
        <w:spacing w:before="100" w:beforeAutospacing="1" w:after="0"/>
        <w:ind w:left="806" w:hanging="403"/>
        <w:rPr>
          <w:rFonts w:eastAsia="Arial Unicode MS"/>
          <w:i/>
          <w:iCs/>
          <w:noProof/>
        </w:rPr>
      </w:pPr>
    </w:p>
    <w:p>
      <w:pPr>
        <w:jc w:val="center"/>
        <w:rPr>
          <w:rFonts w:eastAsia="Arial Unicode MS"/>
          <w:i/>
          <w:iCs/>
          <w:noProof/>
        </w:rPr>
      </w:pPr>
    </w:p>
    <w:p>
      <w:pPr>
        <w:spacing w:before="0" w:after="200" w:line="276" w:lineRule="auto"/>
        <w:jc w:val="left"/>
        <w:rPr>
          <w:rFonts w:eastAsia="Arial Unicode MS"/>
          <w:i/>
          <w:iCs/>
          <w:noProof/>
        </w:rPr>
      </w:pPr>
      <w:r>
        <w:rPr>
          <w:noProof/>
        </w:rPr>
        <w:br w:type="page"/>
      </w:r>
    </w:p>
    <w:p>
      <w:pPr>
        <w:jc w:val="center"/>
        <w:rPr>
          <w:rFonts w:eastAsia="Arial Unicode MS"/>
          <w:i/>
          <w:iCs/>
          <w:noProof/>
        </w:rPr>
      </w:pPr>
      <w:r>
        <w:rPr>
          <w:i/>
          <w:noProof/>
        </w:rPr>
        <w:t>ПРИЛОЖЕНИЕ VII</w:t>
      </w:r>
    </w:p>
    <w:p>
      <w:pPr>
        <w:spacing w:after="0"/>
        <w:jc w:val="center"/>
        <w:rPr>
          <w:rFonts w:eastAsia="Arial Unicode MS"/>
          <w:b/>
          <w:bCs/>
          <w:noProof/>
        </w:rPr>
      </w:pPr>
      <w:r>
        <w:rPr>
          <w:b/>
          <w:noProof/>
        </w:rPr>
        <w:t>ПРОМЯНА НА ТАКСИТЕ ЗА ИЗМИНАТО РАЗСТОЯНИЕ И ТАКСИТЕ ЗА ПОЛЗВАНЕ ЗА ЛЕКИ ПРЕВОЗНИ СРЕДСТВА</w:t>
      </w:r>
    </w:p>
    <w:p>
      <w:pPr>
        <w:spacing w:after="0"/>
        <w:rPr>
          <w:rFonts w:eastAsia="Arial Unicode MS"/>
          <w:noProof/>
        </w:rPr>
      </w:pPr>
    </w:p>
    <w:p>
      <w:pPr>
        <w:spacing w:after="0"/>
        <w:rPr>
          <w:rFonts w:eastAsia="Arial Unicode MS"/>
          <w:noProof/>
        </w:rPr>
      </w:pPr>
      <w:r>
        <w:rPr>
          <w:noProof/>
        </w:rPr>
        <w:t>В настоящото приложение се определят категориите емисии, според които варират таксите за изминато разстояние и таксите за ползване.</w:t>
      </w:r>
    </w:p>
    <w:p>
      <w:pPr>
        <w:spacing w:after="0"/>
        <w:rPr>
          <w:rFonts w:eastAsia="Arial Unicode MS"/>
          <w:noProof/>
        </w:rPr>
      </w:pPr>
      <w:r>
        <w:rPr>
          <w:noProof/>
        </w:rPr>
        <w:t>Емисиите на замърсители се измерват в съответствие с Регламент (ЕС) .../... На Комисията*.</w:t>
      </w:r>
    </w:p>
    <w:p>
      <w:pPr>
        <w:spacing w:after="0"/>
        <w:rPr>
          <w:rFonts w:eastAsia="Arial Unicode MS"/>
          <w:noProof/>
        </w:rPr>
      </w:pPr>
      <w:r>
        <w:rPr>
          <w:noProof/>
        </w:rPr>
        <w:t>По-ниските ставки се прилагат за всички леки пътнически автомобили и леки търговски превозни средства с конкретни емисии на CO</w:t>
      </w:r>
      <w:r>
        <w:rPr>
          <w:noProof/>
          <w:vertAlign w:val="subscript"/>
        </w:rPr>
        <w:t>2</w:t>
      </w:r>
      <w:r>
        <w:rPr>
          <w:noProof/>
        </w:rPr>
        <w:t>, измерени съгласно Регламент (ЕО) № 715/2007 на Европейския парламент и на Съвета **, които са под нивата, които съответстват на приложимите цели общо за автомобилния парк на ЕС, определени в Регламент (ЕО) № 443/2009 на Европейския парламент и на Съвета *** и Регламент (ЕС) № 510/2011 на Европейския парламент и на Съвета****.</w:t>
      </w:r>
    </w:p>
    <w:p>
      <w:pPr>
        <w:spacing w:after="0"/>
        <w:rPr>
          <w:rFonts w:eastAsia="Arial Unicode MS"/>
          <w:i/>
          <w:noProof/>
        </w:rPr>
      </w:pPr>
      <w:r>
        <w:rPr>
          <w:i/>
          <w:noProof/>
        </w:rPr>
        <w:t>Таблица: категории емисии от леки превозни средства</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888"/>
        <w:gridCol w:w="1889"/>
        <w:gridCol w:w="1801"/>
        <w:gridCol w:w="1801"/>
      </w:tblGrid>
      <w:tr>
        <w:trPr>
          <w:trHeight w:val="832"/>
        </w:trPr>
        <w:tc>
          <w:tcPr>
            <w:tcW w:w="981" w:type="pct"/>
            <w:shd w:val="clear" w:color="auto" w:fill="FFFFFF" w:themeFill="background1"/>
            <w:vAlign w:val="center"/>
          </w:tcPr>
          <w:p>
            <w:pPr>
              <w:spacing w:before="100" w:beforeAutospacing="1" w:after="100" w:afterAutospacing="1"/>
              <w:jc w:val="center"/>
              <w:rPr>
                <w:b/>
                <w:noProof/>
              </w:rPr>
            </w:pPr>
            <w:r>
              <w:rPr>
                <w:b/>
                <w:noProof/>
              </w:rPr>
              <w:t>Коефициент на съответствие</w:t>
            </w:r>
          </w:p>
        </w:tc>
        <w:tc>
          <w:tcPr>
            <w:tcW w:w="1028" w:type="pct"/>
            <w:shd w:val="clear" w:color="auto" w:fill="FFFFFF" w:themeFill="background1"/>
            <w:vAlign w:val="center"/>
          </w:tcPr>
          <w:p>
            <w:pPr>
              <w:spacing w:before="100" w:beforeAutospacing="1" w:after="100" w:afterAutospacing="1"/>
              <w:jc w:val="center"/>
              <w:rPr>
                <w:b/>
                <w:noProof/>
              </w:rPr>
            </w:pPr>
            <w:r>
              <w:rPr>
                <w:b/>
                <w:noProof/>
              </w:rPr>
              <w:t>1,5-2,1</w:t>
            </w:r>
          </w:p>
        </w:tc>
        <w:tc>
          <w:tcPr>
            <w:tcW w:w="1029" w:type="pct"/>
            <w:shd w:val="clear" w:color="auto" w:fill="FFFFFF" w:themeFill="background1"/>
            <w:vAlign w:val="center"/>
          </w:tcPr>
          <w:p>
            <w:pPr>
              <w:spacing w:before="100" w:beforeAutospacing="1" w:after="100" w:afterAutospacing="1"/>
              <w:jc w:val="center"/>
              <w:rPr>
                <w:b/>
                <w:noProof/>
              </w:rPr>
            </w:pPr>
            <w:r>
              <w:rPr>
                <w:b/>
                <w:noProof/>
              </w:rPr>
              <w:t>1-1,5</w:t>
            </w:r>
          </w:p>
        </w:tc>
        <w:tc>
          <w:tcPr>
            <w:tcW w:w="981" w:type="pct"/>
            <w:shd w:val="clear" w:color="auto" w:fill="FFFFFF" w:themeFill="background1"/>
            <w:vAlign w:val="center"/>
          </w:tcPr>
          <w:p>
            <w:pPr>
              <w:spacing w:before="100" w:beforeAutospacing="1" w:after="100" w:afterAutospacing="1"/>
              <w:jc w:val="center"/>
              <w:rPr>
                <w:b/>
                <w:noProof/>
              </w:rPr>
            </w:pPr>
            <w:r>
              <w:rPr>
                <w:b/>
                <w:noProof/>
              </w:rPr>
              <w:t>под 1</w:t>
            </w:r>
          </w:p>
        </w:tc>
        <w:tc>
          <w:tcPr>
            <w:tcW w:w="981" w:type="pct"/>
            <w:shd w:val="clear" w:color="auto" w:fill="FFFFFF" w:themeFill="background1"/>
            <w:vAlign w:val="center"/>
          </w:tcPr>
          <w:p>
            <w:pPr>
              <w:spacing w:before="100" w:beforeAutospacing="1" w:after="100" w:afterAutospacing="1"/>
              <w:jc w:val="center"/>
              <w:rPr>
                <w:b/>
                <w:noProof/>
              </w:rPr>
            </w:pPr>
            <w:r>
              <w:rPr>
                <w:b/>
                <w:noProof/>
              </w:rPr>
              <w:t>Превозни средства с нулеви емисии</w:t>
            </w:r>
          </w:p>
        </w:tc>
      </w:tr>
      <w:tr>
        <w:trPr>
          <w:trHeight w:val="832"/>
        </w:trPr>
        <w:tc>
          <w:tcPr>
            <w:tcW w:w="981" w:type="pct"/>
            <w:vAlign w:val="center"/>
          </w:tcPr>
          <w:p>
            <w:pPr>
              <w:spacing w:before="100" w:beforeAutospacing="1" w:after="100" w:afterAutospacing="1"/>
              <w:jc w:val="center"/>
              <w:rPr>
                <w:b/>
                <w:noProof/>
              </w:rPr>
            </w:pPr>
            <w:r>
              <w:rPr>
                <w:b/>
                <w:noProof/>
              </w:rPr>
              <w:t>Такса на километър</w:t>
            </w:r>
          </w:p>
        </w:tc>
        <w:tc>
          <w:tcPr>
            <w:tcW w:w="1028" w:type="pct"/>
            <w:shd w:val="clear" w:color="auto" w:fill="FFFFFF"/>
            <w:vAlign w:val="center"/>
          </w:tcPr>
          <w:p>
            <w:pPr>
              <w:spacing w:before="100" w:beforeAutospacing="1" w:after="100" w:afterAutospacing="1"/>
              <w:jc w:val="center"/>
              <w:rPr>
                <w:noProof/>
              </w:rPr>
            </w:pPr>
            <w:r>
              <w:rPr>
                <w:noProof/>
              </w:rPr>
              <w:t>10 % под най-високата ставка</w:t>
            </w:r>
          </w:p>
        </w:tc>
        <w:tc>
          <w:tcPr>
            <w:tcW w:w="1029" w:type="pct"/>
            <w:vAlign w:val="center"/>
          </w:tcPr>
          <w:p>
            <w:pPr>
              <w:spacing w:before="100" w:beforeAutospacing="1" w:after="100" w:afterAutospacing="1"/>
              <w:jc w:val="center"/>
              <w:rPr>
                <w:noProof/>
              </w:rPr>
            </w:pPr>
            <w:r>
              <w:rPr>
                <w:noProof/>
              </w:rPr>
              <w:t>20 % под най-високата ставка</w:t>
            </w:r>
          </w:p>
        </w:tc>
        <w:tc>
          <w:tcPr>
            <w:tcW w:w="981" w:type="pct"/>
            <w:vAlign w:val="center"/>
          </w:tcPr>
          <w:p>
            <w:pPr>
              <w:spacing w:before="100" w:beforeAutospacing="1" w:after="100" w:afterAutospacing="1"/>
              <w:jc w:val="center"/>
              <w:rPr>
                <w:noProof/>
              </w:rPr>
            </w:pPr>
            <w:r>
              <w:rPr>
                <w:noProof/>
              </w:rPr>
              <w:t>30 % под най-високата ставка</w:t>
            </w:r>
          </w:p>
        </w:tc>
        <w:tc>
          <w:tcPr>
            <w:tcW w:w="981" w:type="pct"/>
            <w:vAlign w:val="center"/>
          </w:tcPr>
          <w:p>
            <w:pPr>
              <w:spacing w:before="100" w:beforeAutospacing="1" w:after="100" w:afterAutospacing="1"/>
              <w:jc w:val="center"/>
              <w:rPr>
                <w:noProof/>
              </w:rPr>
            </w:pPr>
            <w:r>
              <w:rPr>
                <w:noProof/>
              </w:rPr>
              <w:t>75 % под най-високата ставка</w:t>
            </w:r>
          </w:p>
        </w:tc>
      </w:tr>
    </w:tbl>
    <w:p>
      <w:pPr>
        <w:adjustRightInd w:val="0"/>
        <w:spacing w:before="0" w:after="0"/>
        <w:jc w:val="left"/>
        <w:rPr>
          <w:noProof/>
        </w:rPr>
      </w:pPr>
    </w:p>
    <w:p>
      <w:pPr>
        <w:adjustRightInd w:val="0"/>
        <w:spacing w:before="0" w:after="0"/>
        <w:jc w:val="left"/>
        <w:rPr>
          <w:noProof/>
        </w:rPr>
      </w:pPr>
      <w:r>
        <w:rPr>
          <w:noProof/>
        </w:rPr>
        <w:t>__________________</w:t>
      </w:r>
    </w:p>
    <w:p>
      <w:pPr>
        <w:adjustRightInd w:val="0"/>
        <w:spacing w:before="0" w:after="0"/>
        <w:jc w:val="left"/>
        <w:rPr>
          <w:noProof/>
        </w:rPr>
      </w:pPr>
    </w:p>
    <w:p>
      <w:pPr>
        <w:adjustRightInd w:val="0"/>
        <w:spacing w:before="0" w:after="0"/>
        <w:ind w:left="720" w:hanging="720"/>
        <w:jc w:val="left"/>
        <w:rPr>
          <w:noProof/>
        </w:rPr>
      </w:pPr>
      <w:r>
        <w:rPr>
          <w:noProof/>
        </w:rPr>
        <w:t>*</w:t>
      </w:r>
      <w:r>
        <w:rPr>
          <w:noProof/>
        </w:rPr>
        <w:tab/>
        <w:t>РЕГЛАМЕНТ (ЕС) .../... НА КОМИСИЯТА за изменение на Регламент (ЕС) 2017/xxx на Комисията и Директива № 2007/46/ЕО на Европейския парламент и на Съвета по отношение на емисиите в реални условия от леки превозни средства за превоз на пътници и товари  (Евро 6) [RDE 3] (OВ L …, ……..2017, стр. …).</w:t>
      </w:r>
    </w:p>
    <w:p>
      <w:pPr>
        <w:adjustRightInd w:val="0"/>
        <w:spacing w:before="0" w:after="0"/>
        <w:ind w:left="720" w:hanging="720"/>
        <w:jc w:val="left"/>
        <w:rPr>
          <w:noProof/>
        </w:rPr>
      </w:pPr>
      <w:r>
        <w:rPr>
          <w:noProof/>
        </w:rPr>
        <w:t>**</w:t>
      </w:r>
      <w:r>
        <w:rPr>
          <w:noProof/>
        </w:rPr>
        <w:tab/>
        <w:t>Регламент (ЕО) № 715/2007 на Европейския парламент и на Съвета от 20 юни 2007 г. за типово одобрение на моторни превозни средства по отношение на емисиите от леки превозни средства за превоз на пътници и товари (Евро 5 и Евро 6) и за достъпа до информация за ремонт и техническо обслужване на превозни средства (ОВ L 171, 29.6.2007 г., стр. 1).</w:t>
      </w:r>
    </w:p>
    <w:p>
      <w:pPr>
        <w:adjustRightInd w:val="0"/>
        <w:spacing w:before="0" w:after="0"/>
        <w:ind w:left="720" w:hanging="720"/>
        <w:jc w:val="left"/>
        <w:rPr>
          <w:noProof/>
        </w:rPr>
      </w:pPr>
      <w:r>
        <w:rPr>
          <w:noProof/>
        </w:rPr>
        <w:t>***</w:t>
      </w:r>
      <w:r>
        <w:rPr>
          <w:noProof/>
        </w:rPr>
        <w:tab/>
        <w:t>Регламент (ЕО) № 443/2009 на Европейския парламент и на Съвета от 23 април 2009 г. за определяне на стандарти за емисиите от нови леки пътнически автомобили като част от цялостния подход на Общността за намаляване на емисиите на CO2 от лекотоварните превозни средства (ОВ L 140, 5.6.2009 г., стр. 1).</w:t>
      </w:r>
    </w:p>
    <w:p>
      <w:pPr>
        <w:adjustRightInd w:val="0"/>
        <w:spacing w:before="0" w:after="0"/>
        <w:ind w:left="720" w:hanging="720"/>
        <w:jc w:val="left"/>
        <w:rPr>
          <w:noProof/>
        </w:rPr>
      </w:pPr>
      <w:r>
        <w:rPr>
          <w:noProof/>
        </w:rPr>
        <w:t>****</w:t>
      </w:r>
      <w:r>
        <w:rPr>
          <w:noProof/>
        </w:rPr>
        <w:tab/>
        <w:t>Регламент (ЕО) № 443/2009 на Европейския парламент и на Съвета от 23 април 2009 г. за определяне на стандарти за емисиите от нови леки пътнически автомобили като част от цялостния подход на Общността за намаляване на емисиите на CO2 от лекотоварните превозни средства (ОВ L 140, 5.6.2009 г., стр. 1).</w:t>
      </w:r>
    </w:p>
    <w:sectPr>
      <w:footerReference w:type="defaul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93656B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D015E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28031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660E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92EEE6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BBC7B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1383202"/>
    <w:lvl w:ilvl="0">
      <w:start w:val="1"/>
      <w:numFmt w:val="decimal"/>
      <w:pStyle w:val="ListNumber"/>
      <w:lvlText w:val="%1."/>
      <w:lvlJc w:val="left"/>
      <w:pPr>
        <w:tabs>
          <w:tab w:val="num" w:pos="360"/>
        </w:tabs>
        <w:ind w:left="360" w:hanging="360"/>
      </w:pPr>
    </w:lvl>
  </w:abstractNum>
  <w:abstractNum w:abstractNumId="7">
    <w:nsid w:val="FFFFFF89"/>
    <w:multiLevelType w:val="singleLevel"/>
    <w:tmpl w:val="EC783F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8"/>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06 14:43: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3F661721D98D4000BDD2AFE3297C11C3"/>
    <w:docVar w:name="LW_CROSSREFERENCE" w:val="{SWD(2017) 180 final}_x000b_{SWD(2017) 181 final}"/>
    <w:docVar w:name="LW_DocType" w:val="ANNEX"/>
    <w:docVar w:name="LW_EMISSION" w:val="31.5.2017"/>
    <w:docVar w:name="LW_EMISSION_ISODATE" w:val="2017-05-3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0?\u1079?\u1084?\u1077?\u1085?\u1077?\u1085?\u1080?\u1077? \u1085?\u1072? \u1044?\u1080?\u1088?\u1077?\u1082?\u1090?\u1080?\u1074?\u1072? 1999/62/\u1045?\u1054? \u1086?\u1090?\u1085?\u1086?\u1089?\u1085?\u1086? \u1079?\u1072?\u1087?\u1083?\u1072?\u1097?\u1072?\u1085?\u1077?\u1090?\u1086? \u1085?\u1072? \u1090?\u1072?\u1082?\u1089?\u1080? \u1086?\u1090? \u1090?\u1077?\u1078?\u1082?\u1086?\u1090?\u1086?\u1074?\u1072?\u1088?\u1085?\u1080? \u1072?\u1074?\u1090?\u1086?\u1084?\u1086?\u1073?\u1080?\u1083?\u1080? \u1079?\u1072? \u1080?\u1079?\u1087?\u1086?\u1083?\u1079?\u1074?\u1072?\u1085?\u1077? \u1085?\u1072? \u1086?\u1087?\u1088?\u1077?\u1076?\u1077?\u1083?\u1077?\u1085?\u1080? \u1080?\u1085?\u1092?\u1088?\u1072?\u1089?\u1090?\u1088?\u1091?\u1082?\u1090?\u1091?\u1088?\u1080?_x000b_(\u1090?\u1077?\u1082?\u1089?\u1090? \u1086?\u1090? \u1079?\u1085?\u1072?\u1095?\u1077?\u1085?\u1080?\u1077? \u1079?\u1072? \u1045?\u1048?\u1055?)"/>
    <w:docVar w:name="LW_PART_NBR" w:val="1"/>
    <w:docVar w:name="LW_PART_NBR_TOTAL" w:val="1"/>
    <w:docVar w:name="LW_REF.INST.NEW" w:val="COM"/>
    <w:docVar w:name="LW_REF.INST.NEW_ADOPTED" w:val="final"/>
    <w:docVar w:name="LW_REF.INST.NEW_TEXT" w:val="(2017) 275"/>
    <w:docVar w:name="LW_REF.INTERNE" w:val="&lt;UNUSED&gt;"/>
    <w:docVar w:name="LW_SUPERTITRE" w:val="&lt;UNUSED&gt;"/>
    <w:docVar w:name="LW_TITRE.OBJ.CP" w:val="&lt;UNUSED&gt;"/>
    <w:docVar w:name="LW_TYPE.DOC.CP" w:val="\u1055?\u1056?\u1048?\u1051?\u1054?\u1046?\u1045?\u1053?\u1048?\u1045?"/>
    <w:docVar w:name="LW_TYPEACTEPRINCIPAL.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rPr>
  </w:style>
  <w:style w:type="character" w:styleId="Hyperlink">
    <w:name w:val="Hyperlink"/>
    <w:uiPriority w:val="99"/>
    <w:unhideWhenUsed/>
    <w:rPr>
      <w:rFonts w:cs="Times New Roman"/>
      <w:color w:val="0000FF"/>
      <w:u w:val="single"/>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rPr>
  </w:style>
  <w:style w:type="character" w:styleId="Hyperlink">
    <w:name w:val="Hyperlink"/>
    <w:uiPriority w:val="99"/>
    <w:unhideWhenUsed/>
    <w:rPr>
      <w:rFonts w:cs="Times New Roman"/>
      <w:color w:val="0000FF"/>
      <w:u w:val="single"/>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416512">
      <w:bodyDiv w:val="1"/>
      <w:marLeft w:val="0"/>
      <w:marRight w:val="0"/>
      <w:marTop w:val="0"/>
      <w:marBottom w:val="0"/>
      <w:divBdr>
        <w:top w:val="none" w:sz="0" w:space="0" w:color="auto"/>
        <w:left w:val="none" w:sz="0" w:space="0" w:color="auto"/>
        <w:bottom w:val="none" w:sz="0" w:space="0" w:color="auto"/>
        <w:right w:val="none" w:sz="0" w:space="0" w:color="auto"/>
      </w:divBdr>
    </w:div>
    <w:div w:id="123971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14</Pages>
  <Words>3464</Words>
  <Characters>18983</Characters>
  <Application>Microsoft Office Word</Application>
  <DocSecurity>0</DocSecurity>
  <Lines>903</Lines>
  <Paragraphs>606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SZATMARI Peter (MOVE)</dc:creator>
  <cp:lastModifiedBy>DIGIT/A3</cp:lastModifiedBy>
  <cp:revision>8</cp:revision>
  <cp:lastPrinted>2017-05-05T17:39:00Z</cp:lastPrinted>
  <dcterms:created xsi:type="dcterms:W3CDTF">2017-06-01T14:47:00Z</dcterms:created>
  <dcterms:modified xsi:type="dcterms:W3CDTF">2017-06-06T12:43:00Z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