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FC" w:rsidRDefault="00D40E5C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E9D73E139FE41D2BA5B415A6B5575A7" style="width:450.6pt;height:410.9pt">
            <v:imagedata r:id="rId9" o:title=""/>
          </v:shape>
        </w:pict>
      </w:r>
    </w:p>
    <w:p w:rsidR="00C802FC" w:rsidRDefault="00C802FC">
      <w:pPr>
        <w:rPr>
          <w:noProof/>
        </w:rPr>
        <w:sectPr w:rsidR="00C802FC"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802FC" w:rsidRDefault="00D40E5C">
      <w:pPr>
        <w:spacing w:before="0"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</w:rPr>
        <w:lastRenderedPageBreak/>
        <w:t>Приложение I</w:t>
      </w:r>
      <w:r>
        <w:rPr>
          <w:b/>
          <w:noProof/>
          <w:sz w:val="28"/>
          <w:szCs w:val="28"/>
        </w:rPr>
        <w:br/>
      </w:r>
      <w:r>
        <w:rPr>
          <w:b/>
          <w:noProof/>
          <w:sz w:val="28"/>
        </w:rPr>
        <w:t>Данни, които подлежат на мониторинг и докладване</w:t>
      </w:r>
    </w:p>
    <w:p w:rsidR="00C802FC" w:rsidRDefault="00D40E5C">
      <w:pPr>
        <w:pStyle w:val="ManualHeading1"/>
        <w:rPr>
          <w:noProof/>
        </w:rPr>
      </w:pPr>
      <w:r>
        <w:rPr>
          <w:noProof/>
        </w:rPr>
        <w:t xml:space="preserve">Част А: </w:t>
      </w:r>
      <w:r>
        <w:rPr>
          <w:noProof/>
        </w:rPr>
        <w:tab/>
        <w:t xml:space="preserve">Данни, които подлежат на </w:t>
      </w:r>
      <w:r>
        <w:rPr>
          <w:noProof/>
        </w:rPr>
        <w:t>мониторинг и докладване от страна на държавите членки:</w:t>
      </w:r>
    </w:p>
    <w:p w:rsidR="00C802FC" w:rsidRDefault="00D40E5C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идентификационните номера на всички нови превозни средства, посочени в член 2, букви а) и б), които са регистрирани на територията на държавата членка; </w:t>
      </w:r>
    </w:p>
    <w:p w:rsidR="00C802FC" w:rsidRDefault="00D40E5C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наименованието на производителя;</w:t>
      </w:r>
    </w:p>
    <w:p w:rsidR="00C802FC" w:rsidRDefault="00D40E5C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маркат</w:t>
      </w:r>
      <w:r>
        <w:rPr>
          <w:noProof/>
        </w:rPr>
        <w:t>а (търговско наименование на производителя);</w:t>
      </w:r>
    </w:p>
    <w:p w:rsidR="00C802FC" w:rsidRDefault="00D40E5C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кодът за каросерията, посочен в точка 38 от сертификата за съответствие, когато е приложимо;</w:t>
      </w:r>
    </w:p>
    <w:p w:rsidR="00C802FC" w:rsidRDefault="00D40E5C"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в случай на превозни средства, посочени в член 2, буква а) — информацията за силовата установка, посочена във то</w:t>
      </w:r>
      <w:r>
        <w:rPr>
          <w:noProof/>
        </w:rPr>
        <w:t>чки 23, 23.1 и 26 от сертификата за съответствие.</w:t>
      </w:r>
    </w:p>
    <w:p w:rsidR="00C802FC" w:rsidRDefault="00D40E5C">
      <w:pPr>
        <w:pStyle w:val="ManualHeading1"/>
        <w:ind w:left="1440" w:hanging="1440"/>
        <w:rPr>
          <w:noProof/>
        </w:rPr>
      </w:pPr>
      <w:r>
        <w:rPr>
          <w:noProof/>
        </w:rPr>
        <w:t>Част Б:</w:t>
      </w:r>
      <w:r>
        <w:rPr>
          <w:noProof/>
        </w:rPr>
        <w:tab/>
        <w:t>Данни, които подлежат на мониторинг и докладване от страна на производителите на тежки превозни средства:</w:t>
      </w:r>
    </w:p>
    <w:p w:rsidR="00C802FC" w:rsidRDefault="00C802FC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4101"/>
        <w:gridCol w:w="1670"/>
        <w:gridCol w:w="2591"/>
      </w:tblGrid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Номер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100" w:beforeAutospacing="1" w:after="100" w:afterAutospacing="1" w:line="360" w:lineRule="auto"/>
              <w:jc w:val="left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Параметри за мониторинг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Източник</w:t>
            </w:r>
            <w:r>
              <w:rPr>
                <w:noProof/>
                <w:color w:val="000000"/>
                <w:sz w:val="22"/>
              </w:rPr>
              <w:t xml:space="preserve"> допълнение 1 към приложение I към Регламент [.../...]</w:t>
            </w:r>
            <w:r>
              <w:rPr>
                <w:b/>
                <w:noProof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Описание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идентификационен номер на превозно средство (VIN)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1.1.1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  <w:color w:val="000000"/>
              </w:rPr>
              <w:t>Идентификация на превозното средство и неговите компоненти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идентификационен номер на двигател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1.2.1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сертификационен номер </w:t>
            </w:r>
            <w:r>
              <w:rPr>
                <w:noProof/>
                <w:color w:val="000000"/>
                <w:sz w:val="22"/>
              </w:rPr>
              <w:t>CdxA (ако е приложимо)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1.8.2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идентификационен номер на предавателен механизъм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1.3.2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идентификационен номер на ос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1.7.2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сертификационен номер на гума, ос 1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1.9.2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сертификационен номер на гума, ос 2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1.9.6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сертификационен номер на гума, ос</w:t>
            </w:r>
            <w:r>
              <w:rPr>
                <w:noProof/>
                <w:color w:val="000000"/>
                <w:sz w:val="22"/>
              </w:rPr>
              <w:t xml:space="preserve"> 3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1.9.10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сертификационен номер на гума, ос 4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1.9.14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категория на превозното средство 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1.1.2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Класификация на превозните средства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конфигурация на осите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1.1.3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12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максимална обща маса на превозното средство 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1.1.4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група на превозното </w:t>
            </w:r>
            <w:r>
              <w:rPr>
                <w:noProof/>
                <w:color w:val="000000"/>
                <w:sz w:val="22"/>
              </w:rPr>
              <w:t>средство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1.1.5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наименование на производителя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1.1.6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Спецификация на превозното средство и шасито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марка (търговско наименование на производителя)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1.1.7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коригирана действителна маса на превозното средство с консумативи 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1.1.8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номинална </w:t>
            </w:r>
            <w:r>
              <w:rPr>
                <w:noProof/>
                <w:color w:val="000000"/>
                <w:sz w:val="22"/>
              </w:rPr>
              <w:t>мощност на двигателя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1.2.2.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Основни спецификации на двигателя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честота на въртене на двигателя на празен ход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1.2.3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номинална честота на въртене на двигателя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1.2.4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обем на двигателя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1.2.5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тип еталонно гориво на двигателя 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1.2.6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вариант на сертифициране, използван за създаване на CdxA (базова стойности или измерване)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1.8.1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Аеродинамика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стойност CdxA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1.8.3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наименование и адрес на производителя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Основни спецификации на предавателния механизъм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марка (търговско </w:t>
            </w:r>
            <w:r>
              <w:rPr>
                <w:noProof/>
                <w:color w:val="000000"/>
                <w:sz w:val="22"/>
              </w:rPr>
              <w:t>наименование на производителя)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вариант на сертифициране, използван за създаване на карта на загубите с инструмента за изчисляване на енергийното потребление на превозното средство (Vehicle Energy Consumption calculation Tool, VECTO)(стандартни </w:t>
            </w:r>
            <w:r>
              <w:rPr>
                <w:noProof/>
                <w:color w:val="000000"/>
                <w:sz w:val="22"/>
              </w:rPr>
              <w:t>стойности/метод 1/метод 2)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1.3.1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тип предавателен механизъм 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1.3.3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брой предавки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1.3.4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предавателно число на крайната предавка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1.3.5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забавящо устройство (да/не)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1.3.6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вал за отвеждане на мощност (да/не)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1.3.7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наименование и </w:t>
            </w:r>
            <w:r>
              <w:rPr>
                <w:noProof/>
                <w:color w:val="000000"/>
                <w:sz w:val="22"/>
              </w:rPr>
              <w:t>адрес на производителя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Основни спецификации на оста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марка (търговско наименование на производителя)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34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вариант на сертифициране, използван за създаване на карта на загубите с </w:t>
            </w:r>
            <w:r>
              <w:rPr>
                <w:noProof/>
                <w:color w:val="000000"/>
                <w:sz w:val="22"/>
              </w:rPr>
              <w:lastRenderedPageBreak/>
              <w:t xml:space="preserve">инструмента за изчисляване на енергийното потребление на превозното </w:t>
            </w:r>
            <w:r>
              <w:rPr>
                <w:noProof/>
                <w:color w:val="000000"/>
                <w:sz w:val="22"/>
              </w:rPr>
              <w:t>средство VECTO (стандартни стойности/измерване)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1.7.1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35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тип на оста 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1.7.3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осово отношение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1.7.4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вариант на сертифициране, използван за създаване на карта на загубите с инструмента за изчисляване на енергийното потребление на превозното </w:t>
            </w:r>
            <w:r>
              <w:rPr>
                <w:noProof/>
                <w:color w:val="000000"/>
                <w:sz w:val="22"/>
              </w:rPr>
              <w:t>средство VECTO (стандартни стойности/ измерване)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1.6.1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Спецификации на коничната зъбна предавка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отношение на коничната зъбна предавка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1.6.2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наименование и адрес на производителя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Основни спецификации на гумата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марка (търговско наименование на</w:t>
            </w:r>
            <w:r>
              <w:rPr>
                <w:noProof/>
                <w:color w:val="000000"/>
                <w:sz w:val="22"/>
              </w:rPr>
              <w:t xml:space="preserve"> производителя)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размер на гумата, ос 1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специфичен коефициент на съпротивление при търкаляне (КСТ) за всички гуми на ос 1 (ляво/дясно)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1.9.3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размер на гумата, ос 2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1.9.4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сдвоена ос (да/не), ос 2 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1.9.5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КСТ за всички гуми на </w:t>
            </w:r>
            <w:r>
              <w:rPr>
                <w:noProof/>
                <w:color w:val="000000"/>
                <w:sz w:val="22"/>
              </w:rPr>
              <w:t>ос 2 (ляво/дясно)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1.9.7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размер на гумата, ос 3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1.9.8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сдвоена ос (да/не), ос 3 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1.9.9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КСТ за всички гуми на ос 3 (ляво/дясно)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1.9.11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размер на гумата, ос 4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1.9.12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сдвоена ос (да/не), ос 4 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1.9.13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КСТ, ос 4 (ляво/дясно) 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1.9.15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технология на охлаждащия вентилатор на двигателя (да/не, ако да — посочете типа технология)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1.10.1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Основни спомагателни спецификации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технология на помпата на кормилното устройство (да/не, ако да — посочете типа технология)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1.10.2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технология </w:t>
            </w:r>
            <w:r>
              <w:rPr>
                <w:noProof/>
                <w:color w:val="000000"/>
                <w:sz w:val="22"/>
              </w:rPr>
              <w:t>на електрическата уредба (да/не, ако да — посочете типа технология)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1.10.3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технология на пневматичната уредба (да/не, ако да — посочете типа технология)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1.10.4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профил на движението (пътуване на дълги разстояния, регионално пътуване, градско </w:t>
            </w:r>
            <w:r>
              <w:rPr>
                <w:noProof/>
                <w:color w:val="000000"/>
                <w:sz w:val="22"/>
              </w:rPr>
              <w:t>пътуване, строителство)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2.1.1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  <w:sz w:val="23"/>
              </w:rPr>
              <w:t>Параметри на математическото моделиране (за всяка комбинация профил на движение/товар/гориво)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натоварване (както е определено с инструмента за изчисляване на енергийното потребление на превозното средство VECTO)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2.1.2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обща маса на превозното средство при моделирането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2.1.4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средна скорост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2.2.1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Характеристики на движение на превозното средство </w:t>
            </w:r>
            <w:r>
              <w:rPr>
                <w:noProof/>
                <w:sz w:val="23"/>
              </w:rPr>
              <w:t>(за всяка комбинация профил на движение/товар/гориво)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минимална моментна скорост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2.2.2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максимална моментна скорост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2.2.3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максимално отрицателно ускорение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2.2.4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максимално ускорение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2.2.5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дял на движението с пълен товар от общото време на движение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2.2.6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общ брой на смените на предавка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2.2.7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общо изминато разстояние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2.2.8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емисии на CO</w:t>
            </w:r>
            <w:r>
              <w:rPr>
                <w:noProof/>
                <w:color w:val="000000"/>
                <w:sz w:val="22"/>
                <w:vertAlign w:val="subscript"/>
              </w:rPr>
              <w:t>2</w:t>
            </w:r>
            <w:r>
              <w:rPr>
                <w:noProof/>
                <w:color w:val="000000"/>
                <w:sz w:val="22"/>
              </w:rPr>
              <w:t xml:space="preserve"> </w:t>
            </w:r>
          </w:p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(изразени в g/km, g/t-km, g/p-km, g/m³-km)</w:t>
            </w:r>
          </w:p>
          <w:p w:rsidR="00C802FC" w:rsidRDefault="00C802F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2.3.13—2.3.16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Емисии на CO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и разход на гориво</w:t>
            </w:r>
            <w:r>
              <w:rPr>
                <w:noProof/>
                <w:sz w:val="23"/>
              </w:rPr>
              <w:t xml:space="preserve"> (за всяка комбинация профил на движение/товар/гориво )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разход на гориво </w:t>
            </w:r>
          </w:p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(изразен в l/100km, l/t-km, l/p-km, l/m³-km, MJ/km, MJ/t-km, MJ/p-km, MJ/m³-km)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2.3.1—2.3.12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69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версия на инструмента за изчисляване на потреблението на енергия на превозното средство (Vehicle Energy Consumption Calculation Tool, VECTO)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3.1.1</w:t>
            </w:r>
          </w:p>
        </w:tc>
        <w:tc>
          <w:tcPr>
            <w:tcW w:w="2216" w:type="dxa"/>
            <w:vMerge w:val="restart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Информация за софтуера и потребителя</w:t>
            </w: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дата и час на моделирането с инструмента за </w:t>
            </w:r>
            <w:r>
              <w:rPr>
                <w:noProof/>
                <w:color w:val="000000"/>
                <w:sz w:val="22"/>
              </w:rPr>
              <w:t>изчисляване на потреблението на енергия на превозното средство VECTO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3.1.2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71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посочване на потребителя/лиценза за инструмента за изчисляване на потреблението на енергия на превозното средство VECTO.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3.1.3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72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криптографски хеш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3.1.4</w:t>
            </w:r>
          </w:p>
        </w:tc>
        <w:tc>
          <w:tcPr>
            <w:tcW w:w="2216" w:type="dxa"/>
            <w:vMerge/>
            <w:vAlign w:val="center"/>
          </w:tcPr>
          <w:p w:rsidR="00C802FC" w:rsidRDefault="00C802FC"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 w:rsidR="00C802FC">
        <w:tc>
          <w:tcPr>
            <w:tcW w:w="687" w:type="dxa"/>
            <w:vAlign w:val="center"/>
          </w:tcPr>
          <w:p w:rsidR="00C802FC" w:rsidRDefault="00D40E5C"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4661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усъвършенствани</w:t>
            </w:r>
            <w:r>
              <w:rPr>
                <w:noProof/>
                <w:color w:val="000000"/>
                <w:sz w:val="22"/>
              </w:rPr>
              <w:t xml:space="preserve"> технологии за намаляване на емисиите на CO</w:t>
            </w:r>
            <w:r>
              <w:rPr>
                <w:noProof/>
                <w:color w:val="000000"/>
                <w:sz w:val="22"/>
                <w:vertAlign w:val="subscript"/>
              </w:rPr>
              <w:t>2</w:t>
            </w:r>
          </w:p>
        </w:tc>
        <w:tc>
          <w:tcPr>
            <w:tcW w:w="1725" w:type="dxa"/>
            <w:vAlign w:val="center"/>
          </w:tcPr>
          <w:p w:rsidR="00C802FC" w:rsidRDefault="00D40E5C"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2216" w:type="dxa"/>
            <w:vAlign w:val="center"/>
          </w:tcPr>
          <w:p w:rsidR="00C802FC" w:rsidRDefault="00D40E5C"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Технологии за намаляване на емисиите на CO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от превозно средство</w:t>
            </w:r>
          </w:p>
        </w:tc>
      </w:tr>
    </w:tbl>
    <w:p w:rsidR="00C802FC" w:rsidRDefault="00C802FC">
      <w:pPr>
        <w:rPr>
          <w:noProof/>
        </w:rPr>
        <w:sectPr w:rsidR="00C802FC"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pgNumType w:start="2"/>
          <w:cols w:space="708"/>
          <w:docGrid w:linePitch="360"/>
        </w:sectPr>
      </w:pPr>
      <w:bookmarkStart w:id="0" w:name="_GoBack"/>
      <w:bookmarkEnd w:id="0"/>
    </w:p>
    <w:p w:rsidR="00C802FC" w:rsidRDefault="00C802FC">
      <w:pPr>
        <w:rPr>
          <w:noProof/>
        </w:rPr>
      </w:pPr>
    </w:p>
    <w:p w:rsidR="00C802FC" w:rsidRDefault="00D40E5C">
      <w:pPr>
        <w:jc w:val="center"/>
        <w:rPr>
          <w:b/>
          <w:noProof/>
        </w:rPr>
      </w:pPr>
      <w:r>
        <w:rPr>
          <w:b/>
          <w:noProof/>
        </w:rPr>
        <w:t>ПРИЛОЖЕНИЕ II</w:t>
      </w:r>
    </w:p>
    <w:p w:rsidR="00C802FC" w:rsidRDefault="00D40E5C">
      <w:pPr>
        <w:jc w:val="center"/>
        <w:rPr>
          <w:b/>
          <w:noProof/>
        </w:rPr>
      </w:pPr>
      <w:r>
        <w:rPr>
          <w:b/>
          <w:noProof/>
        </w:rPr>
        <w:t xml:space="preserve">Докладване и </w:t>
      </w:r>
      <w:r>
        <w:rPr>
          <w:b/>
          <w:noProof/>
        </w:rPr>
        <w:t>управление на данни</w:t>
      </w:r>
    </w:p>
    <w:p w:rsidR="00C802FC" w:rsidRDefault="00D40E5C">
      <w:pPr>
        <w:pStyle w:val="Heading1"/>
        <w:numPr>
          <w:ilvl w:val="0"/>
          <w:numId w:val="9"/>
        </w:numPr>
        <w:rPr>
          <w:noProof/>
        </w:rPr>
      </w:pPr>
      <w:r>
        <w:rPr>
          <w:noProof/>
        </w:rPr>
        <w:t>Докладване от страна на държавите членки</w:t>
      </w:r>
    </w:p>
    <w:p w:rsidR="00C802FC" w:rsidRDefault="00D40E5C">
      <w:pPr>
        <w:ind w:left="720" w:hanging="720"/>
        <w:rPr>
          <w:noProof/>
        </w:rPr>
      </w:pPr>
      <w:r>
        <w:rPr>
          <w:noProof/>
        </w:rPr>
        <w:t>1.1</w:t>
      </w:r>
      <w:r>
        <w:rPr>
          <w:noProof/>
        </w:rPr>
        <w:tab/>
        <w:t xml:space="preserve">Считано от 1 януари 2019 г., държавите членки осъществяват мониторинг на данните, определени в част А от приложение I, на база календарна година. </w:t>
      </w:r>
    </w:p>
    <w:p w:rsidR="00C802FC" w:rsidRDefault="00D40E5C">
      <w:pPr>
        <w:ind w:left="720" w:hanging="720"/>
        <w:rPr>
          <w:noProof/>
          <w:szCs w:val="24"/>
        </w:rPr>
      </w:pPr>
      <w:r>
        <w:rPr>
          <w:noProof/>
        </w:rPr>
        <w:t>1.2</w:t>
      </w:r>
      <w:r>
        <w:rPr>
          <w:noProof/>
        </w:rPr>
        <w:tab/>
        <w:t>Данните се предават в съответствие с чле</w:t>
      </w:r>
      <w:r>
        <w:rPr>
          <w:noProof/>
        </w:rPr>
        <w:t xml:space="preserve">н 4 от звеното за контакт на компетентния орган, като се прехвърлят по електронен път към централното хранилище за данни, управлявано от ЕАОС. </w:t>
      </w:r>
    </w:p>
    <w:p w:rsidR="00C802FC" w:rsidRDefault="00D40E5C">
      <w:pPr>
        <w:ind w:left="720"/>
        <w:jc w:val="left"/>
        <w:rPr>
          <w:noProof/>
        </w:rPr>
      </w:pPr>
      <w:r>
        <w:rPr>
          <w:noProof/>
        </w:rPr>
        <w:t>Звеното за контакт уведомява Комисията и ЕАОС за предаването на данните по електронна поща на следните адреси:</w:t>
      </w:r>
      <w:r>
        <w:rPr>
          <w:noProof/>
        </w:rPr>
        <w:br/>
      </w:r>
    </w:p>
    <w:p w:rsidR="00C802FC" w:rsidRDefault="00D40E5C">
      <w:pPr>
        <w:ind w:left="720"/>
        <w:jc w:val="left"/>
        <w:rPr>
          <w:noProof/>
        </w:rPr>
      </w:pPr>
      <w:r>
        <w:rPr>
          <w:noProof/>
        </w:rPr>
        <w:t>[</w:t>
      </w:r>
      <w:hyperlink r:id="rId13">
        <w:r>
          <w:rPr>
            <w:noProof/>
            <w:color w:val="0000FF" w:themeColor="hyperlink"/>
            <w:u w:val="single"/>
          </w:rPr>
          <w:t>EC-CO2-HDV-IMPLEMENTATION@ec.europa.eu</w:t>
        </w:r>
      </w:hyperlink>
      <w:r>
        <w:rPr>
          <w:noProof/>
        </w:rPr>
        <w:t>] и</w:t>
      </w:r>
    </w:p>
    <w:p w:rsidR="00C802FC" w:rsidRDefault="00D40E5C">
      <w:pPr>
        <w:ind w:left="720"/>
        <w:jc w:val="left"/>
        <w:rPr>
          <w:noProof/>
        </w:rPr>
      </w:pPr>
      <w:hyperlink r:id="rId14">
        <w:r>
          <w:rPr>
            <w:noProof/>
            <w:color w:val="0000FF" w:themeColor="hyperlink"/>
            <w:u w:val="single"/>
          </w:rPr>
          <w:t>HDV-monitoring@eea.europa.eu</w:t>
        </w:r>
      </w:hyperlink>
      <w:r>
        <w:rPr>
          <w:noProof/>
        </w:rPr>
        <w:t>.</w:t>
      </w:r>
    </w:p>
    <w:p w:rsidR="00C802FC" w:rsidRDefault="00D40E5C">
      <w:pPr>
        <w:pStyle w:val="Heading1"/>
        <w:rPr>
          <w:noProof/>
        </w:rPr>
      </w:pPr>
      <w:r>
        <w:rPr>
          <w:noProof/>
        </w:rPr>
        <w:t>Докладване от страна на производителите</w:t>
      </w:r>
    </w:p>
    <w:p w:rsidR="00C802FC" w:rsidRDefault="00D40E5C">
      <w:pPr>
        <w:ind w:left="850" w:hanging="850"/>
        <w:rPr>
          <w:noProof/>
        </w:rPr>
      </w:pPr>
      <w:r>
        <w:rPr>
          <w:noProof/>
        </w:rPr>
        <w:t>2.1</w:t>
      </w:r>
      <w:r>
        <w:rPr>
          <w:noProof/>
        </w:rPr>
        <w:tab/>
        <w:t>Производителите съо</w:t>
      </w:r>
      <w:r>
        <w:rPr>
          <w:noProof/>
        </w:rPr>
        <w:t>бщават на Комисията без забавяне и не по-късно от [31 декември 2018 г.] следната информация:</w:t>
      </w:r>
    </w:p>
    <w:p w:rsidR="00C802FC" w:rsidRDefault="00D40E5C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наименованието на производителя, посочено в сертификата за съответствие или в индивидуалния сертификат за одобрение;</w:t>
      </w:r>
    </w:p>
    <w:p w:rsidR="00C802FC" w:rsidRDefault="00D40E5C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световния код за идентифициране на произ</w:t>
      </w:r>
      <w:r>
        <w:rPr>
          <w:noProof/>
        </w:rPr>
        <w:t>водителя (World Manufacturer Identifier code — код WMI), както е посочено в Регламент (ЕС) № 19/2011 на Комисията</w:t>
      </w:r>
      <w:r>
        <w:rPr>
          <w:rStyle w:val="FootnoteReference"/>
          <w:noProof/>
        </w:rPr>
        <w:footnoteReference w:id="2"/>
      </w:r>
      <w:r>
        <w:rPr>
          <w:noProof/>
        </w:rPr>
        <w:t>, който да се използва в идентификационните номера на нови тежки превозни средства, които ще бъдат пускани на пазара;</w:t>
      </w:r>
    </w:p>
    <w:p w:rsidR="00C802FC" w:rsidRDefault="00D40E5C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Звено за контакти, от</w:t>
      </w:r>
      <w:r>
        <w:rPr>
          <w:noProof/>
        </w:rPr>
        <w:t>говарящо за качването на данни в хранилището за бизнес данни на ЕАОС.</w:t>
      </w:r>
    </w:p>
    <w:p w:rsidR="00C802FC" w:rsidRDefault="00D40E5C">
      <w:pPr>
        <w:ind w:left="850"/>
        <w:rPr>
          <w:noProof/>
        </w:rPr>
      </w:pPr>
      <w:r>
        <w:rPr>
          <w:noProof/>
        </w:rPr>
        <w:t xml:space="preserve">Те уведомяват Комисията незабавно за всякакви промени в горепосочената информация. </w:t>
      </w:r>
    </w:p>
    <w:p w:rsidR="00C802FC" w:rsidRDefault="00D40E5C">
      <w:pPr>
        <w:ind w:left="850"/>
        <w:rPr>
          <w:noProof/>
        </w:rPr>
      </w:pPr>
      <w:r>
        <w:rPr>
          <w:noProof/>
        </w:rPr>
        <w:t xml:space="preserve">Уведомленията се изпращат на адресите, посочени в точка 1.2. </w:t>
      </w:r>
    </w:p>
    <w:p w:rsidR="00C802FC" w:rsidRDefault="00D40E5C">
      <w:pPr>
        <w:ind w:left="850" w:hanging="850"/>
        <w:rPr>
          <w:noProof/>
        </w:rPr>
      </w:pPr>
      <w:r>
        <w:rPr>
          <w:noProof/>
        </w:rPr>
        <w:t>2.2</w:t>
      </w:r>
      <w:r>
        <w:rPr>
          <w:noProof/>
        </w:rPr>
        <w:tab/>
        <w:t>Новите производители, навлизащи на п</w:t>
      </w:r>
      <w:r>
        <w:rPr>
          <w:noProof/>
        </w:rPr>
        <w:t>азара, съобщават на Комисията без забавяне информацията, посочена в точка 2.1.</w:t>
      </w:r>
    </w:p>
    <w:p w:rsidR="00C802FC" w:rsidRDefault="00D40E5C">
      <w:pPr>
        <w:ind w:left="850" w:hanging="850"/>
        <w:rPr>
          <w:noProof/>
        </w:rPr>
      </w:pPr>
      <w:r>
        <w:rPr>
          <w:noProof/>
        </w:rPr>
        <w:t>2.3</w:t>
      </w:r>
      <w:r>
        <w:rPr>
          <w:noProof/>
        </w:rPr>
        <w:tab/>
        <w:t>Считано от [1 януари 2019 г.], и за всяка следваща календарна година, всеки производител записва за всяко ново тежко превозно средство данните, определени в част Б от прилож</w:t>
      </w:r>
      <w:r>
        <w:rPr>
          <w:noProof/>
        </w:rPr>
        <w:t>ение I.</w:t>
      </w:r>
    </w:p>
    <w:p w:rsidR="00C802FC" w:rsidRDefault="00D40E5C">
      <w:pPr>
        <w:ind w:left="850" w:hanging="850"/>
        <w:rPr>
          <w:noProof/>
        </w:rPr>
      </w:pPr>
      <w:r>
        <w:rPr>
          <w:noProof/>
        </w:rPr>
        <w:t>2.4</w:t>
      </w:r>
      <w:r>
        <w:rPr>
          <w:noProof/>
        </w:rPr>
        <w:tab/>
        <w:t xml:space="preserve">Данните, посочени в точка 2.3, се предават в съответствие с член 5, параграф 1 от звеното за контакт на производителя чрез електронно прехвърляне към хранилището за бизнес данни, управлявано от ЕАОС.  </w:t>
      </w:r>
    </w:p>
    <w:p w:rsidR="00C802FC" w:rsidRDefault="00D40E5C">
      <w:pPr>
        <w:ind w:left="850"/>
        <w:rPr>
          <w:noProof/>
        </w:rPr>
      </w:pPr>
      <w:r>
        <w:rPr>
          <w:noProof/>
        </w:rPr>
        <w:t>Звеното за контакт уведомява Комисията и Е</w:t>
      </w:r>
      <w:r>
        <w:rPr>
          <w:noProof/>
        </w:rPr>
        <w:t>АОС за предаването на данните с електронна поща до функционалните електронни адреси, посочени в точка 1.2 от настоящото приложение.</w:t>
      </w:r>
    </w:p>
    <w:p w:rsidR="00C802FC" w:rsidRDefault="00D40E5C">
      <w:pPr>
        <w:pStyle w:val="Heading1"/>
        <w:rPr>
          <w:noProof/>
        </w:rPr>
      </w:pPr>
      <w:r>
        <w:rPr>
          <w:noProof/>
        </w:rPr>
        <w:t xml:space="preserve">Обработка на данните </w:t>
      </w:r>
    </w:p>
    <w:p w:rsidR="00C802FC" w:rsidRDefault="00D40E5C">
      <w:pPr>
        <w:pStyle w:val="Point1"/>
        <w:ind w:left="850" w:hanging="850"/>
        <w:rPr>
          <w:noProof/>
        </w:rPr>
      </w:pPr>
      <w:r>
        <w:rPr>
          <w:noProof/>
        </w:rPr>
        <w:t>3.1</w:t>
      </w:r>
      <w:r>
        <w:rPr>
          <w:noProof/>
        </w:rPr>
        <w:tab/>
        <w:t>ЕАОС обработва данните, предадени в съответствие с точки 1.2 и 2.4, и записва обработените данни в</w:t>
      </w:r>
      <w:r>
        <w:rPr>
          <w:noProof/>
        </w:rPr>
        <w:t xml:space="preserve"> централния регистър на данните за тежки превозни средства.</w:t>
      </w:r>
    </w:p>
    <w:p w:rsidR="00C802FC" w:rsidRDefault="00D40E5C">
      <w:pPr>
        <w:pStyle w:val="Point0"/>
        <w:rPr>
          <w:noProof/>
        </w:rPr>
      </w:pPr>
      <w:r>
        <w:rPr>
          <w:noProof/>
        </w:rPr>
        <w:t>3.2</w:t>
      </w:r>
      <w:r>
        <w:rPr>
          <w:noProof/>
        </w:rPr>
        <w:tab/>
        <w:t>Данните, отнасящи се до превозни средства, регистрирани през предходната календарна година и вписани в регистъра, се публикуват не по-късно от [31 октомври] всяка година, считано от [2020] г.,</w:t>
      </w:r>
      <w:r>
        <w:rPr>
          <w:noProof/>
        </w:rPr>
        <w:t xml:space="preserve"> с изключение на данните, посочени в член 6, параграф 1.</w:t>
      </w:r>
    </w:p>
    <w:p w:rsidR="00C802FC" w:rsidRDefault="00D40E5C">
      <w:pPr>
        <w:pStyle w:val="Point0"/>
        <w:rPr>
          <w:noProof/>
        </w:rPr>
      </w:pPr>
      <w:r>
        <w:rPr>
          <w:noProof/>
        </w:rPr>
        <w:t>3.3</w:t>
      </w:r>
      <w:r>
        <w:rPr>
          <w:noProof/>
        </w:rPr>
        <w:tab/>
        <w:t>Когато компетентен орган или производител открие грешки в представените данни, той незабавно уведомява за това Комисията и ЕАОС, като подава доклад за съобщаване на грешка до централното хранилищ</w:t>
      </w:r>
      <w:r>
        <w:rPr>
          <w:noProof/>
        </w:rPr>
        <w:t>е за данни или до хранилището за бизнес данни и изпраща съобщение по електронна поща на функционалните електронни адреси, посочени в точка 1.2.</w:t>
      </w:r>
    </w:p>
    <w:p w:rsidR="00C802FC" w:rsidRDefault="00D40E5C">
      <w:pPr>
        <w:pStyle w:val="Point0"/>
        <w:rPr>
          <w:noProof/>
        </w:rPr>
      </w:pPr>
      <w:r>
        <w:rPr>
          <w:noProof/>
        </w:rPr>
        <w:t>3.4</w:t>
      </w:r>
      <w:r>
        <w:rPr>
          <w:noProof/>
        </w:rPr>
        <w:tab/>
        <w:t>Комисията, с помощта на ЕАОС, проверява съобщените грешки и, когато е целесъобразно, коригира данните в реги</w:t>
      </w:r>
      <w:r>
        <w:rPr>
          <w:noProof/>
        </w:rPr>
        <w:t>стъра.</w:t>
      </w:r>
    </w:p>
    <w:p w:rsidR="00C802FC" w:rsidRDefault="00D40E5C">
      <w:pPr>
        <w:pStyle w:val="Point0"/>
        <w:rPr>
          <w:noProof/>
        </w:rPr>
      </w:pPr>
      <w:r>
        <w:rPr>
          <w:noProof/>
        </w:rPr>
        <w:t>3.5</w:t>
      </w:r>
      <w:r>
        <w:rPr>
          <w:noProof/>
        </w:rPr>
        <w:tab/>
        <w:t>Комисията, с помощта на ЕАОС, предоставя електронни формати за целите на предаване на данни, както е посочено в точки 1.2 и 2.4, в разумен срок преди крайните срокове за предаване на данните.</w:t>
      </w:r>
    </w:p>
    <w:p w:rsidR="00C802FC" w:rsidRDefault="00C802FC">
      <w:pPr>
        <w:pStyle w:val="Point0"/>
        <w:rPr>
          <w:noProof/>
        </w:rPr>
      </w:pPr>
    </w:p>
    <w:sectPr w:rsidR="00C802FC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FC" w:rsidRDefault="00D40E5C">
      <w:pPr>
        <w:spacing w:before="0" w:after="0"/>
      </w:pPr>
      <w:r>
        <w:separator/>
      </w:r>
    </w:p>
  </w:endnote>
  <w:endnote w:type="continuationSeparator" w:id="0">
    <w:p w:rsidR="00C802FC" w:rsidRDefault="00D40E5C">
      <w:pPr>
        <w:spacing w:before="0" w:after="0"/>
      </w:pPr>
      <w:r>
        <w:continuationSeparator/>
      </w:r>
    </w:p>
  </w:endnote>
  <w:endnote w:type="continuationNotice" w:id="1">
    <w:p w:rsidR="00C802FC" w:rsidRDefault="00C802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FC" w:rsidRDefault="00D40E5C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FC" w:rsidRDefault="00D40E5C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FC" w:rsidRDefault="00C80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FC" w:rsidRDefault="00D40E5C">
      <w:pPr>
        <w:spacing w:before="0" w:after="0"/>
      </w:pPr>
      <w:r>
        <w:separator/>
      </w:r>
    </w:p>
  </w:footnote>
  <w:footnote w:type="continuationSeparator" w:id="0">
    <w:p w:rsidR="00C802FC" w:rsidRDefault="00D40E5C">
      <w:pPr>
        <w:spacing w:before="0" w:after="0"/>
      </w:pPr>
      <w:r>
        <w:continuationSeparator/>
      </w:r>
    </w:p>
  </w:footnote>
  <w:footnote w:type="continuationNotice" w:id="1">
    <w:p w:rsidR="00C802FC" w:rsidRDefault="00C802FC">
      <w:pPr>
        <w:spacing w:before="0" w:after="0"/>
      </w:pPr>
    </w:p>
  </w:footnote>
  <w:footnote w:id="2">
    <w:p w:rsidR="00C802FC" w:rsidRDefault="00D40E5C"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 № 19/2011 на Комисията от 11 </w:t>
      </w:r>
      <w:r>
        <w:t>януари 2011 г. относно изискванията за одобрение на типа на поставяните от производителя задължителни табели и на идентификационния номер на превозното средство за моторни превозни средства и техните ремаркета, и за прилагане на Регламент (ЕО) № 661/2009 н</w:t>
      </w:r>
      <w:r>
        <w:t>а Европейския парламент и на Съвета относно изискванията за одобрение на типа по отношение на общата безопасност на моторните превозни средства, техните ремаркета и системи, компоненти и отделни технически възли, предназначени за тях (ОВ L 8, 12.1.2011 г.,</w:t>
      </w:r>
      <w:r>
        <w:t xml:space="preserve"> стр. 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B7ED6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4EA4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8C696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1C224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47A17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7F213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D460F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50023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07 13:16:0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4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\u1082?\u1098?\u1084? \u1087?\u1088?\u1077?\u1076?\u1083?\u1086?\u1078?\u1077?\u1085?\u1080?\u1077?\u1090?\u1086? \u1079?\u1072?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CE9D73E139FE41D2BA5B415A6B5575A7"/>
    <w:docVar w:name="LW_CROSSREFERENCE" w:val="{SWD(2017) 188 final}_x000b_{SWD(2017) 189 final}"/>
    <w:docVar w:name="LW_DocType" w:val="ANNEX"/>
    <w:docVar w:name="LW_EMISSION" w:val="31.5.2017"/>
    <w:docVar w:name="LW_EMISSION_ISODATE" w:val="2017-05-3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4?\u1086?\u1085?\u1080?\u1090?\u1086?\u1088?\u1080?\u1085?\u1075?\u1072? \u1080? \u1076?\u1086?\u1082?\u1083?\u1072?\u1076?\u1074?\u1072?\u1085?\u1077?\u1090?\u1086? \u1085?\u1072? \u1077?\u1084?\u1080?\u1089?\u1080?\u1080?\u1090?\u1077? \u1085?\u1072? CO2 \u1080? \u1088?\u1072?\u1079?\u1093?\u1086?\u1076?\u1072? \u1085?\u1072? \u1075?\u1086?\u1088?\u1080?\u1074?\u1086? \u1085?\u1072? \u1085?\u1086?\u1074?\u1080? \u1090?\u1077?\u1078?\u1082?\u1080? \u1087?\u1088?\u1077?\u1074?\u1086?\u1079?\u1085?\u1080? \u1089?\u1088?\u1077?\u1076?\u1089?\u1090?\u1074?\u1072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279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w:rsids>
    <w:rsidRoot w:val="00C802FC"/>
    <w:rsid w:val="00C802FC"/>
    <w:rsid w:val="00D4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ManualHa">
    <w:name w:val="Manual Ha"/>
    <w:basedOn w:val="Normal"/>
    <w:pPr>
      <w:keepNext/>
      <w:tabs>
        <w:tab w:val="num" w:pos="850"/>
      </w:tabs>
      <w:spacing w:before="360"/>
      <w:ind w:left="850" w:hanging="850"/>
      <w:outlineLvl w:val="0"/>
    </w:pPr>
    <w:rPr>
      <w:rFonts w:eastAsiaTheme="majorEastAsia"/>
      <w:b/>
      <w:bCs/>
      <w:smallCaps/>
      <w:szCs w:val="28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ManualHa">
    <w:name w:val="Manual Ha"/>
    <w:basedOn w:val="Normal"/>
    <w:pPr>
      <w:keepNext/>
      <w:tabs>
        <w:tab w:val="num" w:pos="850"/>
      </w:tabs>
      <w:spacing w:before="360"/>
      <w:ind w:left="850" w:hanging="850"/>
      <w:outlineLvl w:val="0"/>
    </w:pPr>
    <w:rPr>
      <w:rFonts w:eastAsiaTheme="majorEastAsia"/>
      <w:b/>
      <w:bCs/>
      <w:smallCaps/>
      <w:szCs w:val="28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-CO2-HDV-IMPLEMENTATION@ec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CO2-monitoring@eea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69DCB4E-A74A-4652-875D-D5DD8EC6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1477</Words>
  <Characters>8066</Characters>
  <Application>Microsoft Office Word</Application>
  <DocSecurity>0</DocSecurity>
  <Lines>424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LINDVALL Susanna (CLIMA)</dc:creator>
  <cp:lastModifiedBy>Stefanie Heilemann</cp:lastModifiedBy>
  <cp:revision>9</cp:revision>
  <cp:lastPrinted>2017-05-22T11:29:00Z</cp:lastPrinted>
  <dcterms:created xsi:type="dcterms:W3CDTF">2017-06-02T09:12:00Z</dcterms:created>
  <dcterms:modified xsi:type="dcterms:W3CDTF">2017-06-07T11:23:00Z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