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7EC" w:rsidRDefault="00D93654" w:rsidP="00D93654">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6B9C72AE61B41A991F084C4BE516010" style="width:450.6pt;height:334.2pt">
            <v:imagedata r:id="rId9" o:title=""/>
          </v:shape>
        </w:pict>
      </w:r>
    </w:p>
    <w:bookmarkEnd w:id="0"/>
    <w:p w:rsidR="00DD67EC" w:rsidRDefault="00DD67EC">
      <w:pPr>
        <w:jc w:val="both"/>
        <w:rPr>
          <w:noProof/>
          <w:lang w:val="fr-BE"/>
        </w:rPr>
        <w:sectPr w:rsidR="00DD67EC" w:rsidSect="00D93654">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DD67EC" w:rsidRDefault="00D93654">
      <w:pPr>
        <w:pStyle w:val="ListParagraph"/>
        <w:numPr>
          <w:ilvl w:val="0"/>
          <w:numId w:val="1"/>
        </w:numPr>
        <w:spacing w:before="240" w:after="240" w:line="240" w:lineRule="auto"/>
        <w:contextualSpacing w:val="0"/>
        <w:jc w:val="both"/>
        <w:rPr>
          <w:rFonts w:ascii="Times New Roman" w:hAnsi="Times New Roman" w:cs="Times New Roman"/>
          <w:b/>
          <w:smallCaps/>
          <w:noProof/>
          <w:sz w:val="24"/>
          <w:szCs w:val="24"/>
        </w:rPr>
      </w:pPr>
      <w:bookmarkStart w:id="1" w:name="_GoBack"/>
      <w:bookmarkEnd w:id="1"/>
      <w:r>
        <w:rPr>
          <w:rFonts w:ascii="Times New Roman" w:hAnsi="Times New Roman" w:cs="Times New Roman"/>
          <w:b/>
          <w:smallCaps/>
          <w:noProof/>
          <w:sz w:val="24"/>
          <w:szCs w:val="24"/>
        </w:rPr>
        <w:lastRenderedPageBreak/>
        <w:t xml:space="preserve">Introduction </w:t>
      </w:r>
    </w:p>
    <w:p w:rsidR="00DD67EC" w:rsidRDefault="00D93654">
      <w:pPr>
        <w:spacing w:before="240" w:after="240" w:line="240" w:lineRule="auto"/>
        <w:jc w:val="both"/>
        <w:rPr>
          <w:rFonts w:ascii="Times New Roman" w:hAnsi="Times New Roman" w:cs="Times New Roman"/>
          <w:b/>
          <w:i/>
          <w:smallCaps/>
          <w:noProof/>
          <w:sz w:val="24"/>
          <w:szCs w:val="24"/>
        </w:rPr>
      </w:pPr>
      <w:r>
        <w:rPr>
          <w:rFonts w:ascii="Times New Roman" w:eastAsia="Calibri" w:hAnsi="Times New Roman" w:cs="Times New Roman"/>
          <w:b/>
          <w:i/>
          <w:noProof/>
          <w:sz w:val="24"/>
          <w:szCs w:val="24"/>
          <w:lang w:eastAsia="en-GB"/>
        </w:rPr>
        <w:t>1.1. A strong aviation sector for a stronger Union</w:t>
      </w:r>
    </w:p>
    <w:p w:rsidR="00DD67EC" w:rsidRDefault="00D93654">
      <w:pPr>
        <w:pStyle w:val="NormalWeb"/>
        <w:jc w:val="both"/>
        <w:rPr>
          <w:noProof/>
        </w:rPr>
      </w:pPr>
      <w:r>
        <w:rPr>
          <w:noProof/>
        </w:rPr>
        <w:t xml:space="preserve">Aviation is crucial for the European Union. It drives economic growth, creates jobs, facilitates trade and allows people to travel. Today </w:t>
      </w:r>
      <w:r>
        <w:rPr>
          <w:bCs/>
          <w:noProof/>
        </w:rPr>
        <w:t>European aviation represents 26% of the world market, contributing €510 billion annually to Europe's Gross Domestic Pr</w:t>
      </w:r>
      <w:r>
        <w:rPr>
          <w:bCs/>
          <w:noProof/>
        </w:rPr>
        <w:t>oduct, and supporting 9.3 million jobs in Europe</w:t>
      </w:r>
      <w:r>
        <w:rPr>
          <w:noProof/>
        </w:rPr>
        <w:t xml:space="preserve">. </w:t>
      </w:r>
    </w:p>
    <w:p w:rsidR="00DD67EC" w:rsidRDefault="00D93654">
      <w:pPr>
        <w:pStyle w:val="NormalWeb"/>
        <w:jc w:val="both"/>
        <w:rPr>
          <w:noProof/>
        </w:rPr>
      </w:pPr>
      <w:r>
        <w:rPr>
          <w:noProof/>
        </w:rPr>
        <w:t>Open and connected aviation markets offer better value flights to a greater choice of travel destinations worldwide. Air connectivity is relevant for the travelling public and for businesses and the econom</w:t>
      </w:r>
      <w:r>
        <w:rPr>
          <w:noProof/>
        </w:rPr>
        <w:t>y at large as the better a city, region or country is connected by air to other destinations in Europe and other parts of the world, the more growth can be generated. Air travel has substantially increased since the creation of the EU's Single Aviation Mar</w:t>
      </w:r>
      <w:r>
        <w:rPr>
          <w:noProof/>
        </w:rPr>
        <w:t>ket 25 years ago. The number of daily flights has increased from less than 10,000 in 1992 to around 23,000 in 2016. In addition passengers now have access to more destinations. Today there are around 7,400 routes compared to less than 2,700 in 1992. In 201</w:t>
      </w:r>
      <w:r>
        <w:rPr>
          <w:noProof/>
        </w:rPr>
        <w:t>5, over 1.45 billion passengers departed or arrived at EU airports.</w:t>
      </w:r>
    </w:p>
    <w:p w:rsidR="00DD67EC" w:rsidRDefault="00D93654">
      <w:pPr>
        <w:pStyle w:val="NormalWeb"/>
        <w:jc w:val="both"/>
        <w:rPr>
          <w:noProof/>
        </w:rPr>
      </w:pPr>
      <w:r>
        <w:rPr>
          <w:rFonts w:eastAsia="Calibri"/>
          <w:noProof/>
        </w:rPr>
        <w:t xml:space="preserve">European aviation must remain globally competitive and seize the opportunities offered by a fast-changing global economy, in a sustainable way. </w:t>
      </w:r>
      <w:r>
        <w:rPr>
          <w:noProof/>
        </w:rPr>
        <w:t>That is why in December 2015 the European Co</w:t>
      </w:r>
      <w:r>
        <w:rPr>
          <w:noProof/>
        </w:rPr>
        <w:t>mmission presented an "Aviation Strategy for Europe"</w:t>
      </w:r>
      <w:r>
        <w:rPr>
          <w:rStyle w:val="FootnoteReference"/>
          <w:noProof/>
        </w:rPr>
        <w:footnoteReference w:id="2"/>
      </w:r>
      <w:r>
        <w:rPr>
          <w:noProof/>
        </w:rPr>
        <w:t>, setting out an ambitious vision for the future of European aviation. It aims at boosting Europe's economy, strengthening its industrial base and reinforcing its global leadership position in aviation w</w:t>
      </w:r>
      <w:r>
        <w:rPr>
          <w:noProof/>
        </w:rPr>
        <w:t xml:space="preserve">hilst addressing environmental and climate challenges, thus contributing directly to the Commission's </w:t>
      </w:r>
      <w:hyperlink r:id="rId16" w:history="1">
        <w:r>
          <w:rPr>
            <w:rStyle w:val="Hyperlink"/>
            <w:rFonts w:ascii="Times New Roman" w:hAnsi="Times New Roman"/>
            <w:noProof/>
          </w:rPr>
          <w:t>strategic priorities</w:t>
        </w:r>
      </w:hyperlink>
      <w:r>
        <w:rPr>
          <w:noProof/>
        </w:rPr>
        <w:t xml:space="preserve">. </w:t>
      </w:r>
    </w:p>
    <w:p w:rsidR="00DD67EC" w:rsidRDefault="00D93654">
      <w:pPr>
        <w:pStyle w:val="NormalWeb"/>
        <w:jc w:val="both"/>
        <w:rPr>
          <w:rFonts w:eastAsia="Calibri"/>
          <w:b/>
          <w:i/>
          <w:noProof/>
        </w:rPr>
      </w:pPr>
      <w:r>
        <w:rPr>
          <w:rFonts w:eastAsia="Calibri"/>
          <w:b/>
          <w:i/>
          <w:noProof/>
        </w:rPr>
        <w:t>1.2. The Aviation Strategy for Europe is delivering</w:t>
      </w:r>
    </w:p>
    <w:p w:rsidR="00DD67EC" w:rsidRDefault="00D93654">
      <w:pPr>
        <w:pStyle w:val="NormalWeb"/>
        <w:jc w:val="both"/>
        <w:rPr>
          <w:rFonts w:eastAsia="Calibri"/>
          <w:noProof/>
        </w:rPr>
      </w:pPr>
      <w:r>
        <w:rPr>
          <w:rFonts w:eastAsia="Calibri"/>
          <w:noProof/>
        </w:rPr>
        <w:t xml:space="preserve">The Aviation </w:t>
      </w:r>
      <w:r>
        <w:rPr>
          <w:rFonts w:eastAsia="Calibri"/>
          <w:noProof/>
        </w:rPr>
        <w:t>Strategy for Europe laid out a series of policy actions to be taken in the coming years. The present Communication</w:t>
      </w:r>
      <w:r>
        <w:rPr>
          <w:noProof/>
        </w:rPr>
        <w:t xml:space="preserve"> </w:t>
      </w:r>
      <w:r>
        <w:rPr>
          <w:rFonts w:eastAsia="Calibri"/>
          <w:noProof/>
        </w:rPr>
        <w:t>and the proposal and Guidelines referred to in it, presented simultaneously, contribute to this Strategy and more precisely action intended t</w:t>
      </w:r>
      <w:r>
        <w:rPr>
          <w:rFonts w:eastAsia="Calibri"/>
          <w:noProof/>
        </w:rPr>
        <w:t>o achieve the following:</w:t>
      </w:r>
    </w:p>
    <w:p w:rsidR="00DD67EC" w:rsidRDefault="00D93654">
      <w:pPr>
        <w:pStyle w:val="NormalWeb"/>
        <w:numPr>
          <w:ilvl w:val="0"/>
          <w:numId w:val="18"/>
        </w:numPr>
        <w:spacing w:before="120" w:beforeAutospacing="0" w:after="240" w:afterAutospacing="0"/>
        <w:ind w:left="357" w:hanging="357"/>
        <w:jc w:val="both"/>
        <w:rPr>
          <w:rFonts w:eastAsia="Calibri"/>
          <w:noProof/>
        </w:rPr>
      </w:pPr>
      <w:r>
        <w:rPr>
          <w:rFonts w:eastAsia="Calibri"/>
          <w:b/>
          <w:noProof/>
        </w:rPr>
        <w:t>Maintain leadership in international aviation,</w:t>
      </w:r>
      <w:r>
        <w:rPr>
          <w:rFonts w:eastAsia="Calibri"/>
          <w:noProof/>
        </w:rPr>
        <w:t xml:space="preserve"> by safeguarding competition and by facilitating foreign investment into EU airlines.</w:t>
      </w:r>
    </w:p>
    <w:p w:rsidR="00DD67EC" w:rsidRDefault="00D93654">
      <w:pPr>
        <w:pStyle w:val="NormalWeb"/>
        <w:numPr>
          <w:ilvl w:val="0"/>
          <w:numId w:val="18"/>
        </w:numPr>
        <w:jc w:val="both"/>
        <w:rPr>
          <w:rFonts w:eastAsia="Calibri"/>
          <w:noProof/>
        </w:rPr>
      </w:pPr>
      <w:r>
        <w:rPr>
          <w:rFonts w:eastAsia="Calibri"/>
          <w:b/>
          <w:noProof/>
        </w:rPr>
        <w:t>Tackle limits to growth in European skies,</w:t>
      </w:r>
      <w:r>
        <w:rPr>
          <w:rFonts w:eastAsia="Calibri"/>
          <w:noProof/>
        </w:rPr>
        <w:t xml:space="preserve"> by improving connectivity and airspace efficiency. </w:t>
      </w:r>
    </w:p>
    <w:p w:rsidR="00DD67EC" w:rsidRDefault="00D93654">
      <w:pPr>
        <w:pStyle w:val="ListParagraph"/>
        <w:numPr>
          <w:ilvl w:val="0"/>
          <w:numId w:val="1"/>
        </w:numPr>
        <w:spacing w:before="240" w:after="240" w:line="240" w:lineRule="auto"/>
        <w:contextualSpacing w:val="0"/>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A le</w:t>
      </w:r>
      <w:r>
        <w:rPr>
          <w:rFonts w:ascii="Times New Roman" w:hAnsi="Times New Roman" w:cs="Times New Roman"/>
          <w:b/>
          <w:smallCaps/>
          <w:noProof/>
          <w:sz w:val="24"/>
          <w:szCs w:val="24"/>
        </w:rPr>
        <w:t xml:space="preserve">ader in international aviation </w:t>
      </w:r>
    </w:p>
    <w:p w:rsidR="00DD67EC" w:rsidRDefault="00D93654">
      <w:pPr>
        <w:pStyle w:val="NormalWeb"/>
        <w:ind w:left="720" w:hanging="720"/>
        <w:jc w:val="both"/>
        <w:rPr>
          <w:rFonts w:eastAsia="Calibri"/>
          <w:noProof/>
        </w:rPr>
      </w:pPr>
      <w:r>
        <w:rPr>
          <w:rFonts w:eastAsia="Calibri"/>
          <w:b/>
          <w:i/>
          <w:noProof/>
        </w:rPr>
        <w:t xml:space="preserve">2.1. Safeguarding competition in aviation </w:t>
      </w:r>
    </w:p>
    <w:p w:rsidR="00DD67EC" w:rsidRDefault="00D93654">
      <w:pPr>
        <w:pStyle w:val="NormalWeb"/>
        <w:jc w:val="both"/>
        <w:rPr>
          <w:rFonts w:eastAsia="Calibri"/>
          <w:noProof/>
        </w:rPr>
      </w:pPr>
      <w:r>
        <w:rPr>
          <w:rFonts w:eastAsia="Calibri"/>
          <w:noProof/>
        </w:rPr>
        <w:t xml:space="preserve">The EU is improving market access and investment opportunities for European aviation in important overseas markets by helping it to increase its international presence and ensuring </w:t>
      </w:r>
      <w:r>
        <w:rPr>
          <w:rFonts w:eastAsia="Calibri"/>
          <w:noProof/>
        </w:rPr>
        <w:t xml:space="preserve">open market conditions for all EU airlines. Concluding EU aviation agreements with third </w:t>
      </w:r>
      <w:r>
        <w:rPr>
          <w:rFonts w:eastAsia="Calibri"/>
          <w:noProof/>
        </w:rPr>
        <w:lastRenderedPageBreak/>
        <w:t xml:space="preserve">countries supports an open and connected market. It offers more flights and destinations at cheaper prices. Some agreements are already in place, others are currently </w:t>
      </w:r>
      <w:r>
        <w:rPr>
          <w:rFonts w:eastAsia="Calibri"/>
          <w:noProof/>
        </w:rPr>
        <w:t xml:space="preserve">being negotiated or still need to be signed (Ukraine), and more are expected to be negotiated in the coming years based on the recommendations from the Commission to the Council to authorise the opening of further negotiations.  </w:t>
      </w:r>
    </w:p>
    <w:p w:rsidR="00DD67EC" w:rsidRDefault="00D93654">
      <w:pPr>
        <w:pStyle w:val="NormalWeb"/>
        <w:jc w:val="both"/>
        <w:rPr>
          <w:rFonts w:eastAsia="Calibri"/>
          <w:noProof/>
        </w:rPr>
      </w:pPr>
      <w:r>
        <w:rPr>
          <w:rFonts w:eastAsia="Calibri"/>
          <w:noProof/>
        </w:rPr>
        <w:t>Today there are no interna</w:t>
      </w:r>
      <w:r>
        <w:rPr>
          <w:rFonts w:eastAsia="Calibri"/>
          <w:noProof/>
        </w:rPr>
        <w:t>tional standards within the World Trade Organisation or the International Civil Aviation Organisation covering access to markets. That is why the EU sets out the conditions for market opening with third countries through its aviation agreements in order to</w:t>
      </w:r>
      <w:r>
        <w:rPr>
          <w:rFonts w:eastAsia="Calibri"/>
          <w:noProof/>
        </w:rPr>
        <w:t xml:space="preserve"> create legal predictability and certainty for investors. </w:t>
      </w:r>
    </w:p>
    <w:p w:rsidR="00DD67EC" w:rsidRDefault="00D93654">
      <w:pPr>
        <w:pStyle w:val="NormalWeb"/>
        <w:jc w:val="both"/>
        <w:rPr>
          <w:rFonts w:eastAsia="Calibri"/>
          <w:noProof/>
        </w:rPr>
      </w:pPr>
      <w:r>
        <w:rPr>
          <w:rFonts w:eastAsia="Calibri"/>
          <w:noProof/>
        </w:rPr>
        <w:t>However in the absence of an EU aviation agreement with a third country concerned, or where existing agreements (EU or national) do not contain sufficient rules addressing practices negatively affe</w:t>
      </w:r>
      <w:r>
        <w:rPr>
          <w:rFonts w:eastAsia="Calibri"/>
          <w:noProof/>
        </w:rPr>
        <w:t>cting competition, European connectivity may be harmed if EU airlines are subject to such practices from third countries or third country entities. In the longer run, if they are allowed to persist, such practices may have a negative impact on the competit</w:t>
      </w:r>
      <w:r>
        <w:rPr>
          <w:rFonts w:eastAsia="Calibri"/>
          <w:noProof/>
        </w:rPr>
        <w:t xml:space="preserve">ive situation on the market and consequently lead to less choice, less connectivity and higher prices for EU citizens and businesses. </w:t>
      </w:r>
    </w:p>
    <w:p w:rsidR="00DD67EC" w:rsidRDefault="00D93654">
      <w:pPr>
        <w:pStyle w:val="NormalWeb"/>
        <w:jc w:val="both"/>
        <w:rPr>
          <w:rFonts w:eastAsia="Calibri"/>
          <w:noProof/>
        </w:rPr>
      </w:pPr>
      <w:r>
        <w:rPr>
          <w:rFonts w:eastAsia="Calibri"/>
          <w:noProof/>
        </w:rPr>
        <w:t>EU airlines are of course responsible for their own competitiveness and should continue to adapt their products and busin</w:t>
      </w:r>
      <w:r>
        <w:rPr>
          <w:rFonts w:eastAsia="Calibri"/>
          <w:noProof/>
        </w:rPr>
        <w:t>ess models to market conditions. However, where the Union's connectivity and competitiveness in international air transport are put at risk through discriminatory practices, the EU should be able to take appropriate action.</w:t>
      </w:r>
    </w:p>
    <w:p w:rsidR="00DD67EC" w:rsidRDefault="00D93654">
      <w:pPr>
        <w:pStyle w:val="Considrant"/>
        <w:numPr>
          <w:ilvl w:val="0"/>
          <w:numId w:val="0"/>
        </w:numPr>
        <w:rPr>
          <w:noProof/>
          <w:szCs w:val="24"/>
        </w:rPr>
      </w:pPr>
      <w:r>
        <w:rPr>
          <w:rFonts w:eastAsia="Calibri"/>
          <w:noProof/>
          <w:szCs w:val="24"/>
        </w:rPr>
        <w:t xml:space="preserve">Different actions are necessary </w:t>
      </w:r>
      <w:r>
        <w:rPr>
          <w:rFonts w:eastAsia="Calibri"/>
          <w:noProof/>
          <w:szCs w:val="24"/>
        </w:rPr>
        <w:t xml:space="preserve">to reduce the risk of practices affecting competition. Firstly, the EU and its Member States should pursue their efforts in the international context of the International Civil Aviation Organisation and the World Trade Organisation to actively support the </w:t>
      </w:r>
      <w:r>
        <w:rPr>
          <w:rFonts w:eastAsia="Calibri"/>
          <w:noProof/>
          <w:szCs w:val="24"/>
        </w:rPr>
        <w:t xml:space="preserve">development of multilateral rules guaranteeing the same market access conditions and a global level playing field for all airlines. Secondly, the EU and its Member States should continue engaging with third countries and </w:t>
      </w:r>
      <w:r>
        <w:rPr>
          <w:noProof/>
          <w:szCs w:val="24"/>
        </w:rPr>
        <w:t>address this issue in the context o</w:t>
      </w:r>
      <w:r>
        <w:rPr>
          <w:noProof/>
          <w:szCs w:val="24"/>
        </w:rPr>
        <w:t>f aviation agreements</w:t>
      </w:r>
      <w:r>
        <w:rPr>
          <w:rStyle w:val="FootnoteReference"/>
          <w:noProof/>
          <w:szCs w:val="24"/>
        </w:rPr>
        <w:footnoteReference w:id="3"/>
      </w:r>
      <w:r>
        <w:rPr>
          <w:noProof/>
          <w:szCs w:val="24"/>
        </w:rPr>
        <w:t xml:space="preserve">. These remain the EU's preferred course of action. </w:t>
      </w:r>
    </w:p>
    <w:p w:rsidR="00DD67EC" w:rsidRDefault="00D93654">
      <w:pPr>
        <w:pStyle w:val="Considrant"/>
        <w:numPr>
          <w:ilvl w:val="0"/>
          <w:numId w:val="0"/>
        </w:numPr>
        <w:rPr>
          <w:rFonts w:eastAsia="Calibri"/>
          <w:noProof/>
          <w:szCs w:val="24"/>
        </w:rPr>
      </w:pPr>
      <w:r>
        <w:rPr>
          <w:noProof/>
          <w:szCs w:val="24"/>
        </w:rPr>
        <w:t>Rules are also needed at EU level</w:t>
      </w:r>
      <w:r>
        <w:rPr>
          <w:rFonts w:eastAsia="Calibri"/>
          <w:noProof/>
          <w:szCs w:val="24"/>
        </w:rPr>
        <w:t xml:space="preserve"> to allow the submission of complaints to the Commission.  An investigation may then be conducted by the Commission to determine if EU airlines have</w:t>
      </w:r>
      <w:r>
        <w:rPr>
          <w:rFonts w:eastAsia="Calibri"/>
          <w:noProof/>
          <w:szCs w:val="24"/>
        </w:rPr>
        <w:t xml:space="preserve"> been harmed by relevant practices from third countries, which could lead to compensatory measures being taken. The current Regulation</w:t>
      </w:r>
      <w:r>
        <w:rPr>
          <w:noProof/>
        </w:rPr>
        <w:t xml:space="preserve"> </w:t>
      </w:r>
      <w:r>
        <w:rPr>
          <w:rFonts w:eastAsia="Calibri"/>
          <w:noProof/>
          <w:szCs w:val="24"/>
        </w:rPr>
        <w:t>concerning these matters</w:t>
      </w:r>
      <w:r>
        <w:rPr>
          <w:rStyle w:val="FootnoteReference"/>
          <w:rFonts w:eastAsia="Calibri"/>
          <w:noProof/>
          <w:szCs w:val="24"/>
        </w:rPr>
        <w:footnoteReference w:id="4"/>
      </w:r>
      <w:r>
        <w:rPr>
          <w:rFonts w:eastAsia="Calibri"/>
          <w:noProof/>
          <w:szCs w:val="24"/>
        </w:rPr>
        <w:t xml:space="preserve"> has proven to be ill-adapted in its approach and needs to be replaced with a more effective ins</w:t>
      </w:r>
      <w:r>
        <w:rPr>
          <w:rFonts w:eastAsia="Calibri"/>
          <w:noProof/>
          <w:szCs w:val="24"/>
        </w:rPr>
        <w:t xml:space="preserve">trument. </w:t>
      </w:r>
    </w:p>
    <w:tbl>
      <w:tblPr>
        <w:tblStyle w:val="TableGrid"/>
        <w:tblW w:w="0" w:type="auto"/>
        <w:tblLook w:val="04A0" w:firstRow="1" w:lastRow="0" w:firstColumn="1" w:lastColumn="0" w:noHBand="0" w:noVBand="1"/>
      </w:tblPr>
      <w:tblGrid>
        <w:gridCol w:w="9288"/>
      </w:tblGrid>
      <w:tr w:rsidR="00DD67EC">
        <w:tc>
          <w:tcPr>
            <w:tcW w:w="9288" w:type="dxa"/>
          </w:tcPr>
          <w:p w:rsidR="00DD67EC" w:rsidRDefault="00D93654">
            <w:pPr>
              <w:pStyle w:val="NormalWeb"/>
              <w:spacing w:before="120" w:beforeAutospacing="0" w:after="200" w:afterAutospacing="0"/>
              <w:jc w:val="both"/>
              <w:rPr>
                <w:rFonts w:eastAsia="Calibri"/>
                <w:b/>
                <w:noProof/>
              </w:rPr>
            </w:pPr>
            <w:r>
              <w:rPr>
                <w:rFonts w:eastAsia="Calibri"/>
                <w:b/>
                <w:noProof/>
              </w:rPr>
              <w:t>The Commission:</w:t>
            </w:r>
          </w:p>
          <w:p w:rsidR="00DD67EC" w:rsidRDefault="00D93654">
            <w:pPr>
              <w:pStyle w:val="NormalWeb"/>
              <w:numPr>
                <w:ilvl w:val="0"/>
                <w:numId w:val="19"/>
              </w:numPr>
              <w:spacing w:before="0" w:beforeAutospacing="0" w:after="200" w:afterAutospacing="0"/>
              <w:jc w:val="both"/>
              <w:rPr>
                <w:rFonts w:eastAsia="Calibri"/>
                <w:b/>
                <w:noProof/>
              </w:rPr>
            </w:pPr>
            <w:r>
              <w:rPr>
                <w:rFonts w:eastAsia="Calibri"/>
                <w:b/>
                <w:noProof/>
              </w:rPr>
              <w:t>Proposes a new Regulation to safeguard competition in air transport, replacing Regulation (EC) No 868/2004.</w:t>
            </w:r>
          </w:p>
          <w:p w:rsidR="00DD67EC" w:rsidRDefault="00D93654">
            <w:pPr>
              <w:pStyle w:val="NormalWeb"/>
              <w:numPr>
                <w:ilvl w:val="0"/>
                <w:numId w:val="19"/>
              </w:numPr>
              <w:spacing w:after="120" w:afterAutospacing="0"/>
              <w:jc w:val="both"/>
              <w:rPr>
                <w:rFonts w:eastAsia="Calibri"/>
                <w:noProof/>
              </w:rPr>
            </w:pPr>
            <w:r>
              <w:rPr>
                <w:rFonts w:eastAsia="Calibri"/>
                <w:b/>
                <w:noProof/>
              </w:rPr>
              <w:t xml:space="preserve">Urges the Council to allow the opening of negotiations for further EU Comprehensive Aviation Agreements (Bahrain, China, </w:t>
            </w:r>
            <w:r>
              <w:rPr>
                <w:rFonts w:eastAsia="Calibri"/>
                <w:b/>
                <w:noProof/>
              </w:rPr>
              <w:t xml:space="preserve">Kuwait, Mexico, Oman </w:t>
            </w:r>
            <w:r>
              <w:rPr>
                <w:rFonts w:eastAsia="Calibri"/>
                <w:b/>
                <w:noProof/>
              </w:rPr>
              <w:lastRenderedPageBreak/>
              <w:t>and Saudi Arabia), and to swiftly decide on the signing of the EU Comprehensive Aviation Agreement with Ukraine.</w:t>
            </w:r>
          </w:p>
        </w:tc>
      </w:tr>
    </w:tbl>
    <w:p w:rsidR="00DD67EC" w:rsidRDefault="00D93654">
      <w:pPr>
        <w:pStyle w:val="NormalWeb"/>
        <w:ind w:left="720" w:hanging="720"/>
        <w:jc w:val="both"/>
        <w:rPr>
          <w:rFonts w:eastAsia="Calibri"/>
          <w:b/>
          <w:i/>
          <w:noProof/>
        </w:rPr>
      </w:pPr>
      <w:r>
        <w:rPr>
          <w:rFonts w:eastAsia="Calibri"/>
          <w:b/>
          <w:i/>
          <w:noProof/>
        </w:rPr>
        <w:lastRenderedPageBreak/>
        <w:t xml:space="preserve">2.2. Facilitating foreign investment into EU airlines </w:t>
      </w:r>
    </w:p>
    <w:p w:rsidR="00DD67EC" w:rsidRDefault="00D93654">
      <w:pPr>
        <w:pStyle w:val="NormalWeb"/>
        <w:jc w:val="both"/>
        <w:rPr>
          <w:rFonts w:eastAsia="Calibri"/>
          <w:noProof/>
        </w:rPr>
      </w:pPr>
      <w:r>
        <w:rPr>
          <w:rFonts w:eastAsia="Calibri"/>
          <w:noProof/>
        </w:rPr>
        <w:t xml:space="preserve">In order to grow, European airlines need access to investment, </w:t>
      </w:r>
      <w:r>
        <w:rPr>
          <w:rFonts w:eastAsia="Calibri"/>
          <w:noProof/>
        </w:rPr>
        <w:t>including foreign investment.</w:t>
      </w:r>
    </w:p>
    <w:p w:rsidR="00DD67EC" w:rsidRDefault="00D93654">
      <w:pPr>
        <w:pStyle w:val="NormalWeb"/>
        <w:jc w:val="both"/>
        <w:rPr>
          <w:rFonts w:eastAsia="Calibri"/>
          <w:noProof/>
        </w:rPr>
      </w:pPr>
      <w:r>
        <w:rPr>
          <w:rFonts w:eastAsia="Calibri"/>
          <w:noProof/>
        </w:rPr>
        <w:t xml:space="preserve">The liberalisation of the EU's aviation market has removed all barriers to investment between European airlines. This has benefited both airlines and passengers, improving the viability of airlines and providing more flights. </w:t>
      </w:r>
    </w:p>
    <w:p w:rsidR="00DD67EC" w:rsidRDefault="00D93654">
      <w:pPr>
        <w:pStyle w:val="NormalWeb"/>
        <w:jc w:val="both"/>
        <w:rPr>
          <w:rFonts w:eastAsia="Calibri"/>
          <w:noProof/>
        </w:rPr>
      </w:pPr>
      <w:r>
        <w:rPr>
          <w:rFonts w:eastAsia="Calibri"/>
          <w:noProof/>
        </w:rPr>
        <w:t>Foreign airlines are not only allowed to operate within the EU, but also to invest in EU airlines.  However, under the current rules</w:t>
      </w:r>
      <w:r>
        <w:rPr>
          <w:rStyle w:val="FootnoteReference"/>
          <w:rFonts w:eastAsia="Calibri"/>
          <w:noProof/>
        </w:rPr>
        <w:footnoteReference w:id="5"/>
      </w:r>
      <w:r>
        <w:rPr>
          <w:rFonts w:eastAsia="Calibri"/>
          <w:noProof/>
        </w:rPr>
        <w:t>, investment in EU airlines by third countries or third country nationals cannot exceed 49% of ownership, and effective co</w:t>
      </w:r>
      <w:r>
        <w:rPr>
          <w:rFonts w:eastAsia="Calibri"/>
          <w:noProof/>
        </w:rPr>
        <w:t>ntrol of the company must remain in the hands of Member States or their nationals.</w:t>
      </w:r>
      <w:r>
        <w:rPr>
          <w:noProof/>
        </w:rPr>
        <w:t xml:space="preserve"> </w:t>
      </w:r>
      <w:r>
        <w:rPr>
          <w:rFonts w:eastAsia="Calibri"/>
          <w:noProof/>
        </w:rPr>
        <w:t>Failing that, airlines cannot be allowed or continue to operate as EU airlines. Several major foreign investments have taken place in recent years triggering reviews by EU M</w:t>
      </w:r>
      <w:r>
        <w:rPr>
          <w:rFonts w:eastAsia="Calibri"/>
          <w:noProof/>
        </w:rPr>
        <w:t>ember States and by the Commission to ensure that these requirements remain fulfilled.</w:t>
      </w:r>
    </w:p>
    <w:p w:rsidR="00DD67EC" w:rsidRDefault="00D93654">
      <w:pPr>
        <w:pStyle w:val="NormalWeb"/>
        <w:jc w:val="both"/>
        <w:rPr>
          <w:rFonts w:eastAsia="Calibri"/>
          <w:noProof/>
        </w:rPr>
      </w:pPr>
      <w:r>
        <w:rPr>
          <w:rFonts w:eastAsia="Calibri"/>
          <w:noProof/>
        </w:rPr>
        <w:t>Therefore in order to improve legal certainty and bring clarity to foreign investors and airlines alike</w:t>
      </w:r>
      <w:r>
        <w:rPr>
          <w:noProof/>
        </w:rPr>
        <w:t xml:space="preserve"> </w:t>
      </w:r>
      <w:r>
        <w:rPr>
          <w:rFonts w:eastAsia="Calibri"/>
          <w:noProof/>
        </w:rPr>
        <w:t xml:space="preserve">on which investment schemes allow the continuation of operations </w:t>
      </w:r>
      <w:r>
        <w:rPr>
          <w:rFonts w:eastAsia="Calibri"/>
          <w:noProof/>
        </w:rPr>
        <w:t>as an EU airline, the Commission is presenting interpretative guidelines on the current ownership and control rules</w:t>
      </w:r>
      <w:r>
        <w:rPr>
          <w:noProof/>
        </w:rPr>
        <w:t xml:space="preserve"> </w:t>
      </w:r>
      <w:r>
        <w:rPr>
          <w:rFonts w:eastAsia="Calibri"/>
          <w:noProof/>
        </w:rPr>
        <w:t>contained in Regulation (EC) No 1008/2008.</w:t>
      </w:r>
      <w:r>
        <w:rPr>
          <w:noProof/>
        </w:rPr>
        <w:t xml:space="preserve"> </w:t>
      </w:r>
      <w:r>
        <w:rPr>
          <w:rFonts w:eastAsia="Calibri"/>
          <w:noProof/>
        </w:rPr>
        <w:t xml:space="preserve">These guidelines outline the methodology followed by the Commission when assessing the ownership </w:t>
      </w:r>
      <w:r>
        <w:rPr>
          <w:rFonts w:eastAsia="Calibri"/>
          <w:noProof/>
        </w:rPr>
        <w:t xml:space="preserve">and control requirements, relevant notably to foreign investment cases. </w:t>
      </w:r>
    </w:p>
    <w:p w:rsidR="00DD67EC" w:rsidRDefault="00D93654">
      <w:pPr>
        <w:pStyle w:val="NormalWeb"/>
        <w:jc w:val="both"/>
        <w:rPr>
          <w:rFonts w:eastAsia="Calibri"/>
          <w:noProof/>
        </w:rPr>
      </w:pPr>
      <w:r>
        <w:rPr>
          <w:rFonts w:eastAsia="Calibri"/>
          <w:noProof/>
        </w:rPr>
        <w:t>As a next step, the ownership and control rules will be reviewed by the Commission and if need be adapted to remain relevant and effective in a fast-changing aviation market.</w:t>
      </w:r>
    </w:p>
    <w:tbl>
      <w:tblPr>
        <w:tblStyle w:val="TableGrid"/>
        <w:tblW w:w="0" w:type="auto"/>
        <w:tblLook w:val="04A0" w:firstRow="1" w:lastRow="0" w:firstColumn="1" w:lastColumn="0" w:noHBand="0" w:noVBand="1"/>
      </w:tblPr>
      <w:tblGrid>
        <w:gridCol w:w="9288"/>
      </w:tblGrid>
      <w:tr w:rsidR="00DD67EC">
        <w:tc>
          <w:tcPr>
            <w:tcW w:w="9288" w:type="dxa"/>
          </w:tcPr>
          <w:p w:rsidR="00DD67EC" w:rsidRDefault="00D93654">
            <w:pPr>
              <w:pStyle w:val="NormalWeb"/>
              <w:spacing w:before="240" w:beforeAutospacing="0" w:after="240" w:afterAutospacing="0"/>
              <w:jc w:val="both"/>
              <w:rPr>
                <w:rFonts w:eastAsia="Calibri"/>
                <w:b/>
                <w:noProof/>
              </w:rPr>
            </w:pPr>
            <w:r>
              <w:rPr>
                <w:rFonts w:eastAsia="Calibri"/>
                <w:b/>
                <w:noProof/>
              </w:rPr>
              <w:t>The Comm</w:t>
            </w:r>
            <w:r>
              <w:rPr>
                <w:rFonts w:eastAsia="Calibri"/>
                <w:b/>
                <w:noProof/>
              </w:rPr>
              <w:t>ission:</w:t>
            </w:r>
          </w:p>
          <w:p w:rsidR="00DD67EC" w:rsidRDefault="00D93654">
            <w:pPr>
              <w:pStyle w:val="NormalWeb"/>
              <w:numPr>
                <w:ilvl w:val="0"/>
                <w:numId w:val="20"/>
              </w:numPr>
              <w:spacing w:before="240" w:beforeAutospacing="0" w:after="240" w:afterAutospacing="0"/>
              <w:jc w:val="both"/>
              <w:rPr>
                <w:rFonts w:eastAsia="Calibri"/>
                <w:noProof/>
              </w:rPr>
            </w:pPr>
            <w:r>
              <w:rPr>
                <w:rFonts w:eastAsia="Calibri"/>
                <w:b/>
                <w:noProof/>
              </w:rPr>
              <w:t>Presents interpretative guidelines on the ownership and control rules for European airlines contained in Regulation (EC) No 1008/2008.</w:t>
            </w:r>
          </w:p>
          <w:p w:rsidR="00DD67EC" w:rsidRDefault="00D93654">
            <w:pPr>
              <w:pStyle w:val="NormalWeb"/>
              <w:numPr>
                <w:ilvl w:val="0"/>
                <w:numId w:val="20"/>
              </w:numPr>
              <w:spacing w:before="240" w:beforeAutospacing="0" w:after="240" w:afterAutospacing="0"/>
              <w:jc w:val="both"/>
              <w:rPr>
                <w:rFonts w:eastAsia="Calibri"/>
                <w:b/>
                <w:noProof/>
              </w:rPr>
            </w:pPr>
            <w:r>
              <w:rPr>
                <w:rFonts w:eastAsia="Calibri"/>
                <w:b/>
                <w:noProof/>
              </w:rPr>
              <w:t>Carries out a review of the rules on ownership and control of EU airlines, as part of the evaluation of the Regul</w:t>
            </w:r>
            <w:r>
              <w:rPr>
                <w:rFonts w:eastAsia="Calibri"/>
                <w:b/>
                <w:noProof/>
              </w:rPr>
              <w:t>ation No (EC) 1008/2008</w:t>
            </w:r>
            <w:r>
              <w:rPr>
                <w:rStyle w:val="FootnoteReference"/>
                <w:rFonts w:eastAsia="Calibri"/>
                <w:b/>
                <w:noProof/>
              </w:rPr>
              <w:footnoteReference w:id="6"/>
            </w:r>
            <w:r>
              <w:rPr>
                <w:rFonts w:eastAsia="Calibri"/>
                <w:b/>
                <w:noProof/>
              </w:rPr>
              <w:t>.</w:t>
            </w:r>
          </w:p>
        </w:tc>
      </w:tr>
    </w:tbl>
    <w:p w:rsidR="00DD67EC" w:rsidRDefault="00D93654">
      <w:pPr>
        <w:pStyle w:val="NormalWeb"/>
        <w:jc w:val="both"/>
        <w:rPr>
          <w:rFonts w:eastAsiaTheme="minorHAnsi"/>
          <w:b/>
          <w:smallCaps/>
          <w:noProof/>
          <w:lang w:eastAsia="en-US"/>
        </w:rPr>
      </w:pPr>
      <w:r>
        <w:rPr>
          <w:rFonts w:eastAsiaTheme="minorHAnsi"/>
          <w:b/>
          <w:smallCaps/>
          <w:noProof/>
          <w:lang w:eastAsia="en-US"/>
        </w:rPr>
        <w:t>3. Tackling limits to growth in European skies</w:t>
      </w:r>
    </w:p>
    <w:p w:rsidR="00DD67EC" w:rsidRDefault="00D93654">
      <w:pPr>
        <w:pStyle w:val="NormalWeb"/>
        <w:jc w:val="both"/>
        <w:rPr>
          <w:rFonts w:eastAsia="Calibri"/>
          <w:b/>
          <w:i/>
          <w:noProof/>
        </w:rPr>
      </w:pPr>
      <w:r>
        <w:rPr>
          <w:rFonts w:eastAsia="Calibri"/>
          <w:b/>
          <w:i/>
          <w:noProof/>
        </w:rPr>
        <w:t>3.1. Improving air connectivity</w:t>
      </w:r>
    </w:p>
    <w:p w:rsidR="00DD67EC" w:rsidRDefault="00D93654">
      <w:pPr>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Air travel remains a challenge for certain regions in the EU, which may also concern the outermost regions. The EU has recognised the need to address cases where, on certain routes and due to specific conditions, insufficient demand or market failure preve</w:t>
      </w:r>
      <w:r>
        <w:rPr>
          <w:rFonts w:ascii="Times New Roman" w:hAnsi="Times New Roman" w:cs="Times New Roman"/>
          <w:noProof/>
          <w:sz w:val="24"/>
          <w:szCs w:val="24"/>
        </w:rPr>
        <w:t>nted to provide enough flights to serve the needs of local communities. In such cases, Public Service Obligations can guarantee notably that peripheral or development regions are well-connected to the rest of Europe. In order not to harm competition, Publi</w:t>
      </w:r>
      <w:r>
        <w:rPr>
          <w:rFonts w:ascii="Times New Roman" w:hAnsi="Times New Roman" w:cs="Times New Roman"/>
          <w:noProof/>
          <w:sz w:val="24"/>
          <w:szCs w:val="24"/>
        </w:rPr>
        <w:t>c Service Obligations in the EU are only allowed under very specific conditions set out in Regulation (EC) No 1008/2008. However experience shows that the existing rules are not always implemented in a consistent manner, which may undermine the objective o</w:t>
      </w:r>
      <w:r>
        <w:rPr>
          <w:rFonts w:ascii="Times New Roman" w:hAnsi="Times New Roman" w:cs="Times New Roman"/>
          <w:noProof/>
          <w:sz w:val="24"/>
          <w:szCs w:val="24"/>
        </w:rPr>
        <w:t xml:space="preserve">f safeguarding both connectivity and competition on those routes. </w:t>
      </w:r>
    </w:p>
    <w:p w:rsidR="00DD67EC" w:rsidRDefault="00D93654">
      <w:pPr>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is therefore presenting interpretative guidelines to bring clarity on the questions raised by Member States and local authorities in the conception, design and implementation</w:t>
      </w:r>
      <w:r>
        <w:rPr>
          <w:rFonts w:ascii="Times New Roman" w:hAnsi="Times New Roman" w:cs="Times New Roman"/>
          <w:noProof/>
          <w:sz w:val="24"/>
          <w:szCs w:val="24"/>
        </w:rPr>
        <w:t xml:space="preserve"> of their Public Service Obligation regimes. These guidelines will outline the methodology followed by the Commission when assessing a Public Service Obligation. It should help Member States to correctly and effectively apply Public Service Obligation rule</w:t>
      </w:r>
      <w:r>
        <w:rPr>
          <w:rFonts w:ascii="Times New Roman" w:hAnsi="Times New Roman" w:cs="Times New Roman"/>
          <w:noProof/>
          <w:sz w:val="24"/>
          <w:szCs w:val="24"/>
        </w:rPr>
        <w:t>s where appropriate as one of the options to address connectivity gaps. As a next step, the Public Service Obligation rules will be reviewed and if need be adapted in order to ensure they remain effective and clear.</w:t>
      </w:r>
    </w:p>
    <w:tbl>
      <w:tblPr>
        <w:tblStyle w:val="TableGrid"/>
        <w:tblW w:w="0" w:type="auto"/>
        <w:tblLook w:val="04A0" w:firstRow="1" w:lastRow="0" w:firstColumn="1" w:lastColumn="0" w:noHBand="0" w:noVBand="1"/>
      </w:tblPr>
      <w:tblGrid>
        <w:gridCol w:w="9288"/>
      </w:tblGrid>
      <w:tr w:rsidR="00DD67EC">
        <w:tc>
          <w:tcPr>
            <w:tcW w:w="9288" w:type="dxa"/>
          </w:tcPr>
          <w:p w:rsidR="00DD67EC" w:rsidRDefault="00D93654">
            <w:pPr>
              <w:pStyle w:val="NormalWeb"/>
              <w:spacing w:before="240" w:beforeAutospacing="0" w:after="240" w:afterAutospacing="0"/>
              <w:jc w:val="both"/>
              <w:rPr>
                <w:rFonts w:eastAsia="Calibri"/>
                <w:b/>
                <w:noProof/>
              </w:rPr>
            </w:pPr>
            <w:r>
              <w:rPr>
                <w:rFonts w:eastAsia="Calibri"/>
                <w:b/>
                <w:noProof/>
              </w:rPr>
              <w:t>The Commission:</w:t>
            </w:r>
          </w:p>
          <w:p w:rsidR="00DD67EC" w:rsidRDefault="00D93654">
            <w:pPr>
              <w:pStyle w:val="NormalWeb"/>
              <w:numPr>
                <w:ilvl w:val="0"/>
                <w:numId w:val="20"/>
              </w:numPr>
              <w:spacing w:before="240" w:beforeAutospacing="0" w:after="240" w:afterAutospacing="0"/>
              <w:jc w:val="both"/>
              <w:rPr>
                <w:rFonts w:eastAsia="Calibri"/>
                <w:noProof/>
              </w:rPr>
            </w:pPr>
            <w:r>
              <w:rPr>
                <w:rFonts w:eastAsia="Calibri"/>
                <w:b/>
                <w:noProof/>
              </w:rPr>
              <w:t xml:space="preserve">Presents interpretative </w:t>
            </w:r>
            <w:r>
              <w:rPr>
                <w:rFonts w:eastAsia="Calibri"/>
                <w:b/>
                <w:noProof/>
              </w:rPr>
              <w:t>guidelines on the Public Service Obligation rules contained in Regulation (EC) No 1008/2008.</w:t>
            </w:r>
          </w:p>
          <w:p w:rsidR="00DD67EC" w:rsidRDefault="00D93654">
            <w:pPr>
              <w:pStyle w:val="ListParagraph"/>
              <w:numPr>
                <w:ilvl w:val="0"/>
                <w:numId w:val="20"/>
              </w:numPr>
              <w:spacing w:before="100" w:beforeAutospacing="1" w:after="100" w:afterAutospacing="1"/>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lang w:eastAsia="en-GB"/>
              </w:rPr>
              <w:t>Carries out a review of the Public Service Obligation rules, as part of the evaluation on the Regulation No (EC) 1008/2008</w:t>
            </w:r>
            <w:r>
              <w:rPr>
                <w:rFonts w:ascii="Times New Roman" w:eastAsia="Calibri" w:hAnsi="Times New Roman" w:cs="Times New Roman"/>
                <w:b/>
                <w:noProof/>
                <w:sz w:val="24"/>
                <w:szCs w:val="24"/>
              </w:rPr>
              <w:t>.</w:t>
            </w:r>
          </w:p>
        </w:tc>
      </w:tr>
    </w:tbl>
    <w:p w:rsidR="00DD67EC" w:rsidRDefault="00D93654">
      <w:pPr>
        <w:pStyle w:val="NormalWeb"/>
        <w:jc w:val="both"/>
        <w:rPr>
          <w:rFonts w:eastAsia="Calibri"/>
          <w:b/>
          <w:i/>
          <w:noProof/>
        </w:rPr>
      </w:pPr>
      <w:r>
        <w:rPr>
          <w:rFonts w:eastAsiaTheme="minorHAnsi"/>
          <w:noProof/>
          <w:lang w:eastAsia="en-US"/>
        </w:rPr>
        <w:t xml:space="preserve">Furthermore, the Commission services </w:t>
      </w:r>
      <w:r>
        <w:rPr>
          <w:rFonts w:eastAsiaTheme="minorHAnsi"/>
          <w:noProof/>
          <w:lang w:eastAsia="en-US"/>
        </w:rPr>
        <w:t>are currently developing a connectivity index to better identify connectivity gaps and to benchmark different levels of air services between EU regions</w:t>
      </w:r>
      <w:r>
        <w:rPr>
          <w:noProof/>
        </w:rPr>
        <w:t>. This index will be published by the end of 2017.</w:t>
      </w:r>
    </w:p>
    <w:p w:rsidR="00DD67EC" w:rsidRDefault="00D93654">
      <w:pPr>
        <w:pStyle w:val="NormalWeb"/>
        <w:ind w:left="720" w:hanging="720"/>
        <w:jc w:val="both"/>
        <w:rPr>
          <w:rFonts w:eastAsia="Calibri"/>
          <w:b/>
          <w:i/>
          <w:noProof/>
        </w:rPr>
      </w:pPr>
      <w:r>
        <w:rPr>
          <w:rFonts w:eastAsia="Calibri"/>
          <w:b/>
          <w:i/>
          <w:noProof/>
        </w:rPr>
        <w:t>3.2. Enhancing airspace efficiency</w:t>
      </w:r>
    </w:p>
    <w:p w:rsidR="00DD67EC" w:rsidRDefault="00D93654">
      <w:pPr>
        <w:spacing w:before="100" w:beforeAutospacing="1" w:after="100" w:afterAutospacing="1"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main challenge </w:t>
      </w:r>
      <w:r>
        <w:rPr>
          <w:rFonts w:ascii="Times New Roman" w:hAnsi="Times New Roman" w:cs="Times New Roman"/>
          <w:noProof/>
          <w:sz w:val="24"/>
          <w:szCs w:val="24"/>
          <w:lang w:eastAsia="en-GB"/>
        </w:rPr>
        <w:t>for the growth of European aviation is to reduce the efficiency constraints which are seriously impeding the European aviation sector's ability to grow sustainably, compete internationally, and causing delays. The fragmentation of the European airspace cos</w:t>
      </w:r>
      <w:r>
        <w:rPr>
          <w:rFonts w:ascii="Times New Roman" w:hAnsi="Times New Roman" w:cs="Times New Roman"/>
          <w:noProof/>
          <w:sz w:val="24"/>
          <w:szCs w:val="24"/>
          <w:lang w:eastAsia="en-GB"/>
        </w:rPr>
        <w:t>ts at least EUR 3 billion a year and up to 50 million tonnes of carbon dioxide.</w:t>
      </w:r>
    </w:p>
    <w:p w:rsidR="00DD67EC" w:rsidRDefault="00D93654">
      <w:pPr>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lang w:eastAsia="en-GB"/>
        </w:rPr>
        <w:t>The Single European Sky is a concrete example of where the EU is making a difference by raising capacity, improving safety and cutting costs while minimising aviation's environ</w:t>
      </w:r>
      <w:r>
        <w:rPr>
          <w:rFonts w:ascii="Times New Roman" w:hAnsi="Times New Roman" w:cs="Times New Roman"/>
          <w:noProof/>
          <w:sz w:val="24"/>
          <w:szCs w:val="24"/>
          <w:lang w:eastAsia="en-GB"/>
        </w:rPr>
        <w:t xml:space="preserve">mental footprint. </w:t>
      </w:r>
      <w:r>
        <w:rPr>
          <w:rFonts w:ascii="Times New Roman" w:hAnsi="Times New Roman" w:cs="Times New Roman"/>
          <w:noProof/>
          <w:sz w:val="24"/>
          <w:szCs w:val="24"/>
        </w:rPr>
        <w:t>Despite these improvements, traffic disruptions related to adverse weather conditions, technical failures, exceptional events, crisis situations as well as industrial action continue to severely hinder air travel in Europe</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In addition a</w:t>
      </w:r>
      <w:r>
        <w:rPr>
          <w:rFonts w:ascii="Times New Roman" w:hAnsi="Times New Roman" w:cs="Times New Roman"/>
          <w:noProof/>
          <w:sz w:val="24"/>
          <w:szCs w:val="24"/>
        </w:rPr>
        <w:t xml:space="preserve"> number of vital reforms put forward by the Commission to improve airspace efficiency, with shorter routes and lower operational and environmental costs remain blocked in the Council since 2014 (SES 2+). These reforms could generate </w:t>
      </w:r>
      <w:r>
        <w:rPr>
          <w:rFonts w:ascii="Times New Roman" w:hAnsi="Times New Roman" w:cs="Times New Roman"/>
          <w:noProof/>
          <w:sz w:val="24"/>
          <w:szCs w:val="24"/>
          <w:lang w:eastAsia="en-GB"/>
        </w:rPr>
        <w:t xml:space="preserve">EUR </w:t>
      </w:r>
      <w:r>
        <w:rPr>
          <w:rFonts w:ascii="Times New Roman" w:hAnsi="Times New Roman" w:cs="Times New Roman"/>
          <w:noProof/>
          <w:sz w:val="24"/>
          <w:szCs w:val="24"/>
        </w:rPr>
        <w:t>36 billion in savin</w:t>
      </w:r>
      <w:r>
        <w:rPr>
          <w:rFonts w:ascii="Times New Roman" w:hAnsi="Times New Roman" w:cs="Times New Roman"/>
          <w:noProof/>
          <w:sz w:val="24"/>
          <w:szCs w:val="24"/>
        </w:rPr>
        <w:t xml:space="preserve">gs over the next 20 years and create up to 11,000 jobs. </w:t>
      </w:r>
    </w:p>
    <w:p w:rsidR="00DD67EC" w:rsidRDefault="00D93654">
      <w:pPr>
        <w:spacing w:before="100" w:beforeAutospacing="1" w:after="100" w:afterAutospacing="1"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Of all the causes of air traffic disruption, industrial action in the form of strikes poses the most complex challenges as Air Traffic Management strikes usually </w:t>
      </w:r>
      <w:r>
        <w:rPr>
          <w:rFonts w:ascii="Times New Roman" w:hAnsi="Times New Roman" w:cs="Times New Roman"/>
          <w:noProof/>
          <w:sz w:val="24"/>
          <w:szCs w:val="24"/>
        </w:rPr>
        <w:t xml:space="preserve">result in many flight cancellations </w:t>
      </w:r>
      <w:r>
        <w:rPr>
          <w:rFonts w:ascii="Times New Roman" w:hAnsi="Times New Roman" w:cs="Times New Roman"/>
          <w:noProof/>
          <w:sz w:val="24"/>
          <w:szCs w:val="24"/>
        </w:rPr>
        <w:t>and delays, leaving passengers stranded at airports. These actions seriously affect the functioning of the internal market</w:t>
      </w:r>
      <w:r>
        <w:rPr>
          <w:rFonts w:ascii="Times New Roman" w:hAnsi="Times New Roman" w:cs="Times New Roman"/>
          <w:noProof/>
          <w:sz w:val="24"/>
          <w:szCs w:val="24"/>
          <w:vertAlign w:val="superscript"/>
        </w:rPr>
        <w:footnoteReference w:id="8"/>
      </w:r>
      <w:r>
        <w:rPr>
          <w:rFonts w:ascii="Times New Roman" w:hAnsi="Times New Roman" w:cs="Times New Roman"/>
          <w:noProof/>
          <w:sz w:val="24"/>
          <w:szCs w:val="24"/>
        </w:rPr>
        <w:t xml:space="preserve">. From 2005 to 2016, 243,660 flights were cancelled as a result of Air Traffic Management strikes, affecting an estimated 27 million </w:t>
      </w:r>
      <w:r>
        <w:rPr>
          <w:rFonts w:ascii="Times New Roman" w:hAnsi="Times New Roman" w:cs="Times New Roman"/>
          <w:noProof/>
          <w:sz w:val="24"/>
          <w:szCs w:val="24"/>
        </w:rPr>
        <w:t>passengers. Over the same period, costs of more than EUR 1 billion due to delays alone have been incurred by airlines as a result of Air Traffic Management industrial action.</w:t>
      </w:r>
    </w:p>
    <w:p w:rsidR="00DD67EC" w:rsidRDefault="00D93654">
      <w:pPr>
        <w:pStyle w:val="NormalWeb"/>
        <w:jc w:val="both"/>
        <w:rPr>
          <w:rFonts w:eastAsia="Calibri"/>
          <w:noProof/>
        </w:rPr>
      </w:pPr>
      <w:r>
        <w:rPr>
          <w:rFonts w:eastAsia="Calibri"/>
          <w:noProof/>
        </w:rPr>
        <w:t>The right to strike is a fundamental right</w:t>
      </w:r>
      <w:r>
        <w:rPr>
          <w:rStyle w:val="FootnoteReference"/>
          <w:rFonts w:eastAsia="Calibri"/>
          <w:noProof/>
        </w:rPr>
        <w:footnoteReference w:id="9"/>
      </w:r>
      <w:r>
        <w:rPr>
          <w:rFonts w:eastAsia="Calibri"/>
          <w:noProof/>
        </w:rPr>
        <w:t>. It is today governed in essence by n</w:t>
      </w:r>
      <w:r>
        <w:rPr>
          <w:rFonts w:eastAsia="Calibri"/>
          <w:noProof/>
        </w:rPr>
        <w:t>ational law. Some practices applied already today in various Member States help to reduce flight cancellations and delays for European travellers The Commission has identified a number of operational measures which could be implemented by stakeholders to a</w:t>
      </w:r>
      <w:r>
        <w:rPr>
          <w:rFonts w:eastAsia="Calibri"/>
          <w:noProof/>
        </w:rPr>
        <w:t>ddress these issues. These include improving social dialogue in Air Traffic Management sector - building upon the toolbox developed by the social partners, but also early notification of strikes by the unions, individual notification of staff members, prot</w:t>
      </w:r>
      <w:r>
        <w:rPr>
          <w:rFonts w:eastAsia="Calibri"/>
          <w:noProof/>
        </w:rPr>
        <w:t xml:space="preserve">ection of overflights and protection of air traffic peak periods. </w:t>
      </w:r>
    </w:p>
    <w:tbl>
      <w:tblPr>
        <w:tblStyle w:val="TableGrid"/>
        <w:tblW w:w="0" w:type="auto"/>
        <w:tblLook w:val="04A0" w:firstRow="1" w:lastRow="0" w:firstColumn="1" w:lastColumn="0" w:noHBand="0" w:noVBand="1"/>
      </w:tblPr>
      <w:tblGrid>
        <w:gridCol w:w="9288"/>
      </w:tblGrid>
      <w:tr w:rsidR="00DD67EC">
        <w:tc>
          <w:tcPr>
            <w:tcW w:w="9288" w:type="dxa"/>
          </w:tcPr>
          <w:p w:rsidR="00DD67EC" w:rsidRDefault="00D93654">
            <w:pPr>
              <w:pStyle w:val="NormalWeb"/>
              <w:spacing w:before="120" w:beforeAutospacing="0" w:after="60" w:afterAutospacing="0"/>
              <w:jc w:val="both"/>
              <w:rPr>
                <w:rFonts w:eastAsia="Calibri"/>
                <w:b/>
                <w:noProof/>
              </w:rPr>
            </w:pPr>
            <w:r>
              <w:rPr>
                <w:rFonts w:eastAsia="Calibri"/>
                <w:b/>
                <w:noProof/>
              </w:rPr>
              <w:t>The Commission:</w:t>
            </w:r>
          </w:p>
          <w:p w:rsidR="00DD67EC" w:rsidRDefault="00D93654">
            <w:pPr>
              <w:pStyle w:val="NormalWeb"/>
              <w:numPr>
                <w:ilvl w:val="0"/>
                <w:numId w:val="32"/>
              </w:numPr>
              <w:spacing w:before="120" w:beforeAutospacing="0" w:after="60" w:afterAutospacing="0"/>
              <w:jc w:val="both"/>
              <w:rPr>
                <w:rFonts w:eastAsia="Calibri"/>
                <w:b/>
                <w:noProof/>
              </w:rPr>
            </w:pPr>
            <w:r>
              <w:rPr>
                <w:rFonts w:eastAsia="Calibri"/>
                <w:b/>
                <w:noProof/>
              </w:rPr>
              <w:t>Encourages Member States and stakeholders, including social partners, to apply the following practices with a view to improving service continuity in air traffic management:</w:t>
            </w:r>
          </w:p>
          <w:p w:rsidR="00DD67EC" w:rsidRDefault="00D93654">
            <w:pPr>
              <w:pStyle w:val="ListParagraph"/>
              <w:numPr>
                <w:ilvl w:val="0"/>
                <w:numId w:val="31"/>
              </w:numPr>
              <w:spacing w:beforeLines="60" w:before="144" w:afterLines="60" w:after="144"/>
              <w:ind w:left="1200"/>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 xml:space="preserve">Promote a sound and efficient social dialogue in Air Traffic Management </w:t>
            </w:r>
            <w:r>
              <w:rPr>
                <w:rFonts w:ascii="Times New Roman" w:hAnsi="Times New Roman" w:cs="Times New Roman"/>
                <w:noProof/>
                <w:sz w:val="24"/>
                <w:szCs w:val="24"/>
              </w:rPr>
              <w:t xml:space="preserve"> </w:t>
            </w:r>
            <w:r>
              <w:rPr>
                <w:rFonts w:ascii="Times New Roman" w:hAnsi="Times New Roman" w:cs="Times New Roman"/>
                <w:b/>
                <w:noProof/>
                <w:sz w:val="24"/>
                <w:szCs w:val="24"/>
              </w:rPr>
              <w:t>undertakings</w:t>
            </w:r>
            <w:r>
              <w:rPr>
                <w:rFonts w:ascii="Times New Roman" w:hAnsi="Times New Roman" w:cs="Times New Roman"/>
                <w:noProof/>
                <w:sz w:val="24"/>
                <w:szCs w:val="24"/>
              </w:rPr>
              <w:t xml:space="preserve"> - Reducing the impact of industrial action on the Air Traffic Management network starts by reducing the probability of strikes through better social dialogue; </w:t>
            </w:r>
          </w:p>
          <w:p w:rsidR="00DD67EC" w:rsidRDefault="00D93654">
            <w:pPr>
              <w:pStyle w:val="ListParagraph"/>
              <w:numPr>
                <w:ilvl w:val="0"/>
                <w:numId w:val="31"/>
              </w:numPr>
              <w:spacing w:beforeLines="60" w:before="144" w:afterLines="60" w:after="144"/>
              <w:ind w:left="1200"/>
              <w:contextualSpacing w:val="0"/>
              <w:jc w:val="both"/>
              <w:rPr>
                <w:rFonts w:ascii="Times New Roman" w:hAnsi="Times New Roman" w:cs="Times New Roman"/>
                <w:noProof/>
                <w:sz w:val="24"/>
                <w:szCs w:val="24"/>
              </w:rPr>
            </w:pPr>
            <w:r>
              <w:rPr>
                <w:rFonts w:ascii="Times New Roman" w:hAnsi="Times New Roman" w:cs="Times New Roman"/>
                <w:b/>
                <w:noProof/>
                <w:sz w:val="24"/>
                <w:szCs w:val="24"/>
              </w:rPr>
              <w:t>Unions to</w:t>
            </w:r>
            <w:r>
              <w:rPr>
                <w:rFonts w:ascii="Times New Roman" w:hAnsi="Times New Roman" w:cs="Times New Roman"/>
                <w:b/>
                <w:noProof/>
                <w:sz w:val="24"/>
                <w:szCs w:val="24"/>
              </w:rPr>
              <w:t xml:space="preserve"> provide early notification of strikes</w:t>
            </w:r>
            <w:r>
              <w:rPr>
                <w:rFonts w:ascii="Times New Roman" w:hAnsi="Times New Roman"/>
                <w:b/>
                <w:noProof/>
                <w:sz w:val="24"/>
              </w:rPr>
              <w:t xml:space="preserve"> -</w:t>
            </w:r>
            <w:r>
              <w:rPr>
                <w:rFonts w:ascii="Times New Roman" w:hAnsi="Times New Roman" w:cs="Times New Roman"/>
                <w:noProof/>
                <w:sz w:val="24"/>
                <w:szCs w:val="24"/>
              </w:rPr>
              <w:t xml:space="preserve"> Providing  sufficient notice in advance of a strike in order to enable aviation stakeholders to prepare mitigation plans ahead of industrial action (e.g. at least 14 days prior to the beginning of the strike); </w:t>
            </w:r>
          </w:p>
          <w:p w:rsidR="00DD67EC" w:rsidRDefault="00D93654">
            <w:pPr>
              <w:pStyle w:val="ListParagraph"/>
              <w:numPr>
                <w:ilvl w:val="0"/>
                <w:numId w:val="31"/>
              </w:numPr>
              <w:spacing w:beforeLines="60" w:before="144" w:afterLines="60" w:after="144"/>
              <w:ind w:left="1200"/>
              <w:contextualSpacing w:val="0"/>
              <w:jc w:val="both"/>
              <w:rPr>
                <w:rFonts w:ascii="Times New Roman" w:hAnsi="Times New Roman" w:cs="Times New Roman"/>
                <w:noProof/>
                <w:sz w:val="24"/>
                <w:szCs w:val="24"/>
              </w:rPr>
            </w:pPr>
            <w:r>
              <w:rPr>
                <w:rFonts w:ascii="Times New Roman" w:eastAsia="Times New Roman" w:hAnsi="Times New Roman" w:cs="Times New Roman"/>
                <w:b/>
                <w:noProof/>
                <w:sz w:val="24"/>
                <w:szCs w:val="24"/>
              </w:rPr>
              <w:t>Staf</w:t>
            </w:r>
            <w:r>
              <w:rPr>
                <w:rFonts w:ascii="Times New Roman" w:eastAsia="Times New Roman" w:hAnsi="Times New Roman" w:cs="Times New Roman"/>
                <w:b/>
                <w:noProof/>
                <w:sz w:val="24"/>
                <w:szCs w:val="24"/>
              </w:rPr>
              <w:t xml:space="preserve">f members to provide individual notification of their participation to industrial action </w:t>
            </w:r>
            <w:r>
              <w:rPr>
                <w:rFonts w:ascii="Times New Roman" w:hAnsi="Times New Roman"/>
                <w:b/>
                <w:noProof/>
                <w:sz w:val="24"/>
              </w:rPr>
              <w:t>-</w:t>
            </w:r>
            <w:r>
              <w:rPr>
                <w:rFonts w:ascii="Times New Roman" w:eastAsia="Times New Roman" w:hAnsi="Times New Roman" w:cs="Times New Roman"/>
                <w:b/>
                <w:noProof/>
                <w:sz w:val="24"/>
                <w:szCs w:val="24"/>
              </w:rPr>
              <w:t xml:space="preserve"> </w:t>
            </w:r>
            <w:r>
              <w:rPr>
                <w:rFonts w:ascii="Times New Roman" w:hAnsi="Times New Roman" w:cs="Times New Roman"/>
                <w:noProof/>
                <w:sz w:val="24"/>
                <w:szCs w:val="24"/>
              </w:rPr>
              <w:t>Individual notification of staff members in sufficient time to allow the management to organise the air traffic and manage the staff upfront of the strike (e.g. 72 h</w:t>
            </w:r>
            <w:r>
              <w:rPr>
                <w:rFonts w:ascii="Times New Roman" w:hAnsi="Times New Roman" w:cs="Times New Roman"/>
                <w:noProof/>
                <w:sz w:val="24"/>
                <w:szCs w:val="24"/>
              </w:rPr>
              <w:t>ours prior to the beginning of the strike);</w:t>
            </w:r>
          </w:p>
          <w:p w:rsidR="00DD67EC" w:rsidRDefault="00D93654">
            <w:pPr>
              <w:pStyle w:val="ListParagraph"/>
              <w:numPr>
                <w:ilvl w:val="0"/>
                <w:numId w:val="31"/>
              </w:numPr>
              <w:spacing w:beforeLines="60" w:before="144" w:afterLines="60" w:after="144"/>
              <w:ind w:left="1200"/>
              <w:contextualSpacing w:val="0"/>
              <w:jc w:val="both"/>
              <w:rPr>
                <w:rFonts w:ascii="Times New Roman" w:hAnsi="Times New Roman" w:cs="Times New Roman"/>
                <w:i/>
                <w:noProof/>
                <w:sz w:val="24"/>
                <w:szCs w:val="24"/>
              </w:rPr>
            </w:pPr>
            <w:r>
              <w:rPr>
                <w:rFonts w:ascii="Times New Roman" w:hAnsi="Times New Roman" w:cs="Times New Roman"/>
                <w:b/>
                <w:noProof/>
                <w:sz w:val="24"/>
                <w:szCs w:val="24"/>
              </w:rPr>
              <w:t xml:space="preserve">Preserve </w:t>
            </w:r>
            <w:r>
              <w:rPr>
                <w:rFonts w:ascii="Times New Roman" w:eastAsia="Times New Roman" w:hAnsi="Times New Roman" w:cs="Times New Roman"/>
                <w:b/>
                <w:noProof/>
                <w:sz w:val="24"/>
                <w:szCs w:val="24"/>
              </w:rPr>
              <w:t>overflights</w:t>
            </w:r>
            <w:r>
              <w:rPr>
                <w:rFonts w:ascii="Times New Roman" w:hAnsi="Times New Roman" w:cs="Times New Roman"/>
                <w:b/>
                <w:noProof/>
                <w:sz w:val="24"/>
                <w:szCs w:val="24"/>
              </w:rPr>
              <w:t xml:space="preserve"> of Member States affected by strikes </w:t>
            </w:r>
            <w:r>
              <w:rPr>
                <w:rFonts w:ascii="Times New Roman" w:hAnsi="Times New Roman" w:cs="Times New Roman"/>
                <w:noProof/>
                <w:sz w:val="24"/>
                <w:szCs w:val="24"/>
              </w:rPr>
              <w:t xml:space="preserve">- Ensuring 100% continuity of service for flights crossing the airspace of strike-affected Member States will reduce considerably the impact on the entire European Air Traffic Management network; </w:t>
            </w:r>
          </w:p>
          <w:p w:rsidR="00DD67EC" w:rsidRDefault="00D93654">
            <w:pPr>
              <w:pStyle w:val="ListParagraph"/>
              <w:numPr>
                <w:ilvl w:val="0"/>
                <w:numId w:val="31"/>
              </w:numPr>
              <w:spacing w:beforeLines="60" w:before="144" w:afterLines="60" w:after="144"/>
              <w:ind w:left="1200"/>
              <w:contextualSpacing w:val="0"/>
              <w:jc w:val="both"/>
              <w:rPr>
                <w:rFonts w:ascii="Times New Roman" w:hAnsi="Times New Roman" w:cs="Times New Roman"/>
                <w:b/>
                <w:noProof/>
                <w:sz w:val="24"/>
                <w:szCs w:val="24"/>
              </w:rPr>
            </w:pPr>
            <w:bookmarkStart w:id="2" w:name="_Toc476663865"/>
            <w:bookmarkStart w:id="3" w:name="_Toc480797575"/>
            <w:r>
              <w:rPr>
                <w:rFonts w:ascii="Times New Roman" w:hAnsi="Times New Roman" w:cs="Times New Roman"/>
                <w:b/>
                <w:noProof/>
                <w:sz w:val="24"/>
                <w:szCs w:val="24"/>
              </w:rPr>
              <w:t>Protect air traffic peak periods</w:t>
            </w:r>
            <w:bookmarkEnd w:id="2"/>
            <w:bookmarkEnd w:id="3"/>
            <w:r>
              <w:rPr>
                <w:rFonts w:ascii="Times New Roman" w:hAnsi="Times New Roman" w:cs="Times New Roman"/>
                <w:b/>
                <w:noProof/>
                <w:sz w:val="24"/>
                <w:szCs w:val="24"/>
              </w:rPr>
              <w:t xml:space="preserve"> </w:t>
            </w:r>
            <w:r>
              <w:rPr>
                <w:rFonts w:ascii="Times New Roman" w:hAnsi="Times New Roman"/>
                <w:b/>
                <w:noProof/>
                <w:sz w:val="24"/>
              </w:rPr>
              <w:t>-</w:t>
            </w:r>
            <w:r>
              <w:rPr>
                <w:rFonts w:ascii="Times New Roman" w:hAnsi="Times New Roman" w:cs="Times New Roman"/>
                <w:b/>
                <w:noProof/>
                <w:sz w:val="24"/>
                <w:szCs w:val="24"/>
              </w:rPr>
              <w:t xml:space="preserve"> </w:t>
            </w:r>
            <w:r>
              <w:rPr>
                <w:rFonts w:ascii="Times New Roman" w:hAnsi="Times New Roman" w:cs="Times New Roman"/>
                <w:noProof/>
                <w:sz w:val="24"/>
                <w:szCs w:val="24"/>
              </w:rPr>
              <w:t>Strikes occurring during</w:t>
            </w:r>
            <w:r>
              <w:rPr>
                <w:rFonts w:ascii="Times New Roman" w:hAnsi="Times New Roman" w:cs="Times New Roman"/>
                <w:noProof/>
                <w:sz w:val="24"/>
                <w:szCs w:val="24"/>
              </w:rPr>
              <w:t xml:space="preserve"> peak periods of the day and peak periods of the year should be avoided.</w:t>
            </w:r>
          </w:p>
          <w:p w:rsidR="00DD67EC" w:rsidRDefault="00D93654">
            <w:pPr>
              <w:pStyle w:val="NormalWeb"/>
              <w:numPr>
                <w:ilvl w:val="0"/>
                <w:numId w:val="32"/>
              </w:numPr>
              <w:spacing w:before="120" w:beforeAutospacing="0" w:after="60" w:afterAutospacing="0"/>
              <w:jc w:val="both"/>
              <w:rPr>
                <w:rFonts w:eastAsia="Calibri"/>
                <w:b/>
                <w:noProof/>
              </w:rPr>
            </w:pPr>
            <w:r>
              <w:rPr>
                <w:rFonts w:eastAsia="Calibri"/>
                <w:b/>
                <w:noProof/>
              </w:rPr>
              <w:t>Encourages operational stakeholders and the Network Manager to reinforce their cooperation to address traffic disruptions in the event of strikes and further develop existing mitigati</w:t>
            </w:r>
            <w:r>
              <w:rPr>
                <w:rFonts w:eastAsia="Calibri"/>
                <w:b/>
                <w:noProof/>
              </w:rPr>
              <w:t>on measures. Air navigation service providers are encouraged to enter into cooperative agreements, on bilateral or multilateral bases, to improve service continuity in the event of strikes. The Network Manager should monitor progress in that area through a</w:t>
            </w:r>
            <w:r>
              <w:rPr>
                <w:rFonts w:eastAsia="Calibri"/>
                <w:b/>
                <w:noProof/>
              </w:rPr>
              <w:t xml:space="preserve"> strike registry. </w:t>
            </w:r>
          </w:p>
          <w:p w:rsidR="00DD67EC" w:rsidRDefault="00D93654">
            <w:pPr>
              <w:pStyle w:val="NormalWeb"/>
              <w:numPr>
                <w:ilvl w:val="0"/>
                <w:numId w:val="32"/>
              </w:numPr>
              <w:spacing w:before="120" w:beforeAutospacing="0" w:after="60" w:afterAutospacing="0"/>
              <w:jc w:val="both"/>
              <w:rPr>
                <w:rFonts w:eastAsia="Calibri"/>
                <w:b/>
                <w:noProof/>
              </w:rPr>
            </w:pPr>
            <w:r>
              <w:rPr>
                <w:b/>
                <w:noProof/>
              </w:rPr>
              <w:t>W</w:t>
            </w:r>
            <w:r>
              <w:rPr>
                <w:rFonts w:eastAsia="Calibri"/>
                <w:b/>
                <w:noProof/>
              </w:rPr>
              <w:t>ill, together with stakeholders, further explore the concept of a more integrated operating European Airspace with a view to ensuring optimal continuity of service. It will also investigate measures in the Single European Sky performanc</w:t>
            </w:r>
            <w:r>
              <w:rPr>
                <w:rFonts w:eastAsia="Calibri"/>
                <w:b/>
                <w:noProof/>
              </w:rPr>
              <w:t xml:space="preserve">e framework to better reflect the impact of strikes on Air Traffic Management performance. </w:t>
            </w:r>
          </w:p>
          <w:p w:rsidR="00DD67EC" w:rsidRDefault="00D93654">
            <w:pPr>
              <w:pStyle w:val="NormalWeb"/>
              <w:numPr>
                <w:ilvl w:val="0"/>
                <w:numId w:val="32"/>
              </w:numPr>
              <w:spacing w:before="120" w:beforeAutospacing="0" w:after="60" w:afterAutospacing="0"/>
              <w:jc w:val="both"/>
              <w:rPr>
                <w:rFonts w:eastAsia="Calibri"/>
                <w:b/>
                <w:noProof/>
              </w:rPr>
            </w:pPr>
            <w:r>
              <w:rPr>
                <w:rFonts w:eastAsia="Calibri"/>
                <w:b/>
                <w:noProof/>
              </w:rPr>
              <w:t>Urges the co-legislators to swiftly adopt the Single European Sky (SES 2+) proposals and will continue to work with the Member States and other stakeholders towards</w:t>
            </w:r>
            <w:r>
              <w:rPr>
                <w:rFonts w:eastAsia="Calibri"/>
                <w:b/>
                <w:noProof/>
              </w:rPr>
              <w:t xml:space="preserve"> the full implementation of the Single European Sky.</w:t>
            </w:r>
          </w:p>
        </w:tc>
      </w:tr>
    </w:tbl>
    <w:p w:rsidR="00DD67EC" w:rsidRDefault="00DD67EC">
      <w:pPr>
        <w:jc w:val="both"/>
        <w:rPr>
          <w:rFonts w:ascii="Times New Roman" w:hAnsi="Times New Roman" w:cs="Times New Roman"/>
          <w:b/>
          <w:i/>
          <w:noProof/>
          <w:sz w:val="24"/>
          <w:szCs w:val="24"/>
        </w:rPr>
      </w:pPr>
    </w:p>
    <w:p w:rsidR="00DD67EC" w:rsidRDefault="00D93654">
      <w:pPr>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4. CONCLUSION</w:t>
      </w:r>
    </w:p>
    <w:p w:rsidR="00DD67EC" w:rsidRDefault="00D93654">
      <w:pPr>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strong, competitive and sustainable European aviation sector is essential to support the EU's economy. </w:t>
      </w:r>
    </w:p>
    <w:p w:rsidR="00DD67EC" w:rsidRDefault="00D93654">
      <w:pPr>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EU aviation should remain a leader internationally. This should notably be enabled by tapping into new international markets and by ensuring open competition between all airlines. Foreign investment into EU airlines should also be facilitated. </w:t>
      </w:r>
    </w:p>
    <w:p w:rsidR="00DD67EC" w:rsidRDefault="00D93654">
      <w:pPr>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shou</w:t>
      </w:r>
      <w:r>
        <w:rPr>
          <w:rFonts w:ascii="Times New Roman" w:hAnsi="Times New Roman" w:cs="Times New Roman"/>
          <w:noProof/>
          <w:sz w:val="24"/>
          <w:szCs w:val="24"/>
        </w:rPr>
        <w:t xml:space="preserve">ld also enjoy broad connectivity and maximise the efficiency of its airspace. Action both at EU and national levels will allow the aviation sector to operate efficiently, in cases of market failure or air traffic disruptions.    </w:t>
      </w:r>
    </w:p>
    <w:p w:rsidR="00DD67EC" w:rsidRDefault="00D93654">
      <w:pPr>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above actions are nece</w:t>
      </w:r>
      <w:r>
        <w:rPr>
          <w:rFonts w:ascii="Times New Roman" w:hAnsi="Times New Roman" w:cs="Times New Roman"/>
          <w:noProof/>
          <w:sz w:val="24"/>
          <w:szCs w:val="24"/>
        </w:rPr>
        <w:t>ssary to have an open and connected aviation market that directly benefits EU citizens, workers and businesses.</w:t>
      </w:r>
    </w:p>
    <w:sectPr w:rsidR="00DD67EC">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7EC" w:rsidRDefault="00D93654">
      <w:pPr>
        <w:spacing w:after="0" w:line="240" w:lineRule="auto"/>
      </w:pPr>
      <w:r>
        <w:separator/>
      </w:r>
    </w:p>
  </w:endnote>
  <w:endnote w:type="continuationSeparator" w:id="0">
    <w:p w:rsidR="00DD67EC" w:rsidRDefault="00D93654">
      <w:pPr>
        <w:spacing w:after="0" w:line="240" w:lineRule="auto"/>
      </w:pPr>
      <w:r>
        <w:continuationSeparator/>
      </w:r>
    </w:p>
  </w:endnote>
  <w:endnote w:type="continuationNotice" w:id="1">
    <w:p w:rsidR="00DD67EC" w:rsidRDefault="00DD67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harter ITC Std">
    <w:altName w:val="Charter ITC St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654" w:rsidRPr="00D93654" w:rsidRDefault="00D93654" w:rsidP="00D936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654" w:rsidRPr="00D93654" w:rsidRDefault="00D93654" w:rsidP="00D93654">
    <w:pPr>
      <w:pStyle w:val="FooterCoverPage"/>
      <w:rPr>
        <w:rFonts w:ascii="Arial" w:hAnsi="Arial" w:cs="Arial"/>
        <w:b/>
        <w:sz w:val="48"/>
      </w:rPr>
    </w:pPr>
    <w:r w:rsidRPr="00D93654">
      <w:rPr>
        <w:rFonts w:ascii="Arial" w:hAnsi="Arial" w:cs="Arial"/>
        <w:b/>
        <w:sz w:val="48"/>
      </w:rPr>
      <w:t>EN</w:t>
    </w:r>
    <w:r w:rsidRPr="00D93654">
      <w:rPr>
        <w:rFonts w:ascii="Arial" w:hAnsi="Arial" w:cs="Arial"/>
        <w:b/>
        <w:sz w:val="48"/>
      </w:rPr>
      <w:tab/>
    </w:r>
    <w:r w:rsidRPr="00D93654">
      <w:rPr>
        <w:rFonts w:ascii="Arial" w:hAnsi="Arial" w:cs="Arial"/>
        <w:b/>
        <w:sz w:val="48"/>
      </w:rPr>
      <w:tab/>
    </w:r>
    <w:fldSimple w:instr=" DOCVARIABLE &quot;LW_Confidence&quot; \* MERGEFORMAT ">
      <w:r>
        <w:t xml:space="preserve"> </w:t>
      </w:r>
    </w:fldSimple>
    <w:r w:rsidRPr="00D93654">
      <w:tab/>
    </w:r>
    <w:r w:rsidRPr="00D93654">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654" w:rsidRPr="00D93654" w:rsidRDefault="00D93654" w:rsidP="00D93654">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7EC" w:rsidRDefault="00DD67E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7EC" w:rsidRDefault="00D93654">
    <w:pPr>
      <w:tabs>
        <w:tab w:val="center" w:pos="4535"/>
        <w:tab w:val="right" w:pos="9071"/>
        <w:tab w:val="right" w:pos="9921"/>
      </w:tabs>
      <w:spacing w:before="360" w:after="0" w:line="240" w:lineRule="auto"/>
      <w:ind w:left="-850" w:right="-850"/>
      <w:jc w:val="center"/>
      <w:rPr>
        <w:rFonts w:ascii="Arial" w:eastAsia="Times New Roman" w:hAnsi="Arial" w:cs="Arial"/>
        <w:b/>
        <w:sz w:val="48"/>
        <w:szCs w:val="24"/>
      </w:rPr>
    </w:pPr>
    <w:r>
      <w:rPr>
        <w:rFonts w:ascii="Arial" w:eastAsia="Times New Roman" w:hAnsi="Arial" w:cs="Arial"/>
        <w:b/>
        <w:sz w:val="48"/>
        <w:szCs w:val="24"/>
      </w:rPr>
      <w:t>EN</w:t>
    </w:r>
    <w:r>
      <w:rPr>
        <w:rFonts w:ascii="Arial" w:eastAsia="Times New Roman" w:hAnsi="Arial" w:cs="Arial"/>
        <w:b/>
        <w:sz w:val="48"/>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 MERGEFORMAT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DOCPROPERTY "Classification" \* MERGEFORMAT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r>
    <w:r>
      <w:rPr>
        <w:rFonts w:ascii="Arial" w:eastAsia="Times New Roman" w:hAnsi="Arial" w:cs="Arial"/>
        <w:b/>
        <w:sz w:val="48"/>
        <w:szCs w:val="24"/>
      </w:rPr>
      <w:t>EN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7EC" w:rsidRDefault="00DD67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7EC" w:rsidRDefault="00D93654">
      <w:pPr>
        <w:spacing w:after="0" w:line="240" w:lineRule="auto"/>
      </w:pPr>
      <w:r>
        <w:separator/>
      </w:r>
    </w:p>
  </w:footnote>
  <w:footnote w:type="continuationSeparator" w:id="0">
    <w:p w:rsidR="00DD67EC" w:rsidRDefault="00D93654">
      <w:pPr>
        <w:spacing w:after="0" w:line="240" w:lineRule="auto"/>
      </w:pPr>
      <w:r>
        <w:continuationSeparator/>
      </w:r>
    </w:p>
  </w:footnote>
  <w:footnote w:type="continuationNotice" w:id="1">
    <w:p w:rsidR="00DD67EC" w:rsidRDefault="00DD67EC">
      <w:pPr>
        <w:spacing w:after="0" w:line="240" w:lineRule="auto"/>
      </w:pPr>
    </w:p>
  </w:footnote>
  <w:footnote w:id="2">
    <w:p w:rsidR="00DD67EC" w:rsidRDefault="00D93654">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Communication from the Commission 'An Aviation </w:t>
      </w:r>
      <w:r>
        <w:rPr>
          <w:rFonts w:ascii="Times New Roman" w:hAnsi="Times New Roman" w:cs="Times New Roman"/>
        </w:rPr>
        <w:t>Strategy for Europe', COM/2015/0598 final.</w:t>
      </w:r>
    </w:p>
  </w:footnote>
  <w:footnote w:id="3">
    <w:p w:rsidR="00DD67EC" w:rsidRDefault="00D93654">
      <w:pPr>
        <w:pStyle w:val="FootnoteText"/>
        <w:ind w:left="720" w:hanging="720"/>
        <w:jc w:val="both"/>
      </w:pPr>
      <w:r>
        <w:rPr>
          <w:rFonts w:ascii="Times New Roman"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rPr>
        <w:tab/>
      </w:r>
      <w:hyperlink r:id="rId1" w:history="1">
        <w:r>
          <w:rPr>
            <w:rFonts w:ascii="Times New Roman" w:hAnsi="Times New Roman" w:cs="Times New Roman"/>
          </w:rPr>
          <w:t>http://ec.europa.eu/transport/modes/air/aviation-strategy/external_policy</w:t>
        </w:r>
      </w:hyperlink>
      <w:r>
        <w:t>.</w:t>
      </w:r>
    </w:p>
  </w:footnote>
  <w:footnote w:id="4">
    <w:p w:rsidR="00DD67EC" w:rsidRDefault="00D93654">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(EC) No 868/2004 concerning pro</w:t>
      </w:r>
      <w:r>
        <w:rPr>
          <w:rFonts w:ascii="Times New Roman" w:hAnsi="Times New Roman" w:cs="Times New Roman"/>
        </w:rPr>
        <w:t>tection against subsidisation and unfair pricing practices causing injury to Community air carriers in the supply of air services from countries not members of the European Community.</w:t>
      </w:r>
    </w:p>
  </w:footnote>
  <w:footnote w:id="5">
    <w:p w:rsidR="00DD67EC" w:rsidRDefault="00D9365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s="Times New Roman"/>
        </w:rPr>
        <w:tab/>
      </w:r>
      <w:r>
        <w:rPr>
          <w:rFonts w:ascii="Times New Roman" w:hAnsi="Times New Roman"/>
        </w:rPr>
        <w:t>Regulation (EC) No 1008/2008</w:t>
      </w:r>
      <w:r>
        <w:rPr>
          <w:rFonts w:ascii="Times New Roman" w:eastAsia="Calibri" w:hAnsi="Times New Roman" w:cs="Times New Roman"/>
        </w:rPr>
        <w:t>.</w:t>
      </w:r>
    </w:p>
  </w:footnote>
  <w:footnote w:id="6">
    <w:p w:rsidR="00DD67EC" w:rsidRDefault="00D9365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Proposals will be subject to </w:t>
      </w:r>
      <w:r>
        <w:rPr>
          <w:rFonts w:ascii="Times New Roman" w:hAnsi="Times New Roman" w:cs="Times New Roman"/>
        </w:rPr>
        <w:t>Commission better regulation requirements.</w:t>
      </w:r>
    </w:p>
  </w:footnote>
  <w:footnote w:id="7">
    <w:p w:rsidR="00DD67EC" w:rsidRDefault="00D93654">
      <w:pPr>
        <w:pStyle w:val="FootnoteText"/>
        <w:ind w:left="709" w:hanging="709"/>
        <w:jc w:val="both"/>
      </w:pPr>
      <w:r>
        <w:rPr>
          <w:rStyle w:val="FootnoteReference"/>
        </w:rPr>
        <w:footnoteRef/>
      </w:r>
      <w:r>
        <w:t xml:space="preserve"> </w:t>
      </w:r>
      <w:r>
        <w:tab/>
      </w:r>
      <w:r>
        <w:rPr>
          <w:rFonts w:ascii="Times New Roman" w:hAnsi="Times New Roman" w:cs="Times New Roman"/>
          <w:sz w:val="18"/>
          <w:szCs w:val="18"/>
        </w:rPr>
        <w:t xml:space="preserve">In 2016, ATFM </w:t>
      </w:r>
      <w:proofErr w:type="spellStart"/>
      <w:r>
        <w:rPr>
          <w:rFonts w:ascii="Times New Roman" w:hAnsi="Times New Roman" w:cs="Times New Roman"/>
          <w:sz w:val="18"/>
          <w:szCs w:val="18"/>
        </w:rPr>
        <w:t>en</w:t>
      </w:r>
      <w:proofErr w:type="spellEnd"/>
      <w:r>
        <w:rPr>
          <w:rFonts w:ascii="Times New Roman" w:hAnsi="Times New Roman" w:cs="Times New Roman"/>
          <w:sz w:val="18"/>
          <w:szCs w:val="18"/>
        </w:rPr>
        <w:t>-route delays were due to the following causes in the following proportions: ATC capacity/staffing (57%), weather conditions (19%), ATM strikes (14%) and other events (9%).</w:t>
      </w:r>
    </w:p>
  </w:footnote>
  <w:footnote w:id="8">
    <w:p w:rsidR="00DD67EC" w:rsidRDefault="00D93654">
      <w:pPr>
        <w:pStyle w:val="FootnoteText"/>
        <w:ind w:left="720" w:hanging="720"/>
        <w:jc w:val="both"/>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sz w:val="18"/>
        </w:rPr>
        <w:t xml:space="preserve">Indeed, since the </w:t>
      </w:r>
      <w:r>
        <w:rPr>
          <w:rFonts w:ascii="Times New Roman" w:hAnsi="Times New Roman"/>
          <w:sz w:val="18"/>
        </w:rPr>
        <w:t xml:space="preserve">launch of the Single European Sky in 2004, the EU aviation network has been subject to 375 days of strikes, the equivalent of more than a year of strike over a thirteen-year period. </w:t>
      </w:r>
    </w:p>
  </w:footnote>
  <w:footnote w:id="9">
    <w:p w:rsidR="00DD67EC" w:rsidRDefault="00D93654">
      <w:pPr>
        <w:pStyle w:val="FootnoteText"/>
        <w:ind w:left="709" w:hanging="709"/>
        <w:jc w:val="both"/>
      </w:pPr>
      <w:r>
        <w:rPr>
          <w:rStyle w:val="FootnoteReference"/>
        </w:rPr>
        <w:footnoteRef/>
      </w:r>
      <w:r>
        <w:t xml:space="preserve"> </w:t>
      </w:r>
      <w:r>
        <w:tab/>
        <w:t>E</w:t>
      </w:r>
      <w:r>
        <w:rPr>
          <w:rFonts w:ascii="Times New Roman" w:hAnsi="Times New Roman" w:cs="Times New Roman"/>
          <w:sz w:val="18"/>
          <w:szCs w:val="18"/>
        </w:rPr>
        <w:t xml:space="preserve">nshrined in Article 28 of the Charter of Fundamental Rights which </w:t>
      </w:r>
      <w:r>
        <w:rPr>
          <w:rFonts w:ascii="Times New Roman" w:hAnsi="Times New Roman" w:cs="Times New Roman"/>
          <w:sz w:val="18"/>
          <w:szCs w:val="18"/>
        </w:rPr>
        <w:t xml:space="preserve">provides that: "Workers and employers, or their respective organisations, have, in accordance with Union law and national laws and practices, the right to negotiate and conclude collective agreements at the appropriate levels and, in cases of conflicts of </w:t>
      </w:r>
      <w:r>
        <w:rPr>
          <w:rFonts w:ascii="Times New Roman" w:hAnsi="Times New Roman" w:cs="Times New Roman"/>
          <w:sz w:val="18"/>
          <w:szCs w:val="18"/>
        </w:rPr>
        <w:t>interest, to take collective action to defend their interests, including strike action". See also Article 6 of the European Social Charter (revised) which recognises the right of workers and employers to collective action in cases of conflicts of interest,</w:t>
      </w:r>
      <w:r>
        <w:rPr>
          <w:rFonts w:ascii="Times New Roman" w:hAnsi="Times New Roman" w:cs="Times New Roman"/>
          <w:sz w:val="18"/>
          <w:szCs w:val="18"/>
        </w:rPr>
        <w:t xml:space="preserve"> including the right to strike.</w:t>
      </w:r>
    </w:p>
    <w:p w:rsidR="00DD67EC" w:rsidRDefault="00DD67E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654" w:rsidRPr="00D93654" w:rsidRDefault="00D93654" w:rsidP="00D936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654" w:rsidRPr="00D93654" w:rsidRDefault="00D93654" w:rsidP="00D93654">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654" w:rsidRPr="00D93654" w:rsidRDefault="00D93654" w:rsidP="00D93654">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7EC" w:rsidRDefault="00DD67E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7EC" w:rsidRDefault="00DD67E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7EC" w:rsidRDefault="00DD67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DB055B"/>
    <w:multiLevelType w:val="hybridMultilevel"/>
    <w:tmpl w:val="3BAB7A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913581"/>
    <w:multiLevelType w:val="hybridMultilevel"/>
    <w:tmpl w:val="90CC5B3A"/>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nsid w:val="03BB5F30"/>
    <w:multiLevelType w:val="hybridMultilevel"/>
    <w:tmpl w:val="168675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5B733C"/>
    <w:multiLevelType w:val="hybridMultilevel"/>
    <w:tmpl w:val="0CB86074"/>
    <w:lvl w:ilvl="0" w:tplc="55A4F6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8D6C4B"/>
    <w:multiLevelType w:val="hybridMultilevel"/>
    <w:tmpl w:val="7DA0EE3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0354589"/>
    <w:multiLevelType w:val="hybridMultilevel"/>
    <w:tmpl w:val="99BC469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515CCA"/>
    <w:multiLevelType w:val="hybridMultilevel"/>
    <w:tmpl w:val="A5B8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3C1DE3"/>
    <w:multiLevelType w:val="hybridMultilevel"/>
    <w:tmpl w:val="974A88D4"/>
    <w:lvl w:ilvl="0" w:tplc="AE384266">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2914212"/>
    <w:multiLevelType w:val="hybridMultilevel"/>
    <w:tmpl w:val="23865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62817D3"/>
    <w:multiLevelType w:val="hybridMultilevel"/>
    <w:tmpl w:val="61207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7B001E"/>
    <w:multiLevelType w:val="multilevel"/>
    <w:tmpl w:val="FB1E3032"/>
    <w:lvl w:ilvl="0">
      <w:start w:val="1"/>
      <w:numFmt w:val="decimal"/>
      <w:lvlText w:val="2.%1."/>
      <w:lvlJc w:val="left"/>
      <w:pPr>
        <w:ind w:left="432" w:hanging="432"/>
      </w:pPr>
      <w:rPr>
        <w:rFonts w:ascii="Times New Roman" w:hAnsi="Times New Roman" w:hint="default"/>
        <w:b w:val="0"/>
        <w:i w:val="0"/>
        <w:caps w:val="0"/>
        <w:strike w:val="0"/>
        <w:dstrike w:val="0"/>
        <w:vanish w:val="0"/>
        <w:sz w:val="24"/>
        <w:u w:val="single"/>
        <w:vertAlign w:val="baseli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29F6770C"/>
    <w:multiLevelType w:val="hybridMultilevel"/>
    <w:tmpl w:val="98FA2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73570E"/>
    <w:multiLevelType w:val="hybridMultilevel"/>
    <w:tmpl w:val="FEC8E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564F4F"/>
    <w:multiLevelType w:val="hybridMultilevel"/>
    <w:tmpl w:val="795A0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9D97C2B"/>
    <w:multiLevelType w:val="hybridMultilevel"/>
    <w:tmpl w:val="A586B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2DE1317"/>
    <w:multiLevelType w:val="hybridMultilevel"/>
    <w:tmpl w:val="F488B0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9A0F43"/>
    <w:multiLevelType w:val="hybridMultilevel"/>
    <w:tmpl w:val="68EEE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4DA16E4"/>
    <w:multiLevelType w:val="hybridMultilevel"/>
    <w:tmpl w:val="A0B4B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FF7AD7"/>
    <w:multiLevelType w:val="hybridMultilevel"/>
    <w:tmpl w:val="16C84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F455384"/>
    <w:multiLevelType w:val="hybridMultilevel"/>
    <w:tmpl w:val="50F2B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FE968C6"/>
    <w:multiLevelType w:val="hybridMultilevel"/>
    <w:tmpl w:val="022C9D5E"/>
    <w:lvl w:ilvl="0" w:tplc="D0445F14">
      <w:start w:val="1"/>
      <w:numFmt w:val="decimal"/>
      <w:lvlText w:val="%1."/>
      <w:lvlJc w:val="left"/>
      <w:pPr>
        <w:ind w:left="720" w:hanging="360"/>
      </w:pPr>
      <w:rPr>
        <w:rFonts w:ascii="Times New Roman" w:hAnsi="Times New Roman" w:cs="Times New Roman"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1F03804"/>
    <w:multiLevelType w:val="hybridMultilevel"/>
    <w:tmpl w:val="6C4E8406"/>
    <w:lvl w:ilvl="0" w:tplc="08090003">
      <w:start w:val="1"/>
      <w:numFmt w:val="bullet"/>
      <w:lvlText w:val="o"/>
      <w:lvlJc w:val="left"/>
      <w:pPr>
        <w:ind w:left="1437" w:hanging="360"/>
      </w:pPr>
      <w:rPr>
        <w:rFonts w:ascii="Courier New" w:hAnsi="Courier New" w:cs="Courier New"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23">
    <w:nsid w:val="69553DBC"/>
    <w:multiLevelType w:val="hybridMultilevel"/>
    <w:tmpl w:val="E8CA0C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FF023BC"/>
    <w:multiLevelType w:val="hybridMultilevel"/>
    <w:tmpl w:val="49EAF6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477111"/>
    <w:multiLevelType w:val="hybridMultilevel"/>
    <w:tmpl w:val="A09C0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2BE3865"/>
    <w:multiLevelType w:val="hybridMultilevel"/>
    <w:tmpl w:val="5EF670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B5B7CF3"/>
    <w:multiLevelType w:val="hybridMultilevel"/>
    <w:tmpl w:val="06C321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9">
    <w:nsid w:val="7CF815FC"/>
    <w:multiLevelType w:val="hybridMultilevel"/>
    <w:tmpl w:val="24B6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E1674D2"/>
    <w:multiLevelType w:val="hybridMultilevel"/>
    <w:tmpl w:val="F35A6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3"/>
  </w:num>
  <w:num w:numId="3">
    <w:abstractNumId w:val="15"/>
  </w:num>
  <w:num w:numId="4">
    <w:abstractNumId w:val="6"/>
  </w:num>
  <w:num w:numId="5">
    <w:abstractNumId w:val="18"/>
  </w:num>
  <w:num w:numId="6">
    <w:abstractNumId w:val="27"/>
  </w:num>
  <w:num w:numId="7">
    <w:abstractNumId w:val="0"/>
  </w:num>
  <w:num w:numId="8">
    <w:abstractNumId w:val="11"/>
  </w:num>
  <w:num w:numId="9">
    <w:abstractNumId w:val="9"/>
  </w:num>
  <w:num w:numId="10">
    <w:abstractNumId w:val="9"/>
  </w:num>
  <w:num w:numId="11">
    <w:abstractNumId w:val="20"/>
  </w:num>
  <w:num w:numId="12">
    <w:abstractNumId w:val="28"/>
  </w:num>
  <w:num w:numId="13">
    <w:abstractNumId w:val="30"/>
  </w:num>
  <w:num w:numId="14">
    <w:abstractNumId w:val="5"/>
  </w:num>
  <w:num w:numId="15">
    <w:abstractNumId w:val="10"/>
  </w:num>
  <w:num w:numId="16">
    <w:abstractNumId w:val="12"/>
  </w:num>
  <w:num w:numId="17">
    <w:abstractNumId w:val="13"/>
  </w:num>
  <w:num w:numId="18">
    <w:abstractNumId w:val="14"/>
  </w:num>
  <w:num w:numId="19">
    <w:abstractNumId w:val="19"/>
  </w:num>
  <w:num w:numId="20">
    <w:abstractNumId w:val="8"/>
  </w:num>
  <w:num w:numId="21">
    <w:abstractNumId w:val="25"/>
  </w:num>
  <w:num w:numId="22">
    <w:abstractNumId w:val="4"/>
  </w:num>
  <w:num w:numId="23">
    <w:abstractNumId w:val="26"/>
  </w:num>
  <w:num w:numId="24">
    <w:abstractNumId w:val="7"/>
  </w:num>
  <w:num w:numId="25">
    <w:abstractNumId w:val="2"/>
  </w:num>
  <w:num w:numId="26">
    <w:abstractNumId w:val="23"/>
  </w:num>
  <w:num w:numId="27">
    <w:abstractNumId w:val="1"/>
  </w:num>
  <w:num w:numId="28">
    <w:abstractNumId w:val="17"/>
  </w:num>
  <w:num w:numId="29">
    <w:abstractNumId w:val="24"/>
  </w:num>
  <w:num w:numId="30">
    <w:abstractNumId w:val="16"/>
  </w:num>
  <w:num w:numId="31">
    <w:abstractNumId w:val="22"/>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56B9C72AE61B41A991F084C4BE516010"/>
    <w:docVar w:name="LW_CROSSREFERENCE" w:val="{SWD(2017) 207 final}"/>
    <w:docVar w:name="LW_DocType" w:val="NORMAL"/>
    <w:docVar w:name="LW_EMISSION" w:val="8.6.2017"/>
    <w:docVar w:name="LW_EMISSION_ISODATE" w:val="2017-06-08"/>
    <w:docVar w:name="LW_EMISSION_LOCATION" w:val="BRX"/>
    <w:docVar w:name="LW_EMISSION_PREFIX" w:val="Brussels,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286"/>
    <w:docVar w:name="LW_REF.INTERNE" w:val="&lt;UNUSED&gt;"/>
    <w:docVar w:name="LW_SOUS.TITRE.OBJ.CP" w:val="&lt;UNUSED&gt;"/>
    <w:docVar w:name="LW_SUPERTITRE" w:val="&lt;UNUSED&gt;"/>
    <w:docVar w:name="LW_TITRE.OBJ.CP" w:val="Aviation: Open and Connected Europe"/>
    <w:docVar w:name="LW_TYPE.DOC.CP" w:val="COMMUNICATION FROM THE COMMISSION TO THE EUROPEAN PARLIAMENT, THE COUNCIL, THE EUROPEAN ECONOMIC AND SOCIAL COMMITTEE AND THE COMMITTEE OF THE REGIONS"/>
    <w:docVar w:name="LW_TYPE.DOC.CP.USERTEXT" w:val="&lt;EMPTY&gt;"/>
  </w:docVars>
  <w:rsids>
    <w:rsidRoot w:val="00DD67EC"/>
    <w:rsid w:val="00D93654"/>
    <w:rsid w:val="00DD67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numPr>
        <w:ilvl w:val="1"/>
        <w:numId w:val="8"/>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8"/>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8"/>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lang w:val="fr-BE"/>
    </w:rPr>
  </w:style>
  <w:style w:type="character" w:customStyle="1" w:styleId="FooterCoverPageChar">
    <w:name w:val="Footer Cover Page Char"/>
    <w:basedOn w:val="DefaultParagraphFont"/>
    <w:link w:val="FooterCoverPage"/>
    <w:rPr>
      <w:rFonts w:ascii="Times New Roman" w:hAnsi="Times New Roman" w:cs="Times New Roman"/>
      <w:sz w:val="24"/>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lang w:val="fr-BE"/>
    </w:rPr>
  </w:style>
  <w:style w:type="character" w:customStyle="1" w:styleId="HeaderCoverPageChar">
    <w:name w:val="Header Cover Page Char"/>
    <w:basedOn w:val="DefaultParagraphFont"/>
    <w:link w:val="HeaderCoverPage"/>
    <w:rPr>
      <w:rFonts w:ascii="Times New Roman" w:hAnsi="Times New Roman" w:cs="Times New Roman"/>
      <w:sz w:val="24"/>
      <w:lang w:val="fr-B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dia-copyright">
    <w:name w:val="media-copyrigh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FootnoteText">
    <w:name w:val="footnote text"/>
    <w:aliases w:val="Fußnotentextf,Fußnotentextr,stile 1,Footnote,Footnote1,Footnote2,Footnote3,Footnote4,Footnote5,Footnote6,Footnote7,Footnote8,Footnote9,Footnote10,Footnote11,Footnote21,Footnote31,Footnote41,Footnote51,Footnote61,Footnote71"/>
    <w:basedOn w:val="Normal"/>
    <w:link w:val="FootnoteTextChar"/>
    <w:uiPriority w:val="99"/>
    <w:unhideWhenUsed/>
    <w:pPr>
      <w:spacing w:after="0" w:line="240" w:lineRule="auto"/>
    </w:pPr>
    <w:rPr>
      <w:sz w:val="20"/>
      <w:szCs w:val="20"/>
    </w:rPr>
  </w:style>
  <w:style w:type="character" w:customStyle="1" w:styleId="FootnoteTextChar">
    <w:name w:val="Footnote Text Char"/>
    <w:aliases w:val="Fußnotentextf Char,Fußnotentextr Char,stile 1 Char,Footnote Char,Footnote1 Char,Footnote2 Char,Footnote3 Char,Footnote4 Char,Footnote5 Char,Footnote6 Char,Footnote7 Char,Footnote8 Char,Footnote9 Char,Footnote10 Char,Footnote11 Char"/>
    <w:basedOn w:val="DefaultParagraphFont"/>
    <w:link w:val="FootnoteText"/>
    <w:uiPriority w:val="99"/>
    <w:rPr>
      <w:sz w:val="20"/>
      <w:szCs w:val="20"/>
    </w:rPr>
  </w:style>
  <w:style w:type="character" w:styleId="FootnoteReference">
    <w:name w:val="footnote reference"/>
    <w:aliases w:val="Odwołanie przypisu,Footnote symbol,Footnote Reference Superscript,BVI fnr, BVI fnr,Footnote reference number,number,note TESI,SUPERS,EN Footnote Reference,Times 10 Point,Exposant 3 Point, Exposant 3 Point,Footnote Reference_LVL6"/>
    <w:basedOn w:val="DefaultParagraphFont"/>
    <w:link w:val="Footnotenumber"/>
    <w:uiPriority w:val="99"/>
    <w:unhideWhenUsed/>
    <w:qFormat/>
    <w:rPr>
      <w:vertAlign w:val="superscript"/>
    </w:rPr>
  </w:style>
  <w:style w:type="paragraph" w:customStyle="1" w:styleId="Footnotenumber">
    <w:name w:val="Footnote number"/>
    <w:aliases w:val="fr"/>
    <w:basedOn w:val="Normal"/>
    <w:link w:val="FootnoteReference"/>
    <w:pPr>
      <w:spacing w:after="160" w:line="240" w:lineRule="exact"/>
    </w:pPr>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locked/>
    <w:rPr>
      <w:rFonts w:ascii="Arial" w:eastAsia="Times New Roman" w:hAnsi="Arial" w:cs="Arial"/>
      <w:szCs w:val="24"/>
    </w:rPr>
  </w:style>
  <w:style w:type="paragraph" w:customStyle="1" w:styleId="aa">
    <w:name w:val="a.a."/>
    <w:basedOn w:val="Normal"/>
    <w:link w:val="aaChar"/>
    <w:qFormat/>
    <w:pPr>
      <w:autoSpaceDE w:val="0"/>
      <w:autoSpaceDN w:val="0"/>
      <w:adjustRightInd w:val="0"/>
      <w:spacing w:after="240"/>
      <w:jc w:val="both"/>
    </w:pPr>
    <w:rPr>
      <w:rFonts w:ascii="Times New Roman" w:eastAsia="Times New Roman" w:hAnsi="Times New Roman" w:cs="Times New Roman"/>
      <w:b/>
    </w:rPr>
  </w:style>
  <w:style w:type="character" w:customStyle="1" w:styleId="aaChar">
    <w:name w:val="a.a. Char"/>
    <w:basedOn w:val="DefaultParagraphFont"/>
    <w:link w:val="aa"/>
    <w:locked/>
    <w:rPr>
      <w:rFonts w:ascii="Times New Roman" w:eastAsia="Times New Roman" w:hAnsi="Times New Roman" w:cs="Times New Roman"/>
      <w:b/>
    </w:rPr>
  </w:style>
  <w:style w:type="paragraph" w:customStyle="1" w:styleId="Pa5">
    <w:name w:val="Pa5"/>
    <w:basedOn w:val="Default"/>
    <w:next w:val="Default"/>
    <w:uiPriority w:val="99"/>
    <w:pPr>
      <w:spacing w:line="201" w:lineRule="atLeast"/>
    </w:pPr>
    <w:rPr>
      <w:rFonts w:ascii="Charter ITC Std" w:hAnsi="Charter ITC Std" w:cstheme="minorBidi"/>
      <w:color w:val="auto"/>
    </w:rPr>
  </w:style>
  <w:style w:type="character" w:customStyle="1" w:styleId="A6">
    <w:name w:val="A6"/>
    <w:uiPriority w:val="99"/>
    <w:rPr>
      <w:rFonts w:cs="Charter ITC Std"/>
      <w:color w:val="000000"/>
      <w:sz w:val="11"/>
      <w:szCs w:val="11"/>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customStyle="1" w:styleId="NumPar1">
    <w:name w:val="NumPar 1"/>
    <w:basedOn w:val="Normal"/>
    <w:next w:val="Normal"/>
    <w:pPr>
      <w:numPr>
        <w:numId w:val="9"/>
      </w:numPr>
      <w:spacing w:before="120" w:after="120" w:line="240" w:lineRule="auto"/>
      <w:jc w:val="both"/>
    </w:pPr>
    <w:rPr>
      <w:rFonts w:ascii="Times New Roman" w:eastAsia="Calibri" w:hAnsi="Times New Roman" w:cs="Times New Roman"/>
      <w:sz w:val="24"/>
    </w:rPr>
  </w:style>
  <w:style w:type="paragraph" w:customStyle="1" w:styleId="NumPar2">
    <w:name w:val="NumPar 2"/>
    <w:basedOn w:val="Normal"/>
    <w:next w:val="Normal"/>
    <w:pPr>
      <w:numPr>
        <w:ilvl w:val="1"/>
        <w:numId w:val="9"/>
      </w:numPr>
      <w:spacing w:before="120" w:after="120" w:line="240" w:lineRule="auto"/>
      <w:jc w:val="both"/>
    </w:pPr>
    <w:rPr>
      <w:rFonts w:ascii="Times New Roman" w:eastAsia="Calibri" w:hAnsi="Times New Roman" w:cs="Times New Roman"/>
      <w:sz w:val="24"/>
    </w:rPr>
  </w:style>
  <w:style w:type="paragraph" w:customStyle="1" w:styleId="NumPar3">
    <w:name w:val="NumPar 3"/>
    <w:basedOn w:val="Normal"/>
    <w:next w:val="Normal"/>
    <w:pPr>
      <w:numPr>
        <w:ilvl w:val="2"/>
        <w:numId w:val="9"/>
      </w:numPr>
      <w:spacing w:before="120" w:after="120" w:line="240" w:lineRule="auto"/>
      <w:jc w:val="both"/>
    </w:pPr>
    <w:rPr>
      <w:rFonts w:ascii="Times New Roman" w:eastAsia="Calibri" w:hAnsi="Times New Roman" w:cs="Times New Roman"/>
      <w:sz w:val="24"/>
    </w:rPr>
  </w:style>
  <w:style w:type="paragraph" w:customStyle="1" w:styleId="NumPar4">
    <w:name w:val="NumPar 4"/>
    <w:basedOn w:val="Normal"/>
    <w:next w:val="Normal"/>
    <w:pPr>
      <w:numPr>
        <w:ilvl w:val="3"/>
        <w:numId w:val="9"/>
      </w:numPr>
      <w:spacing w:before="120" w:after="120" w:line="240" w:lineRule="auto"/>
      <w:jc w:val="both"/>
    </w:pPr>
    <w:rPr>
      <w:rFonts w:ascii="Times New Roman" w:eastAsia="Calibri" w:hAnsi="Times New Roman" w:cs="Times New Roman"/>
      <w:sz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drant">
    <w:name w:val="Considérant"/>
    <w:basedOn w:val="Normal"/>
    <w:pPr>
      <w:numPr>
        <w:numId w:val="12"/>
      </w:numPr>
      <w:spacing w:before="120" w:after="120" w:line="240" w:lineRule="auto"/>
      <w:jc w:val="both"/>
    </w:pPr>
    <w:rPr>
      <w:rFonts w:ascii="Times New Roman" w:hAnsi="Times New Roman" w:cs="Times New Roman"/>
      <w:sz w:val="24"/>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numPr>
        <w:ilvl w:val="1"/>
        <w:numId w:val="8"/>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8"/>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8"/>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lang w:val="fr-BE"/>
    </w:rPr>
  </w:style>
  <w:style w:type="character" w:customStyle="1" w:styleId="FooterCoverPageChar">
    <w:name w:val="Footer Cover Page Char"/>
    <w:basedOn w:val="DefaultParagraphFont"/>
    <w:link w:val="FooterCoverPage"/>
    <w:rPr>
      <w:rFonts w:ascii="Times New Roman" w:hAnsi="Times New Roman" w:cs="Times New Roman"/>
      <w:sz w:val="24"/>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lang w:val="fr-BE"/>
    </w:rPr>
  </w:style>
  <w:style w:type="character" w:customStyle="1" w:styleId="HeaderCoverPageChar">
    <w:name w:val="Header Cover Page Char"/>
    <w:basedOn w:val="DefaultParagraphFont"/>
    <w:link w:val="HeaderCoverPage"/>
    <w:rPr>
      <w:rFonts w:ascii="Times New Roman" w:hAnsi="Times New Roman" w:cs="Times New Roman"/>
      <w:sz w:val="24"/>
      <w:lang w:val="fr-B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dia-copyright">
    <w:name w:val="media-copyrigh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FootnoteText">
    <w:name w:val="footnote text"/>
    <w:aliases w:val="Fußnotentextf,Fußnotentextr,stile 1,Footnote,Footnote1,Footnote2,Footnote3,Footnote4,Footnote5,Footnote6,Footnote7,Footnote8,Footnote9,Footnote10,Footnote11,Footnote21,Footnote31,Footnote41,Footnote51,Footnote61,Footnote71"/>
    <w:basedOn w:val="Normal"/>
    <w:link w:val="FootnoteTextChar"/>
    <w:uiPriority w:val="99"/>
    <w:unhideWhenUsed/>
    <w:pPr>
      <w:spacing w:after="0" w:line="240" w:lineRule="auto"/>
    </w:pPr>
    <w:rPr>
      <w:sz w:val="20"/>
      <w:szCs w:val="20"/>
    </w:rPr>
  </w:style>
  <w:style w:type="character" w:customStyle="1" w:styleId="FootnoteTextChar">
    <w:name w:val="Footnote Text Char"/>
    <w:aliases w:val="Fußnotentextf Char,Fußnotentextr Char,stile 1 Char,Footnote Char,Footnote1 Char,Footnote2 Char,Footnote3 Char,Footnote4 Char,Footnote5 Char,Footnote6 Char,Footnote7 Char,Footnote8 Char,Footnote9 Char,Footnote10 Char,Footnote11 Char"/>
    <w:basedOn w:val="DefaultParagraphFont"/>
    <w:link w:val="FootnoteText"/>
    <w:uiPriority w:val="99"/>
    <w:rPr>
      <w:sz w:val="20"/>
      <w:szCs w:val="20"/>
    </w:rPr>
  </w:style>
  <w:style w:type="character" w:styleId="FootnoteReference">
    <w:name w:val="footnote reference"/>
    <w:aliases w:val="Odwołanie przypisu,Footnote symbol,Footnote Reference Superscript,BVI fnr, BVI fnr,Footnote reference number,number,note TESI,SUPERS,EN Footnote Reference,Times 10 Point,Exposant 3 Point, Exposant 3 Point,Footnote Reference_LVL6"/>
    <w:basedOn w:val="DefaultParagraphFont"/>
    <w:link w:val="Footnotenumber"/>
    <w:uiPriority w:val="99"/>
    <w:unhideWhenUsed/>
    <w:qFormat/>
    <w:rPr>
      <w:vertAlign w:val="superscript"/>
    </w:rPr>
  </w:style>
  <w:style w:type="paragraph" w:customStyle="1" w:styleId="Footnotenumber">
    <w:name w:val="Footnote number"/>
    <w:aliases w:val="fr"/>
    <w:basedOn w:val="Normal"/>
    <w:link w:val="FootnoteReference"/>
    <w:pPr>
      <w:spacing w:after="160" w:line="240" w:lineRule="exact"/>
    </w:pPr>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locked/>
    <w:rPr>
      <w:rFonts w:ascii="Arial" w:eastAsia="Times New Roman" w:hAnsi="Arial" w:cs="Arial"/>
      <w:szCs w:val="24"/>
    </w:rPr>
  </w:style>
  <w:style w:type="paragraph" w:customStyle="1" w:styleId="aa">
    <w:name w:val="a.a."/>
    <w:basedOn w:val="Normal"/>
    <w:link w:val="aaChar"/>
    <w:qFormat/>
    <w:pPr>
      <w:autoSpaceDE w:val="0"/>
      <w:autoSpaceDN w:val="0"/>
      <w:adjustRightInd w:val="0"/>
      <w:spacing w:after="240"/>
      <w:jc w:val="both"/>
    </w:pPr>
    <w:rPr>
      <w:rFonts w:ascii="Times New Roman" w:eastAsia="Times New Roman" w:hAnsi="Times New Roman" w:cs="Times New Roman"/>
      <w:b/>
    </w:rPr>
  </w:style>
  <w:style w:type="character" w:customStyle="1" w:styleId="aaChar">
    <w:name w:val="a.a. Char"/>
    <w:basedOn w:val="DefaultParagraphFont"/>
    <w:link w:val="aa"/>
    <w:locked/>
    <w:rPr>
      <w:rFonts w:ascii="Times New Roman" w:eastAsia="Times New Roman" w:hAnsi="Times New Roman" w:cs="Times New Roman"/>
      <w:b/>
    </w:rPr>
  </w:style>
  <w:style w:type="paragraph" w:customStyle="1" w:styleId="Pa5">
    <w:name w:val="Pa5"/>
    <w:basedOn w:val="Default"/>
    <w:next w:val="Default"/>
    <w:uiPriority w:val="99"/>
    <w:pPr>
      <w:spacing w:line="201" w:lineRule="atLeast"/>
    </w:pPr>
    <w:rPr>
      <w:rFonts w:ascii="Charter ITC Std" w:hAnsi="Charter ITC Std" w:cstheme="minorBidi"/>
      <w:color w:val="auto"/>
    </w:rPr>
  </w:style>
  <w:style w:type="character" w:customStyle="1" w:styleId="A6">
    <w:name w:val="A6"/>
    <w:uiPriority w:val="99"/>
    <w:rPr>
      <w:rFonts w:cs="Charter ITC Std"/>
      <w:color w:val="000000"/>
      <w:sz w:val="11"/>
      <w:szCs w:val="11"/>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customStyle="1" w:styleId="NumPar1">
    <w:name w:val="NumPar 1"/>
    <w:basedOn w:val="Normal"/>
    <w:next w:val="Normal"/>
    <w:pPr>
      <w:numPr>
        <w:numId w:val="9"/>
      </w:numPr>
      <w:spacing w:before="120" w:after="120" w:line="240" w:lineRule="auto"/>
      <w:jc w:val="both"/>
    </w:pPr>
    <w:rPr>
      <w:rFonts w:ascii="Times New Roman" w:eastAsia="Calibri" w:hAnsi="Times New Roman" w:cs="Times New Roman"/>
      <w:sz w:val="24"/>
    </w:rPr>
  </w:style>
  <w:style w:type="paragraph" w:customStyle="1" w:styleId="NumPar2">
    <w:name w:val="NumPar 2"/>
    <w:basedOn w:val="Normal"/>
    <w:next w:val="Normal"/>
    <w:pPr>
      <w:numPr>
        <w:ilvl w:val="1"/>
        <w:numId w:val="9"/>
      </w:numPr>
      <w:spacing w:before="120" w:after="120" w:line="240" w:lineRule="auto"/>
      <w:jc w:val="both"/>
    </w:pPr>
    <w:rPr>
      <w:rFonts w:ascii="Times New Roman" w:eastAsia="Calibri" w:hAnsi="Times New Roman" w:cs="Times New Roman"/>
      <w:sz w:val="24"/>
    </w:rPr>
  </w:style>
  <w:style w:type="paragraph" w:customStyle="1" w:styleId="NumPar3">
    <w:name w:val="NumPar 3"/>
    <w:basedOn w:val="Normal"/>
    <w:next w:val="Normal"/>
    <w:pPr>
      <w:numPr>
        <w:ilvl w:val="2"/>
        <w:numId w:val="9"/>
      </w:numPr>
      <w:spacing w:before="120" w:after="120" w:line="240" w:lineRule="auto"/>
      <w:jc w:val="both"/>
    </w:pPr>
    <w:rPr>
      <w:rFonts w:ascii="Times New Roman" w:eastAsia="Calibri" w:hAnsi="Times New Roman" w:cs="Times New Roman"/>
      <w:sz w:val="24"/>
    </w:rPr>
  </w:style>
  <w:style w:type="paragraph" w:customStyle="1" w:styleId="NumPar4">
    <w:name w:val="NumPar 4"/>
    <w:basedOn w:val="Normal"/>
    <w:next w:val="Normal"/>
    <w:pPr>
      <w:numPr>
        <w:ilvl w:val="3"/>
        <w:numId w:val="9"/>
      </w:numPr>
      <w:spacing w:before="120" w:after="120" w:line="240" w:lineRule="auto"/>
      <w:jc w:val="both"/>
    </w:pPr>
    <w:rPr>
      <w:rFonts w:ascii="Times New Roman" w:eastAsia="Calibri" w:hAnsi="Times New Roman" w:cs="Times New Roman"/>
      <w:sz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drant">
    <w:name w:val="Considérant"/>
    <w:basedOn w:val="Normal"/>
    <w:pPr>
      <w:numPr>
        <w:numId w:val="12"/>
      </w:numPr>
      <w:spacing w:before="120" w:after="120" w:line="240" w:lineRule="auto"/>
      <w:jc w:val="both"/>
    </w:pPr>
    <w:rPr>
      <w:rFonts w:ascii="Times New Roman" w:hAnsi="Times New Roman" w:cs="Times New Roman"/>
      <w:sz w:val="24"/>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74479">
      <w:bodyDiv w:val="1"/>
      <w:marLeft w:val="0"/>
      <w:marRight w:val="0"/>
      <w:marTop w:val="0"/>
      <w:marBottom w:val="0"/>
      <w:divBdr>
        <w:top w:val="none" w:sz="0" w:space="0" w:color="auto"/>
        <w:left w:val="none" w:sz="0" w:space="0" w:color="auto"/>
        <w:bottom w:val="none" w:sz="0" w:space="0" w:color="auto"/>
        <w:right w:val="none" w:sz="0" w:space="0" w:color="auto"/>
      </w:divBdr>
      <w:divsChild>
        <w:div w:id="480274680">
          <w:marLeft w:val="0"/>
          <w:marRight w:val="0"/>
          <w:marTop w:val="0"/>
          <w:marBottom w:val="0"/>
          <w:divBdr>
            <w:top w:val="none" w:sz="0" w:space="0" w:color="auto"/>
            <w:left w:val="none" w:sz="0" w:space="0" w:color="auto"/>
            <w:bottom w:val="none" w:sz="0" w:space="0" w:color="auto"/>
            <w:right w:val="none" w:sz="0" w:space="0" w:color="auto"/>
          </w:divBdr>
          <w:divsChild>
            <w:div w:id="678393074">
              <w:marLeft w:val="0"/>
              <w:marRight w:val="0"/>
              <w:marTop w:val="0"/>
              <w:marBottom w:val="150"/>
              <w:divBdr>
                <w:top w:val="none" w:sz="0" w:space="0" w:color="auto"/>
                <w:left w:val="none" w:sz="0" w:space="0" w:color="auto"/>
                <w:bottom w:val="none" w:sz="0" w:space="0" w:color="auto"/>
                <w:right w:val="none" w:sz="0" w:space="0" w:color="auto"/>
              </w:divBdr>
              <w:divsChild>
                <w:div w:id="779182498">
                  <w:marLeft w:val="0"/>
                  <w:marRight w:val="0"/>
                  <w:marTop w:val="0"/>
                  <w:marBottom w:val="0"/>
                  <w:divBdr>
                    <w:top w:val="none" w:sz="0" w:space="0" w:color="auto"/>
                    <w:left w:val="none" w:sz="0" w:space="0" w:color="auto"/>
                    <w:bottom w:val="none" w:sz="0" w:space="0" w:color="auto"/>
                    <w:right w:val="none" w:sz="0" w:space="0" w:color="auto"/>
                  </w:divBdr>
                  <w:divsChild>
                    <w:div w:id="1759404754">
                      <w:marLeft w:val="0"/>
                      <w:marRight w:val="0"/>
                      <w:marTop w:val="0"/>
                      <w:marBottom w:val="0"/>
                      <w:divBdr>
                        <w:top w:val="none" w:sz="0" w:space="0" w:color="auto"/>
                        <w:left w:val="none" w:sz="0" w:space="0" w:color="auto"/>
                        <w:bottom w:val="none" w:sz="0" w:space="0" w:color="auto"/>
                        <w:right w:val="none" w:sz="0" w:space="0" w:color="auto"/>
                      </w:divBdr>
                      <w:divsChild>
                        <w:div w:id="330832600">
                          <w:marLeft w:val="0"/>
                          <w:marRight w:val="0"/>
                          <w:marTop w:val="0"/>
                          <w:marBottom w:val="0"/>
                          <w:divBdr>
                            <w:top w:val="none" w:sz="0" w:space="0" w:color="auto"/>
                            <w:left w:val="none" w:sz="0" w:space="0" w:color="auto"/>
                            <w:bottom w:val="none" w:sz="0" w:space="0" w:color="auto"/>
                            <w:right w:val="none" w:sz="0" w:space="0" w:color="auto"/>
                          </w:divBdr>
                          <w:divsChild>
                            <w:div w:id="715935366">
                              <w:marLeft w:val="0"/>
                              <w:marRight w:val="0"/>
                              <w:marTop w:val="0"/>
                              <w:marBottom w:val="0"/>
                              <w:divBdr>
                                <w:top w:val="none" w:sz="0" w:space="0" w:color="auto"/>
                                <w:left w:val="none" w:sz="0" w:space="0" w:color="auto"/>
                                <w:bottom w:val="none" w:sz="0" w:space="0" w:color="auto"/>
                                <w:right w:val="none" w:sz="0" w:space="0" w:color="auto"/>
                              </w:divBdr>
                              <w:divsChild>
                                <w:div w:id="1211769162">
                                  <w:marLeft w:val="0"/>
                                  <w:marRight w:val="-3600"/>
                                  <w:marTop w:val="150"/>
                                  <w:marBottom w:val="0"/>
                                  <w:divBdr>
                                    <w:top w:val="none" w:sz="0" w:space="0" w:color="auto"/>
                                    <w:left w:val="none" w:sz="0" w:space="0" w:color="auto"/>
                                    <w:bottom w:val="none" w:sz="0" w:space="0" w:color="auto"/>
                                    <w:right w:val="none" w:sz="0" w:space="0" w:color="auto"/>
                                  </w:divBdr>
                                  <w:divsChild>
                                    <w:div w:id="741374359">
                                      <w:marLeft w:val="0"/>
                                      <w:marRight w:val="3600"/>
                                      <w:marTop w:val="0"/>
                                      <w:marBottom w:val="0"/>
                                      <w:divBdr>
                                        <w:top w:val="none" w:sz="0" w:space="0" w:color="auto"/>
                                        <w:left w:val="none" w:sz="0" w:space="0" w:color="auto"/>
                                        <w:bottom w:val="none" w:sz="0" w:space="0" w:color="auto"/>
                                        <w:right w:val="none" w:sz="0" w:space="0" w:color="auto"/>
                                      </w:divBdr>
                                      <w:divsChild>
                                        <w:div w:id="1856963435">
                                          <w:marLeft w:val="0"/>
                                          <w:marRight w:val="0"/>
                                          <w:marTop w:val="0"/>
                                          <w:marBottom w:val="0"/>
                                          <w:divBdr>
                                            <w:top w:val="none" w:sz="0" w:space="0" w:color="auto"/>
                                            <w:left w:val="none" w:sz="0" w:space="0" w:color="auto"/>
                                            <w:bottom w:val="none" w:sz="0" w:space="0" w:color="auto"/>
                                            <w:right w:val="none" w:sz="0" w:space="0" w:color="auto"/>
                                          </w:divBdr>
                                          <w:divsChild>
                                            <w:div w:id="1588735619">
                                              <w:marLeft w:val="0"/>
                                              <w:marRight w:val="0"/>
                                              <w:marTop w:val="0"/>
                                              <w:marBottom w:val="0"/>
                                              <w:divBdr>
                                                <w:top w:val="none" w:sz="0" w:space="0" w:color="auto"/>
                                                <w:left w:val="none" w:sz="0" w:space="0" w:color="auto"/>
                                                <w:bottom w:val="none" w:sz="0" w:space="0" w:color="auto"/>
                                                <w:right w:val="none" w:sz="0" w:space="0" w:color="auto"/>
                                              </w:divBdr>
                                              <w:divsChild>
                                                <w:div w:id="1698117755">
                                                  <w:marLeft w:val="0"/>
                                                  <w:marRight w:val="0"/>
                                                  <w:marTop w:val="0"/>
                                                  <w:marBottom w:val="0"/>
                                                  <w:divBdr>
                                                    <w:top w:val="none" w:sz="0" w:space="0" w:color="auto"/>
                                                    <w:left w:val="none" w:sz="0" w:space="0" w:color="auto"/>
                                                    <w:bottom w:val="none" w:sz="0" w:space="0" w:color="auto"/>
                                                    <w:right w:val="none" w:sz="0" w:space="0" w:color="auto"/>
                                                  </w:divBdr>
                                                  <w:divsChild>
                                                    <w:div w:id="1200387780">
                                                      <w:marLeft w:val="0"/>
                                                      <w:marRight w:val="0"/>
                                                      <w:marTop w:val="0"/>
                                                      <w:marBottom w:val="0"/>
                                                      <w:divBdr>
                                                        <w:top w:val="none" w:sz="0" w:space="0" w:color="auto"/>
                                                        <w:left w:val="none" w:sz="0" w:space="0" w:color="auto"/>
                                                        <w:bottom w:val="none" w:sz="0" w:space="0" w:color="auto"/>
                                                        <w:right w:val="none" w:sz="0" w:space="0" w:color="auto"/>
                                                      </w:divBdr>
                                                      <w:divsChild>
                                                        <w:div w:id="1819297804">
                                                          <w:marLeft w:val="0"/>
                                                          <w:marRight w:val="0"/>
                                                          <w:marTop w:val="0"/>
                                                          <w:marBottom w:val="0"/>
                                                          <w:divBdr>
                                                            <w:top w:val="none" w:sz="0" w:space="0" w:color="auto"/>
                                                            <w:left w:val="none" w:sz="0" w:space="0" w:color="auto"/>
                                                            <w:bottom w:val="none" w:sz="0" w:space="0" w:color="auto"/>
                                                            <w:right w:val="none" w:sz="0" w:space="0" w:color="auto"/>
                                                          </w:divBdr>
                                                        </w:div>
                                                        <w:div w:id="423652771">
                                                          <w:marLeft w:val="0"/>
                                                          <w:marRight w:val="0"/>
                                                          <w:marTop w:val="0"/>
                                                          <w:marBottom w:val="0"/>
                                                          <w:divBdr>
                                                            <w:top w:val="none" w:sz="0" w:space="0" w:color="auto"/>
                                                            <w:left w:val="none" w:sz="0" w:space="0" w:color="auto"/>
                                                            <w:bottom w:val="none" w:sz="0" w:space="0" w:color="auto"/>
                                                            <w:right w:val="none" w:sz="0" w:space="0" w:color="auto"/>
                                                          </w:divBdr>
                                                        </w:div>
                                                        <w:div w:id="94800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23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ec.europa.eu/priorities/index_en.ht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ransport/modes/air/aviation-strategy/external_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FBCBA-D3E2-4805-8A47-C6CA48181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2325</Words>
  <Characters>13008</Characters>
  <Application>Microsoft Office Word</Application>
  <DocSecurity>0</DocSecurity>
  <Lines>207</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KITRIMI Efstathia (SG)</cp:lastModifiedBy>
  <cp:revision>18</cp:revision>
  <cp:lastPrinted>2017-06-06T07:22:00Z</cp:lastPrinted>
  <dcterms:created xsi:type="dcterms:W3CDTF">2017-06-06T07:21:00Z</dcterms:created>
  <dcterms:modified xsi:type="dcterms:W3CDTF">2017-06-07T07:51:00Z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